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629920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644525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CORSAIR GAMING,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001-39533</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82-2335306</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115 N. McCarthy Boulevard</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9"/>
              </w:rPr>
              <w:t>Milpitas, California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95035</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(510) 657-8747</w:t>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CRSR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Select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655955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2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96" w:lineRule="exact"/>
        <w:rPr>
          <w:sz w:val="20"/>
          <w:szCs w:val="20"/>
          <w:color w:val="auto"/>
        </w:rPr>
      </w:pPr>
    </w:p>
    <w:p>
      <w:pPr>
        <w:ind w:right="220" w:firstLine="751"/>
        <w:spacing w:after="0" w:line="261" w:lineRule="auto"/>
        <w:rPr>
          <w:sz w:val="20"/>
          <w:szCs w:val="20"/>
          <w:color w:val="auto"/>
        </w:rPr>
      </w:pPr>
      <w:r>
        <w:rPr>
          <w:rFonts w:ascii="Times New Roman" w:cs="Times New Roman" w:eastAsia="Times New Roman" w:hAnsi="Times New Roman"/>
          <w:sz w:val="16"/>
          <w:szCs w:val="16"/>
          <w:color w:val="auto"/>
        </w:rPr>
        <w:t>On February 12, 2026, Corsair Gaming, Inc. (“Corsair” or the “Company”) issued a press release announcing its financial results for the fiscal quarter and full year ended December 31, 2025. The full text of the press release is furnished as Exhibit 99.1 to this Current Report on Form 8-K. A presentation regarding the Company’s fiscal quarter and full year ended December 31, 2025 is furnished as Exhibit 99.2 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(d) Exhibits.</w:t>
            </w:r>
          </w:p>
        </w:tc>
        <w:tc>
          <w:tcPr>
            <w:tcW w:w="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383"/>
        </w:trPr>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20" w:type="dxa"/>
            <w:vAlign w:val="bottom"/>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gridSpan w:val="2"/>
          </w:tcPr>
          <w:p>
            <w:pPr>
              <w:ind w:left="17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46"/>
        </w:trPr>
        <w:tc>
          <w:tcPr>
            <w:tcW w:w="2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color w:val="auto"/>
                <w:w w:val="92"/>
              </w:rPr>
              <w:t>99.1</w:t>
            </w:r>
          </w:p>
        </w:tc>
        <w:tc>
          <w:tcPr>
            <w:tcW w:w="220" w:type="dxa"/>
            <w:vAlign w:val="bottom"/>
          </w:tcPr>
          <w:p>
            <w:pPr>
              <w:spacing w:after="0"/>
              <w:rPr>
                <w:sz w:val="12"/>
                <w:szCs w:val="12"/>
                <w:color w:val="auto"/>
              </w:rPr>
            </w:pPr>
          </w:p>
        </w:tc>
        <w:tc>
          <w:tcPr>
            <w:tcW w:w="10240" w:type="dxa"/>
            <w:vAlign w:val="bottom"/>
            <w:gridSpan w:val="4"/>
          </w:tcPr>
          <w:p>
            <w:pPr>
              <w:spacing w:after="0" w:line="145" w:lineRule="exact"/>
              <w:rPr>
                <w:sz w:val="20"/>
                <w:szCs w:val="20"/>
                <w:color w:val="auto"/>
              </w:rPr>
            </w:pPr>
            <w:r>
              <w:rPr>
                <w:rFonts w:ascii="Times New Roman" w:cs="Times New Roman" w:eastAsia="Times New Roman" w:hAnsi="Times New Roman"/>
                <w:sz w:val="16"/>
                <w:szCs w:val="16"/>
                <w:color w:val="0000FF"/>
              </w:rPr>
              <w:t>Press Release dated February 12, 2026, titled “Corsair Reports Strong Revenue and Profit Growth for 4Q25 and FY25</w:t>
            </w:r>
          </w:p>
        </w:tc>
      </w:tr>
      <w:tr>
        <w:trPr>
          <w:trHeight w:val="169"/>
        </w:trPr>
        <w:tc>
          <w:tcPr>
            <w:tcW w:w="8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color w:val="auto"/>
                <w:w w:val="92"/>
              </w:rPr>
              <w:t>99.2</w:t>
            </w:r>
          </w:p>
        </w:tc>
        <w:tc>
          <w:tcPr>
            <w:tcW w:w="220" w:type="dxa"/>
            <w:vAlign w:val="bottom"/>
          </w:tcPr>
          <w:p>
            <w:pPr>
              <w:spacing w:after="0"/>
              <w:rPr>
                <w:sz w:val="14"/>
                <w:szCs w:val="14"/>
                <w:color w:val="auto"/>
              </w:rPr>
            </w:pPr>
          </w:p>
        </w:tc>
        <w:tc>
          <w:tcPr>
            <w:tcW w:w="29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7"/>
              </w:rPr>
              <w:t>Investor Presentation dated February 12, 2026</w:t>
            </w:r>
          </w:p>
        </w:tc>
        <w:tc>
          <w:tcPr>
            <w:tcW w:w="20" w:type="dxa"/>
            <w:vAlign w:val="bottom"/>
            <w:tcBorders>
              <w:top w:val="single" w:sz="8" w:color="0000FF"/>
              <w:bottom w:val="single" w:sz="8" w:color="0000EE"/>
            </w:tcBorders>
          </w:tcPr>
          <w:p>
            <w:pPr>
              <w:spacing w:after="0"/>
              <w:rPr>
                <w:sz w:val="14"/>
                <w:szCs w:val="14"/>
                <w:color w:val="auto"/>
              </w:rPr>
            </w:pPr>
          </w:p>
        </w:tc>
        <w:tc>
          <w:tcPr>
            <w:tcW w:w="4520" w:type="dxa"/>
            <w:vAlign w:val="bottom"/>
            <w:tcBorders>
              <w:top w:val="single" w:sz="8" w:color="0000FF"/>
            </w:tcBorders>
          </w:tcPr>
          <w:p>
            <w:pPr>
              <w:spacing w:after="0"/>
              <w:rPr>
                <w:sz w:val="14"/>
                <w:szCs w:val="14"/>
                <w:color w:val="auto"/>
              </w:rPr>
            </w:pPr>
          </w:p>
        </w:tc>
        <w:tc>
          <w:tcPr>
            <w:tcW w:w="2780" w:type="dxa"/>
            <w:vAlign w:val="bottom"/>
          </w:tcPr>
          <w:p>
            <w:pPr>
              <w:spacing w:after="0"/>
              <w:rPr>
                <w:sz w:val="14"/>
                <w:szCs w:val="14"/>
                <w:color w:val="auto"/>
              </w:rPr>
            </w:pPr>
          </w:p>
        </w:tc>
      </w:tr>
      <w:tr>
        <w:trPr>
          <w:trHeight w:val="205"/>
        </w:trPr>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1"/>
              </w:rPr>
              <w:t>104</w:t>
            </w:r>
          </w:p>
        </w:tc>
        <w:tc>
          <w:tcPr>
            <w:tcW w:w="220" w:type="dxa"/>
            <w:vAlign w:val="bottom"/>
          </w:tcPr>
          <w:p>
            <w:pPr>
              <w:spacing w:after="0"/>
              <w:rPr>
                <w:sz w:val="17"/>
                <w:szCs w:val="17"/>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72" w:lineRule="exact"/>
        <w:rPr>
          <w:sz w:val="20"/>
          <w:szCs w:val="20"/>
          <w:color w:val="auto"/>
        </w:rPr>
      </w:pPr>
    </w:p>
    <w:p>
      <w:pPr>
        <w:ind w:right="40" w:firstLine="751"/>
        <w:spacing w:after="0" w:line="256" w:lineRule="auto"/>
        <w:rPr>
          <w:sz w:val="20"/>
          <w:szCs w:val="20"/>
          <w:color w:val="auto"/>
        </w:rPr>
      </w:pPr>
      <w:r>
        <w:rPr>
          <w:rFonts w:ascii="Times New Roman" w:cs="Times New Roman" w:eastAsia="Times New Roman" w:hAnsi="Times New Roman"/>
          <w:sz w:val="16"/>
          <w:szCs w:val="16"/>
          <w:color w:val="auto"/>
        </w:rPr>
        <w:t>The information in this Current Report on Form 8-K and Exhibit 99.1 and Exhibit 99.2 attached hereto shall not be deemed to be “filed” for the purposes of Section 18 of the Securities Exchange Act of 1934, as amended, or otherwise subject to the liabilities of Sections 11 and 12(a)(2) of the Securities Act of 1933, as amended. The information contained herein and in the accompanying exhibits shall not be incorporated by reference into any filing with the U.S. Securities and Exchange Commission made by Corsair Gaming, Inc., whether made before or after the date hereof, regardless of any general incorporation language in such filing.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 w:name="page3"/>
    <w:bookmarkEnd w:id="2"/>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100" w:firstLine="751"/>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CORSAIR GAMING, INC.</w:t>
      </w:r>
    </w:p>
    <w:p>
      <w:pPr>
        <w:sectPr>
          <w:pgSz w:w="11900" w:h="16838" w:orient="portrait"/>
          <w:cols w:equalWidth="0" w:num="1">
            <w:col w:w="10660"/>
          </w:cols>
          <w:pgMar w:left="320" w:top="878" w:right="919"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12, 2026</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Gordon Mattingly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-1207770</wp:posOffset>
            </wp:positionH>
            <wp:positionV relativeFrom="paragraph">
              <wp:posOffset>20955</wp:posOffset>
            </wp:positionV>
            <wp:extent cx="32740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060" cy="762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3">
            <w:col w:w="4960" w:space="720"/>
            <w:col w:w="1600" w:space="720"/>
            <w:col w:w="2660"/>
          </w:cols>
          <w:pgMar w:left="320" w:top="878" w:right="919" w:bottom="1440" w:gutter="0" w:footer="0" w:header="0"/>
          <w:type w:val="continuous"/>
        </w:sectPr>
      </w:pPr>
    </w:p>
    <w:p>
      <w:pPr>
        <w:jc w:val="center"/>
        <w:ind w:left="6080"/>
        <w:spacing w:after="0"/>
        <w:rPr>
          <w:sz w:val="20"/>
          <w:szCs w:val="20"/>
          <w:color w:val="auto"/>
        </w:rPr>
      </w:pPr>
      <w:r>
        <w:rPr>
          <w:rFonts w:ascii="Times New Roman" w:cs="Times New Roman" w:eastAsia="Times New Roman" w:hAnsi="Times New Roman"/>
          <w:sz w:val="16"/>
          <w:szCs w:val="16"/>
          <w:color w:val="auto"/>
        </w:rPr>
        <w:t>Gordon Mattingly</w:t>
      </w:r>
    </w:p>
    <w:p>
      <w:pPr>
        <w:spacing w:after="0" w:line="5"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5"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5"/>
          <w:szCs w:val="15"/>
          <w:i w:val="1"/>
          <w:iCs w:val="1"/>
          <w:color w:val="auto"/>
        </w:rPr>
        <w:t>(Principal Financial Officer and Principal Accounting Officer)</w:t>
      </w:r>
    </w:p>
    <w:p>
      <w:pPr>
        <w:spacing w:after="0" w:line="2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660"/>
          </w:cols>
          <w:pgMar w:left="320" w:top="878" w:right="91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84455</wp:posOffset>
            </wp:positionV>
            <wp:extent cx="1884680" cy="473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4680" cy="47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Corsair Reports Strong Revenue and Profit Growth for 4Q25 and FY25</w:t>
      </w:r>
    </w:p>
    <w:p>
      <w:pPr>
        <w:spacing w:after="0" w:line="196" w:lineRule="exact"/>
        <w:rPr>
          <w:sz w:val="20"/>
          <w:szCs w:val="20"/>
          <w:color w:val="auto"/>
        </w:rPr>
      </w:pPr>
    </w:p>
    <w:p>
      <w:pPr>
        <w:jc w:val="center"/>
        <w:spacing w:after="0" w:line="369" w:lineRule="auto"/>
        <w:rPr>
          <w:sz w:val="20"/>
          <w:szCs w:val="20"/>
          <w:color w:val="auto"/>
        </w:rPr>
      </w:pPr>
      <w:r>
        <w:rPr>
          <w:rFonts w:ascii="Arial" w:cs="Arial" w:eastAsia="Arial" w:hAnsi="Arial"/>
          <w:sz w:val="17"/>
          <w:szCs w:val="17"/>
          <w:b w:val="1"/>
          <w:bCs w:val="1"/>
          <w:color w:val="auto"/>
        </w:rPr>
        <w:t>12% Full Year 2025 Revenue Growth to $1,472.5 Million 30% Full Year 2025 GAAP Gross Profit Increase to $425.9 Million Record Full Year 2025 GAAP Gross Margin of 28.9% 84% Full Year increase in Adjusted EBITDA to $100.6 Million, Above Guidance $50 Million Share Repurchase Approved</w:t>
      </w:r>
    </w:p>
    <w:p>
      <w:pPr>
        <w:spacing w:after="0" w:line="383" w:lineRule="exact"/>
        <w:rPr>
          <w:sz w:val="20"/>
          <w:szCs w:val="20"/>
          <w:color w:val="auto"/>
        </w:rPr>
      </w:pPr>
    </w:p>
    <w:p>
      <w:pPr>
        <w:jc w:val="both"/>
        <w:ind w:right="40"/>
        <w:spacing w:after="0" w:line="254" w:lineRule="auto"/>
        <w:rPr>
          <w:sz w:val="20"/>
          <w:szCs w:val="20"/>
          <w:color w:val="auto"/>
        </w:rPr>
      </w:pPr>
      <w:r>
        <w:rPr>
          <w:rFonts w:ascii="Arial" w:cs="Arial" w:eastAsia="Arial" w:hAnsi="Arial"/>
          <w:sz w:val="17"/>
          <w:szCs w:val="17"/>
          <w:b w:val="1"/>
          <w:bCs w:val="1"/>
          <w:color w:val="auto"/>
        </w:rPr>
        <w:t xml:space="preserve">MILPITAS, CA, February 12, 2026 </w:t>
      </w:r>
      <w:r>
        <w:rPr>
          <w:rFonts w:ascii="Arial" w:cs="Arial" w:eastAsia="Arial" w:hAnsi="Arial"/>
          <w:sz w:val="17"/>
          <w:szCs w:val="17"/>
          <w:color w:val="auto"/>
        </w:rPr>
        <w:t>– Corsair Gaming, Inc. (Nasdaq: CRSR) (“Corsair” or the “Company”), a leading global provider and innovator</w:t>
      </w:r>
      <w:r>
        <w:rPr>
          <w:rFonts w:ascii="Arial" w:cs="Arial" w:eastAsia="Arial" w:hAnsi="Arial"/>
          <w:sz w:val="17"/>
          <w:szCs w:val="17"/>
          <w:b w:val="1"/>
          <w:bCs w:val="1"/>
          <w:color w:val="auto"/>
        </w:rPr>
        <w:t xml:space="preserve"> </w:t>
      </w:r>
      <w:r>
        <w:rPr>
          <w:rFonts w:ascii="Arial" w:cs="Arial" w:eastAsia="Arial" w:hAnsi="Arial"/>
          <w:sz w:val="17"/>
          <w:szCs w:val="17"/>
          <w:color w:val="auto"/>
        </w:rPr>
        <w:t>of high-performance products for gamers, streamers, content-creators, gaming PC builders, and sim racing enthusiasts, today announced financial results for the fourth quarter and full year ended December 31, 2025, as well as guidance for the first quarter and full year 2026.</w:t>
      </w:r>
    </w:p>
    <w:p>
      <w:pPr>
        <w:spacing w:after="0" w:line="138"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Company also announced that its Board of Directors authorized the Company to repurchase up to $50 million of its outstanding common stock. This represents Corsair’s first repurchase authorization. The repurchase program is effective immediately, does not have an expiration date and is subject to market conditions, applicable laws and regulatory guidelines.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 Year 2025 Select Financial Highlights (compared to Full Year 2024)</w:t>
      </w:r>
    </w:p>
    <w:p>
      <w:pPr>
        <w:spacing w:after="0" w:line="90" w:lineRule="exact"/>
        <w:rPr>
          <w:sz w:val="20"/>
          <w:szCs w:val="20"/>
          <w:color w:val="auto"/>
        </w:rPr>
      </w:pPr>
    </w:p>
    <w:p>
      <w:pPr>
        <w:ind w:left="740" w:hanging="370"/>
        <w:spacing w:after="0"/>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12% increase in revenue to $1,472.5 million.</w:t>
      </w:r>
    </w:p>
    <w:p>
      <w:pPr>
        <w:spacing w:after="0" w:line="99"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30% increase in gross profit to $425.9 million.</w:t>
      </w:r>
    </w:p>
    <w:p>
      <w:pPr>
        <w:spacing w:after="0" w:line="99"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84% increase in adjusted EBITDA to $100.6 million, above the high end of guidance.</w:t>
      </w:r>
    </w:p>
    <w:p>
      <w:pPr>
        <w:spacing w:after="0" w:line="99" w:lineRule="exact"/>
        <w:rPr>
          <w:rFonts w:ascii="Times New Roman" w:cs="Times New Roman" w:eastAsia="Times New Roman" w:hAnsi="Times New Roman"/>
          <w:sz w:val="17"/>
          <w:szCs w:val="17"/>
          <w:color w:val="auto"/>
        </w:rPr>
      </w:pPr>
    </w:p>
    <w:p>
      <w:pPr>
        <w:ind w:left="740" w:right="160" w:hanging="370"/>
        <w:spacing w:after="0" w:line="272"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Net income/(loss) per share attributable to common stockholders improved to ($0.12) / $0.62 per diluted share on a GAAP / Non-GAAP basis, compared to ($0.95) / ($0.03),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Q4 2025 Select Financial Highlights (compared to Q4 2024)</w:t>
      </w:r>
    </w:p>
    <w:p>
      <w:pPr>
        <w:spacing w:after="0" w:line="90" w:lineRule="exact"/>
        <w:rPr>
          <w:sz w:val="20"/>
          <w:szCs w:val="20"/>
          <w:color w:val="auto"/>
        </w:rPr>
      </w:pPr>
    </w:p>
    <w:p>
      <w:pPr>
        <w:ind w:left="740" w:hanging="370"/>
        <w:spacing w:after="0"/>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6% increase in revenue to $436.9 million.</w:t>
      </w:r>
    </w:p>
    <w:p>
      <w:pPr>
        <w:spacing w:after="0" w:line="99"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34% increase in gross profit to $144.6 million, reflecting strong performance in our Gaming Components and Systems segment.</w:t>
      </w:r>
    </w:p>
    <w:p>
      <w:pPr>
        <w:spacing w:after="0" w:line="99"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62% increase in adjusted EBITDA to $53.6 million, above the high end of guidance.</w:t>
      </w:r>
    </w:p>
    <w:p>
      <w:pPr>
        <w:spacing w:after="0" w:line="99" w:lineRule="exact"/>
        <w:rPr>
          <w:rFonts w:ascii="Times New Roman" w:cs="Times New Roman" w:eastAsia="Times New Roman" w:hAnsi="Times New Roman"/>
          <w:sz w:val="17"/>
          <w:szCs w:val="17"/>
          <w:color w:val="auto"/>
        </w:rPr>
      </w:pPr>
    </w:p>
    <w:p>
      <w:pPr>
        <w:ind w:left="740" w:right="260" w:hanging="370"/>
        <w:spacing w:after="0" w:line="272"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Net income per share attributable to common stockholders improved to $0.22 / $0.43 per diluted share on a GAAP / Non-GAAP basis, compared to $0.01 / $0.23,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889000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4" w:name="page5"/>
    <w:bookmarkEnd w:id="4"/>
    <w:p>
      <w:pPr>
        <w:spacing w:after="0" w:line="273" w:lineRule="auto"/>
        <w:rPr>
          <w:sz w:val="20"/>
          <w:szCs w:val="20"/>
          <w:color w:val="auto"/>
        </w:rPr>
      </w:pPr>
      <w:r>
        <w:rPr>
          <w:rFonts w:ascii="Arial" w:cs="Arial" w:eastAsia="Arial" w:hAnsi="Arial"/>
          <w:sz w:val="17"/>
          <w:szCs w:val="17"/>
          <w:color w:val="auto"/>
        </w:rPr>
        <w:t>Definitions of the non-GAAP financial measures used in this press release and reconciliations of such measures to their nearest GAAP equivalents are included below under the heading “Use and Reconciliation of 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 Highlights: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Gaming Components and Systems Segment</w:t>
      </w:r>
    </w:p>
    <w:p>
      <w:pPr>
        <w:spacing w:after="0" w:line="1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For the full year 2025, Corsair’s Gaming Components and Systems segment revenue grew 16% year-over-year, led by growth in memory and components, with strong demand for system upgrades and new builds among performance-focused PC builders. In Q4 2025, Gaming Components and Systems segment revenue grew over 11% year-over-year led by 24% year-over-year growth in our memory business, with stable components and systems revenue. The Corsair team was able to successfully navigate a constrained global semiconductor market to secure supply for the robust global demand we saw for our memory products during the quarter, underlining our leadership position in the performance memory market.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Gamer and Creator Peripherals Segment</w:t>
      </w:r>
    </w:p>
    <w:p>
      <w:pPr>
        <w:spacing w:after="0" w:line="12"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For the full year 2025, Corsair’s Gamer and Creator Peripherals segment revenue grew 4% year-over-year, led by growth in both sim racing and creator products. In Q4 2025, revenue decreased 3% year-over-year, driven primarily by lower demand in North America, which was offset by stronger performance internationally, particularly in the Asia-Pacific region. The Company’s Elgato brand products continue to grow led by the popular Stream Deck, which is now expanding into professional broadcast studios and other premium market segments. We were also pleased with strong early demand for the recent product launches in the Gamer and Creator Peripherals segment, which have been well received by our customers, exceeding our expectations. The Company’s Fanatec sim racing family continues to show strong growth, driven by the growing popularity of Formula 1 (F1), and supported by increased product availability, new product launches, and channel expansion.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Commentary:</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Thi La, Chief Executive Officer of Corsair, stated, “2025 closed on a strong operational note, with Q4 revenue in line with our outlook, and adjusted non-GAAP EBITDA above the high end of our guidance, driven by exceptional execution by the team. Successful new product launches, smart inventory management, coupled with our supply chain flexibility, enabled us to navigate a memory-constrained market, shifting trade regulations and tariffs to deliver 62% growth in Q4 2025 adjusted non-GAAP EBITDA (855% growth in Q4 2025 GAAP net income), significantly outperforming our 6% year-over-year revenue growth. As we enter 2026, we remain focused on accelerating innovation in our premium categories, improving mix, and driving healthier, more consistent sell-through across channels. We have an exciting roadmap of differentiated products for 2026, designed to resonate with our community, as we plan to further expand our presence across both online and retail channels, and maintain a strong balance between growth and profitability.”</w:t>
      </w:r>
    </w:p>
    <w:p>
      <w:pPr>
        <w:spacing w:after="0" w:line="152"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“Strategically, we are focused on improving the quality of our growth by investing in platforms that can scale across our portfolio. Stream Deck is a central component of our plan, evolving from a creator tool into a shared control layer across productivity, gaming and sim racing. The successful launch of our Galleon keyboard at CES 2026, one of the most awarded product launches in our history, demonstrates early validation of our platform-led approach. By accelerating investment in Creator and Gaming Peripherals and the Elgato Marketplace platform, we are deliberately shifting our mix toward what we expect to be higher margin, recurring revenue, and stronger long-term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635000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Gordon Mattingly, Chief Financial Officer of Corsair, stated, “We ended the year in a strong financial position, with strategic inventory investment which we anticipate will set us up well for profit momentum in 2026. During 2025, we reduced our debt by $52.1 million and will continue to deploy our capital to maximize shareholder returns, as we focus on margin expansion, cost discipline, and tighter working capital management to improve cashflow across the business. Our Board’s authorization of Corsair’s first ever share repurchase program reflects our view that our shares represent a highly compelling investment opportunity. With this authorization, we now have additional flexibility to deploy our capital optimally – whether investing in organic growth, executing M&amp;A, deleveraging the business, or returning capital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636270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First Quarter and Full Year 2026 Financial Outlook: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first quarter of 2026, we expect:</w:t>
      </w:r>
    </w:p>
    <w:p>
      <w:pPr>
        <w:spacing w:after="0" w:line="90" w:lineRule="exact"/>
        <w:rPr>
          <w:sz w:val="20"/>
          <w:szCs w:val="20"/>
          <w:color w:val="auto"/>
        </w:rPr>
      </w:pPr>
    </w:p>
    <w:p>
      <w:pPr>
        <w:ind w:left="1020" w:hanging="516"/>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Net revenue to be in the range of $335 million to $365 million.</w:t>
      </w:r>
    </w:p>
    <w:p>
      <w:pPr>
        <w:spacing w:after="0" w:line="99" w:lineRule="exact"/>
        <w:rPr>
          <w:rFonts w:ascii="Times New Roman" w:cs="Times New Roman" w:eastAsia="Times New Roman" w:hAnsi="Times New Roman"/>
          <w:sz w:val="17"/>
          <w:szCs w:val="17"/>
          <w:color w:val="auto"/>
        </w:rPr>
      </w:pPr>
    </w:p>
    <w:p>
      <w:pPr>
        <w:ind w:left="1020" w:hanging="516"/>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Adjusted EBITDA to be in the range of $25 million to $30 million.</w:t>
      </w:r>
    </w:p>
    <w:p>
      <w:pPr>
        <w:spacing w:after="0" w:line="99" w:lineRule="exact"/>
        <w:rPr>
          <w:rFonts w:ascii="Times New Roman" w:cs="Times New Roman" w:eastAsia="Times New Roman" w:hAnsi="Times New Roman"/>
          <w:sz w:val="17"/>
          <w:szCs w:val="17"/>
          <w:color w:val="auto"/>
        </w:rPr>
      </w:pPr>
    </w:p>
    <w:p>
      <w:pPr>
        <w:ind w:left="1020" w:hanging="516"/>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Non-GAAP EPS to be in the range of $0.18 to $0.22.</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full year 2026, we expect:</w:t>
      </w:r>
    </w:p>
    <w:p>
      <w:pPr>
        <w:spacing w:after="0" w:line="90" w:lineRule="exact"/>
        <w:rPr>
          <w:sz w:val="20"/>
          <w:szCs w:val="20"/>
          <w:color w:val="auto"/>
        </w:rPr>
      </w:pPr>
    </w:p>
    <w:p>
      <w:pPr>
        <w:ind w:left="1020" w:hanging="516"/>
        <w:spacing w:after="0"/>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Net revenue to be in the range of $1.33 billion to $1.47 billion.</w:t>
      </w:r>
    </w:p>
    <w:p>
      <w:pPr>
        <w:spacing w:after="0" w:line="99" w:lineRule="exact"/>
        <w:rPr>
          <w:rFonts w:ascii="Times New Roman" w:cs="Times New Roman" w:eastAsia="Times New Roman" w:hAnsi="Times New Roman"/>
          <w:sz w:val="17"/>
          <w:szCs w:val="17"/>
          <w:color w:val="auto"/>
        </w:rPr>
      </w:pPr>
    </w:p>
    <w:p>
      <w:pPr>
        <w:ind w:left="1020" w:hanging="516"/>
        <w:spacing w:after="0"/>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Adjusted EBITDA to be in the range of $100 million to $115 million.</w:t>
      </w:r>
    </w:p>
    <w:p>
      <w:pPr>
        <w:spacing w:after="0" w:line="99" w:lineRule="exact"/>
        <w:rPr>
          <w:rFonts w:ascii="Times New Roman" w:cs="Times New Roman" w:eastAsia="Times New Roman" w:hAnsi="Times New Roman"/>
          <w:sz w:val="17"/>
          <w:szCs w:val="17"/>
          <w:color w:val="auto"/>
        </w:rPr>
      </w:pPr>
    </w:p>
    <w:p>
      <w:pPr>
        <w:ind w:left="1020" w:hanging="516"/>
        <w:spacing w:after="0"/>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Non-GAAP EPS to be in the range of $0.58 to $0.74.</w:t>
      </w:r>
    </w:p>
    <w:p>
      <w:pPr>
        <w:spacing w:after="0" w:line="383"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For the first quarter and full year 2026, we expect revenue to be down about 5% year-over-year at the assumed midpoint of our guided ranges, with expected double-digit growth in our Gamer and Creator Peripherals segment, offset by a more cautious outlook for Gaming Components and Systems, driven by the ongoing global semiconductor shortages. Adjusted EBITDA is expected to grow year-over-year as we focus on margin expansion and operating expense management.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12"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Under our $50 million stock repurchase program, Corsair may purchase shares of its common stock through open market and privately negotiated transactions at prices deemed appropriate by management. The timing and amount of repurchase transactions under this program will depend on market conditions, share price, applicable laws, corporate and regulatory considerations, and other factors. The Company intends to conduct any open market purchases under the program in compliance with Rule 10b-18 of the Securities Exchange Act of 1934, as amended. The repurchase program has no termination date and may be suspended or discontinued by the Company at any time without prior notice.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and Webcast Information</w:t>
      </w:r>
    </w:p>
    <w:p>
      <w:pPr>
        <w:spacing w:after="0" w:line="1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Corsair will host a conference call to discuss the fourth quarter and full year 2025 financial results today at 2:00 p.m. Pacific Time. The conference call will be accessible on Corsair’s Investor Relations website at https://ir.corsair.com, or by dialing 1-877-407-0784 (USA) or 1-201-689-8560 (International) with conference ID 13758217. A replay will be available approximately 3 hours after the live call ends on Corsair’s Investor Relations website, or through February 19, 2026, by dialing 1-844-512-2921 (USA) or 1-412-317-6671 (International), with passcode 13758217.</w:t>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Corsair Gaming</w:t>
      </w:r>
    </w:p>
    <w:p>
      <w:pPr>
        <w:spacing w:after="0" w:line="1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Corsair (Nasdaq: CRSR) is a leading global developer and manufacturer of high-performance products and technology for gamers, content creators, and PC enthusiasts. From award-winning PC components and peripherals to premium streaming equipment and smart ambient lighting, Corsair delivers a full ecosystem of products that work together to enable everyone, from casual gamers to committed professionals, to perform at their very best. Corsair also sells products under its Fanatec brand, the leading end-to-end premium sim racing product line; Elgato brand, which provides premium studio equipment and accessories for content creators; SCUF Gaming brand, which builds custom-designed controllers for competitive gamers; Drop, the leading community-driven mechanical keyboard brand; and ORIGIN PC brand, a builder of custom gaming and workstation desktop PCs.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516890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Forward-Looking Statements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This press release contains express and implied forward-looking statements within the meaning of the Private Securities Litigation Reform Act of 1995, including, but not limited to, statements regarding the Company’s financial outlook for the first quarter and full year 2026, the market position and growth of the Company’s various products; the impact of the Company’s innovation initiatives and its investments in scale platforms; the growth and rate of growth of our Gamer and Creator Peripherals segment and the Gaming Components and Systems segment for the first quarter and full year 2026; future product launches; profit momentum in 2026, future repurchases of the Company’s common stock; and the Company’s financial performance for the first quarter and full year 2026.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the Company’s limited operating history, which makes it difficult to forecast the Company’s future results of operations; current macroeconomic conditions, including the impacts of high inflation and risk of recession, on demand for our products, consumer confidence and financial markets generally; changes in trade regulations, policies, and agreements and the imposition of tariffs that affect our products or operations, including potential new tariffs that may be imposed on U.S. imports and our ability to mitigate; the Company’s ability to build and maintain the strength of the Company’s brand among gaming, streaming and content creator enthusiasts and ability to continuously develop and successfully market new products and improvements to existing products; the introduction and success of new third-party high-performance computer hardware, particularly graphics processing units and central processing units as well as sophisticated new video games; fluctuations in operating results; the loss or inability to attract and retain key management; the impacts from geopolitical events and unrest; delays or disruptions at the Company or third-parties’ manufacturing and distribution facilities; and the other factors described under the heading “Risk Factors” in our Annual Report on Form 10-K for the year ended December 31, 2025 to be filed with the Securities and Exchange Commission (“SEC”) and our subsequent filings with the SEC. All forward-looking statements reflect our beliefs and assumptions only as of the date of this press release. We undertake no obligation to update forward-looking statements to reflect future events or circumstances. Our results for the quarter and year ended December 31, 2025 are also not necessarily indicative of our operating results for any future periods.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and Reconciliation of Non-GAAP Financial Measures</w:t>
      </w:r>
    </w:p>
    <w:p>
      <w:pPr>
        <w:spacing w:after="0" w:line="185"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To supplement the financial results presented in accordance with GAAP, this earnings release presents certain non-GAAP financial information, including adjusted operating income (loss), adjusted net income (loss), adjusted net income (loss) per diluted share and adjusted EBITDA. These are important financial performance measures for us, but are not financial measures as defined by GAAP. The presentation of this non-GAAP financial information is not intended to be considered in isolation of or as a substitute for, or superior to, the financial information prepared and presented in accordance with GAAP.</w:t>
      </w:r>
    </w:p>
    <w:p>
      <w:pPr>
        <w:spacing w:after="0" w:line="150"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We use adjusted operating income (loss), adjusted net income (loss), adjusted net income (loss) per share and adjusted EBITDA to evaluate our operating performance and trends and make planning decisions. We believe that these non-GAAP financial measures help identify underlying trends in our business that could otherwise be masked by the effect of the expenses and other items that we exclude in such non-GAAP measures. Accordingly, we believe that these non-GAAP financial measures provide useful information to investors and others in understanding and evaluating our operating results, enhancing the overall understanding of our past performance and future prospects, and allowing for greater transparency with respect to the key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516255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 w:name="page9"/>
    <w:bookmarkEnd w:id="8"/>
    <w:p>
      <w:pPr>
        <w:ind w:right="420"/>
        <w:spacing w:after="0" w:line="273" w:lineRule="auto"/>
        <w:rPr>
          <w:sz w:val="20"/>
          <w:szCs w:val="20"/>
          <w:color w:val="auto"/>
        </w:rPr>
      </w:pPr>
      <w:r>
        <w:rPr>
          <w:rFonts w:ascii="Arial" w:cs="Arial" w:eastAsia="Arial" w:hAnsi="Arial"/>
          <w:sz w:val="17"/>
          <w:szCs w:val="17"/>
          <w:color w:val="auto"/>
        </w:rPr>
        <w:t>used by our management in our financial and operational decision-making. We also present these non-GAAP financial measures because we believe investors, analysts and rating agencies consider it useful in measuring our ability to meet our debt service obligations.</w:t>
      </w:r>
    </w:p>
    <w:p>
      <w:pPr>
        <w:spacing w:after="0" w:line="123" w:lineRule="exact"/>
        <w:rPr>
          <w:sz w:val="20"/>
          <w:szCs w:val="20"/>
          <w:color w:val="auto"/>
        </w:rPr>
      </w:pPr>
    </w:p>
    <w:p>
      <w:pPr>
        <w:ind w:right="440"/>
        <w:spacing w:after="0" w:line="246" w:lineRule="auto"/>
        <w:rPr>
          <w:sz w:val="20"/>
          <w:szCs w:val="20"/>
          <w:color w:val="auto"/>
        </w:rPr>
      </w:pPr>
      <w:r>
        <w:rPr>
          <w:rFonts w:ascii="Arial" w:cs="Arial" w:eastAsia="Arial" w:hAnsi="Arial"/>
          <w:sz w:val="17"/>
          <w:szCs w:val="17"/>
          <w:color w:val="auto"/>
        </w:rPr>
        <w:t>Our use of these terms may vary from that of others in our industry. These non-GAAP financial measures should not be considered as an alternative to net revenue, operating income (loss), net income (loss), cash provided by operating activities, or any other measures derived in accordance with GAAP as measures of operating performance or liquidity. Reconciliations of these measures to the most directly comparable GAAP financial measures are presented in the attached schedules.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We calculate these non-GAAP financial measures as follows:</w:t>
      </w:r>
    </w:p>
    <w:p>
      <w:pPr>
        <w:spacing w:after="0" w:line="10" w:lineRule="exact"/>
        <w:rPr>
          <w:sz w:val="20"/>
          <w:szCs w:val="20"/>
          <w:color w:val="auto"/>
        </w:rPr>
      </w:pPr>
    </w:p>
    <w:p>
      <w:pPr>
        <w:ind w:left="1020" w:right="140" w:hanging="516"/>
        <w:spacing w:after="0" w:line="232"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Adjusted operating income (loss), non-GAAP, is determined by adding back to GAAP operating income (loss), the impact from amortization, stock-based compensation, one-time costs related to legal and other matters, acquisition and related integration costs, restructuring and other charges, and acquisition accounting impact related to recognizing acquired inventory at fair value.</w:t>
      </w:r>
    </w:p>
    <w:p>
      <w:pPr>
        <w:ind w:left="1020" w:right="100" w:hanging="516"/>
        <w:spacing w:after="0" w:line="232"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Adjusted net income (loss), non-GAAP, excludes the impact from amortization, stock-based compensation, one-time costs related to legal and other matters, acquisition and related integration costs, restructuring and other charges, acquisition accounting impact related to recognizing acquired inventory at fair value and the bargain purchase gain on business acquisition, as well as the related tax effects of each of these adjustments.</w:t>
      </w:r>
    </w:p>
    <w:p>
      <w:pPr>
        <w:ind w:left="1020" w:right="420" w:hanging="516"/>
        <w:spacing w:after="0" w:line="231"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Adjusted net income (loss) per diluted share, non-GAAP, is determined by dividing adjusted net income (loss), non-GAAP by the respective weighted average shares outstanding, inclusive of the impact of other dilutive securities.</w:t>
      </w:r>
    </w:p>
    <w:p>
      <w:pPr>
        <w:spacing w:after="0" w:line="1" w:lineRule="exact"/>
        <w:rPr>
          <w:rFonts w:ascii="Times New Roman" w:cs="Times New Roman" w:eastAsia="Times New Roman" w:hAnsi="Times New Roman"/>
          <w:sz w:val="17"/>
          <w:szCs w:val="17"/>
          <w:color w:val="auto"/>
        </w:rPr>
      </w:pPr>
    </w:p>
    <w:p>
      <w:pPr>
        <w:ind w:left="1020" w:right="220" w:hanging="516"/>
        <w:spacing w:after="0" w:line="239" w:lineRule="auto"/>
        <w:tabs>
          <w:tab w:leader="none" w:pos="10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Adjusted EBITDA excludes the impact from amortization, stock-based compensation, one-time costs related to legal and other matters, acquisition and related integration costs, restructuring and other charges, acquisition accounting impact related to recognizing acquired inventory at fair value, and the bargain purchase gain on business acquisition, depreciation, interest expense, net, and tax expense (benefit).</w:t>
      </w:r>
    </w:p>
    <w:p>
      <w:pPr>
        <w:spacing w:after="0" w:line="15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20" w:type="dxa"/>
            <w:vAlign w:val="bottom"/>
          </w:tcPr>
          <w:p>
            <w:pPr>
              <w:ind w:left="80"/>
              <w:spacing w:after="0"/>
              <w:rPr>
                <w:sz w:val="20"/>
                <w:szCs w:val="20"/>
                <w:color w:val="auto"/>
              </w:rPr>
            </w:pPr>
            <w:r>
              <w:rPr>
                <w:rFonts w:ascii="Arial" w:cs="Arial" w:eastAsia="Arial" w:hAnsi="Arial"/>
                <w:sz w:val="17"/>
                <w:szCs w:val="17"/>
                <w:b w:val="1"/>
                <w:bCs w:val="1"/>
                <w:color w:val="auto"/>
              </w:rPr>
              <w:t>Investor Relations Contact:</w:t>
            </w:r>
          </w:p>
        </w:tc>
        <w:tc>
          <w:tcPr>
            <w:tcW w:w="7240" w:type="dxa"/>
            <w:vAlign w:val="bottom"/>
          </w:tcPr>
          <w:p>
            <w:pPr>
              <w:ind w:left="1680"/>
              <w:spacing w:after="0"/>
              <w:rPr>
                <w:sz w:val="20"/>
                <w:szCs w:val="20"/>
                <w:color w:val="auto"/>
              </w:rPr>
            </w:pPr>
            <w:r>
              <w:rPr>
                <w:rFonts w:ascii="Arial" w:cs="Arial" w:eastAsia="Arial" w:hAnsi="Arial"/>
                <w:sz w:val="17"/>
                <w:szCs w:val="17"/>
                <w:b w:val="1"/>
                <w:bCs w:val="1"/>
                <w:color w:val="auto"/>
              </w:rPr>
              <w:t>Media Contact:</w:t>
            </w:r>
          </w:p>
        </w:tc>
      </w:tr>
      <w:tr>
        <w:trPr>
          <w:trHeight w:val="189"/>
        </w:trPr>
        <w:tc>
          <w:tcPr>
            <w:tcW w:w="4020" w:type="dxa"/>
            <w:vAlign w:val="bottom"/>
          </w:tcPr>
          <w:p>
            <w:pPr>
              <w:ind w:left="80"/>
              <w:spacing w:after="0" w:line="189" w:lineRule="exact"/>
              <w:rPr>
                <w:sz w:val="20"/>
                <w:szCs w:val="20"/>
                <w:color w:val="auto"/>
              </w:rPr>
            </w:pPr>
            <w:r>
              <w:rPr>
                <w:rFonts w:ascii="Arial" w:cs="Arial" w:eastAsia="Arial" w:hAnsi="Arial"/>
                <w:sz w:val="17"/>
                <w:szCs w:val="17"/>
                <w:color w:val="auto"/>
              </w:rPr>
              <w:t>David Pasquale</w:t>
            </w:r>
          </w:p>
        </w:tc>
        <w:tc>
          <w:tcPr>
            <w:tcW w:w="7240" w:type="dxa"/>
            <w:vAlign w:val="bottom"/>
          </w:tcPr>
          <w:p>
            <w:pPr>
              <w:ind w:left="1680"/>
              <w:spacing w:after="0" w:line="189" w:lineRule="exact"/>
              <w:rPr>
                <w:sz w:val="20"/>
                <w:szCs w:val="20"/>
                <w:color w:val="auto"/>
              </w:rPr>
            </w:pPr>
            <w:r>
              <w:rPr>
                <w:rFonts w:ascii="Arial" w:cs="Arial" w:eastAsia="Arial" w:hAnsi="Arial"/>
                <w:sz w:val="17"/>
                <w:szCs w:val="17"/>
                <w:color w:val="auto"/>
              </w:rPr>
              <w:t>media@corsair.com</w:t>
            </w:r>
          </w:p>
        </w:tc>
      </w:tr>
      <w:tr>
        <w:trPr>
          <w:trHeight w:val="189"/>
        </w:trPr>
        <w:tc>
          <w:tcPr>
            <w:tcW w:w="4020" w:type="dxa"/>
            <w:vAlign w:val="bottom"/>
          </w:tcPr>
          <w:p>
            <w:pPr>
              <w:ind w:left="80"/>
              <w:spacing w:after="0" w:line="189" w:lineRule="exact"/>
              <w:rPr>
                <w:sz w:val="20"/>
                <w:szCs w:val="20"/>
                <w:color w:val="auto"/>
              </w:rPr>
            </w:pPr>
            <w:r>
              <w:rPr>
                <w:rFonts w:ascii="Arial" w:cs="Arial" w:eastAsia="Arial" w:hAnsi="Arial"/>
                <w:sz w:val="17"/>
                <w:szCs w:val="17"/>
                <w:color w:val="auto"/>
              </w:rPr>
              <w:t>ir@corsair.com</w:t>
            </w:r>
          </w:p>
        </w:tc>
        <w:tc>
          <w:tcPr>
            <w:tcW w:w="7240" w:type="dxa"/>
            <w:vAlign w:val="bottom"/>
          </w:tcPr>
          <w:p>
            <w:pPr>
              <w:ind w:left="1680"/>
              <w:spacing w:after="0" w:line="189" w:lineRule="exact"/>
              <w:rPr>
                <w:sz w:val="20"/>
                <w:szCs w:val="20"/>
                <w:color w:val="auto"/>
              </w:rPr>
            </w:pPr>
            <w:r>
              <w:rPr>
                <w:rFonts w:ascii="Arial" w:cs="Arial" w:eastAsia="Arial" w:hAnsi="Arial"/>
                <w:sz w:val="17"/>
                <w:szCs w:val="17"/>
                <w:color w:val="auto"/>
              </w:rPr>
              <w:t>510-657-8747</w:t>
            </w:r>
          </w:p>
        </w:tc>
      </w:tr>
      <w:tr>
        <w:trPr>
          <w:trHeight w:val="229"/>
        </w:trPr>
        <w:tc>
          <w:tcPr>
            <w:tcW w:w="4020" w:type="dxa"/>
            <w:vAlign w:val="bottom"/>
          </w:tcPr>
          <w:p>
            <w:pPr>
              <w:ind w:left="80"/>
              <w:spacing w:after="0"/>
              <w:rPr>
                <w:sz w:val="20"/>
                <w:szCs w:val="20"/>
                <w:color w:val="auto"/>
              </w:rPr>
            </w:pPr>
            <w:r>
              <w:rPr>
                <w:rFonts w:ascii="Arial" w:cs="Arial" w:eastAsia="Arial" w:hAnsi="Arial"/>
                <w:sz w:val="17"/>
                <w:szCs w:val="17"/>
                <w:color w:val="auto"/>
              </w:rPr>
              <w:t>914-337-8801</w:t>
            </w:r>
          </w:p>
        </w:tc>
        <w:tc>
          <w:tcPr>
            <w:tcW w:w="7240" w:type="dxa"/>
            <w:vAlign w:val="bottom"/>
          </w:tcPr>
          <w:p>
            <w:pPr>
              <w:spacing w:after="0"/>
              <w:rPr>
                <w:sz w:val="19"/>
                <w:szCs w:val="19"/>
                <w:color w:val="auto"/>
              </w:rPr>
            </w:pPr>
          </w:p>
        </w:tc>
      </w:tr>
      <w:tr>
        <w:trPr>
          <w:trHeight w:val="1154"/>
        </w:trPr>
        <w:tc>
          <w:tcPr>
            <w:tcW w:w="402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7"/>
          <w:szCs w:val="17"/>
          <w:b w:val="1"/>
          <w:bCs w:val="1"/>
          <w:color w:val="auto"/>
        </w:rPr>
        <w:t>Corsair Gaming,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Operations</w:t>
      </w:r>
    </w:p>
    <w:p>
      <w:pPr>
        <w:jc w:val="center"/>
        <w:ind w:right="20"/>
        <w:spacing w:after="0"/>
        <w:rPr>
          <w:sz w:val="20"/>
          <w:szCs w:val="20"/>
          <w:color w:val="auto"/>
        </w:rPr>
      </w:pPr>
      <w:r>
        <w:rPr>
          <w:rFonts w:ascii="Arial" w:cs="Arial" w:eastAsia="Arial" w:hAnsi="Arial"/>
          <w:sz w:val="16"/>
          <w:szCs w:val="16"/>
          <w:color w:val="auto"/>
        </w:rPr>
        <w:t>(Unaudited, 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Years Ended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rPr>
              <w:t>2025</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41"/>
              <w:spacing w:after="0" w:line="169" w:lineRule="exact"/>
              <w:rPr>
                <w:sz w:val="20"/>
                <w:szCs w:val="20"/>
                <w:color w:val="auto"/>
              </w:rPr>
            </w:pPr>
            <w:r>
              <w:rPr>
                <w:rFonts w:ascii="Arial" w:cs="Arial" w:eastAsia="Arial" w:hAnsi="Arial"/>
                <w:sz w:val="16"/>
                <w:szCs w:val="16"/>
                <w:b w:val="1"/>
                <w:bCs w:val="1"/>
                <w:color w:val="auto"/>
                <w:w w:val="95"/>
              </w:rPr>
              <w:t>2024</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rPr>
              <w:t>2025</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w w:val="95"/>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82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Net revenue</w:t>
            </w:r>
          </w:p>
        </w:tc>
        <w:tc>
          <w:tcPr>
            <w:tcW w:w="260" w:type="dxa"/>
            <w:vAlign w:val="bottom"/>
            <w:shd w:val="clear" w:color="auto" w:fill="CFF0FC"/>
          </w:tcPr>
          <w:p>
            <w:pPr>
              <w:jc w:val="right"/>
              <w:ind w:right="81"/>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436,855</w:t>
            </w:r>
          </w:p>
        </w:tc>
        <w:tc>
          <w:tcPr>
            <w:tcW w:w="1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300"/>
              <w:spacing w:after="0" w:line="178"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413,623</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1,472,480</w:t>
            </w:r>
          </w:p>
        </w:tc>
        <w:tc>
          <w:tcPr>
            <w:tcW w:w="1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80"/>
              <w:spacing w:after="0" w:line="178" w:lineRule="exact"/>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1,316,379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292,301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305,411</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1,046,597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988,782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Gross profit</w:t>
            </w: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144,554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108,212</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425,883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327,597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20"/>
              <w:spacing w:after="0" w:line="178" w:lineRule="exact"/>
              <w:rPr>
                <w:sz w:val="20"/>
                <w:szCs w:val="20"/>
                <w:color w:val="auto"/>
              </w:rPr>
            </w:pPr>
            <w:r>
              <w:rPr>
                <w:rFonts w:ascii="Arial" w:cs="Arial" w:eastAsia="Arial" w:hAnsi="Arial"/>
                <w:sz w:val="16"/>
                <w:szCs w:val="16"/>
                <w:color w:val="auto"/>
              </w:rPr>
              <w:t>Sales, general and administrative</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100,356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85,331</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354,660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310,008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Product development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17,309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16,958</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69,147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67,543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117,665</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102,289</w:t>
            </w:r>
          </w:p>
        </w:tc>
        <w:tc>
          <w:tcPr>
            <w:tcW w:w="2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423,807</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377,551</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tcPr>
          <w:p>
            <w:pPr>
              <w:spacing w:after="0" w:line="169" w:lineRule="exact"/>
              <w:rPr>
                <w:sz w:val="20"/>
                <w:szCs w:val="20"/>
                <w:color w:val="auto"/>
              </w:rPr>
            </w:pPr>
            <w:r>
              <w:rPr>
                <w:rFonts w:ascii="Arial" w:cs="Arial" w:eastAsia="Arial" w:hAnsi="Arial"/>
                <w:sz w:val="16"/>
                <w:szCs w:val="16"/>
                <w:color w:val="auto"/>
              </w:rPr>
              <w:t>Operating income (loss)</w:t>
            </w: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26,889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5,923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2,076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(49,954)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Other (expense) income:</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5"/>
                <w:szCs w:val="15"/>
                <w:color w:val="auto"/>
              </w:rPr>
            </w:pPr>
          </w:p>
        </w:tc>
        <w:tc>
          <w:tcPr>
            <w:tcW w:w="106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(2,145)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rPr>
              <w:t>(3,069)</w:t>
            </w:r>
          </w:p>
        </w:tc>
        <w:tc>
          <w:tcPr>
            <w:tcW w:w="220" w:type="dxa"/>
            <w:vAlign w:val="bottom"/>
          </w:tcPr>
          <w:p>
            <w:pPr>
              <w:spacing w:after="0"/>
              <w:rPr>
                <w:sz w:val="15"/>
                <w:szCs w:val="15"/>
                <w:color w:val="auto"/>
              </w:rPr>
            </w:pPr>
          </w:p>
        </w:tc>
        <w:tc>
          <w:tcPr>
            <w:tcW w:w="104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(9,350)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(13,207)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20"/>
              <w:spacing w:after="0" w:line="178" w:lineRule="exact"/>
              <w:rPr>
                <w:sz w:val="20"/>
                <w:szCs w:val="20"/>
                <w:color w:val="auto"/>
              </w:rPr>
            </w:pPr>
            <w:r>
              <w:rPr>
                <w:rFonts w:ascii="Arial" w:cs="Arial" w:eastAsia="Arial" w:hAnsi="Arial"/>
                <w:sz w:val="16"/>
                <w:szCs w:val="16"/>
                <w:color w:val="auto"/>
              </w:rPr>
              <w:t>Interest income</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253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327</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1,660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3,347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97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43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(6,535)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8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Total other expense, net</w:t>
            </w: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(1,795)</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6"/>
                <w:szCs w:val="16"/>
                <w:color w:val="auto"/>
              </w:rPr>
              <w:t>(2,699)</w:t>
            </w: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(14,225)</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(11,704)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820" w:type="dxa"/>
            <w:vAlign w:val="bottom"/>
          </w:tcPr>
          <w:p>
            <w:pPr>
              <w:spacing w:after="0" w:line="169" w:lineRule="exact"/>
              <w:rPr>
                <w:sz w:val="20"/>
                <w:szCs w:val="20"/>
                <w:color w:val="auto"/>
              </w:rPr>
            </w:pPr>
            <w:r>
              <w:rPr>
                <w:rFonts w:ascii="Arial" w:cs="Arial" w:eastAsia="Arial" w:hAnsi="Arial"/>
                <w:sz w:val="16"/>
                <w:szCs w:val="16"/>
                <w:color w:val="auto"/>
              </w:rPr>
              <w:t>Income (loss) before income taxes</w:t>
            </w: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25,094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3,224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(12,149)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(61,658)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20"/>
              <w:spacing w:after="0" w:line="178" w:lineRule="exact"/>
              <w:rPr>
                <w:sz w:val="20"/>
                <w:szCs w:val="20"/>
                <w:color w:val="auto"/>
              </w:rPr>
            </w:pPr>
            <w:r>
              <w:rPr>
                <w:rFonts w:ascii="Arial" w:cs="Arial" w:eastAsia="Arial" w:hAnsi="Arial"/>
                <w:sz w:val="16"/>
                <w:szCs w:val="16"/>
                <w:color w:val="auto"/>
              </w:rPr>
              <w:t>Income tax (expense) benefit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956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line="178" w:lineRule="exact"/>
              <w:rPr>
                <w:sz w:val="20"/>
                <w:szCs w:val="20"/>
                <w:color w:val="auto"/>
              </w:rPr>
            </w:pPr>
            <w:r>
              <w:rPr>
                <w:rFonts w:ascii="Arial" w:cs="Arial" w:eastAsia="Arial" w:hAnsi="Arial"/>
                <w:sz w:val="16"/>
                <w:szCs w:val="16"/>
                <w:color w:val="auto"/>
              </w:rPr>
              <w:t>(496)</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78" w:lineRule="exact"/>
              <w:rPr>
                <w:sz w:val="20"/>
                <w:szCs w:val="20"/>
                <w:color w:val="auto"/>
              </w:rPr>
            </w:pPr>
            <w:r>
              <w:rPr>
                <w:rFonts w:ascii="Arial" w:cs="Arial" w:eastAsia="Arial" w:hAnsi="Arial"/>
                <w:sz w:val="16"/>
                <w:szCs w:val="16"/>
                <w:color w:val="auto"/>
              </w:rPr>
              <w:t>(2,816)</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(21,736)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820" w:type="dxa"/>
            <w:vAlign w:val="bottom"/>
          </w:tcPr>
          <w:p>
            <w:pPr>
              <w:spacing w:after="0" w:line="169" w:lineRule="exact"/>
              <w:rPr>
                <w:sz w:val="20"/>
                <w:szCs w:val="20"/>
                <w:color w:val="auto"/>
              </w:rPr>
            </w:pPr>
            <w:r>
              <w:rPr>
                <w:rFonts w:ascii="Arial" w:cs="Arial" w:eastAsia="Arial" w:hAnsi="Arial"/>
                <w:sz w:val="16"/>
                <w:szCs w:val="16"/>
                <w:color w:val="auto"/>
              </w:rPr>
              <w:t>Net income (loss)</w:t>
            </w: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26,050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2,728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(14,965)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(83,394)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Borders>
              <w:bottom w:val="single" w:sz="8" w:color="CFF0FC"/>
            </w:tcBorders>
            <w:shd w:val="clear" w:color="auto" w:fill="CFF0FC"/>
          </w:tcPr>
          <w:p>
            <w:pPr>
              <w:ind w:left="20"/>
              <w:spacing w:after="0" w:line="178" w:lineRule="exact"/>
              <w:rPr>
                <w:sz w:val="20"/>
                <w:szCs w:val="20"/>
                <w:color w:val="auto"/>
              </w:rPr>
            </w:pPr>
            <w:r>
              <w:rPr>
                <w:rFonts w:ascii="Arial" w:cs="Arial" w:eastAsia="Arial" w:hAnsi="Arial"/>
                <w:sz w:val="16"/>
                <w:szCs w:val="16"/>
                <w:color w:val="auto"/>
              </w:rPr>
              <w:t>Less: Net income attributable to noncontrolling interest</w:t>
            </w: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259</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442</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1,194</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1,787</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tcPr>
          <w:p>
            <w:pPr>
              <w:ind w:left="20"/>
              <w:spacing w:after="0" w:line="158" w:lineRule="exact"/>
              <w:rPr>
                <w:sz w:val="20"/>
                <w:szCs w:val="20"/>
                <w:color w:val="auto"/>
              </w:rPr>
            </w:pPr>
            <w:r>
              <w:rPr>
                <w:rFonts w:ascii="Arial" w:cs="Arial" w:eastAsia="Arial" w:hAnsi="Arial"/>
                <w:sz w:val="16"/>
                <w:szCs w:val="16"/>
                <w:color w:val="auto"/>
              </w:rPr>
              <w:t>Net income (loss) attributable to Corsair Gaming, Inc.</w:t>
            </w:r>
          </w:p>
        </w:tc>
        <w:tc>
          <w:tcPr>
            <w:tcW w:w="260" w:type="dxa"/>
            <w:vAlign w:val="bottom"/>
          </w:tcPr>
          <w:p>
            <w:pPr>
              <w:jc w:val="right"/>
              <w:ind w:right="81"/>
              <w:spacing w:after="0" w:line="158"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58" w:lineRule="exact"/>
              <w:rPr>
                <w:sz w:val="20"/>
                <w:szCs w:val="20"/>
                <w:color w:val="auto"/>
              </w:rPr>
            </w:pPr>
            <w:r>
              <w:rPr>
                <w:rFonts w:ascii="Arial" w:cs="Arial" w:eastAsia="Arial" w:hAnsi="Arial"/>
                <w:sz w:val="16"/>
                <w:szCs w:val="16"/>
                <w:color w:val="auto"/>
              </w:rPr>
              <w:t>25,791</w:t>
            </w:r>
          </w:p>
        </w:tc>
        <w:tc>
          <w:tcPr>
            <w:tcW w:w="160" w:type="dxa"/>
            <w:vAlign w:val="bottom"/>
          </w:tcPr>
          <w:p>
            <w:pPr>
              <w:spacing w:after="0"/>
              <w:rPr>
                <w:sz w:val="14"/>
                <w:szCs w:val="14"/>
                <w:color w:val="auto"/>
              </w:rPr>
            </w:pPr>
          </w:p>
        </w:tc>
        <w:tc>
          <w:tcPr>
            <w:tcW w:w="480" w:type="dxa"/>
            <w:vAlign w:val="bottom"/>
            <w:gridSpan w:val="2"/>
          </w:tcPr>
          <w:p>
            <w:pPr>
              <w:jc w:val="right"/>
              <w:ind w:right="300"/>
              <w:spacing w:after="0" w:line="158"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58" w:lineRule="exact"/>
              <w:rPr>
                <w:sz w:val="20"/>
                <w:szCs w:val="20"/>
                <w:color w:val="auto"/>
              </w:rPr>
            </w:pPr>
            <w:r>
              <w:rPr>
                <w:rFonts w:ascii="Arial" w:cs="Arial" w:eastAsia="Arial" w:hAnsi="Arial"/>
                <w:sz w:val="16"/>
                <w:szCs w:val="16"/>
                <w:color w:val="auto"/>
              </w:rPr>
              <w:t>2,286</w:t>
            </w:r>
          </w:p>
        </w:tc>
        <w:tc>
          <w:tcPr>
            <w:tcW w:w="240" w:type="dxa"/>
            <w:vAlign w:val="bottom"/>
          </w:tcPr>
          <w:p>
            <w:pPr>
              <w:spacing w:after="0"/>
              <w:rPr>
                <w:sz w:val="14"/>
                <w:szCs w:val="14"/>
                <w:color w:val="auto"/>
              </w:rPr>
            </w:pPr>
          </w:p>
        </w:tc>
        <w:tc>
          <w:tcPr>
            <w:tcW w:w="220" w:type="dxa"/>
            <w:vAlign w:val="bottom"/>
          </w:tcPr>
          <w:p>
            <w:pPr>
              <w:jc w:val="right"/>
              <w:ind w:right="67"/>
              <w:spacing w:after="0" w:line="158" w:lineRule="exact"/>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6"/>
                <w:szCs w:val="16"/>
                <w:color w:val="auto"/>
              </w:rPr>
              <w:t>(16,159)</w:t>
            </w:r>
          </w:p>
        </w:tc>
        <w:tc>
          <w:tcPr>
            <w:tcW w:w="460" w:type="dxa"/>
            <w:vAlign w:val="bottom"/>
            <w:gridSpan w:val="2"/>
          </w:tcPr>
          <w:p>
            <w:pPr>
              <w:jc w:val="right"/>
              <w:ind w:right="280"/>
              <w:spacing w:after="0" w:line="158"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line="158" w:lineRule="exact"/>
              <w:rPr>
                <w:sz w:val="20"/>
                <w:szCs w:val="20"/>
                <w:color w:val="auto"/>
              </w:rPr>
            </w:pPr>
            <w:r>
              <w:rPr>
                <w:rFonts w:ascii="Arial" w:cs="Arial" w:eastAsia="Arial" w:hAnsi="Arial"/>
                <w:sz w:val="16"/>
                <w:szCs w:val="16"/>
                <w:color w:val="auto"/>
              </w:rPr>
              <w:t>(85,181)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restart"/>
          </w:tcPr>
          <w:p>
            <w:pPr>
              <w:spacing w:after="0"/>
              <w:rPr>
                <w:sz w:val="13"/>
                <w:szCs w:val="13"/>
                <w:color w:val="auto"/>
              </w:rPr>
            </w:pPr>
          </w:p>
        </w:tc>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82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Calculation of net income (loss) per share attributable to common stockholders of</w:t>
            </w: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Corsair Gaming, Inc.:</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Net income (loss) attributable to Corsair Gaming, Inc.</w:t>
            </w:r>
          </w:p>
        </w:tc>
        <w:tc>
          <w:tcPr>
            <w:tcW w:w="260" w:type="dxa"/>
            <w:vAlign w:val="bottom"/>
          </w:tcPr>
          <w:p>
            <w:pPr>
              <w:jc w:val="right"/>
              <w:ind w:right="81"/>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25,791</w:t>
            </w:r>
          </w:p>
        </w:tc>
        <w:tc>
          <w:tcPr>
            <w:tcW w:w="160" w:type="dxa"/>
            <w:vAlign w:val="bottom"/>
          </w:tcPr>
          <w:p>
            <w:pPr>
              <w:spacing w:after="0"/>
              <w:rPr>
                <w:sz w:val="15"/>
                <w:szCs w:val="15"/>
                <w:color w:val="auto"/>
              </w:rPr>
            </w:pPr>
          </w:p>
        </w:tc>
        <w:tc>
          <w:tcPr>
            <w:tcW w:w="480" w:type="dxa"/>
            <w:vAlign w:val="bottom"/>
            <w:gridSpan w:val="2"/>
          </w:tcPr>
          <w:p>
            <w:pPr>
              <w:jc w:val="right"/>
              <w:ind w:right="300"/>
              <w:spacing w:after="0" w:line="178"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2,286</w:t>
            </w:r>
          </w:p>
        </w:tc>
        <w:tc>
          <w:tcPr>
            <w:tcW w:w="24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(16,159)</w:t>
            </w:r>
          </w:p>
        </w:tc>
        <w:tc>
          <w:tcPr>
            <w:tcW w:w="460" w:type="dxa"/>
            <w:vAlign w:val="bottom"/>
            <w:gridSpan w:val="2"/>
          </w:tcPr>
          <w:p>
            <w:pPr>
              <w:jc w:val="right"/>
              <w:ind w:right="280"/>
              <w:spacing w:after="0" w:line="178"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(85,181)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20"/>
              <w:spacing w:after="0" w:line="178" w:lineRule="exact"/>
              <w:rPr>
                <w:sz w:val="20"/>
                <w:szCs w:val="20"/>
                <w:color w:val="auto"/>
              </w:rPr>
            </w:pPr>
            <w:r>
              <w:rPr>
                <w:rFonts w:ascii="Arial" w:cs="Arial" w:eastAsia="Arial" w:hAnsi="Arial"/>
                <w:sz w:val="16"/>
                <w:szCs w:val="16"/>
                <w:color w:val="auto"/>
              </w:rPr>
              <w:t>Change in redemption value of redeemable noncontrolling interest</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(1,654)</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line="178" w:lineRule="exact"/>
              <w:rPr>
                <w:sz w:val="20"/>
                <w:szCs w:val="20"/>
                <w:color w:val="auto"/>
              </w:rPr>
            </w:pPr>
            <w:r>
              <w:rPr>
                <w:rFonts w:ascii="Arial" w:cs="Arial" w:eastAsia="Arial" w:hAnsi="Arial"/>
                <w:sz w:val="16"/>
                <w:szCs w:val="16"/>
                <w:color w:val="auto"/>
              </w:rPr>
              <w:t>(950)</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3,694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(13,994)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tcPr>
          <w:p>
            <w:pPr>
              <w:ind w:left="80"/>
              <w:spacing w:after="0" w:line="158" w:lineRule="exact"/>
              <w:rPr>
                <w:sz w:val="20"/>
                <w:szCs w:val="20"/>
                <w:color w:val="auto"/>
              </w:rPr>
            </w:pPr>
            <w:r>
              <w:rPr>
                <w:rFonts w:ascii="Arial" w:cs="Arial" w:eastAsia="Arial" w:hAnsi="Arial"/>
                <w:sz w:val="16"/>
                <w:szCs w:val="16"/>
                <w:color w:val="auto"/>
              </w:rPr>
              <w:t>Net income (loss) attributable to common stockholders of Corsair Gaming, Inc.</w:t>
            </w:r>
          </w:p>
        </w:tc>
        <w:tc>
          <w:tcPr>
            <w:tcW w:w="260" w:type="dxa"/>
            <w:vAlign w:val="bottom"/>
          </w:tcPr>
          <w:p>
            <w:pPr>
              <w:jc w:val="right"/>
              <w:ind w:right="81"/>
              <w:spacing w:after="0" w:line="158"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58" w:lineRule="exact"/>
              <w:rPr>
                <w:sz w:val="20"/>
                <w:szCs w:val="20"/>
                <w:color w:val="auto"/>
              </w:rPr>
            </w:pPr>
            <w:r>
              <w:rPr>
                <w:rFonts w:ascii="Arial" w:cs="Arial" w:eastAsia="Arial" w:hAnsi="Arial"/>
                <w:sz w:val="16"/>
                <w:szCs w:val="16"/>
                <w:color w:val="auto"/>
              </w:rPr>
              <w:t>24,137</w:t>
            </w:r>
          </w:p>
        </w:tc>
        <w:tc>
          <w:tcPr>
            <w:tcW w:w="160" w:type="dxa"/>
            <w:vAlign w:val="bottom"/>
          </w:tcPr>
          <w:p>
            <w:pPr>
              <w:spacing w:after="0"/>
              <w:rPr>
                <w:sz w:val="14"/>
                <w:szCs w:val="14"/>
                <w:color w:val="auto"/>
              </w:rPr>
            </w:pPr>
          </w:p>
        </w:tc>
        <w:tc>
          <w:tcPr>
            <w:tcW w:w="480" w:type="dxa"/>
            <w:vAlign w:val="bottom"/>
            <w:gridSpan w:val="2"/>
          </w:tcPr>
          <w:p>
            <w:pPr>
              <w:jc w:val="right"/>
              <w:ind w:right="300"/>
              <w:spacing w:after="0" w:line="158"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58" w:lineRule="exact"/>
              <w:rPr>
                <w:sz w:val="20"/>
                <w:szCs w:val="20"/>
                <w:color w:val="auto"/>
              </w:rPr>
            </w:pPr>
            <w:r>
              <w:rPr>
                <w:rFonts w:ascii="Arial" w:cs="Arial" w:eastAsia="Arial" w:hAnsi="Arial"/>
                <w:sz w:val="16"/>
                <w:szCs w:val="16"/>
                <w:color w:val="auto"/>
              </w:rPr>
              <w:t>1,336</w:t>
            </w:r>
          </w:p>
        </w:tc>
        <w:tc>
          <w:tcPr>
            <w:tcW w:w="240" w:type="dxa"/>
            <w:vAlign w:val="bottom"/>
          </w:tcPr>
          <w:p>
            <w:pPr>
              <w:spacing w:after="0"/>
              <w:rPr>
                <w:sz w:val="14"/>
                <w:szCs w:val="14"/>
                <w:color w:val="auto"/>
              </w:rPr>
            </w:pPr>
          </w:p>
        </w:tc>
        <w:tc>
          <w:tcPr>
            <w:tcW w:w="220" w:type="dxa"/>
            <w:vAlign w:val="bottom"/>
          </w:tcPr>
          <w:p>
            <w:pPr>
              <w:jc w:val="right"/>
              <w:ind w:right="67"/>
              <w:spacing w:after="0" w:line="158" w:lineRule="exact"/>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6"/>
                <w:szCs w:val="16"/>
                <w:color w:val="auto"/>
              </w:rPr>
              <w:t>(12,465)</w:t>
            </w:r>
          </w:p>
        </w:tc>
        <w:tc>
          <w:tcPr>
            <w:tcW w:w="460" w:type="dxa"/>
            <w:vAlign w:val="bottom"/>
            <w:gridSpan w:val="2"/>
          </w:tcPr>
          <w:p>
            <w:pPr>
              <w:jc w:val="right"/>
              <w:ind w:right="280"/>
              <w:spacing w:after="0" w:line="158"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line="158" w:lineRule="exact"/>
              <w:rPr>
                <w:sz w:val="20"/>
                <w:szCs w:val="20"/>
                <w:color w:val="auto"/>
              </w:rPr>
            </w:pPr>
            <w:r>
              <w:rPr>
                <w:rFonts w:ascii="Arial" w:cs="Arial" w:eastAsia="Arial" w:hAnsi="Arial"/>
                <w:sz w:val="16"/>
                <w:szCs w:val="16"/>
                <w:color w:val="auto"/>
              </w:rPr>
              <w:t>(99,175)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restart"/>
          </w:tcPr>
          <w:p>
            <w:pPr>
              <w:spacing w:after="0"/>
              <w:rPr>
                <w:sz w:val="13"/>
                <w:szCs w:val="13"/>
                <w:color w:val="auto"/>
              </w:rPr>
            </w:pPr>
          </w:p>
        </w:tc>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82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Net income (loss) per share attributable to common stockholders of Corsair</w:t>
            </w: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Gaming, Inc.:</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Basic</w:t>
            </w:r>
          </w:p>
        </w:tc>
        <w:tc>
          <w:tcPr>
            <w:tcW w:w="260" w:type="dxa"/>
            <w:vAlign w:val="bottom"/>
          </w:tcPr>
          <w:p>
            <w:pPr>
              <w:jc w:val="right"/>
              <w:ind w:right="81"/>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0.23</w:t>
            </w:r>
          </w:p>
        </w:tc>
        <w:tc>
          <w:tcPr>
            <w:tcW w:w="160" w:type="dxa"/>
            <w:vAlign w:val="bottom"/>
          </w:tcPr>
          <w:p>
            <w:pPr>
              <w:spacing w:after="0"/>
              <w:rPr>
                <w:sz w:val="15"/>
                <w:szCs w:val="15"/>
                <w:color w:val="auto"/>
              </w:rPr>
            </w:pPr>
          </w:p>
        </w:tc>
        <w:tc>
          <w:tcPr>
            <w:tcW w:w="480" w:type="dxa"/>
            <w:vAlign w:val="bottom"/>
            <w:gridSpan w:val="2"/>
          </w:tcPr>
          <w:p>
            <w:pPr>
              <w:jc w:val="right"/>
              <w:ind w:right="300"/>
              <w:spacing w:after="0" w:line="178"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0.01</w:t>
            </w:r>
          </w:p>
        </w:tc>
        <w:tc>
          <w:tcPr>
            <w:tcW w:w="24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(0.12)</w:t>
            </w:r>
          </w:p>
        </w:tc>
        <w:tc>
          <w:tcPr>
            <w:tcW w:w="460" w:type="dxa"/>
            <w:vAlign w:val="bottom"/>
            <w:gridSpan w:val="2"/>
          </w:tcPr>
          <w:p>
            <w:pPr>
              <w:jc w:val="right"/>
              <w:ind w:right="280"/>
              <w:spacing w:after="0" w:line="178"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20"/>
              <w:spacing w:after="0" w:line="178" w:lineRule="exact"/>
              <w:rPr>
                <w:sz w:val="20"/>
                <w:szCs w:val="20"/>
                <w:color w:val="auto"/>
              </w:rPr>
            </w:pPr>
            <w:r>
              <w:rPr>
                <w:rFonts w:ascii="Arial" w:cs="Arial" w:eastAsia="Arial" w:hAnsi="Arial"/>
                <w:sz w:val="16"/>
                <w:szCs w:val="16"/>
                <w:color w:val="auto"/>
              </w:rPr>
              <w:t>Diluted</w:t>
            </w:r>
          </w:p>
        </w:tc>
        <w:tc>
          <w:tcPr>
            <w:tcW w:w="260" w:type="dxa"/>
            <w:vAlign w:val="bottom"/>
            <w:shd w:val="clear" w:color="auto" w:fill="CFF0FC"/>
          </w:tcPr>
          <w:p>
            <w:pPr>
              <w:jc w:val="right"/>
              <w:ind w:right="81"/>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0.22</w:t>
            </w:r>
          </w:p>
        </w:tc>
        <w:tc>
          <w:tcPr>
            <w:tcW w:w="1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300"/>
              <w:spacing w:after="0" w:line="178"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0.01</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80"/>
              <w:spacing w:after="0" w:line="178" w:lineRule="exact"/>
              <w:rPr>
                <w:sz w:val="20"/>
                <w:szCs w:val="20"/>
                <w:color w:val="auto"/>
              </w:rPr>
            </w:pPr>
            <w:r>
              <w:rPr>
                <w:rFonts w:ascii="Arial" w:cs="Arial" w:eastAsia="Arial" w:hAnsi="Arial"/>
                <w:sz w:val="16"/>
                <w:szCs w:val="16"/>
                <w:color w:val="auto"/>
              </w:rPr>
              <w:t>(0.12)</w:t>
            </w:r>
          </w:p>
        </w:tc>
        <w:tc>
          <w:tcPr>
            <w:tcW w:w="460" w:type="dxa"/>
            <w:vAlign w:val="bottom"/>
            <w:gridSpan w:val="2"/>
            <w:shd w:val="clear" w:color="auto" w:fill="CFF0FC"/>
          </w:tcPr>
          <w:p>
            <w:pPr>
              <w:jc w:val="right"/>
              <w:ind w:right="280"/>
              <w:spacing w:after="0" w:line="178"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Weighted-average common shares outstanding:</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20"/>
              <w:spacing w:after="0" w:line="178" w:lineRule="exact"/>
              <w:rPr>
                <w:sz w:val="20"/>
                <w:szCs w:val="20"/>
                <w:color w:val="auto"/>
              </w:rPr>
            </w:pPr>
            <w:r>
              <w:rPr>
                <w:rFonts w:ascii="Arial" w:cs="Arial" w:eastAsia="Arial" w:hAnsi="Arial"/>
                <w:sz w:val="16"/>
                <w:szCs w:val="16"/>
                <w:color w:val="auto"/>
              </w:rPr>
              <w:t>Basic</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106,603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104,731</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106,005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104,164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20" w:type="dxa"/>
            <w:vAlign w:val="bottom"/>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107,800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105,943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106,005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104,164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9"/>
        </w:trPr>
        <w:tc>
          <w:tcPr>
            <w:tcW w:w="20" w:type="dxa"/>
            <w:vAlign w:val="bottom"/>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-3679190</wp:posOffset>
            </wp:positionV>
            <wp:extent cx="7493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-3679190</wp:posOffset>
            </wp:positionV>
            <wp:extent cx="749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-3679190</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-3679190</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-2988310</wp:posOffset>
            </wp:positionV>
            <wp:extent cx="749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-2988310</wp:posOffset>
            </wp:positionV>
            <wp:extent cx="749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-2988310</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-2988310</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-2755265</wp:posOffset>
            </wp:positionV>
            <wp:extent cx="749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-2755265</wp:posOffset>
            </wp:positionV>
            <wp:extent cx="7493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-2755265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-2755265</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-2522855</wp:posOffset>
            </wp:positionV>
            <wp:extent cx="749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-2522855</wp:posOffset>
            </wp:positionV>
            <wp:extent cx="749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-2522855</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-2522855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-1816735</wp:posOffset>
            </wp:positionV>
            <wp:extent cx="749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-1816735</wp:posOffset>
            </wp:positionV>
            <wp:extent cx="7493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-1816735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-1816735</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124" w:right="319" w:bottom="1440" w:gutter="0" w:footer="0" w:header="0"/>
        </w:sectPr>
      </w:pPr>
    </w:p>
    <w:bookmarkStart w:id="10" w:name="page11"/>
    <w:bookmarkEnd w:id="10"/>
    <w:p>
      <w:pPr>
        <w:ind w:left="4780"/>
        <w:spacing w:after="0"/>
        <w:rPr>
          <w:sz w:val="20"/>
          <w:szCs w:val="20"/>
          <w:color w:val="auto"/>
        </w:rPr>
      </w:pPr>
      <w:r>
        <w:rPr>
          <w:rFonts w:ascii="Arial" w:cs="Arial" w:eastAsia="Arial" w:hAnsi="Arial"/>
          <w:sz w:val="17"/>
          <w:szCs w:val="17"/>
          <w:b w:val="1"/>
          <w:bCs w:val="1"/>
          <w:color w:val="auto"/>
        </w:rPr>
        <w:t>Corsair Gaming, Inc.</w:t>
      </w:r>
    </w:p>
    <w:p>
      <w:pPr>
        <w:spacing w:after="0" w:line="8"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Segment Information</w:t>
      </w:r>
    </w:p>
    <w:p>
      <w:pPr>
        <w:jc w:val="center"/>
        <w:ind w:right="20"/>
        <w:spacing w:after="0"/>
        <w:rPr>
          <w:sz w:val="20"/>
          <w:szCs w:val="20"/>
          <w:color w:val="auto"/>
        </w:rPr>
      </w:pPr>
      <w:r>
        <w:rPr>
          <w:rFonts w:ascii="Arial" w:cs="Arial" w:eastAsia="Arial" w:hAnsi="Arial"/>
          <w:sz w:val="16"/>
          <w:szCs w:val="16"/>
          <w:color w:val="auto"/>
        </w:rPr>
        <w:t>(Unaudited, in thousands, except percentages)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401"/>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Years Ended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w w:val="89"/>
              </w:rPr>
              <w:t>2024</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w w:val="95"/>
              </w:rPr>
              <w:t>2024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74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Net revenue:</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40" w:type="dxa"/>
            <w:vAlign w:val="bottom"/>
          </w:tcPr>
          <w:p>
            <w:pPr>
              <w:spacing w:after="0" w:line="178" w:lineRule="exact"/>
              <w:rPr>
                <w:sz w:val="20"/>
                <w:szCs w:val="20"/>
                <w:color w:val="auto"/>
              </w:rPr>
            </w:pPr>
            <w:r>
              <w:rPr>
                <w:rFonts w:ascii="Arial" w:cs="Arial" w:eastAsia="Arial" w:hAnsi="Arial"/>
                <w:sz w:val="16"/>
                <w:szCs w:val="16"/>
                <w:color w:val="auto"/>
              </w:rPr>
              <w:t>Gamer and Creator Peripherals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164,862</w:t>
            </w:r>
          </w:p>
        </w:tc>
        <w:tc>
          <w:tcPr>
            <w:tcW w:w="660" w:type="dxa"/>
            <w:vAlign w:val="bottom"/>
            <w:gridSpan w:val="2"/>
          </w:tcPr>
          <w:p>
            <w:pPr>
              <w:jc w:val="right"/>
              <w:ind w:right="300"/>
              <w:spacing w:after="0" w:line="178"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78" w:lineRule="exact"/>
              <w:rPr>
                <w:sz w:val="20"/>
                <w:szCs w:val="20"/>
                <w:color w:val="auto"/>
              </w:rPr>
            </w:pPr>
            <w:r>
              <w:rPr>
                <w:rFonts w:ascii="Arial" w:cs="Arial" w:eastAsia="Arial" w:hAnsi="Arial"/>
                <w:sz w:val="16"/>
                <w:szCs w:val="16"/>
                <w:color w:val="auto"/>
              </w:rPr>
              <w:t>169,561</w:t>
            </w:r>
          </w:p>
        </w:tc>
        <w:tc>
          <w:tcPr>
            <w:tcW w:w="52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492,137</w:t>
            </w:r>
          </w:p>
        </w:tc>
        <w:tc>
          <w:tcPr>
            <w:tcW w:w="640" w:type="dxa"/>
            <w:vAlign w:val="bottom"/>
            <w:gridSpan w:val="2"/>
          </w:tcPr>
          <w:p>
            <w:pPr>
              <w:jc w:val="right"/>
              <w:ind w:right="280"/>
              <w:spacing w:after="0" w:line="178"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472,729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40" w:type="dxa"/>
            <w:vAlign w:val="bottom"/>
            <w:tcBorders>
              <w:bottom w:val="single" w:sz="8" w:color="CFF0FC"/>
            </w:tcBorders>
            <w:shd w:val="clear" w:color="auto" w:fill="CFF0FC"/>
          </w:tcPr>
          <w:p>
            <w:pPr>
              <w:spacing w:after="0" w:line="178" w:lineRule="exact"/>
              <w:rPr>
                <w:sz w:val="20"/>
                <w:szCs w:val="20"/>
                <w:color w:val="auto"/>
              </w:rPr>
            </w:pPr>
            <w:r>
              <w:rPr>
                <w:rFonts w:ascii="Arial" w:cs="Arial" w:eastAsia="Arial" w:hAnsi="Arial"/>
                <w:sz w:val="16"/>
                <w:szCs w:val="16"/>
                <w:color w:val="auto"/>
              </w:rPr>
              <w:t>Gaming Components and Systems</w:t>
            </w:r>
          </w:p>
        </w:tc>
        <w:tc>
          <w:tcPr>
            <w:tcW w:w="2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271,993</w:t>
            </w:r>
          </w:p>
        </w:tc>
        <w:tc>
          <w:tcPr>
            <w:tcW w:w="26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244,062</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980,343</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843,650</w:t>
            </w: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40" w:type="dxa"/>
            <w:vAlign w:val="bottom"/>
          </w:tcPr>
          <w:p>
            <w:pPr>
              <w:ind w:left="20"/>
              <w:spacing w:after="0" w:line="169" w:lineRule="exact"/>
              <w:rPr>
                <w:sz w:val="20"/>
                <w:szCs w:val="20"/>
                <w:color w:val="auto"/>
              </w:rPr>
            </w:pPr>
            <w:r>
              <w:rPr>
                <w:rFonts w:ascii="Arial" w:cs="Arial" w:eastAsia="Arial" w:hAnsi="Arial"/>
                <w:sz w:val="16"/>
                <w:szCs w:val="16"/>
                <w:color w:val="auto"/>
              </w:rPr>
              <w:t>Total Net revenue</w:t>
            </w:r>
          </w:p>
        </w:tc>
        <w:tc>
          <w:tcPr>
            <w:tcW w:w="220" w:type="dxa"/>
            <w:vAlign w:val="bottom"/>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436,855</w:t>
            </w:r>
          </w:p>
        </w:tc>
        <w:tc>
          <w:tcPr>
            <w:tcW w:w="660" w:type="dxa"/>
            <w:vAlign w:val="bottom"/>
            <w:gridSpan w:val="2"/>
          </w:tcPr>
          <w:p>
            <w:pPr>
              <w:jc w:val="right"/>
              <w:ind w:right="300"/>
              <w:spacing w:after="0" w:line="169"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6"/>
                <w:szCs w:val="16"/>
                <w:color w:val="auto"/>
              </w:rPr>
              <w:t>413,623</w:t>
            </w:r>
          </w:p>
        </w:tc>
        <w:tc>
          <w:tcPr>
            <w:tcW w:w="52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1,472,480</w:t>
            </w:r>
          </w:p>
        </w:tc>
        <w:tc>
          <w:tcPr>
            <w:tcW w:w="64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1,316,379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restart"/>
          </w:tcPr>
          <w:p>
            <w:pPr>
              <w:spacing w:after="0"/>
              <w:rPr>
                <w:sz w:val="13"/>
                <w:szCs w:val="13"/>
                <w:color w:val="auto"/>
              </w:rPr>
            </w:pPr>
          </w:p>
        </w:tc>
        <w:tc>
          <w:tcPr>
            <w:tcW w:w="5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74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Gross Profit:</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40" w:type="dxa"/>
            <w:vAlign w:val="bottom"/>
          </w:tcPr>
          <w:p>
            <w:pPr>
              <w:spacing w:after="0" w:line="178" w:lineRule="exact"/>
              <w:rPr>
                <w:sz w:val="20"/>
                <w:szCs w:val="20"/>
                <w:color w:val="auto"/>
              </w:rPr>
            </w:pPr>
            <w:r>
              <w:rPr>
                <w:rFonts w:ascii="Arial" w:cs="Arial" w:eastAsia="Arial" w:hAnsi="Arial"/>
                <w:sz w:val="16"/>
                <w:szCs w:val="16"/>
                <w:color w:val="auto"/>
              </w:rPr>
              <w:t>Gamer and Creator Peripherals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62,321</w:t>
            </w:r>
          </w:p>
        </w:tc>
        <w:tc>
          <w:tcPr>
            <w:tcW w:w="660" w:type="dxa"/>
            <w:vAlign w:val="bottom"/>
            <w:gridSpan w:val="2"/>
          </w:tcPr>
          <w:p>
            <w:pPr>
              <w:jc w:val="right"/>
              <w:ind w:right="300"/>
              <w:spacing w:after="0" w:line="178"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78" w:lineRule="exact"/>
              <w:rPr>
                <w:sz w:val="20"/>
                <w:szCs w:val="20"/>
                <w:color w:val="auto"/>
              </w:rPr>
            </w:pPr>
            <w:r>
              <w:rPr>
                <w:rFonts w:ascii="Arial" w:cs="Arial" w:eastAsia="Arial" w:hAnsi="Arial"/>
                <w:sz w:val="16"/>
                <w:szCs w:val="16"/>
                <w:color w:val="auto"/>
              </w:rPr>
              <w:t>63,919</w:t>
            </w:r>
          </w:p>
        </w:tc>
        <w:tc>
          <w:tcPr>
            <w:tcW w:w="52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194,116</w:t>
            </w:r>
          </w:p>
        </w:tc>
        <w:tc>
          <w:tcPr>
            <w:tcW w:w="640" w:type="dxa"/>
            <w:vAlign w:val="bottom"/>
            <w:gridSpan w:val="2"/>
          </w:tcPr>
          <w:p>
            <w:pPr>
              <w:jc w:val="right"/>
              <w:ind w:right="280"/>
              <w:spacing w:after="0" w:line="178"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182,293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40" w:type="dxa"/>
            <w:vAlign w:val="bottom"/>
            <w:tcBorders>
              <w:bottom w:val="single" w:sz="8" w:color="CFF0FC"/>
            </w:tcBorders>
            <w:shd w:val="clear" w:color="auto" w:fill="CFF0FC"/>
          </w:tcPr>
          <w:p>
            <w:pPr>
              <w:spacing w:after="0" w:line="178" w:lineRule="exact"/>
              <w:rPr>
                <w:sz w:val="20"/>
                <w:szCs w:val="20"/>
                <w:color w:val="auto"/>
              </w:rPr>
            </w:pPr>
            <w:r>
              <w:rPr>
                <w:rFonts w:ascii="Arial" w:cs="Arial" w:eastAsia="Arial" w:hAnsi="Arial"/>
                <w:sz w:val="16"/>
                <w:szCs w:val="16"/>
                <w:color w:val="auto"/>
              </w:rPr>
              <w:t>Gaming Components and Systems</w:t>
            </w:r>
          </w:p>
        </w:tc>
        <w:tc>
          <w:tcPr>
            <w:tcW w:w="2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82,233</w:t>
            </w:r>
          </w:p>
        </w:tc>
        <w:tc>
          <w:tcPr>
            <w:tcW w:w="26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44,293</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231,767</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145,304</w:t>
            </w: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40" w:type="dxa"/>
            <w:vAlign w:val="bottom"/>
          </w:tcPr>
          <w:p>
            <w:pPr>
              <w:ind w:left="20"/>
              <w:spacing w:after="0" w:line="169" w:lineRule="exact"/>
              <w:rPr>
                <w:sz w:val="20"/>
                <w:szCs w:val="20"/>
                <w:color w:val="auto"/>
              </w:rPr>
            </w:pPr>
            <w:r>
              <w:rPr>
                <w:rFonts w:ascii="Arial" w:cs="Arial" w:eastAsia="Arial" w:hAnsi="Arial"/>
                <w:sz w:val="16"/>
                <w:szCs w:val="16"/>
                <w:color w:val="auto"/>
              </w:rPr>
              <w:t>Total Gross Profit</w:t>
            </w:r>
          </w:p>
        </w:tc>
        <w:tc>
          <w:tcPr>
            <w:tcW w:w="220" w:type="dxa"/>
            <w:vAlign w:val="bottom"/>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144,554</w:t>
            </w:r>
          </w:p>
        </w:tc>
        <w:tc>
          <w:tcPr>
            <w:tcW w:w="660" w:type="dxa"/>
            <w:vAlign w:val="bottom"/>
            <w:gridSpan w:val="2"/>
          </w:tcPr>
          <w:p>
            <w:pPr>
              <w:jc w:val="right"/>
              <w:ind w:right="300"/>
              <w:spacing w:after="0" w:line="169"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6"/>
                <w:szCs w:val="16"/>
                <w:color w:val="auto"/>
              </w:rPr>
              <w:t>108,212</w:t>
            </w:r>
          </w:p>
        </w:tc>
        <w:tc>
          <w:tcPr>
            <w:tcW w:w="52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425,883</w:t>
            </w:r>
          </w:p>
        </w:tc>
        <w:tc>
          <w:tcPr>
            <w:tcW w:w="64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327,597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4367530</wp:posOffset>
            </wp:positionH>
            <wp:positionV relativeFrom="paragraph">
              <wp:posOffset>-735330</wp:posOffset>
            </wp:positionV>
            <wp:extent cx="9779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-735330</wp:posOffset>
            </wp:positionV>
            <wp:extent cx="9779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-735330</wp:posOffset>
            </wp:positionV>
            <wp:extent cx="9779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7048500</wp:posOffset>
            </wp:positionH>
            <wp:positionV relativeFrom="paragraph">
              <wp:posOffset>-735330</wp:posOffset>
            </wp:positionV>
            <wp:extent cx="9779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4367530</wp:posOffset>
            </wp:positionH>
            <wp:positionV relativeFrom="paragraph">
              <wp:posOffset>-142240</wp:posOffset>
            </wp:positionV>
            <wp:extent cx="9779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-142240</wp:posOffset>
            </wp:positionV>
            <wp:extent cx="9779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-142240</wp:posOffset>
            </wp:positionV>
            <wp:extent cx="9779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7048500</wp:posOffset>
            </wp:positionH>
            <wp:positionV relativeFrom="paragraph">
              <wp:posOffset>-142240</wp:posOffset>
            </wp:positionV>
            <wp:extent cx="9779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7790" cy="762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Gross Margin:</w:t>
            </w:r>
          </w:p>
        </w:tc>
        <w:tc>
          <w:tcPr>
            <w:tcW w:w="30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177"/>
        </w:trPr>
        <w:tc>
          <w:tcPr>
            <w:tcW w:w="4500" w:type="dxa"/>
            <w:vAlign w:val="bottom"/>
          </w:tcPr>
          <w:p>
            <w:pPr>
              <w:spacing w:after="0" w:line="178" w:lineRule="exact"/>
              <w:rPr>
                <w:sz w:val="20"/>
                <w:szCs w:val="20"/>
                <w:color w:val="auto"/>
              </w:rPr>
            </w:pPr>
            <w:r>
              <w:rPr>
                <w:rFonts w:ascii="Arial" w:cs="Arial" w:eastAsia="Arial" w:hAnsi="Arial"/>
                <w:sz w:val="16"/>
                <w:szCs w:val="16"/>
                <w:color w:val="auto"/>
              </w:rPr>
              <w:t>Gamer and Creator Peripherals</w:t>
            </w:r>
          </w:p>
        </w:tc>
        <w:tc>
          <w:tcPr>
            <w:tcW w:w="3000" w:type="dxa"/>
            <w:vAlign w:val="bottom"/>
          </w:tcPr>
          <w:p>
            <w:pPr>
              <w:jc w:val="right"/>
              <w:ind w:right="401"/>
              <w:spacing w:after="0" w:line="178" w:lineRule="exact"/>
              <w:rPr>
                <w:sz w:val="20"/>
                <w:szCs w:val="20"/>
                <w:color w:val="auto"/>
              </w:rPr>
            </w:pPr>
            <w:r>
              <w:rPr>
                <w:rFonts w:ascii="Arial" w:cs="Arial" w:eastAsia="Arial" w:hAnsi="Arial"/>
                <w:sz w:val="16"/>
                <w:szCs w:val="16"/>
                <w:color w:val="auto"/>
              </w:rPr>
              <w:t>37.8%</w:t>
            </w:r>
          </w:p>
        </w:tc>
        <w:tc>
          <w:tcPr>
            <w:tcW w:w="1400" w:type="dxa"/>
            <w:vAlign w:val="bottom"/>
          </w:tcPr>
          <w:p>
            <w:pPr>
              <w:jc w:val="right"/>
              <w:ind w:right="401"/>
              <w:spacing w:after="0" w:line="178" w:lineRule="exact"/>
              <w:rPr>
                <w:sz w:val="20"/>
                <w:szCs w:val="20"/>
                <w:color w:val="auto"/>
              </w:rPr>
            </w:pPr>
            <w:r>
              <w:rPr>
                <w:rFonts w:ascii="Arial" w:cs="Arial" w:eastAsia="Arial" w:hAnsi="Arial"/>
                <w:sz w:val="16"/>
                <w:szCs w:val="16"/>
                <w:color w:val="auto"/>
              </w:rPr>
              <w:t>37.7%</w:t>
            </w:r>
          </w:p>
        </w:tc>
        <w:tc>
          <w:tcPr>
            <w:tcW w:w="1400" w:type="dxa"/>
            <w:vAlign w:val="bottom"/>
          </w:tcPr>
          <w:p>
            <w:pPr>
              <w:jc w:val="right"/>
              <w:ind w:right="381"/>
              <w:spacing w:after="0" w:line="178" w:lineRule="exact"/>
              <w:rPr>
                <w:sz w:val="20"/>
                <w:szCs w:val="20"/>
                <w:color w:val="auto"/>
              </w:rPr>
            </w:pPr>
            <w:r>
              <w:rPr>
                <w:rFonts w:ascii="Arial" w:cs="Arial" w:eastAsia="Arial" w:hAnsi="Arial"/>
                <w:sz w:val="16"/>
                <w:szCs w:val="16"/>
                <w:color w:val="auto"/>
              </w:rPr>
              <w:t>39.4%</w:t>
            </w: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38.6%</w:t>
            </w:r>
          </w:p>
        </w:tc>
      </w:tr>
      <w:tr>
        <w:trPr>
          <w:trHeight w:val="177"/>
        </w:trPr>
        <w:tc>
          <w:tcPr>
            <w:tcW w:w="450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Gaming Components and Systems</w:t>
            </w:r>
          </w:p>
        </w:tc>
        <w:tc>
          <w:tcPr>
            <w:tcW w:w="3000" w:type="dxa"/>
            <w:vAlign w:val="bottom"/>
            <w:shd w:val="clear" w:color="auto" w:fill="CFF0FC"/>
          </w:tcPr>
          <w:p>
            <w:pPr>
              <w:jc w:val="right"/>
              <w:ind w:right="401"/>
              <w:spacing w:after="0" w:line="178" w:lineRule="exact"/>
              <w:rPr>
                <w:sz w:val="20"/>
                <w:szCs w:val="20"/>
                <w:color w:val="auto"/>
              </w:rPr>
            </w:pPr>
            <w:r>
              <w:rPr>
                <w:rFonts w:ascii="Arial" w:cs="Arial" w:eastAsia="Arial" w:hAnsi="Arial"/>
                <w:sz w:val="16"/>
                <w:szCs w:val="16"/>
                <w:color w:val="auto"/>
              </w:rPr>
              <w:t>30.2%</w:t>
            </w:r>
          </w:p>
        </w:tc>
        <w:tc>
          <w:tcPr>
            <w:tcW w:w="1400" w:type="dxa"/>
            <w:vAlign w:val="bottom"/>
            <w:shd w:val="clear" w:color="auto" w:fill="CFF0FC"/>
          </w:tcPr>
          <w:p>
            <w:pPr>
              <w:jc w:val="right"/>
              <w:ind w:right="401"/>
              <w:spacing w:after="0" w:line="178" w:lineRule="exact"/>
              <w:rPr>
                <w:sz w:val="20"/>
                <w:szCs w:val="20"/>
                <w:color w:val="auto"/>
              </w:rPr>
            </w:pPr>
            <w:r>
              <w:rPr>
                <w:rFonts w:ascii="Arial" w:cs="Arial" w:eastAsia="Arial" w:hAnsi="Arial"/>
                <w:sz w:val="16"/>
                <w:szCs w:val="16"/>
                <w:color w:val="auto"/>
              </w:rPr>
              <w:t>18.1%</w:t>
            </w:r>
          </w:p>
        </w:tc>
        <w:tc>
          <w:tcPr>
            <w:tcW w:w="1400" w:type="dxa"/>
            <w:vAlign w:val="bottom"/>
            <w:shd w:val="clear" w:color="auto" w:fill="CFF0FC"/>
          </w:tcPr>
          <w:p>
            <w:pPr>
              <w:jc w:val="right"/>
              <w:ind w:right="381"/>
              <w:spacing w:after="0" w:line="178" w:lineRule="exact"/>
              <w:rPr>
                <w:sz w:val="20"/>
                <w:szCs w:val="20"/>
                <w:color w:val="auto"/>
              </w:rPr>
            </w:pPr>
            <w:r>
              <w:rPr>
                <w:rFonts w:ascii="Arial" w:cs="Arial" w:eastAsia="Arial" w:hAnsi="Arial"/>
                <w:sz w:val="16"/>
                <w:szCs w:val="16"/>
                <w:color w:val="auto"/>
              </w:rPr>
              <w:t>23.6%</w:t>
            </w: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17.2%</w:t>
            </w:r>
          </w:p>
        </w:tc>
      </w:tr>
      <w:tr>
        <w:trPr>
          <w:trHeight w:val="207"/>
        </w:trPr>
        <w:tc>
          <w:tcPr>
            <w:tcW w:w="4500" w:type="dxa"/>
            <w:vAlign w:val="bottom"/>
          </w:tcPr>
          <w:p>
            <w:pPr>
              <w:ind w:left="40"/>
              <w:spacing w:after="0"/>
              <w:rPr>
                <w:sz w:val="20"/>
                <w:szCs w:val="20"/>
                <w:color w:val="auto"/>
              </w:rPr>
            </w:pPr>
            <w:r>
              <w:rPr>
                <w:rFonts w:ascii="Arial" w:cs="Arial" w:eastAsia="Arial" w:hAnsi="Arial"/>
                <w:sz w:val="16"/>
                <w:szCs w:val="16"/>
                <w:color w:val="auto"/>
              </w:rPr>
              <w:t>Total Gross Margin</w:t>
            </w:r>
          </w:p>
        </w:tc>
        <w:tc>
          <w:tcPr>
            <w:tcW w:w="3000" w:type="dxa"/>
            <w:vAlign w:val="bottom"/>
          </w:tcPr>
          <w:p>
            <w:pPr>
              <w:jc w:val="right"/>
              <w:ind w:right="401"/>
              <w:spacing w:after="0"/>
              <w:rPr>
                <w:sz w:val="20"/>
                <w:szCs w:val="20"/>
                <w:color w:val="auto"/>
              </w:rPr>
            </w:pPr>
            <w:r>
              <w:rPr>
                <w:rFonts w:ascii="Arial" w:cs="Arial" w:eastAsia="Arial" w:hAnsi="Arial"/>
                <w:sz w:val="16"/>
                <w:szCs w:val="16"/>
                <w:color w:val="auto"/>
              </w:rPr>
              <w:t>33.1%</w:t>
            </w:r>
          </w:p>
        </w:tc>
        <w:tc>
          <w:tcPr>
            <w:tcW w:w="1400" w:type="dxa"/>
            <w:vAlign w:val="bottom"/>
          </w:tcPr>
          <w:p>
            <w:pPr>
              <w:jc w:val="right"/>
              <w:ind w:right="401"/>
              <w:spacing w:after="0"/>
              <w:rPr>
                <w:sz w:val="20"/>
                <w:szCs w:val="20"/>
                <w:color w:val="auto"/>
              </w:rPr>
            </w:pPr>
            <w:r>
              <w:rPr>
                <w:rFonts w:ascii="Arial" w:cs="Arial" w:eastAsia="Arial" w:hAnsi="Arial"/>
                <w:sz w:val="16"/>
                <w:szCs w:val="16"/>
                <w:color w:val="auto"/>
              </w:rPr>
              <w:t>26.2%</w:t>
            </w:r>
          </w:p>
        </w:tc>
        <w:tc>
          <w:tcPr>
            <w:tcW w:w="1400" w:type="dxa"/>
            <w:vAlign w:val="bottom"/>
          </w:tcPr>
          <w:p>
            <w:pPr>
              <w:jc w:val="right"/>
              <w:ind w:right="381"/>
              <w:spacing w:after="0"/>
              <w:rPr>
                <w:sz w:val="20"/>
                <w:szCs w:val="20"/>
                <w:color w:val="auto"/>
              </w:rPr>
            </w:pPr>
            <w:r>
              <w:rPr>
                <w:rFonts w:ascii="Arial" w:cs="Arial" w:eastAsia="Arial" w:hAnsi="Arial"/>
                <w:sz w:val="16"/>
                <w:szCs w:val="16"/>
                <w:color w:val="auto"/>
              </w:rPr>
              <w:t>28.9%</w:t>
            </w:r>
          </w:p>
        </w:tc>
        <w:tc>
          <w:tcPr>
            <w:tcW w:w="96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1169"/>
        </w:trPr>
        <w:tc>
          <w:tcPr>
            <w:tcW w:w="45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29" w:right="3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7"/>
          <w:szCs w:val="17"/>
          <w:b w:val="1"/>
          <w:bCs w:val="1"/>
          <w:color w:val="auto"/>
        </w:rPr>
        <w:t>Corsair Gaming,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Balance Sheets</w:t>
      </w:r>
    </w:p>
    <w:p>
      <w:pPr>
        <w:jc w:val="center"/>
        <w:ind w:right="20"/>
        <w:spacing w:after="0"/>
        <w:rPr>
          <w:sz w:val="20"/>
          <w:szCs w:val="20"/>
          <w:color w:val="auto"/>
        </w:rPr>
      </w:pPr>
      <w:r>
        <w:rPr>
          <w:rFonts w:ascii="Arial" w:cs="Arial" w:eastAsia="Arial" w:hAnsi="Arial"/>
          <w:sz w:val="16"/>
          <w:szCs w:val="16"/>
          <w:color w:val="auto"/>
        </w:rPr>
        <w:t>(Unaudited,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774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Pr>
          <w:p>
            <w:pPr>
              <w:ind w:left="40"/>
              <w:spacing w:after="0" w:line="178" w:lineRule="exact"/>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shd w:val="clear" w:color="auto" w:fill="CFF0FC"/>
          </w:tcPr>
          <w:p>
            <w:pPr>
              <w:ind w:left="120"/>
              <w:spacing w:after="0" w:line="178" w:lineRule="exact"/>
              <w:rPr>
                <w:sz w:val="20"/>
                <w:szCs w:val="20"/>
                <w:color w:val="auto"/>
              </w:rPr>
            </w:pPr>
            <w:r>
              <w:rPr>
                <w:rFonts w:ascii="Arial" w:cs="Arial" w:eastAsia="Arial" w:hAnsi="Arial"/>
                <w:sz w:val="16"/>
                <w:szCs w:val="16"/>
                <w:color w:val="auto"/>
              </w:rPr>
              <w:t>Cash and restricted cash</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98,583</w:t>
            </w:r>
          </w:p>
        </w:tc>
        <w:tc>
          <w:tcPr>
            <w:tcW w:w="1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20"/>
              <w:spacing w:after="0" w:line="178"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109,385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Pr>
          <w:p>
            <w:pPr>
              <w:ind w:left="120"/>
              <w:spacing w:after="0" w:line="178" w:lineRule="exact"/>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5"/>
                <w:szCs w:val="15"/>
                <w:color w:val="auto"/>
              </w:rPr>
            </w:pPr>
          </w:p>
        </w:tc>
        <w:tc>
          <w:tcPr>
            <w:tcW w:w="1360" w:type="dxa"/>
            <w:vAlign w:val="bottom"/>
          </w:tcPr>
          <w:p>
            <w:pPr>
              <w:jc w:val="right"/>
              <w:spacing w:after="0" w:line="178" w:lineRule="exact"/>
              <w:rPr>
                <w:sz w:val="20"/>
                <w:szCs w:val="20"/>
                <w:color w:val="auto"/>
              </w:rPr>
            </w:pPr>
            <w:r>
              <w:rPr>
                <w:rFonts w:ascii="Arial" w:cs="Arial" w:eastAsia="Arial" w:hAnsi="Arial"/>
                <w:sz w:val="16"/>
                <w:szCs w:val="16"/>
                <w:color w:val="auto"/>
              </w:rPr>
              <w:t>233,900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line="178" w:lineRule="exact"/>
              <w:rPr>
                <w:sz w:val="20"/>
                <w:szCs w:val="20"/>
                <w:color w:val="auto"/>
              </w:rPr>
            </w:pPr>
            <w:r>
              <w:rPr>
                <w:rFonts w:ascii="Arial" w:cs="Arial" w:eastAsia="Arial" w:hAnsi="Arial"/>
                <w:sz w:val="16"/>
                <w:szCs w:val="16"/>
                <w:color w:val="auto"/>
              </w:rPr>
              <w:t>218,648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shd w:val="clear" w:color="auto" w:fill="CFF0FC"/>
          </w:tcPr>
          <w:p>
            <w:pPr>
              <w:ind w:left="120"/>
              <w:spacing w:after="0" w:line="178" w:lineRule="exact"/>
              <w:rPr>
                <w:sz w:val="20"/>
                <w:szCs w:val="20"/>
                <w:color w:val="auto"/>
              </w:rPr>
            </w:pPr>
            <w:r>
              <w:rPr>
                <w:rFonts w:ascii="Arial" w:cs="Arial" w:eastAsia="Arial" w:hAnsi="Arial"/>
                <w:sz w:val="16"/>
                <w:szCs w:val="16"/>
                <w:color w:val="auto"/>
              </w:rPr>
              <w:t>Inventories</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303,336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259,979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Pr>
          <w:p>
            <w:pPr>
              <w:ind w:left="120"/>
              <w:spacing w:after="0" w:line="178" w:lineRule="exact"/>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29,639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35,376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40" w:type="dxa"/>
            <w:vAlign w:val="bottom"/>
            <w:shd w:val="clear" w:color="auto" w:fill="CFF0FC"/>
          </w:tcPr>
          <w:p>
            <w:pPr>
              <w:ind w:left="40"/>
              <w:spacing w:after="0" w:line="169" w:lineRule="exact"/>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665,458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623,388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Pr>
          <w:p>
            <w:pPr>
              <w:ind w:left="40"/>
              <w:spacing w:after="0" w:line="178" w:lineRule="exact"/>
              <w:rPr>
                <w:sz w:val="20"/>
                <w:szCs w:val="20"/>
                <w:color w:val="auto"/>
              </w:rPr>
            </w:pPr>
            <w:r>
              <w:rPr>
                <w:rFonts w:ascii="Arial" w:cs="Arial" w:eastAsia="Arial" w:hAnsi="Arial"/>
                <w:sz w:val="16"/>
                <w:szCs w:val="16"/>
                <w:color w:val="auto"/>
              </w:rPr>
              <w:t>Restricted cash, noncurrent</w:t>
            </w:r>
          </w:p>
        </w:tc>
        <w:tc>
          <w:tcPr>
            <w:tcW w:w="200" w:type="dxa"/>
            <w:vAlign w:val="bottom"/>
          </w:tcPr>
          <w:p>
            <w:pPr>
              <w:spacing w:after="0"/>
              <w:rPr>
                <w:sz w:val="15"/>
                <w:szCs w:val="15"/>
                <w:color w:val="auto"/>
              </w:rPr>
            </w:pPr>
          </w:p>
        </w:tc>
        <w:tc>
          <w:tcPr>
            <w:tcW w:w="1360" w:type="dxa"/>
            <w:vAlign w:val="bottom"/>
          </w:tcPr>
          <w:p>
            <w:pPr>
              <w:jc w:val="right"/>
              <w:spacing w:after="0" w:line="178" w:lineRule="exact"/>
              <w:rPr>
                <w:sz w:val="20"/>
                <w:szCs w:val="20"/>
                <w:color w:val="auto"/>
              </w:rPr>
            </w:pPr>
            <w:r>
              <w:rPr>
                <w:rFonts w:ascii="Arial" w:cs="Arial" w:eastAsia="Arial" w:hAnsi="Arial"/>
                <w:sz w:val="16"/>
                <w:szCs w:val="16"/>
                <w:color w:val="auto"/>
              </w:rPr>
              <w:t>250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line="178" w:lineRule="exact"/>
              <w:rPr>
                <w:sz w:val="20"/>
                <w:szCs w:val="20"/>
                <w:color w:val="auto"/>
              </w:rPr>
            </w:pPr>
            <w:r>
              <w:rPr>
                <w:rFonts w:ascii="Arial" w:cs="Arial" w:eastAsia="Arial" w:hAnsi="Arial"/>
                <w:sz w:val="16"/>
                <w:szCs w:val="16"/>
                <w:color w:val="auto"/>
              </w:rPr>
              <w:t>246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31,514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29,742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Pr>
          <w:p>
            <w:pPr>
              <w:ind w:left="40"/>
              <w:spacing w:after="0" w:line="178" w:lineRule="exact"/>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5"/>
                <w:szCs w:val="15"/>
                <w:color w:val="auto"/>
              </w:rPr>
            </w:pPr>
          </w:p>
        </w:tc>
        <w:tc>
          <w:tcPr>
            <w:tcW w:w="1360" w:type="dxa"/>
            <w:vAlign w:val="bottom"/>
          </w:tcPr>
          <w:p>
            <w:pPr>
              <w:jc w:val="right"/>
              <w:spacing w:after="0" w:line="178" w:lineRule="exact"/>
              <w:rPr>
                <w:sz w:val="20"/>
                <w:szCs w:val="20"/>
                <w:color w:val="auto"/>
              </w:rPr>
            </w:pPr>
            <w:r>
              <w:rPr>
                <w:rFonts w:ascii="Arial" w:cs="Arial" w:eastAsia="Arial" w:hAnsi="Arial"/>
                <w:sz w:val="16"/>
                <w:szCs w:val="16"/>
                <w:color w:val="auto"/>
              </w:rPr>
              <w:t>357,765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line="178" w:lineRule="exact"/>
              <w:rPr>
                <w:sz w:val="20"/>
                <w:szCs w:val="20"/>
                <w:color w:val="auto"/>
              </w:rPr>
            </w:pPr>
            <w:r>
              <w:rPr>
                <w:rFonts w:ascii="Arial" w:cs="Arial" w:eastAsia="Arial" w:hAnsi="Arial"/>
                <w:sz w:val="16"/>
                <w:szCs w:val="16"/>
                <w:color w:val="auto"/>
              </w:rPr>
              <w:t>354,222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125,210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164,319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Pr>
          <w:p>
            <w:pPr>
              <w:ind w:left="40"/>
              <w:spacing w:after="0" w:line="178" w:lineRule="exact"/>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73,587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63,912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shd w:val="clear" w:color="auto" w:fill="CFF0FC"/>
          </w:tcPr>
          <w:p>
            <w:pPr>
              <w:spacing w:after="0" w:line="158" w:lineRule="exact"/>
              <w:rPr>
                <w:sz w:val="20"/>
                <w:szCs w:val="20"/>
                <w:color w:val="auto"/>
              </w:rPr>
            </w:pPr>
            <w:r>
              <w:rPr>
                <w:rFonts w:ascii="Arial" w:cs="Arial" w:eastAsia="Arial" w:hAnsi="Arial"/>
                <w:sz w:val="16"/>
                <w:szCs w:val="16"/>
                <w:color w:val="auto"/>
              </w:rPr>
              <w:t>Total assets</w:t>
            </w:r>
          </w:p>
        </w:tc>
        <w:tc>
          <w:tcPr>
            <w:tcW w:w="200" w:type="dxa"/>
            <w:vAlign w:val="bottom"/>
            <w:shd w:val="clear" w:color="auto" w:fill="CFF0FC"/>
          </w:tcPr>
          <w:p>
            <w:pPr>
              <w:jc w:val="right"/>
              <w:ind w:right="47"/>
              <w:spacing w:after="0" w:line="158" w:lineRule="exact"/>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line="158" w:lineRule="exact"/>
              <w:rPr>
                <w:sz w:val="20"/>
                <w:szCs w:val="20"/>
                <w:color w:val="auto"/>
              </w:rPr>
            </w:pPr>
            <w:r>
              <w:rPr>
                <w:rFonts w:ascii="Arial" w:cs="Arial" w:eastAsia="Arial" w:hAnsi="Arial"/>
                <w:sz w:val="16"/>
                <w:szCs w:val="16"/>
                <w:color w:val="auto"/>
              </w:rPr>
              <w:t>1,253,784</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58" w:lineRule="exact"/>
              <w:rPr>
                <w:sz w:val="20"/>
                <w:szCs w:val="20"/>
                <w:color w:val="auto"/>
              </w:rPr>
            </w:pPr>
            <w:r>
              <w:rPr>
                <w:rFonts w:ascii="Arial" w:cs="Arial" w:eastAsia="Arial" w:hAnsi="Arial"/>
                <w:sz w:val="16"/>
                <w:szCs w:val="16"/>
                <w:color w:val="auto"/>
              </w:rPr>
              <w:t>1,235,829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740" w:type="dxa"/>
            <w:vAlign w:val="bottom"/>
            <w:tcBorders>
              <w:top w:val="single" w:sz="8" w:color="CFF0FC"/>
            </w:tcBorders>
          </w:tcPr>
          <w:p>
            <w:pPr>
              <w:spacing w:after="0" w:line="153" w:lineRule="exact"/>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Pr>
          <w:p>
            <w:pPr>
              <w:ind w:left="120"/>
              <w:spacing w:after="0" w:line="178" w:lineRule="exact"/>
              <w:rPr>
                <w:sz w:val="20"/>
                <w:szCs w:val="20"/>
                <w:color w:val="auto"/>
              </w:rPr>
            </w:pPr>
            <w:r>
              <w:rPr>
                <w:rFonts w:ascii="Arial" w:cs="Arial" w:eastAsia="Arial" w:hAnsi="Arial"/>
                <w:sz w:val="16"/>
                <w:szCs w:val="16"/>
                <w:color w:val="auto"/>
              </w:rPr>
              <w:t>Debt maturing within one year, net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78" w:lineRule="exact"/>
              <w:rPr>
                <w:sz w:val="20"/>
                <w:szCs w:val="20"/>
                <w:color w:val="auto"/>
              </w:rPr>
            </w:pPr>
            <w:r>
              <w:rPr>
                <w:rFonts w:ascii="Arial" w:cs="Arial" w:eastAsia="Arial" w:hAnsi="Arial"/>
                <w:sz w:val="16"/>
                <w:szCs w:val="16"/>
                <w:color w:val="auto"/>
              </w:rPr>
              <w:t>6,120</w:t>
            </w:r>
          </w:p>
        </w:tc>
        <w:tc>
          <w:tcPr>
            <w:tcW w:w="160" w:type="dxa"/>
            <w:vAlign w:val="bottom"/>
          </w:tcPr>
          <w:p>
            <w:pPr>
              <w:spacing w:after="0"/>
              <w:rPr>
                <w:sz w:val="15"/>
                <w:szCs w:val="15"/>
                <w:color w:val="auto"/>
              </w:rPr>
            </w:pPr>
          </w:p>
        </w:tc>
        <w:tc>
          <w:tcPr>
            <w:tcW w:w="32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78" w:lineRule="exact"/>
              <w:rPr>
                <w:sz w:val="20"/>
                <w:szCs w:val="20"/>
                <w:color w:val="auto"/>
              </w:rPr>
            </w:pPr>
            <w:r>
              <w:rPr>
                <w:rFonts w:ascii="Arial" w:cs="Arial" w:eastAsia="Arial" w:hAnsi="Arial"/>
                <w:sz w:val="16"/>
                <w:szCs w:val="16"/>
                <w:color w:val="auto"/>
              </w:rPr>
              <w:t>12,229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shd w:val="clear" w:color="auto" w:fill="CFF0FC"/>
          </w:tcPr>
          <w:p>
            <w:pPr>
              <w:ind w:left="120"/>
              <w:spacing w:after="0" w:line="178" w:lineRule="exact"/>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212,547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207,215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Pr>
          <w:p>
            <w:pPr>
              <w:ind w:left="120"/>
              <w:spacing w:after="0" w:line="178" w:lineRule="exact"/>
              <w:rPr>
                <w:sz w:val="20"/>
                <w:szCs w:val="20"/>
                <w:color w:val="auto"/>
              </w:rPr>
            </w:pPr>
            <w:r>
              <w:rPr>
                <w:rFonts w:ascii="Arial" w:cs="Arial" w:eastAsia="Arial" w:hAnsi="Arial"/>
                <w:sz w:val="16"/>
                <w:szCs w:val="16"/>
                <w:color w:val="auto"/>
              </w:rPr>
              <w:t>Other liabilities and accrued expenses</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212,275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176,869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40" w:type="dxa"/>
            <w:vAlign w:val="bottom"/>
            <w:shd w:val="clear" w:color="auto" w:fill="CFF0FC"/>
          </w:tcPr>
          <w:p>
            <w:pPr>
              <w:ind w:left="180"/>
              <w:spacing w:after="0" w:line="169" w:lineRule="exact"/>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430,942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396,313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Pr>
          <w:p>
            <w:pPr>
              <w:ind w:left="40"/>
              <w:spacing w:after="0" w:line="178" w:lineRule="exact"/>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15"/>
                <w:szCs w:val="15"/>
                <w:color w:val="auto"/>
              </w:rPr>
            </w:pPr>
          </w:p>
        </w:tc>
        <w:tc>
          <w:tcPr>
            <w:tcW w:w="1360" w:type="dxa"/>
            <w:vAlign w:val="bottom"/>
          </w:tcPr>
          <w:p>
            <w:pPr>
              <w:jc w:val="right"/>
              <w:spacing w:after="0" w:line="178" w:lineRule="exact"/>
              <w:rPr>
                <w:sz w:val="20"/>
                <w:szCs w:val="20"/>
                <w:color w:val="auto"/>
              </w:rPr>
            </w:pPr>
            <w:r>
              <w:rPr>
                <w:rFonts w:ascii="Arial" w:cs="Arial" w:eastAsia="Arial" w:hAnsi="Arial"/>
                <w:sz w:val="16"/>
                <w:szCs w:val="16"/>
                <w:color w:val="auto"/>
              </w:rPr>
              <w:t>115,222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line="178" w:lineRule="exact"/>
              <w:rPr>
                <w:sz w:val="20"/>
                <w:szCs w:val="20"/>
                <w:color w:val="auto"/>
              </w:rPr>
            </w:pPr>
            <w:r>
              <w:rPr>
                <w:rFonts w:ascii="Arial" w:cs="Arial" w:eastAsia="Arial" w:hAnsi="Arial"/>
                <w:sz w:val="16"/>
                <w:szCs w:val="16"/>
                <w:color w:val="auto"/>
              </w:rPr>
              <w:t>161,310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Deferred tax liabilities</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6,071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7,379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Pr>
          <w:p>
            <w:pPr>
              <w:ind w:left="40"/>
              <w:spacing w:after="0" w:line="178" w:lineRule="exact"/>
              <w:rPr>
                <w:sz w:val="20"/>
                <w:szCs w:val="20"/>
                <w:color w:val="auto"/>
              </w:rPr>
            </w:pPr>
            <w:r>
              <w:rPr>
                <w:rFonts w:ascii="Arial" w:cs="Arial" w:eastAsia="Arial" w:hAnsi="Arial"/>
                <w:sz w:val="16"/>
                <w:szCs w:val="16"/>
                <w:color w:val="auto"/>
              </w:rPr>
              <w:t>Other liabilities, noncurrent</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55,795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51,375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608,030</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616,377</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40" w:type="dxa"/>
            <w:vAlign w:val="bottom"/>
          </w:tcPr>
          <w:p>
            <w:pPr>
              <w:spacing w:after="0" w:line="169" w:lineRule="exact"/>
              <w:rPr>
                <w:sz w:val="20"/>
                <w:szCs w:val="20"/>
                <w:color w:val="auto"/>
              </w:rPr>
            </w:pPr>
            <w:r>
              <w:rPr>
                <w:rFonts w:ascii="Arial" w:cs="Arial" w:eastAsia="Arial" w:hAnsi="Arial"/>
                <w:sz w:val="16"/>
                <w:szCs w:val="16"/>
                <w:b w:val="1"/>
                <w:bCs w:val="1"/>
                <w:color w:val="auto"/>
              </w:rPr>
              <w:t>Temporary equity</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Redeemable noncontrolling interest</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12,197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15,149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Pr>
          <w:p>
            <w:pPr>
              <w:spacing w:after="0" w:line="178" w:lineRule="exact"/>
              <w:rPr>
                <w:sz w:val="20"/>
                <w:szCs w:val="20"/>
                <w:color w:val="auto"/>
              </w:rPr>
            </w:pPr>
            <w:r>
              <w:rPr>
                <w:rFonts w:ascii="Arial" w:cs="Arial" w:eastAsia="Arial" w:hAnsi="Arial"/>
                <w:sz w:val="16"/>
                <w:szCs w:val="16"/>
                <w:b w:val="1"/>
                <w:bCs w:val="1"/>
                <w:color w:val="auto"/>
              </w:rPr>
              <w:t>Stockholders' equity</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Common stock and additional paid-in capital</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705,372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667,627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Pr>
          <w:p>
            <w:pPr>
              <w:ind w:left="40"/>
              <w:spacing w:after="0" w:line="178" w:lineRule="exact"/>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5"/>
                <w:szCs w:val="15"/>
                <w:color w:val="auto"/>
              </w:rPr>
            </w:pPr>
          </w:p>
        </w:tc>
        <w:tc>
          <w:tcPr>
            <w:tcW w:w="152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(71,230)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(58,765)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shd w:val="clear" w:color="auto" w:fill="CFF0FC"/>
          </w:tcPr>
          <w:p>
            <w:pPr>
              <w:ind w:left="40"/>
              <w:spacing w:after="0" w:line="178" w:lineRule="exact"/>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(585)</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(4,559)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40" w:type="dxa"/>
            <w:vAlign w:val="bottom"/>
            <w:tcBorders>
              <w:top w:val="single" w:sz="8" w:color="CFF0FC"/>
            </w:tcBorders>
          </w:tcPr>
          <w:p>
            <w:pPr>
              <w:ind w:left="120"/>
              <w:spacing w:after="0" w:line="169" w:lineRule="exact"/>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633,557</w:t>
            </w: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604,303</w:t>
            </w: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shd w:val="clear" w:color="auto" w:fill="CFF0FC"/>
          </w:tcPr>
          <w:p>
            <w:pPr>
              <w:spacing w:after="0" w:line="158" w:lineRule="exact"/>
              <w:rPr>
                <w:sz w:val="20"/>
                <w:szCs w:val="20"/>
                <w:color w:val="auto"/>
              </w:rPr>
            </w:pPr>
            <w:r>
              <w:rPr>
                <w:rFonts w:ascii="Arial" w:cs="Arial" w:eastAsia="Arial" w:hAnsi="Arial"/>
                <w:sz w:val="16"/>
                <w:szCs w:val="16"/>
                <w:color w:val="auto"/>
              </w:rPr>
              <w:t>Total liabilities, temporary equity and stockholders' equity</w:t>
            </w:r>
          </w:p>
        </w:tc>
        <w:tc>
          <w:tcPr>
            <w:tcW w:w="200" w:type="dxa"/>
            <w:vAlign w:val="bottom"/>
            <w:shd w:val="clear" w:color="auto" w:fill="CFF0FC"/>
          </w:tcPr>
          <w:p>
            <w:pPr>
              <w:jc w:val="right"/>
              <w:ind w:right="47"/>
              <w:spacing w:after="0" w:line="158" w:lineRule="exact"/>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line="158" w:lineRule="exact"/>
              <w:rPr>
                <w:sz w:val="20"/>
                <w:szCs w:val="20"/>
                <w:color w:val="auto"/>
              </w:rPr>
            </w:pPr>
            <w:r>
              <w:rPr>
                <w:rFonts w:ascii="Arial" w:cs="Arial" w:eastAsia="Arial" w:hAnsi="Arial"/>
                <w:sz w:val="16"/>
                <w:szCs w:val="16"/>
                <w:color w:val="auto"/>
              </w:rPr>
              <w:t>1,253,784</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58" w:lineRule="exact"/>
              <w:rPr>
                <w:sz w:val="20"/>
                <w:szCs w:val="20"/>
                <w:color w:val="auto"/>
              </w:rPr>
            </w:pPr>
            <w:r>
              <w:rPr>
                <w:rFonts w:ascii="Arial" w:cs="Arial" w:eastAsia="Arial" w:hAnsi="Arial"/>
                <w:sz w:val="16"/>
                <w:szCs w:val="16"/>
                <w:color w:val="auto"/>
              </w:rPr>
              <w:t>1,235,829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74"/>
        </w:trPr>
        <w:tc>
          <w:tcPr>
            <w:tcW w:w="20" w:type="dxa"/>
            <w:vAlign w:val="bottom"/>
            <w:tcBorders>
              <w:bottom w:val="single" w:sz="8" w:color="9A9A9A"/>
            </w:tcBorders>
          </w:tcPr>
          <w:p>
            <w:pPr>
              <w:spacing w:after="0"/>
              <w:rPr>
                <w:sz w:val="24"/>
                <w:szCs w:val="24"/>
                <w:color w:val="auto"/>
              </w:rPr>
            </w:pPr>
          </w:p>
        </w:tc>
        <w:tc>
          <w:tcPr>
            <w:tcW w:w="774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36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-2882900</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-2868295</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-2882900</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-2868295</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-1718945</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-1718945</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-1035685</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-1035685</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-795655</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-780415</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-795655</wp:posOffset>
            </wp:positionV>
            <wp:extent cx="67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-780415</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029" w:right="3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7"/>
          <w:szCs w:val="17"/>
          <w:b w:val="1"/>
          <w:bCs w:val="1"/>
          <w:color w:val="auto"/>
        </w:rPr>
        <w:t>Corsair Gaming,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Cash Flows</w:t>
      </w:r>
    </w:p>
    <w:p>
      <w:pPr>
        <w:jc w:val="center"/>
        <w:ind w:right="20"/>
        <w:spacing w:after="0"/>
        <w:rPr>
          <w:sz w:val="20"/>
          <w:szCs w:val="20"/>
          <w:color w:val="auto"/>
        </w:rPr>
      </w:pPr>
      <w:r>
        <w:rPr>
          <w:rFonts w:ascii="Arial" w:cs="Arial" w:eastAsia="Arial" w:hAnsi="Arial"/>
          <w:sz w:val="16"/>
          <w:szCs w:val="16"/>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Years Ended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rPr>
              <w:t>2025</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41"/>
              <w:spacing w:after="0" w:line="169" w:lineRule="exact"/>
              <w:rPr>
                <w:sz w:val="20"/>
                <w:szCs w:val="20"/>
                <w:color w:val="auto"/>
              </w:rPr>
            </w:pPr>
            <w:r>
              <w:rPr>
                <w:rFonts w:ascii="Arial" w:cs="Arial" w:eastAsia="Arial" w:hAnsi="Arial"/>
                <w:sz w:val="16"/>
                <w:szCs w:val="16"/>
                <w:b w:val="1"/>
                <w:bCs w:val="1"/>
                <w:color w:val="auto"/>
                <w:w w:val="95"/>
              </w:rPr>
              <w:t>2024</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rPr>
              <w:t>2025</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w w:val="95"/>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82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81"/>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26,050</w:t>
            </w:r>
          </w:p>
        </w:tc>
        <w:tc>
          <w:tcPr>
            <w:tcW w:w="160" w:type="dxa"/>
            <w:vAlign w:val="bottom"/>
          </w:tcPr>
          <w:p>
            <w:pPr>
              <w:spacing w:after="0"/>
              <w:rPr>
                <w:sz w:val="15"/>
                <w:szCs w:val="15"/>
                <w:color w:val="auto"/>
              </w:rPr>
            </w:pPr>
          </w:p>
        </w:tc>
        <w:tc>
          <w:tcPr>
            <w:tcW w:w="480" w:type="dxa"/>
            <w:vAlign w:val="bottom"/>
            <w:gridSpan w:val="2"/>
          </w:tcPr>
          <w:p>
            <w:pPr>
              <w:jc w:val="right"/>
              <w:ind w:right="300"/>
              <w:spacing w:after="0" w:line="178"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2,728</w:t>
            </w:r>
          </w:p>
        </w:tc>
        <w:tc>
          <w:tcPr>
            <w:tcW w:w="24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(14,965)</w:t>
            </w:r>
          </w:p>
        </w:tc>
        <w:tc>
          <w:tcPr>
            <w:tcW w:w="460" w:type="dxa"/>
            <w:vAlign w:val="bottom"/>
            <w:gridSpan w:val="2"/>
          </w:tcPr>
          <w:p>
            <w:pPr>
              <w:jc w:val="right"/>
              <w:ind w:right="280"/>
              <w:spacing w:after="0" w:line="178"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(83,394)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82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Adjustments to reconcile net loss to net cash provided by</w:t>
            </w: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operating activities:</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9,268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7,466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33,112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30,591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20"/>
              <w:spacing w:after="0" w:line="178" w:lineRule="exact"/>
              <w:rPr>
                <w:sz w:val="20"/>
                <w:szCs w:val="20"/>
                <w:color w:val="auto"/>
              </w:rPr>
            </w:pPr>
            <w:r>
              <w:rPr>
                <w:rFonts w:ascii="Arial" w:cs="Arial" w:eastAsia="Arial" w:hAnsi="Arial"/>
                <w:sz w:val="16"/>
                <w:szCs w:val="16"/>
                <w:color w:val="auto"/>
              </w:rPr>
              <w:t>Depreciation</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3,759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3,955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13,962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13,449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10,484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9,866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40,228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38,448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20"/>
              <w:spacing w:after="0" w:line="178" w:lineRule="exact"/>
              <w:rPr>
                <w:sz w:val="20"/>
                <w:szCs w:val="20"/>
                <w:color w:val="auto"/>
              </w:rPr>
            </w:pPr>
            <w:r>
              <w:rPr>
                <w:rFonts w:ascii="Arial" w:cs="Arial" w:eastAsia="Arial" w:hAnsi="Arial"/>
                <w:sz w:val="16"/>
                <w:szCs w:val="16"/>
                <w:color w:val="auto"/>
              </w:rPr>
              <w:t>Bargain purchase gain on business acquisition</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line="178" w:lineRule="exact"/>
              <w:rPr>
                <w:sz w:val="20"/>
                <w:szCs w:val="20"/>
                <w:color w:val="auto"/>
              </w:rPr>
            </w:pPr>
            <w:r>
              <w:rPr>
                <w:rFonts w:ascii="Arial" w:cs="Arial" w:eastAsia="Arial" w:hAnsi="Arial"/>
                <w:sz w:val="16"/>
                <w:szCs w:val="16"/>
                <w:color w:val="auto"/>
              </w:rPr>
              <w:t>(2,581)</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2,581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(2,581)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Deferred income taxes, net of valuation allowance</w:t>
            </w:r>
          </w:p>
        </w:tc>
        <w:tc>
          <w:tcPr>
            <w:tcW w:w="260" w:type="dxa"/>
            <w:vAlign w:val="bottom"/>
          </w:tcPr>
          <w:p>
            <w:pPr>
              <w:spacing w:after="0"/>
              <w:rPr>
                <w:sz w:val="15"/>
                <w:szCs w:val="15"/>
                <w:color w:val="auto"/>
              </w:rPr>
            </w:pPr>
          </w:p>
        </w:tc>
        <w:tc>
          <w:tcPr>
            <w:tcW w:w="106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(3,306)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rPr>
              <w:t>(1,350)</w:t>
            </w:r>
          </w:p>
        </w:tc>
        <w:tc>
          <w:tcPr>
            <w:tcW w:w="220" w:type="dxa"/>
            <w:vAlign w:val="bottom"/>
          </w:tcPr>
          <w:p>
            <w:pPr>
              <w:spacing w:after="0"/>
              <w:rPr>
                <w:sz w:val="15"/>
                <w:szCs w:val="15"/>
                <w:color w:val="auto"/>
              </w:rPr>
            </w:pPr>
          </w:p>
        </w:tc>
        <w:tc>
          <w:tcPr>
            <w:tcW w:w="104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(6,513)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11,416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20"/>
              <w:spacing w:after="0" w:line="178" w:lineRule="exact"/>
              <w:rPr>
                <w:sz w:val="20"/>
                <w:szCs w:val="20"/>
                <w:color w:val="auto"/>
              </w:rPr>
            </w:pPr>
            <w:r>
              <w:rPr>
                <w:rFonts w:ascii="Arial" w:cs="Arial" w:eastAsia="Arial" w:hAnsi="Arial"/>
                <w:sz w:val="16"/>
                <w:szCs w:val="16"/>
                <w:color w:val="auto"/>
              </w:rPr>
              <w:t>Other</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(734)</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2,872</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4,373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5,661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80"/>
              <w:spacing w:after="0" w:line="178" w:lineRule="exact"/>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(41,722)</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line="178" w:lineRule="exact"/>
              <w:rPr>
                <w:sz w:val="20"/>
                <w:szCs w:val="20"/>
                <w:color w:val="auto"/>
              </w:rPr>
            </w:pPr>
            <w:r>
              <w:rPr>
                <w:rFonts w:ascii="Arial" w:cs="Arial" w:eastAsia="Arial" w:hAnsi="Arial"/>
                <w:sz w:val="16"/>
                <w:szCs w:val="16"/>
                <w:color w:val="auto"/>
              </w:rPr>
              <w:t>(41,973)</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78" w:lineRule="exact"/>
              <w:rPr>
                <w:sz w:val="20"/>
                <w:szCs w:val="20"/>
                <w:color w:val="auto"/>
              </w:rPr>
            </w:pPr>
            <w:r>
              <w:rPr>
                <w:rFonts w:ascii="Arial" w:cs="Arial" w:eastAsia="Arial" w:hAnsi="Arial"/>
                <w:sz w:val="16"/>
                <w:szCs w:val="16"/>
                <w:color w:val="auto"/>
              </w:rPr>
              <w:t>(17,719)</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32,285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80"/>
              <w:spacing w:after="0" w:line="178" w:lineRule="exact"/>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11,583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27,884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(51,697)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18,315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80"/>
              <w:spacing w:after="0" w:line="178" w:lineRule="exact"/>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4,250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5,681</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8,994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5,897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80"/>
              <w:spacing w:after="0" w:line="178" w:lineRule="exact"/>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5"/>
                <w:szCs w:val="15"/>
                <w:color w:val="auto"/>
              </w:rPr>
            </w:pPr>
          </w:p>
        </w:tc>
        <w:tc>
          <w:tcPr>
            <w:tcW w:w="106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(32,761)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21,809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5,538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(39,507)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Borders>
              <w:bottom w:val="single" w:sz="8" w:color="CFF0FC"/>
            </w:tcBorders>
            <w:shd w:val="clear" w:color="auto" w:fill="CFF0FC"/>
          </w:tcPr>
          <w:p>
            <w:pPr>
              <w:ind w:left="80"/>
              <w:spacing w:after="0" w:line="178" w:lineRule="exact"/>
              <w:rPr>
                <w:sz w:val="20"/>
                <w:szCs w:val="20"/>
                <w:color w:val="auto"/>
              </w:rPr>
            </w:pPr>
            <w:r>
              <w:rPr>
                <w:rFonts w:ascii="Arial" w:cs="Arial" w:eastAsia="Arial" w:hAnsi="Arial"/>
                <w:sz w:val="16"/>
                <w:szCs w:val="16"/>
                <w:color w:val="auto"/>
              </w:rPr>
              <w:t>Other liabilities and accrued expenses</w:t>
            </w: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51,298</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19,198</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32,227</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5,297</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tcPr>
          <w:p>
            <w:pPr>
              <w:ind w:left="140"/>
              <w:spacing w:after="0" w:line="169" w:lineRule="exact"/>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38,169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55,555</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50,121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35,877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Acquisition of businesses, net of cash acquired</w:t>
            </w:r>
          </w:p>
        </w:tc>
        <w:tc>
          <w:tcPr>
            <w:tcW w:w="260" w:type="dxa"/>
            <w:vAlign w:val="bottom"/>
          </w:tcPr>
          <w:p>
            <w:pPr>
              <w:spacing w:after="0"/>
              <w:rPr>
                <w:sz w:val="15"/>
                <w:szCs w:val="15"/>
                <w:color w:val="auto"/>
              </w:rPr>
            </w:pPr>
          </w:p>
        </w:tc>
        <w:tc>
          <w:tcPr>
            <w:tcW w:w="106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60"/>
              <w:spacing w:after="0" w:line="178"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(43,131)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Purchase of property and equipment</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(5,250)</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line="178" w:lineRule="exact"/>
              <w:rPr>
                <w:sz w:val="20"/>
                <w:szCs w:val="20"/>
                <w:color w:val="auto"/>
              </w:rPr>
            </w:pPr>
            <w:r>
              <w:rPr>
                <w:rFonts w:ascii="Arial" w:cs="Arial" w:eastAsia="Arial" w:hAnsi="Arial"/>
                <w:sz w:val="16"/>
                <w:szCs w:val="16"/>
                <w:color w:val="auto"/>
              </w:rPr>
              <w:t>(1,498)</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78" w:lineRule="exact"/>
              <w:rPr>
                <w:sz w:val="20"/>
                <w:szCs w:val="20"/>
                <w:color w:val="auto"/>
              </w:rPr>
            </w:pPr>
            <w:r>
              <w:rPr>
                <w:rFonts w:ascii="Arial" w:cs="Arial" w:eastAsia="Arial" w:hAnsi="Arial"/>
                <w:sz w:val="16"/>
                <w:szCs w:val="16"/>
                <w:color w:val="auto"/>
              </w:rPr>
              <w:t>(15,374)</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(9,849)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Purchase of intangible asset</w:t>
            </w:r>
          </w:p>
        </w:tc>
        <w:tc>
          <w:tcPr>
            <w:tcW w:w="260" w:type="dxa"/>
            <w:vAlign w:val="bottom"/>
          </w:tcPr>
          <w:p>
            <w:pPr>
              <w:spacing w:after="0"/>
              <w:rPr>
                <w:sz w:val="15"/>
                <w:szCs w:val="15"/>
                <w:color w:val="auto"/>
              </w:rPr>
            </w:pPr>
          </w:p>
        </w:tc>
        <w:tc>
          <w:tcPr>
            <w:tcW w:w="106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60"/>
              <w:spacing w:after="0" w:line="178"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Purchase price adjustment related to business acquisition</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60"/>
              <w:spacing w:after="0" w:line="178"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1,041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Payment of bridge loan origination costs related to business acquisition</w:t>
            </w:r>
          </w:p>
        </w:tc>
        <w:tc>
          <w:tcPr>
            <w:tcW w:w="26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rPr>
              <w:t>(666)</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shd w:val="clear" w:color="auto" w:fill="CFF0FC"/>
          </w:tcPr>
          <w:p>
            <w:pPr>
              <w:ind w:left="20"/>
              <w:spacing w:after="0" w:line="169" w:lineRule="exact"/>
              <w:rPr>
                <w:sz w:val="20"/>
                <w:szCs w:val="20"/>
                <w:color w:val="auto"/>
              </w:rPr>
            </w:pPr>
            <w:r>
              <w:rPr>
                <w:rFonts w:ascii="Arial" w:cs="Arial" w:eastAsia="Arial" w:hAnsi="Arial"/>
                <w:sz w:val="16"/>
                <w:szCs w:val="16"/>
                <w:color w:val="auto"/>
              </w:rPr>
              <w:t>Net cash used in investing activities</w:t>
            </w: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(5,250)</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6"/>
                <w:szCs w:val="16"/>
                <w:color w:val="auto"/>
              </w:rPr>
              <w:t>(2,164)</w:t>
            </w: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(15,374)</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(52,705)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tcBorders>
              <w:top w:val="single" w:sz="8" w:color="CFF0FC"/>
            </w:tcBorders>
          </w:tcPr>
          <w:p>
            <w:pPr>
              <w:spacing w:after="0" w:line="169" w:lineRule="exact"/>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Repayment of debt and debt issuance costs</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(1,562)</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line="178" w:lineRule="exact"/>
              <w:rPr>
                <w:sz w:val="20"/>
                <w:szCs w:val="20"/>
                <w:color w:val="auto"/>
              </w:rPr>
            </w:pPr>
            <w:r>
              <w:rPr>
                <w:rFonts w:ascii="Arial" w:cs="Arial" w:eastAsia="Arial" w:hAnsi="Arial"/>
                <w:sz w:val="16"/>
                <w:szCs w:val="16"/>
                <w:color w:val="auto"/>
              </w:rPr>
              <w:t>(3,750)</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78" w:lineRule="exact"/>
              <w:rPr>
                <w:sz w:val="20"/>
                <w:szCs w:val="20"/>
                <w:color w:val="auto"/>
              </w:rPr>
            </w:pPr>
            <w:r>
              <w:rPr>
                <w:rFonts w:ascii="Arial" w:cs="Arial" w:eastAsia="Arial" w:hAnsi="Arial"/>
                <w:sz w:val="16"/>
                <w:szCs w:val="16"/>
                <w:color w:val="auto"/>
              </w:rPr>
              <w:t>(52,815)</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Borrowings from line of credit</w:t>
            </w:r>
          </w:p>
        </w:tc>
        <w:tc>
          <w:tcPr>
            <w:tcW w:w="26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33,500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3,500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45,000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25,000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Repayment of line of credit</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(33,500)</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line="178" w:lineRule="exact"/>
              <w:rPr>
                <w:sz w:val="20"/>
                <w:szCs w:val="20"/>
                <w:color w:val="auto"/>
              </w:rPr>
            </w:pPr>
            <w:r>
              <w:rPr>
                <w:rFonts w:ascii="Arial" w:cs="Arial" w:eastAsia="Arial" w:hAnsi="Arial"/>
                <w:sz w:val="16"/>
                <w:szCs w:val="16"/>
                <w:color w:val="auto"/>
              </w:rPr>
              <w:t>(3,500)</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78" w:lineRule="exact"/>
              <w:rPr>
                <w:sz w:val="20"/>
                <w:szCs w:val="20"/>
                <w:color w:val="auto"/>
              </w:rPr>
            </w:pPr>
            <w:r>
              <w:rPr>
                <w:rFonts w:ascii="Arial" w:cs="Arial" w:eastAsia="Arial" w:hAnsi="Arial"/>
                <w:sz w:val="16"/>
                <w:szCs w:val="16"/>
                <w:color w:val="auto"/>
              </w:rPr>
              <w:t>(45,000)</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Purchase of additional ownership interest</w:t>
            </w:r>
          </w:p>
        </w:tc>
        <w:tc>
          <w:tcPr>
            <w:tcW w:w="260" w:type="dxa"/>
            <w:vAlign w:val="bottom"/>
          </w:tcPr>
          <w:p>
            <w:pPr>
              <w:spacing w:after="0"/>
              <w:rPr>
                <w:sz w:val="15"/>
                <w:szCs w:val="15"/>
                <w:color w:val="auto"/>
              </w:rPr>
            </w:pPr>
          </w:p>
        </w:tc>
        <w:tc>
          <w:tcPr>
            <w:tcW w:w="106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60"/>
              <w:spacing w:after="0" w:line="178"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(19,750)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Proceeds from issuance of shares through employee equity incentive plans</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150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267</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5,643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5,377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Payment of taxes related to net share settlement of equity awards</w:t>
            </w:r>
          </w:p>
        </w:tc>
        <w:tc>
          <w:tcPr>
            <w:tcW w:w="260" w:type="dxa"/>
            <w:vAlign w:val="bottom"/>
          </w:tcPr>
          <w:p>
            <w:pPr>
              <w:spacing w:after="0"/>
              <w:rPr>
                <w:sz w:val="15"/>
                <w:szCs w:val="15"/>
                <w:color w:val="auto"/>
              </w:rPr>
            </w:pPr>
          </w:p>
        </w:tc>
        <w:tc>
          <w:tcPr>
            <w:tcW w:w="106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rPr>
              <w:t>(11)</w:t>
            </w:r>
          </w:p>
        </w:tc>
        <w:tc>
          <w:tcPr>
            <w:tcW w:w="220" w:type="dxa"/>
            <w:vAlign w:val="bottom"/>
          </w:tcPr>
          <w:p>
            <w:pPr>
              <w:spacing w:after="0"/>
              <w:rPr>
                <w:sz w:val="15"/>
                <w:szCs w:val="15"/>
                <w:color w:val="auto"/>
              </w:rPr>
            </w:pPr>
          </w:p>
        </w:tc>
        <w:tc>
          <w:tcPr>
            <w:tcW w:w="104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(1,208)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Dividend paid to noncontrolling interest</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line="178" w:lineRule="exact"/>
              <w:rPr>
                <w:sz w:val="20"/>
                <w:szCs w:val="20"/>
                <w:color w:val="auto"/>
              </w:rPr>
            </w:pPr>
            <w:r>
              <w:rPr>
                <w:rFonts w:ascii="Arial" w:cs="Arial" w:eastAsia="Arial" w:hAnsi="Arial"/>
                <w:sz w:val="16"/>
                <w:szCs w:val="16"/>
                <w:color w:val="auto"/>
              </w:rPr>
              <w:t>(570)</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78" w:lineRule="exact"/>
              <w:rPr>
                <w:sz w:val="20"/>
                <w:szCs w:val="20"/>
                <w:color w:val="auto"/>
              </w:rPr>
            </w:pPr>
            <w:r>
              <w:rPr>
                <w:rFonts w:ascii="Arial" w:cs="Arial" w:eastAsia="Arial" w:hAnsi="Arial"/>
                <w:sz w:val="16"/>
                <w:szCs w:val="16"/>
                <w:color w:val="auto"/>
              </w:rPr>
              <w:t>(494)</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(5,792)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Payment of deferred and contingent consideration</w:t>
            </w:r>
          </w:p>
        </w:tc>
        <w:tc>
          <w:tcPr>
            <w:tcW w:w="26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(4,942)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shd w:val="clear" w:color="auto" w:fill="CFF0FC"/>
          </w:tcPr>
          <w:p>
            <w:pPr>
              <w:ind w:left="20"/>
              <w:spacing w:after="0" w:line="169" w:lineRule="exact"/>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(1,476)</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6"/>
                <w:szCs w:val="16"/>
                <w:color w:val="auto"/>
              </w:rPr>
              <w:t>(4,064)</w:t>
            </w: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(48,874)</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(50,680)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820" w:type="dxa"/>
            <w:vAlign w:val="bottom"/>
          </w:tcPr>
          <w:p>
            <w:pPr>
              <w:spacing w:after="0" w:line="169" w:lineRule="exact"/>
              <w:rPr>
                <w:sz w:val="20"/>
                <w:szCs w:val="20"/>
                <w:color w:val="auto"/>
              </w:rPr>
            </w:pPr>
            <w:r>
              <w:rPr>
                <w:rFonts w:ascii="Arial" w:cs="Arial" w:eastAsia="Arial" w:hAnsi="Arial"/>
                <w:sz w:val="16"/>
                <w:szCs w:val="16"/>
                <w:color w:val="auto"/>
              </w:rPr>
              <w:t>Effect of exchange rate changes on cash</w:t>
            </w: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1,337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(1,302)</w:t>
            </w:r>
          </w:p>
        </w:tc>
        <w:tc>
          <w:tcPr>
            <w:tcW w:w="22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3,329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8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Net increase (decrease) in cash and restricted cash</w:t>
            </w: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32,780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48,025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(10,798)</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(68,933)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Cash and restricted cash at the beginning of the period</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66,053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61,606</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109,631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178,564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FF0FC"/>
          </w:tcPr>
          <w:p>
            <w:pPr>
              <w:spacing w:after="0" w:line="158" w:lineRule="exact"/>
              <w:rPr>
                <w:sz w:val="20"/>
                <w:szCs w:val="20"/>
                <w:color w:val="auto"/>
              </w:rPr>
            </w:pPr>
            <w:r>
              <w:rPr>
                <w:rFonts w:ascii="Arial" w:cs="Arial" w:eastAsia="Arial" w:hAnsi="Arial"/>
                <w:sz w:val="16"/>
                <w:szCs w:val="16"/>
                <w:color w:val="auto"/>
              </w:rPr>
              <w:t>Cash and restricted cash at the end of the period</w:t>
            </w:r>
          </w:p>
        </w:tc>
        <w:tc>
          <w:tcPr>
            <w:tcW w:w="260" w:type="dxa"/>
            <w:vAlign w:val="bottom"/>
            <w:shd w:val="clear" w:color="auto" w:fill="CFF0FC"/>
          </w:tcPr>
          <w:p>
            <w:pPr>
              <w:jc w:val="right"/>
              <w:ind w:right="81"/>
              <w:spacing w:after="0" w:line="158"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58" w:lineRule="exact"/>
              <w:rPr>
                <w:sz w:val="20"/>
                <w:szCs w:val="20"/>
                <w:color w:val="auto"/>
              </w:rPr>
            </w:pPr>
            <w:r>
              <w:rPr>
                <w:rFonts w:ascii="Arial" w:cs="Arial" w:eastAsia="Arial" w:hAnsi="Arial"/>
                <w:sz w:val="16"/>
                <w:szCs w:val="16"/>
                <w:color w:val="auto"/>
              </w:rPr>
              <w:t>98,833</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300"/>
              <w:spacing w:after="0" w:line="158"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58" w:lineRule="exact"/>
              <w:rPr>
                <w:sz w:val="20"/>
                <w:szCs w:val="20"/>
                <w:color w:val="auto"/>
              </w:rPr>
            </w:pPr>
            <w:r>
              <w:rPr>
                <w:rFonts w:ascii="Arial" w:cs="Arial" w:eastAsia="Arial" w:hAnsi="Arial"/>
                <w:sz w:val="16"/>
                <w:szCs w:val="16"/>
                <w:color w:val="auto"/>
              </w:rPr>
              <w:t>109,631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line="158"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58" w:lineRule="exact"/>
              <w:rPr>
                <w:sz w:val="20"/>
                <w:szCs w:val="20"/>
                <w:color w:val="auto"/>
              </w:rPr>
            </w:pPr>
            <w:r>
              <w:rPr>
                <w:rFonts w:ascii="Arial" w:cs="Arial" w:eastAsia="Arial" w:hAnsi="Arial"/>
                <w:sz w:val="16"/>
                <w:szCs w:val="16"/>
                <w:color w:val="auto"/>
              </w:rPr>
              <w:t>98,833</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line="158" w:lineRule="exact"/>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line="158" w:lineRule="exact"/>
              <w:rPr>
                <w:sz w:val="20"/>
                <w:szCs w:val="20"/>
                <w:color w:val="auto"/>
              </w:rPr>
            </w:pPr>
            <w:r>
              <w:rPr>
                <w:rFonts w:ascii="Arial" w:cs="Arial" w:eastAsia="Arial" w:hAnsi="Arial"/>
                <w:sz w:val="16"/>
                <w:szCs w:val="16"/>
                <w:color w:val="auto"/>
              </w:rPr>
              <w:t>109,631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74"/>
        </w:trPr>
        <w:tc>
          <w:tcPr>
            <w:tcW w:w="20" w:type="dxa"/>
            <w:vAlign w:val="bottom"/>
            <w:tcBorders>
              <w:bottom w:val="single" w:sz="8" w:color="9A9A9A"/>
            </w:tcBorders>
          </w:tcPr>
          <w:p>
            <w:pPr>
              <w:spacing w:after="0"/>
              <w:rPr>
                <w:sz w:val="24"/>
                <w:szCs w:val="24"/>
                <w:color w:val="auto"/>
              </w:rPr>
            </w:pPr>
          </w:p>
        </w:tc>
        <w:tc>
          <w:tcPr>
            <w:tcW w:w="582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36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-3333750</wp:posOffset>
            </wp:positionV>
            <wp:extent cx="7493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-3333750</wp:posOffset>
            </wp:positionV>
            <wp:extent cx="7493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-3333750</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-3333750</wp:posOffset>
            </wp:positionV>
            <wp:extent cx="673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-2409825</wp:posOffset>
            </wp:positionV>
            <wp:extent cx="7493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-2409825</wp:posOffset>
            </wp:positionV>
            <wp:extent cx="7493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-2409825</wp:posOffset>
            </wp:positionV>
            <wp:extent cx="673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-2409825</wp:posOffset>
            </wp:positionV>
            <wp:extent cx="673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-1268730</wp:posOffset>
            </wp:positionV>
            <wp:extent cx="7493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-1268730</wp:posOffset>
            </wp:positionV>
            <wp:extent cx="7493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-1268730</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-1268730</wp:posOffset>
            </wp:positionV>
            <wp:extent cx="673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-795655</wp:posOffset>
            </wp:positionV>
            <wp:extent cx="7493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-780415</wp:posOffset>
            </wp:positionV>
            <wp:extent cx="7493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-795655</wp:posOffset>
            </wp:positionV>
            <wp:extent cx="7493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-780415</wp:posOffset>
            </wp:positionV>
            <wp:extent cx="7493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-795655</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-780415</wp:posOffset>
            </wp:positionV>
            <wp:extent cx="673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-795655</wp:posOffset>
            </wp:positionV>
            <wp:extent cx="673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-780415</wp:posOffset>
            </wp:positionV>
            <wp:extent cx="673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029" w:right="3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7"/>
          <w:szCs w:val="17"/>
          <w:b w:val="1"/>
          <w:bCs w:val="1"/>
          <w:color w:val="auto"/>
        </w:rPr>
        <w:t>Corsair Gaming,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GAAP to Non-GAAP Reconciliations</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Non-GAAP Operating Income (Loss) Reconciliations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 in thousands, except percentages)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Years Ended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w w:val="95"/>
              </w:rPr>
              <w:t>2024</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w w:val="95"/>
              </w:rPr>
              <w:t>2024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54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Operating income (loss) - GAAP</w:t>
            </w:r>
          </w:p>
        </w:tc>
        <w:tc>
          <w:tcPr>
            <w:tcW w:w="420" w:type="dxa"/>
            <w:vAlign w:val="bottom"/>
            <w:gridSpan w:val="2"/>
            <w:shd w:val="clear" w:color="auto" w:fill="CFF0FC"/>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26,889</w:t>
            </w:r>
          </w:p>
        </w:tc>
        <w:tc>
          <w:tcPr>
            <w:tcW w:w="20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80"/>
              <w:spacing w:after="0" w:line="178" w:lineRule="exact"/>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5,923</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2,076</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01"/>
              <w:spacing w:after="0" w:line="178" w:lineRule="exact"/>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(49,954)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40" w:type="dxa"/>
            <w:vAlign w:val="bottom"/>
          </w:tcPr>
          <w:p>
            <w:pPr>
              <w:spacing w:after="0" w:line="178" w:lineRule="exact"/>
              <w:rPr>
                <w:sz w:val="20"/>
                <w:szCs w:val="20"/>
                <w:color w:val="auto"/>
              </w:rPr>
            </w:pPr>
            <w:r>
              <w:rPr>
                <w:rFonts w:ascii="Arial" w:cs="Arial" w:eastAsia="Arial" w:hAnsi="Arial"/>
                <w:sz w:val="16"/>
                <w:szCs w:val="16"/>
                <w:color w:val="auto"/>
              </w:rPr>
              <w:t>Amortization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10,483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9,865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40,228</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38,448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4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9,268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7,466</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33,112</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30,591</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40" w:type="dxa"/>
            <w:vAlign w:val="bottom"/>
          </w:tcPr>
          <w:p>
            <w:pPr>
              <w:spacing w:after="0" w:line="178" w:lineRule="exact"/>
              <w:rPr>
                <w:sz w:val="20"/>
                <w:szCs w:val="20"/>
                <w:color w:val="auto"/>
              </w:rPr>
            </w:pPr>
            <w:r>
              <w:rPr>
                <w:rFonts w:ascii="Arial" w:cs="Arial" w:eastAsia="Arial" w:hAnsi="Arial"/>
                <w:sz w:val="16"/>
                <w:szCs w:val="16"/>
                <w:color w:val="auto"/>
              </w:rPr>
              <w:t>One-time costs related to legal and other matters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1,484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31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5,967</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7,530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4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Acquisition and related integration costs</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749</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2,471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4,977</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7,131</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40" w:type="dxa"/>
            <w:vAlign w:val="bottom"/>
          </w:tcPr>
          <w:p>
            <w:pPr>
              <w:spacing w:after="0" w:line="178" w:lineRule="exact"/>
              <w:rPr>
                <w:sz w:val="20"/>
                <w:szCs w:val="20"/>
                <w:color w:val="auto"/>
              </w:rPr>
            </w:pPr>
            <w:r>
              <w:rPr>
                <w:rFonts w:ascii="Arial" w:cs="Arial" w:eastAsia="Arial" w:hAnsi="Arial"/>
                <w:sz w:val="16"/>
                <w:szCs w:val="16"/>
                <w:color w:val="auto"/>
              </w:rPr>
              <w:t>Restructuring and other charges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899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1,789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3,615</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6,724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Acquisition accounting impact related to recognizing acquired inventory at fair</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4,180</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613</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5,253</w:t>
            </w: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40" w:type="dxa"/>
            <w:vAlign w:val="bottom"/>
            <w:tcBorders>
              <w:bottom w:val="single" w:sz="8" w:color="CFF0FC"/>
            </w:tcBorders>
            <w:shd w:val="clear" w:color="auto" w:fill="CFF0FC"/>
          </w:tcPr>
          <w:p>
            <w:pPr>
              <w:spacing w:after="0" w:line="181" w:lineRule="exact"/>
              <w:rPr>
                <w:sz w:val="20"/>
                <w:szCs w:val="20"/>
                <w:color w:val="auto"/>
              </w:rPr>
            </w:pPr>
            <w:r>
              <w:rPr>
                <w:rFonts w:ascii="Arial" w:cs="Arial" w:eastAsia="Arial" w:hAnsi="Arial"/>
                <w:sz w:val="16"/>
                <w:szCs w:val="16"/>
                <w:color w:val="auto"/>
              </w:rPr>
              <w:t>value</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vMerge w:val="continue"/>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40" w:type="dxa"/>
            <w:vAlign w:val="bottom"/>
          </w:tcPr>
          <w:p>
            <w:pPr>
              <w:spacing w:after="0" w:line="169" w:lineRule="exact"/>
              <w:rPr>
                <w:sz w:val="20"/>
                <w:szCs w:val="20"/>
                <w:color w:val="auto"/>
              </w:rPr>
            </w:pPr>
            <w:r>
              <w:rPr>
                <w:rFonts w:ascii="Arial" w:cs="Arial" w:eastAsia="Arial" w:hAnsi="Arial"/>
                <w:sz w:val="16"/>
                <w:szCs w:val="16"/>
                <w:b w:val="1"/>
                <w:bCs w:val="1"/>
                <w:color w:val="auto"/>
              </w:rPr>
              <w:t>Adjusted operating income - Non-GAAP</w:t>
            </w:r>
          </w:p>
        </w:tc>
        <w:tc>
          <w:tcPr>
            <w:tcW w:w="42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49,772</w:t>
            </w:r>
          </w:p>
        </w:tc>
        <w:tc>
          <w:tcPr>
            <w:tcW w:w="200" w:type="dxa"/>
            <w:vAlign w:val="bottom"/>
          </w:tcPr>
          <w:p>
            <w:pPr>
              <w:spacing w:after="0"/>
              <w:rPr>
                <w:sz w:val="14"/>
                <w:szCs w:val="14"/>
                <w:color w:val="auto"/>
              </w:rPr>
            </w:pPr>
          </w:p>
        </w:tc>
        <w:tc>
          <w:tcPr>
            <w:tcW w:w="44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31,725</w:t>
            </w:r>
          </w:p>
        </w:tc>
        <w:tc>
          <w:tcPr>
            <w:tcW w:w="280" w:type="dxa"/>
            <w:vAlign w:val="bottom"/>
          </w:tcPr>
          <w:p>
            <w:pPr>
              <w:spacing w:after="0"/>
              <w:rPr>
                <w:sz w:val="14"/>
                <w:szCs w:val="14"/>
                <w:color w:val="auto"/>
              </w:rPr>
            </w:pPr>
          </w:p>
        </w:tc>
        <w:tc>
          <w:tcPr>
            <w:tcW w:w="240" w:type="dxa"/>
            <w:vAlign w:val="bottom"/>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90,588</w:t>
            </w:r>
          </w:p>
        </w:tc>
        <w:tc>
          <w:tcPr>
            <w:tcW w:w="260" w:type="dxa"/>
            <w:vAlign w:val="bottom"/>
          </w:tcPr>
          <w:p>
            <w:pPr>
              <w:spacing w:after="0"/>
              <w:rPr>
                <w:sz w:val="14"/>
                <w:szCs w:val="14"/>
                <w:color w:val="auto"/>
              </w:rPr>
            </w:pPr>
          </w:p>
        </w:tc>
        <w:tc>
          <w:tcPr>
            <w:tcW w:w="380" w:type="dxa"/>
            <w:vAlign w:val="bottom"/>
          </w:tcPr>
          <w:p>
            <w:pPr>
              <w:jc w:val="right"/>
              <w:ind w:right="201"/>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45,723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restart"/>
          </w:tcPr>
          <w:p>
            <w:pPr>
              <w:spacing w:after="0"/>
              <w:rPr>
                <w:sz w:val="13"/>
                <w:szCs w:val="13"/>
                <w:color w:val="auto"/>
              </w:rPr>
            </w:pPr>
          </w:p>
        </w:tc>
        <w:tc>
          <w:tcPr>
            <w:tcW w:w="5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540" w:type="dxa"/>
            <w:vAlign w:val="bottom"/>
            <w:shd w:val="clear" w:color="auto" w:fill="CFF0FC"/>
          </w:tcPr>
          <w:p>
            <w:pPr>
              <w:spacing w:after="0" w:line="178" w:lineRule="exact"/>
              <w:rPr>
                <w:sz w:val="20"/>
                <w:szCs w:val="20"/>
                <w:color w:val="auto"/>
              </w:rPr>
            </w:pPr>
            <w:r>
              <w:rPr>
                <w:rFonts w:ascii="Arial" w:cs="Arial" w:eastAsia="Arial" w:hAnsi="Arial"/>
                <w:sz w:val="16"/>
                <w:szCs w:val="16"/>
                <w:i w:val="1"/>
                <w:iCs w:val="1"/>
                <w:color w:val="auto"/>
              </w:rPr>
              <w:t>As a % of net revenue - GAAP</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i w:val="1"/>
                <w:iCs w:val="1"/>
                <w:color w:val="auto"/>
              </w:rPr>
              <w:t>6.2%</w:t>
            </w:r>
          </w:p>
        </w:tc>
        <w:tc>
          <w:tcPr>
            <w:tcW w:w="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line="178" w:lineRule="exact"/>
              <w:rPr>
                <w:sz w:val="20"/>
                <w:szCs w:val="20"/>
                <w:color w:val="auto"/>
              </w:rPr>
            </w:pPr>
            <w:r>
              <w:rPr>
                <w:rFonts w:ascii="Arial" w:cs="Arial" w:eastAsia="Arial" w:hAnsi="Arial"/>
                <w:sz w:val="16"/>
                <w:szCs w:val="16"/>
                <w:i w:val="1"/>
                <w:iCs w:val="1"/>
                <w:color w:val="auto"/>
              </w:rPr>
              <w:t>1.4%</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line="178" w:lineRule="exact"/>
              <w:rPr>
                <w:sz w:val="20"/>
                <w:szCs w:val="20"/>
                <w:color w:val="auto"/>
              </w:rPr>
            </w:pPr>
            <w:r>
              <w:rPr>
                <w:rFonts w:ascii="Arial" w:cs="Arial" w:eastAsia="Arial" w:hAnsi="Arial"/>
                <w:sz w:val="16"/>
                <w:szCs w:val="16"/>
                <w:i w:val="1"/>
                <w:iCs w:val="1"/>
                <w:color w:val="auto"/>
              </w:rPr>
              <w:t>0.1%</w:t>
            </w:r>
          </w:p>
        </w:tc>
        <w:tc>
          <w:tcPr>
            <w:tcW w:w="3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
              <w:spacing w:after="0" w:line="178" w:lineRule="exact"/>
              <w:rPr>
                <w:sz w:val="20"/>
                <w:szCs w:val="20"/>
                <w:color w:val="auto"/>
              </w:rPr>
            </w:pPr>
            <w:r>
              <w:rPr>
                <w:rFonts w:ascii="Arial" w:cs="Arial" w:eastAsia="Arial" w:hAnsi="Arial"/>
                <w:sz w:val="16"/>
                <w:szCs w:val="16"/>
                <w:i w:val="1"/>
                <w:iCs w:val="1"/>
                <w:color w:val="auto"/>
              </w:rPr>
              <w:t>-3.8%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6"/>
                <w:szCs w:val="16"/>
                <w:i w:val="1"/>
                <w:iCs w:val="1"/>
                <w:color w:val="auto"/>
              </w:rPr>
              <w:t>As a % of net revenue - Non-GAAP</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i w:val="1"/>
                <w:iCs w:val="1"/>
                <w:color w:val="auto"/>
              </w:rPr>
              <w:t>11.4%</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7.7%</w:t>
            </w:r>
          </w:p>
        </w:tc>
        <w:tc>
          <w:tcPr>
            <w:tcW w:w="24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6.2%</w:t>
            </w:r>
          </w:p>
        </w:tc>
        <w:tc>
          <w:tcPr>
            <w:tcW w:w="3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3.5%</w:t>
            </w:r>
          </w:p>
        </w:tc>
        <w:tc>
          <w:tcPr>
            <w:tcW w:w="0" w:type="dxa"/>
            <w:vAlign w:val="bottom"/>
          </w:tcPr>
          <w:p>
            <w:pPr>
              <w:spacing w:after="0"/>
              <w:rPr>
                <w:sz w:val="1"/>
                <w:szCs w:val="1"/>
                <w:color w:val="auto"/>
              </w:rPr>
            </w:pPr>
          </w:p>
        </w:tc>
      </w:tr>
      <w:tr>
        <w:trPr>
          <w:trHeight w:val="1169"/>
        </w:trPr>
        <w:tc>
          <w:tcPr>
            <w:tcW w:w="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4367530</wp:posOffset>
            </wp:positionH>
            <wp:positionV relativeFrom="paragraph">
              <wp:posOffset>-1253490</wp:posOffset>
            </wp:positionV>
            <wp:extent cx="9779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-1253490</wp:posOffset>
            </wp:positionV>
            <wp:extent cx="9779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-1253490</wp:posOffset>
            </wp:positionV>
            <wp:extent cx="9779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7048500</wp:posOffset>
            </wp:positionH>
            <wp:positionV relativeFrom="paragraph">
              <wp:posOffset>-1253490</wp:posOffset>
            </wp:positionV>
            <wp:extent cx="9779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7790" cy="7620"/>
                    </a:xfrm>
                    <a:prstGeom prst="rect">
                      <a:avLst/>
                    </a:prstGeom>
                    <a:noFill/>
                  </pic:spPr>
                </pic:pic>
              </a:graphicData>
            </a:graphic>
          </wp:anchor>
        </w:drawing>
      </w:r>
    </w:p>
    <w:p>
      <w:pPr>
        <w:sectPr>
          <w:pgSz w:w="11900" w:h="16838" w:orient="portrait"/>
          <w:cols w:equalWidth="0" w:num="1">
            <w:col w:w="11260"/>
          </w:cols>
          <w:pgMar w:left="320" w:top="1029"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Corsair Gaming,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GAAP to Non-GAAP Reconciliations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Non-GAAP Net Income (Loss) and Net Income (Loss) Per Share Reconciliations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Years Ended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rPr>
              <w:t>2025</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41"/>
              <w:spacing w:after="0" w:line="169" w:lineRule="exact"/>
              <w:rPr>
                <w:sz w:val="20"/>
                <w:szCs w:val="20"/>
                <w:color w:val="auto"/>
              </w:rPr>
            </w:pPr>
            <w:r>
              <w:rPr>
                <w:rFonts w:ascii="Arial" w:cs="Arial" w:eastAsia="Arial" w:hAnsi="Arial"/>
                <w:sz w:val="16"/>
                <w:szCs w:val="16"/>
                <w:b w:val="1"/>
                <w:bCs w:val="1"/>
                <w:color w:val="auto"/>
                <w:w w:val="95"/>
              </w:rPr>
              <w:t>2024</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rPr>
              <w:t>2025</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w w:val="95"/>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shd w:val="clear" w:color="auto" w:fill="CFF0FC"/>
          </w:tcPr>
          <w:p>
            <w:pPr>
              <w:spacing w:after="0" w:line="169" w:lineRule="exact"/>
              <w:rPr>
                <w:sz w:val="20"/>
                <w:szCs w:val="20"/>
                <w:color w:val="auto"/>
              </w:rPr>
            </w:pPr>
            <w:r>
              <w:rPr>
                <w:rFonts w:ascii="Arial" w:cs="Arial" w:eastAsia="Arial" w:hAnsi="Arial"/>
                <w:sz w:val="14"/>
                <w:szCs w:val="14"/>
                <w:color w:val="auto"/>
              </w:rPr>
              <w:t xml:space="preserve">Net income (loss) attributable to common stockholders of Corsair Gaming, Inc. </w:t>
            </w:r>
            <w:r>
              <w:rPr>
                <w:rFonts w:ascii="Arial" w:cs="Arial" w:eastAsia="Arial" w:hAnsi="Arial"/>
                <w:sz w:val="19"/>
                <w:szCs w:val="19"/>
                <w:color w:val="auto"/>
                <w:vertAlign w:val="superscript"/>
              </w:rPr>
              <w:t>(1)</w:t>
            </w:r>
          </w:p>
        </w:tc>
        <w:tc>
          <w:tcPr>
            <w:tcW w:w="260" w:type="dxa"/>
            <w:vAlign w:val="bottom"/>
            <w:shd w:val="clear" w:color="auto" w:fill="CFF0FC"/>
          </w:tcPr>
          <w:p>
            <w:pPr>
              <w:jc w:val="right"/>
              <w:ind w:right="81"/>
              <w:spacing w:after="0" w:line="169"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24,137</w:t>
            </w:r>
          </w:p>
        </w:tc>
        <w:tc>
          <w:tcPr>
            <w:tcW w:w="1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300"/>
              <w:spacing w:after="0" w:line="169"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1,336</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(12,465)</w:t>
            </w:r>
          </w:p>
        </w:tc>
        <w:tc>
          <w:tcPr>
            <w:tcW w:w="460" w:type="dxa"/>
            <w:vAlign w:val="bottom"/>
            <w:gridSpan w:val="2"/>
            <w:shd w:val="clear" w:color="auto" w:fill="CFF0FC"/>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(99,175)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Less: Change in redemption value of redeemable noncontrolling interest</w:t>
            </w:r>
          </w:p>
        </w:tc>
        <w:tc>
          <w:tcPr>
            <w:tcW w:w="260" w:type="dxa"/>
            <w:vAlign w:val="bottom"/>
          </w:tcPr>
          <w:p>
            <w:pPr>
              <w:spacing w:after="0"/>
              <w:rPr>
                <w:sz w:val="15"/>
                <w:szCs w:val="15"/>
                <w:color w:val="auto"/>
              </w:rPr>
            </w:pPr>
          </w:p>
        </w:tc>
        <w:tc>
          <w:tcPr>
            <w:tcW w:w="106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(1,654)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rPr>
              <w:t>(950)</w:t>
            </w:r>
          </w:p>
        </w:tc>
        <w:tc>
          <w:tcPr>
            <w:tcW w:w="22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3,694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(13,994)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8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Net income (loss) attributable to Corsair Gaming, Inc.</w:t>
            </w: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25,791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2,286</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(16,159)</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(85,181)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Add: Net income attributable to noncontrolling interest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259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442</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1,194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1,787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2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Net income (loss) - GAAP</w:t>
            </w: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26,050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2,728</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(14,965)</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(83,394)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b w:val="1"/>
                <w:bCs w:val="1"/>
                <w:color w:val="auto"/>
              </w:rPr>
              <w:t>Adjustments: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20"/>
              <w:spacing w:after="0" w:line="178" w:lineRule="exact"/>
              <w:rPr>
                <w:sz w:val="20"/>
                <w:szCs w:val="20"/>
                <w:color w:val="auto"/>
              </w:rPr>
            </w:pPr>
            <w:r>
              <w:rPr>
                <w:rFonts w:ascii="Arial" w:cs="Arial" w:eastAsia="Arial" w:hAnsi="Arial"/>
                <w:sz w:val="16"/>
                <w:szCs w:val="16"/>
                <w:color w:val="auto"/>
              </w:rPr>
              <w:t>Amortization</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10,483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9,865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40,228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38,448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9,268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7,466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33,112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30,591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20"/>
              <w:spacing w:after="0" w:line="178" w:lineRule="exact"/>
              <w:rPr>
                <w:sz w:val="20"/>
                <w:szCs w:val="20"/>
                <w:color w:val="auto"/>
              </w:rPr>
            </w:pPr>
            <w:r>
              <w:rPr>
                <w:rFonts w:ascii="Arial" w:cs="Arial" w:eastAsia="Arial" w:hAnsi="Arial"/>
                <w:sz w:val="16"/>
                <w:szCs w:val="16"/>
                <w:color w:val="auto"/>
              </w:rPr>
              <w:t>One-time costs related to legal and other matters</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1,484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31</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5,967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7,530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Acquisition and related integration costs</w:t>
            </w:r>
          </w:p>
        </w:tc>
        <w:tc>
          <w:tcPr>
            <w:tcW w:w="26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749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2,471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4,977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7,131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ind w:left="20"/>
              <w:spacing w:after="0" w:line="178" w:lineRule="exact"/>
              <w:rPr>
                <w:sz w:val="20"/>
                <w:szCs w:val="20"/>
                <w:color w:val="auto"/>
              </w:rPr>
            </w:pPr>
            <w:r>
              <w:rPr>
                <w:rFonts w:ascii="Arial" w:cs="Arial" w:eastAsia="Arial" w:hAnsi="Arial"/>
                <w:sz w:val="16"/>
                <w:szCs w:val="16"/>
                <w:color w:val="auto"/>
              </w:rPr>
              <w:t>Restructuring and other charges</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899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1,789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3,615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6,724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Bargain purchase gain on business acquisition</w:t>
            </w:r>
          </w:p>
        </w:tc>
        <w:tc>
          <w:tcPr>
            <w:tcW w:w="260" w:type="dxa"/>
            <w:vAlign w:val="bottom"/>
          </w:tcPr>
          <w:p>
            <w:pPr>
              <w:spacing w:after="0"/>
              <w:rPr>
                <w:sz w:val="15"/>
                <w:szCs w:val="15"/>
                <w:color w:val="auto"/>
              </w:rPr>
            </w:pPr>
          </w:p>
        </w:tc>
        <w:tc>
          <w:tcPr>
            <w:tcW w:w="106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rPr>
              <w:t>(2,581)</w:t>
            </w:r>
          </w:p>
        </w:tc>
        <w:tc>
          <w:tcPr>
            <w:tcW w:w="22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2,581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(2,581)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820" w:type="dxa"/>
            <w:vAlign w:val="bottom"/>
            <w:shd w:val="clear" w:color="auto" w:fill="CFF0FC"/>
          </w:tcPr>
          <w:p>
            <w:pPr>
              <w:ind w:left="20"/>
              <w:spacing w:after="0" w:line="163" w:lineRule="exact"/>
              <w:rPr>
                <w:sz w:val="20"/>
                <w:szCs w:val="20"/>
                <w:color w:val="auto"/>
              </w:rPr>
            </w:pPr>
            <w:r>
              <w:rPr>
                <w:rFonts w:ascii="Arial" w:cs="Arial" w:eastAsia="Arial" w:hAnsi="Arial"/>
                <w:sz w:val="16"/>
                <w:szCs w:val="16"/>
                <w:color w:val="auto"/>
              </w:rPr>
              <w:t>Acquisition accounting impact related to recognizing acquired inventory at fair</w:t>
            </w: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value</w:t>
            </w:r>
          </w:p>
        </w:tc>
        <w:tc>
          <w:tcPr>
            <w:tcW w:w="2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ind w:left="20"/>
              <w:spacing w:after="0" w:line="178" w:lineRule="exact"/>
              <w:rPr>
                <w:sz w:val="20"/>
                <w:szCs w:val="20"/>
                <w:color w:val="auto"/>
              </w:rPr>
            </w:pPr>
            <w:r>
              <w:rPr>
                <w:rFonts w:ascii="Arial" w:cs="Arial" w:eastAsia="Arial" w:hAnsi="Arial"/>
                <w:sz w:val="16"/>
                <w:szCs w:val="16"/>
                <w:color w:val="auto"/>
              </w:rPr>
              <w:t>Non-GAAP income tax adjustment</w:t>
            </w:r>
          </w:p>
        </w:tc>
        <w:tc>
          <w:tcPr>
            <w:tcW w:w="260" w:type="dxa"/>
            <w:vAlign w:val="bottom"/>
          </w:tcPr>
          <w:p>
            <w:pPr>
              <w:spacing w:after="0"/>
              <w:rPr>
                <w:sz w:val="15"/>
                <w:szCs w:val="15"/>
                <w:color w:val="auto"/>
              </w:rPr>
            </w:pPr>
          </w:p>
        </w:tc>
        <w:tc>
          <w:tcPr>
            <w:tcW w:w="106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(2,124)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rPr>
              <w:t>(1,129)</w:t>
            </w:r>
          </w:p>
        </w:tc>
        <w:tc>
          <w:tcPr>
            <w:tcW w:w="220" w:type="dxa"/>
            <w:vAlign w:val="bottom"/>
          </w:tcPr>
          <w:p>
            <w:pPr>
              <w:spacing w:after="0"/>
              <w:rPr>
                <w:sz w:val="15"/>
                <w:szCs w:val="15"/>
                <w:color w:val="auto"/>
              </w:rPr>
            </w:pPr>
          </w:p>
        </w:tc>
        <w:tc>
          <w:tcPr>
            <w:tcW w:w="104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(8,917)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(12,446)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shd w:val="clear" w:color="auto" w:fill="CFF0FC"/>
          </w:tcPr>
          <w:p>
            <w:pPr>
              <w:ind w:left="80"/>
              <w:spacing w:after="0" w:line="169" w:lineRule="exact"/>
              <w:rPr>
                <w:sz w:val="20"/>
                <w:szCs w:val="20"/>
                <w:color w:val="auto"/>
              </w:rPr>
            </w:pPr>
            <w:r>
              <w:rPr>
                <w:rFonts w:ascii="Arial" w:cs="Arial" w:eastAsia="Arial" w:hAnsi="Arial"/>
                <w:sz w:val="16"/>
                <w:szCs w:val="16"/>
                <w:b w:val="1"/>
                <w:bCs w:val="1"/>
                <w:color w:val="auto"/>
              </w:rPr>
              <w:t>Adjusted net income (loss) - Non-GAAP</w:t>
            </w:r>
          </w:p>
        </w:tc>
        <w:tc>
          <w:tcPr>
            <w:tcW w:w="260" w:type="dxa"/>
            <w:vAlign w:val="bottom"/>
            <w:shd w:val="clear" w:color="auto" w:fill="CFF0FC"/>
          </w:tcPr>
          <w:p>
            <w:pPr>
              <w:jc w:val="right"/>
              <w:ind w:right="81"/>
              <w:spacing w:after="0" w:line="169"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46,809</w:t>
            </w:r>
          </w:p>
        </w:tc>
        <w:tc>
          <w:tcPr>
            <w:tcW w:w="1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300"/>
              <w:spacing w:after="0" w:line="169"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24,820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67,211</w:t>
            </w:r>
          </w:p>
        </w:tc>
        <w:tc>
          <w:tcPr>
            <w:tcW w:w="14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840" w:type="dxa"/>
            <w:vAlign w:val="bottom"/>
            <w:gridSpan w:val="2"/>
          </w:tcPr>
          <w:p>
            <w:pPr>
              <w:spacing w:after="0"/>
              <w:rPr>
                <w:sz w:val="20"/>
                <w:szCs w:val="20"/>
                <w:color w:val="auto"/>
              </w:rPr>
            </w:pPr>
            <w:r>
              <w:rPr>
                <w:rFonts w:ascii="Arial" w:cs="Arial" w:eastAsia="Arial" w:hAnsi="Arial"/>
                <w:sz w:val="16"/>
                <w:szCs w:val="16"/>
                <w:b w:val="1"/>
                <w:bCs w:val="1"/>
                <w:color w:val="auto"/>
              </w:rPr>
              <w:t>Diluted net income (loss) per share: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GAAP</w:t>
            </w:r>
          </w:p>
        </w:tc>
        <w:tc>
          <w:tcPr>
            <w:tcW w:w="260" w:type="dxa"/>
            <w:vAlign w:val="bottom"/>
            <w:shd w:val="clear" w:color="auto" w:fill="CFF0FC"/>
          </w:tcPr>
          <w:p>
            <w:pPr>
              <w:jc w:val="right"/>
              <w:ind w:right="81"/>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0.22</w:t>
            </w:r>
          </w:p>
        </w:tc>
        <w:tc>
          <w:tcPr>
            <w:tcW w:w="1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300"/>
              <w:spacing w:after="0" w:line="178"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0.01</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80"/>
              <w:spacing w:after="0" w:line="178" w:lineRule="exact"/>
              <w:rPr>
                <w:sz w:val="20"/>
                <w:szCs w:val="20"/>
                <w:color w:val="auto"/>
              </w:rPr>
            </w:pPr>
            <w:r>
              <w:rPr>
                <w:rFonts w:ascii="Arial" w:cs="Arial" w:eastAsia="Arial" w:hAnsi="Arial"/>
                <w:sz w:val="16"/>
                <w:szCs w:val="16"/>
                <w:color w:val="auto"/>
              </w:rPr>
              <w:t>(0.12)</w:t>
            </w:r>
          </w:p>
        </w:tc>
        <w:tc>
          <w:tcPr>
            <w:tcW w:w="460" w:type="dxa"/>
            <w:vAlign w:val="bottom"/>
            <w:gridSpan w:val="2"/>
            <w:shd w:val="clear" w:color="auto" w:fill="CFF0FC"/>
          </w:tcPr>
          <w:p>
            <w:pPr>
              <w:jc w:val="right"/>
              <w:ind w:right="280"/>
              <w:spacing w:after="0" w:line="178"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60"/>
              <w:spacing w:after="0" w:line="178" w:lineRule="exact"/>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Arial" w:cs="Arial" w:eastAsia="Arial" w:hAnsi="Arial"/>
                <w:sz w:val="16"/>
                <w:szCs w:val="16"/>
                <w:color w:val="auto"/>
              </w:rPr>
              <w:t>Adjusted, Non-GAAP</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0.43</w:t>
            </w:r>
          </w:p>
        </w:tc>
        <w:tc>
          <w:tcPr>
            <w:tcW w:w="16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0.23</w:t>
            </w:r>
          </w:p>
        </w:tc>
        <w:tc>
          <w:tcPr>
            <w:tcW w:w="24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0.62</w:t>
            </w:r>
          </w:p>
        </w:tc>
        <w:tc>
          <w:tcPr>
            <w:tcW w:w="14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820" w:type="dxa"/>
            <w:vAlign w:val="bottom"/>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Weighted-average common shares outstanding - Diluted:</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tcPr>
          <w:p>
            <w:pPr>
              <w:spacing w:after="0" w:line="178" w:lineRule="exact"/>
              <w:rPr>
                <w:sz w:val="20"/>
                <w:szCs w:val="20"/>
                <w:color w:val="auto"/>
              </w:rPr>
            </w:pPr>
            <w:r>
              <w:rPr>
                <w:rFonts w:ascii="Arial" w:cs="Arial" w:eastAsia="Arial" w:hAnsi="Arial"/>
                <w:sz w:val="16"/>
                <w:szCs w:val="16"/>
                <w:color w:val="auto"/>
              </w:rPr>
              <w:t>GAAP</w:t>
            </w:r>
          </w:p>
        </w:tc>
        <w:tc>
          <w:tcPr>
            <w:tcW w:w="26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107,800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105,943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106,005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104,164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Adjusted, Non-GAAP</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107,800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105,943</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107,618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104,164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-923290</wp:posOffset>
            </wp:positionV>
            <wp:extent cx="7493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-908050</wp:posOffset>
            </wp:positionV>
            <wp:extent cx="7493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-923290</wp:posOffset>
            </wp:positionV>
            <wp:extent cx="7493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-908050</wp:posOffset>
            </wp:positionV>
            <wp:extent cx="7493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-923290</wp:posOffset>
            </wp:positionV>
            <wp:extent cx="673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-908050</wp:posOffset>
            </wp:positionV>
            <wp:extent cx="673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-923290</wp:posOffset>
            </wp:positionV>
            <wp:extent cx="673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-908050</wp:posOffset>
            </wp:positionV>
            <wp:extent cx="673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(1) Numerator for calculating net income (loss) per share-GAAP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751205</wp:posOffset>
            </wp:positionV>
            <wp:extent cx="717486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9" w:right="3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7"/>
          <w:szCs w:val="17"/>
          <w:b w:val="1"/>
          <w:bCs w:val="1"/>
          <w:color w:val="auto"/>
        </w:rPr>
        <w:t>Corsair Gaming,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GAAP to Non-GAAP Reconciliations</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Adjusted EBITDA Reconciliations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 in thousands, except percentages)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Years Ended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w w:val="95"/>
              </w:rPr>
              <w:t>2024</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1"/>
              <w:spacing w:after="0" w:line="169" w:lineRule="exact"/>
              <w:rPr>
                <w:sz w:val="20"/>
                <w:szCs w:val="20"/>
                <w:color w:val="auto"/>
              </w:rPr>
            </w:pPr>
            <w:r>
              <w:rPr>
                <w:rFonts w:ascii="Arial" w:cs="Arial" w:eastAsia="Arial" w:hAnsi="Arial"/>
                <w:sz w:val="16"/>
                <w:szCs w:val="16"/>
                <w:b w:val="1"/>
                <w:bCs w:val="1"/>
                <w:color w:val="auto"/>
                <w:w w:val="95"/>
              </w:rPr>
              <w:t>2024</w:t>
            </w:r>
          </w:p>
        </w:tc>
        <w:tc>
          <w:tcPr>
            <w:tcW w:w="1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54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Net income (loss) - GAAP</w:t>
            </w:r>
          </w:p>
        </w:tc>
        <w:tc>
          <w:tcPr>
            <w:tcW w:w="420" w:type="dxa"/>
            <w:vAlign w:val="bottom"/>
            <w:gridSpan w:val="2"/>
            <w:shd w:val="clear" w:color="auto" w:fill="CFF0FC"/>
          </w:tcPr>
          <w:p>
            <w:pPr>
              <w:jc w:val="right"/>
              <w:ind w:right="61"/>
              <w:spacing w:after="0" w:line="169"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26,050</w:t>
            </w:r>
          </w:p>
        </w:tc>
        <w:tc>
          <w:tcPr>
            <w:tcW w:w="2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01"/>
              <w:spacing w:after="0" w:line="169" w:lineRule="exact"/>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2,728</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6"/>
                <w:szCs w:val="16"/>
                <w:color w:val="auto"/>
              </w:rPr>
              <w:t>(14,965)</w:t>
            </w:r>
          </w:p>
        </w:tc>
        <w:tc>
          <w:tcPr>
            <w:tcW w:w="380" w:type="dxa"/>
            <w:vAlign w:val="bottom"/>
            <w:shd w:val="clear" w:color="auto" w:fill="CFF0FC"/>
          </w:tcPr>
          <w:p>
            <w:pPr>
              <w:jc w:val="right"/>
              <w:ind w:right="201"/>
              <w:spacing w:after="0" w:line="169" w:lineRule="exact"/>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(83,394)</w:t>
            </w:r>
          </w:p>
        </w:tc>
      </w:tr>
      <w:tr>
        <w:trPr>
          <w:trHeight w:val="177"/>
        </w:trPr>
        <w:tc>
          <w:tcPr>
            <w:tcW w:w="20" w:type="dxa"/>
            <w:vAlign w:val="bottom"/>
          </w:tcPr>
          <w:p>
            <w:pPr>
              <w:spacing w:after="0"/>
              <w:rPr>
                <w:sz w:val="15"/>
                <w:szCs w:val="15"/>
                <w:color w:val="auto"/>
              </w:rPr>
            </w:pPr>
          </w:p>
        </w:tc>
        <w:tc>
          <w:tcPr>
            <w:tcW w:w="5540" w:type="dxa"/>
            <w:vAlign w:val="bottom"/>
          </w:tcPr>
          <w:p>
            <w:pPr>
              <w:spacing w:after="0" w:line="178" w:lineRule="exact"/>
              <w:rPr>
                <w:sz w:val="20"/>
                <w:szCs w:val="20"/>
                <w:color w:val="auto"/>
              </w:rPr>
            </w:pPr>
            <w:r>
              <w:rPr>
                <w:rFonts w:ascii="Arial" w:cs="Arial" w:eastAsia="Arial" w:hAnsi="Arial"/>
                <w:sz w:val="16"/>
                <w:szCs w:val="16"/>
                <w:color w:val="auto"/>
              </w:rPr>
              <w:t>Amortization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10,483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9,865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40,228</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38,448</w:t>
            </w:r>
          </w:p>
        </w:tc>
        <w:tc>
          <w:tcPr>
            <w:tcW w:w="16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554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9,268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7,466</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33,112</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30,591</w:t>
            </w:r>
          </w:p>
        </w:tc>
        <w:tc>
          <w:tcPr>
            <w:tcW w:w="16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5540" w:type="dxa"/>
            <w:vAlign w:val="bottom"/>
          </w:tcPr>
          <w:p>
            <w:pPr>
              <w:spacing w:after="0" w:line="178" w:lineRule="exact"/>
              <w:rPr>
                <w:sz w:val="20"/>
                <w:szCs w:val="20"/>
                <w:color w:val="auto"/>
              </w:rPr>
            </w:pPr>
            <w:r>
              <w:rPr>
                <w:rFonts w:ascii="Arial" w:cs="Arial" w:eastAsia="Arial" w:hAnsi="Arial"/>
                <w:sz w:val="16"/>
                <w:szCs w:val="16"/>
                <w:color w:val="auto"/>
              </w:rPr>
              <w:t>One-time costs related to legal and other matters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1,484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31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5,967</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7,530</w:t>
            </w:r>
          </w:p>
        </w:tc>
        <w:tc>
          <w:tcPr>
            <w:tcW w:w="16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554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Acquisition and related integration costs</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749</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2,471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4,977</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7,131</w:t>
            </w:r>
          </w:p>
        </w:tc>
        <w:tc>
          <w:tcPr>
            <w:tcW w:w="16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5540" w:type="dxa"/>
            <w:vAlign w:val="bottom"/>
          </w:tcPr>
          <w:p>
            <w:pPr>
              <w:spacing w:after="0" w:line="178" w:lineRule="exact"/>
              <w:rPr>
                <w:sz w:val="20"/>
                <w:szCs w:val="20"/>
                <w:color w:val="auto"/>
              </w:rPr>
            </w:pPr>
            <w:r>
              <w:rPr>
                <w:rFonts w:ascii="Arial" w:cs="Arial" w:eastAsia="Arial" w:hAnsi="Arial"/>
                <w:sz w:val="16"/>
                <w:szCs w:val="16"/>
                <w:color w:val="auto"/>
              </w:rPr>
              <w:t>Restructuring and other charges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899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1,789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3,615</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6,724</w:t>
            </w:r>
          </w:p>
        </w:tc>
        <w:tc>
          <w:tcPr>
            <w:tcW w:w="16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554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Bargain purchase gain on business acquisition</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78" w:lineRule="exact"/>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78" w:lineRule="exact"/>
              <w:rPr>
                <w:sz w:val="20"/>
                <w:szCs w:val="20"/>
                <w:color w:val="auto"/>
              </w:rPr>
            </w:pPr>
            <w:r>
              <w:rPr>
                <w:rFonts w:ascii="Arial" w:cs="Arial" w:eastAsia="Arial" w:hAnsi="Arial"/>
                <w:sz w:val="16"/>
                <w:szCs w:val="16"/>
                <w:color w:val="auto"/>
              </w:rPr>
              <w:t>(2,581)</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2,581</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(2,581)</w:t>
            </w:r>
          </w:p>
        </w:tc>
      </w:tr>
      <w:tr>
        <w:trPr>
          <w:trHeight w:val="163"/>
        </w:trPr>
        <w:tc>
          <w:tcPr>
            <w:tcW w:w="20" w:type="dxa"/>
            <w:vAlign w:val="bottom"/>
          </w:tcPr>
          <w:p>
            <w:pPr>
              <w:spacing w:after="0"/>
              <w:rPr>
                <w:sz w:val="14"/>
                <w:szCs w:val="14"/>
                <w:color w:val="auto"/>
              </w:rPr>
            </w:pPr>
          </w:p>
        </w:tc>
        <w:tc>
          <w:tcPr>
            <w:tcW w:w="5540" w:type="dxa"/>
            <w:vAlign w:val="bottom"/>
          </w:tcPr>
          <w:p>
            <w:pPr>
              <w:spacing w:after="0" w:line="163" w:lineRule="exact"/>
              <w:rPr>
                <w:sz w:val="20"/>
                <w:szCs w:val="20"/>
                <w:color w:val="auto"/>
              </w:rPr>
            </w:pPr>
            <w:r>
              <w:rPr>
                <w:rFonts w:ascii="Arial" w:cs="Arial" w:eastAsia="Arial" w:hAnsi="Arial"/>
                <w:sz w:val="16"/>
                <w:szCs w:val="16"/>
                <w:color w:val="auto"/>
              </w:rPr>
              <w:t>Acquisition accounting impact related to recognizing acquired inventory at fair</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2"/>
        </w:trPr>
        <w:tc>
          <w:tcPr>
            <w:tcW w:w="5560" w:type="dxa"/>
            <w:vAlign w:val="bottom"/>
            <w:gridSpan w:val="2"/>
          </w:tcPr>
          <w:p>
            <w:pPr>
              <w:spacing w:after="0"/>
              <w:rPr>
                <w:sz w:val="20"/>
                <w:szCs w:val="20"/>
                <w:color w:val="auto"/>
              </w:rPr>
            </w:pPr>
            <w:r>
              <w:rPr>
                <w:rFonts w:ascii="Arial" w:cs="Arial" w:eastAsia="Arial" w:hAnsi="Arial"/>
                <w:sz w:val="16"/>
                <w:szCs w:val="16"/>
                <w:color w:val="auto"/>
              </w:rPr>
              <w:t>value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4,180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613</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5,253</w:t>
            </w:r>
          </w:p>
        </w:tc>
        <w:tc>
          <w:tcPr>
            <w:tcW w:w="16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554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Depreciation</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3,759</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3,955</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13,962</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13,449</w:t>
            </w:r>
          </w:p>
        </w:tc>
        <w:tc>
          <w:tcPr>
            <w:tcW w:w="160" w:type="dxa"/>
            <w:vAlign w:val="bottom"/>
            <w:shd w:val="clear" w:color="auto" w:fill="CFF0FC"/>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5540" w:type="dxa"/>
            <w:vAlign w:val="bottom"/>
          </w:tcPr>
          <w:p>
            <w:pPr>
              <w:spacing w:after="0" w:line="178" w:lineRule="exact"/>
              <w:rPr>
                <w:sz w:val="20"/>
                <w:szCs w:val="20"/>
                <w:color w:val="auto"/>
              </w:rPr>
            </w:pPr>
            <w:r>
              <w:rPr>
                <w:rFonts w:ascii="Arial" w:cs="Arial" w:eastAsia="Arial" w:hAnsi="Arial"/>
                <w:sz w:val="16"/>
                <w:szCs w:val="16"/>
                <w:color w:val="auto"/>
              </w:rPr>
              <w:t>Interest expense, net of interest income</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1,892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2,742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7,690</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9,860</w:t>
            </w:r>
          </w:p>
        </w:tc>
        <w:tc>
          <w:tcPr>
            <w:tcW w:w="16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554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Income tax (benefit) expense</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line="178" w:lineRule="exact"/>
              <w:rPr>
                <w:sz w:val="20"/>
                <w:szCs w:val="20"/>
                <w:color w:val="auto"/>
              </w:rPr>
            </w:pPr>
            <w:r>
              <w:rPr>
                <w:rFonts w:ascii="Arial" w:cs="Arial" w:eastAsia="Arial" w:hAnsi="Arial"/>
                <w:sz w:val="16"/>
                <w:szCs w:val="16"/>
                <w:color w:val="auto"/>
              </w:rPr>
              <w:t>(956)</w:t>
            </w:r>
          </w:p>
        </w:tc>
        <w:tc>
          <w:tcPr>
            <w:tcW w:w="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496</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2,816</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21,736</w:t>
            </w:r>
          </w:p>
        </w:tc>
        <w:tc>
          <w:tcPr>
            <w:tcW w:w="160" w:type="dxa"/>
            <w:vAlign w:val="bottom"/>
            <w:shd w:val="clear" w:color="auto" w:fill="CFF0FC"/>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5540" w:type="dxa"/>
            <w:vAlign w:val="bottom"/>
            <w:tcBorders>
              <w:top w:val="single" w:sz="8" w:color="CFF0FC"/>
            </w:tcBorders>
          </w:tcPr>
          <w:p>
            <w:pPr>
              <w:spacing w:after="0" w:line="169" w:lineRule="exact"/>
              <w:rPr>
                <w:sz w:val="20"/>
                <w:szCs w:val="20"/>
                <w:color w:val="auto"/>
              </w:rPr>
            </w:pPr>
            <w:r>
              <w:rPr>
                <w:rFonts w:ascii="Arial" w:cs="Arial" w:eastAsia="Arial" w:hAnsi="Arial"/>
                <w:sz w:val="16"/>
                <w:szCs w:val="16"/>
                <w:b w:val="1"/>
                <w:bCs w:val="1"/>
                <w:color w:val="auto"/>
              </w:rPr>
              <w:t>Adjusted EBITDA - Non-GAAP</w:t>
            </w:r>
          </w:p>
        </w:tc>
        <w:tc>
          <w:tcPr>
            <w:tcW w:w="18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1"/>
              <w:spacing w:after="0" w:line="169"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53,628</w:t>
            </w:r>
          </w:p>
        </w:tc>
        <w:tc>
          <w:tcPr>
            <w:tcW w:w="20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01"/>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33,142</w:t>
            </w:r>
          </w:p>
        </w:tc>
        <w:tc>
          <w:tcPr>
            <w:tcW w:w="28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100,596</w:t>
            </w:r>
          </w:p>
        </w:tc>
        <w:tc>
          <w:tcPr>
            <w:tcW w:w="260" w:type="dxa"/>
            <w:vAlign w:val="bottom"/>
            <w:tcBorders>
              <w:top w:val="single" w:sz="8" w:color="CFF0FC"/>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01"/>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54,747</w:t>
            </w:r>
          </w:p>
        </w:tc>
        <w:tc>
          <w:tcPr>
            <w:tcW w:w="160" w:type="dxa"/>
            <w:vAlign w:val="bottom"/>
            <w:tcBorders>
              <w:top w:val="single" w:sz="8" w:color="CFF0FC"/>
            </w:tcBorders>
          </w:tcPr>
          <w:p>
            <w:pPr>
              <w:spacing w:after="0"/>
              <w:rPr>
                <w:sz w:val="14"/>
                <w:szCs w:val="14"/>
                <w:color w:val="auto"/>
              </w:rPr>
            </w:pPr>
          </w:p>
        </w:tc>
      </w:tr>
      <w:tr>
        <w:trPr>
          <w:trHeight w:val="20"/>
        </w:trPr>
        <w:tc>
          <w:tcPr>
            <w:tcW w:w="5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5560" w:type="dxa"/>
            <w:vAlign w:val="bottom"/>
            <w:gridSpan w:val="2"/>
          </w:tcPr>
          <w:p>
            <w:pPr>
              <w:spacing w:after="0"/>
              <w:rPr>
                <w:sz w:val="20"/>
                <w:szCs w:val="20"/>
                <w:color w:val="auto"/>
              </w:rPr>
            </w:pPr>
            <w:r>
              <w:rPr>
                <w:rFonts w:ascii="Arial" w:cs="Arial" w:eastAsia="Arial" w:hAnsi="Arial"/>
                <w:sz w:val="16"/>
                <w:szCs w:val="16"/>
                <w:i w:val="1"/>
                <w:iCs w:val="1"/>
                <w:color w:val="auto"/>
              </w:rPr>
              <w:t>Adjusted EBITDA margin - Non-GAAP</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i w:val="1"/>
                <w:iCs w:val="1"/>
                <w:color w:val="auto"/>
              </w:rPr>
              <w:t>12.3%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8.0%</w:t>
            </w:r>
          </w:p>
        </w:tc>
        <w:tc>
          <w:tcPr>
            <w:tcW w:w="2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6.8%</w:t>
            </w:r>
          </w:p>
        </w:tc>
        <w:tc>
          <w:tcPr>
            <w:tcW w:w="3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4.2%</w:t>
            </w:r>
          </w:p>
        </w:tc>
      </w:tr>
      <w:tr>
        <w:trPr>
          <w:trHeight w:val="1184"/>
        </w:trPr>
        <w:tc>
          <w:tcPr>
            <w:tcW w:w="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4367530</wp:posOffset>
            </wp:positionH>
            <wp:positionV relativeFrom="paragraph">
              <wp:posOffset>-1141095</wp:posOffset>
            </wp:positionV>
            <wp:extent cx="9779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-1141095</wp:posOffset>
            </wp:positionV>
            <wp:extent cx="9779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-1141095</wp:posOffset>
            </wp:positionV>
            <wp:extent cx="9779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7048500</wp:posOffset>
            </wp:positionH>
            <wp:positionV relativeFrom="paragraph">
              <wp:posOffset>-1141095</wp:posOffset>
            </wp:positionV>
            <wp:extent cx="9779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7790" cy="7620"/>
                    </a:xfrm>
                    <a:prstGeom prst="rect">
                      <a:avLst/>
                    </a:prstGeom>
                    <a:noFill/>
                  </pic:spPr>
                </pic:pic>
              </a:graphicData>
            </a:graphic>
          </wp:anchor>
        </w:drawing>
      </w:r>
    </w:p>
    <w:p>
      <w:pPr>
        <w:sectPr>
          <w:pgSz w:w="11900" w:h="16838" w:orient="portrait"/>
          <w:cols w:equalWidth="0" w:num="1">
            <w:col w:w="11260"/>
          </w:cols>
          <w:pgMar w:left="320" w:top="1029"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2026-02-12T15:13:40Z</dcterms:created>
  <dcterms:modified xsi:type="dcterms:W3CDTF">2026-02-12T15:13:40Z</dcterms:modified>
</cp:coreProperties>
</file>