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22.jpeg" ContentType="image/jpeg"/>
  <Override PartName="/word/media/image21.jpeg" ContentType="image/jpeg"/>
  <Override PartName="/word/media/image20.jpeg" ContentType="image/jpeg"/>
  <Override PartName="/word/media/image19.jpeg" ContentType="image/jpeg"/>
  <Override PartName="/word/media/image42.jpeg" ContentType="image/jpeg"/>
  <Override PartName="/word/media/image18.jpeg" ContentType="image/jpeg"/>
  <Override PartName="/word/media/image17.jpeg" ContentType="image/jpeg"/>
  <Override PartName="/word/media/image16.jpeg" ContentType="image/jpeg"/>
  <Override PartName="/word/media/image15.jpeg" ContentType="image/jpeg"/>
  <Override PartName="/word/media/image14.jpeg" ContentType="image/jpeg"/>
  <Override PartName="/word/media/image41.jpeg" ContentType="image/jpeg"/>
  <Override PartName="/word/media/image1.gif" ContentType="image/gif"/>
  <Override PartName="/word/media/image11.jpeg" ContentType="image/jpeg"/>
  <Override PartName="/word/media/image23.jpeg" ContentType="image/jpeg"/>
  <Override PartName="/word/media/image2.jpeg" ContentType="image/jpeg"/>
  <Override PartName="/word/media/image36.jpeg" ContentType="image/jpeg"/>
  <Override PartName="/word/media/image24.jpeg" ContentType="image/jpeg"/>
  <Override PartName="/word/media/image3.jpeg" ContentType="image/jpeg"/>
  <Override PartName="/word/media/image37.jpeg" ContentType="image/jpeg"/>
  <Override PartName="/word/media/image25.jpeg" ContentType="image/jpeg"/>
  <Override PartName="/word/media/image4.jpeg" ContentType="image/jpeg"/>
  <Override PartName="/word/media/image26.jpeg" ContentType="image/jpeg"/>
  <Override PartName="/word/media/image5.jpeg" ContentType="image/jpeg"/>
  <Override PartName="/word/media/image33.jpeg" ContentType="image/jpeg"/>
  <Override PartName="/word/media/image6.jpeg" ContentType="image/jpeg"/>
  <Override PartName="/word/media/image34.jpeg" ContentType="image/jpeg"/>
  <Override PartName="/word/media/image35.jpeg" ContentType="image/jpeg"/>
  <Override PartName="/word/media/image10.jpeg" ContentType="image/jpeg"/>
  <Override PartName="/word/media/image43.jpeg" ContentType="image/jpeg"/>
  <Override PartName="/word/media/image44.jpeg" ContentType="image/jpeg"/>
  <Override PartName="/word/media/image7.jpeg" ContentType="image/jpeg"/>
  <Override PartName="/word/media/image38.jpeg" ContentType="image/jpeg"/>
  <Override PartName="/word/media/image45.jpeg" ContentType="image/jpeg"/>
  <Override PartName="/word/media/image8.jpeg" ContentType="image/jpeg"/>
  <Override PartName="/word/media/image39.jpeg" ContentType="image/jpeg"/>
  <Override PartName="/word/media/image46.jpeg" ContentType="image/jpeg"/>
  <Override PartName="/word/media/image30.jpeg" ContentType="image/jpeg"/>
  <Override PartName="/word/media/image47.jpeg" ContentType="image/jpeg"/>
  <Override PartName="/word/media/image31.jpeg" ContentType="image/jpeg"/>
  <Override PartName="/word/media/image48.jpeg" ContentType="image/jpeg"/>
  <Override PartName="/word/media/image32.jpeg" ContentType="image/jpeg"/>
  <Override PartName="/word/media/image49.jpeg" ContentType="image/jpeg"/>
  <Override PartName="/word/media/image9.jpeg" ContentType="image/jpeg"/>
  <Override PartName="/word/media/image40.jpeg" ContentType="image/jpeg"/>
  <Override PartName="/word/media/image13.jpeg" ContentType="image/jpeg"/>
  <Override PartName="/word/media/image28.jpeg" ContentType="image/jpeg"/>
  <Override PartName="/word/media/image51.jpeg" ContentType="image/jpeg"/>
  <Override PartName="/word/media/image29.jpeg" ContentType="image/jpeg"/>
  <Override PartName="/word/media/image52.jpeg" ContentType="image/jpeg"/>
  <Override PartName="/word/media/image12.jpeg" ContentType="image/jpeg"/>
  <Override PartName="/word/media/image27.jpeg" ContentType="image/jpeg"/>
  <Override PartName="/word/media/image50.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bookmarkStart w:id="0" w:name="crsr-20260806.htm"/>
      <w:bookmarkStart w:id="1" w:name="kscrsr20260806"/>
      <w:bookmarkEnd w:id="0"/>
      <w:bookmarkEnd w:id="1"/>
      <w:r>
        <w:rPr/>
        <w:t> </w:t>
      </w:r>
    </w:p>
    <w:p>
      <w:pPr>
        <w:pStyle w:val="TextBody"/>
        <w:pBdr>
          <w:top w:val="double" w:sz="6" w:space="1" w:color="000000"/>
        </w:pBdr>
        <w:bidi w:val="0"/>
        <w:jc w:val="both"/>
        <w:rPr/>
      </w:pPr>
      <w:r>
        <w:rPr/>
        <w:t> </w:t>
      </w:r>
    </w:p>
    <w:p>
      <w:pPr>
        <w:pStyle w:val="TextBody"/>
        <w:bidi w:val="0"/>
        <w:spacing w:before="115" w:after="283"/>
        <w:jc w:val="center"/>
        <w:rPr>
          <w:rFonts w:ascii="Times New Roman" w:hAnsi="Times New Roman"/>
          <w:sz w:val="20"/>
        </w:rPr>
      </w:pPr>
      <w:r>
        <w:rPr>
          <w:rFonts w:ascii="Times New Roman" w:hAnsi="Times New Roman"/>
          <w:b/>
          <w:color w:val="000000"/>
          <w:sz w:val="36"/>
        </w:rPr>
        <w:t>UNITED STATES</w:t>
        <w:br/>
        <w:t>SECURITIES AND EXCHANGE COMMISSION</w:t>
        <w:br/>
      </w:r>
      <w:r>
        <w:rPr>
          <w:rFonts w:ascii="Times New Roman" w:hAnsi="Times New Roman"/>
          <w:b/>
          <w:color w:val="000000"/>
          <w:sz w:val="24"/>
        </w:rPr>
        <w:t>WASHINGTON, D.C. 20549</w:t>
      </w:r>
    </w:p>
    <w:p>
      <w:pPr>
        <w:pStyle w:val="TextBody"/>
        <w:pBdr>
          <w:bottom w:val="single" w:sz="6" w:space="1" w:color="000000"/>
        </w:pBdr>
        <w:bidi w:val="0"/>
        <w:jc w:val="left"/>
        <w:rPr/>
      </w:pPr>
      <w:r>
        <w:rPr/>
        <w:t> </w:t>
      </w:r>
    </w:p>
    <w:p>
      <w:pPr>
        <w:pStyle w:val="Heading2"/>
        <w:bidi w:val="0"/>
        <w:spacing w:before="200" w:after="283"/>
        <w:jc w:val="center"/>
        <w:rPr>
          <w:rFonts w:ascii="Times New Roman" w:hAnsi="Times New Roman"/>
          <w:sz w:val="20"/>
        </w:rPr>
      </w:pPr>
      <w:r>
        <w:rPr>
          <w:rFonts w:ascii="Times New Roman" w:hAnsi="Times New Roman"/>
          <w:color w:val="000000"/>
          <w:sz w:val="36"/>
        </w:rPr>
        <w:t xml:space="preserve">FORM </w:t>
      </w:r>
      <w:r>
        <w:rPr>
          <w:rFonts w:ascii="Times New Roman" w:hAnsi="Times New Roman"/>
          <w:b/>
          <w:color w:val="000000"/>
          <w:sz w:val="36"/>
        </w:rPr>
        <w:t>8-K</w:t>
      </w:r>
    </w:p>
    <w:p>
      <w:pPr>
        <w:pStyle w:val="TextBody"/>
        <w:pBdr>
          <w:bottom w:val="single" w:sz="6" w:space="1" w:color="000000"/>
        </w:pBdr>
        <w:bidi w:val="0"/>
        <w:jc w:val="left"/>
        <w:rPr/>
      </w:pPr>
      <w:r>
        <w:rPr/>
        <w:t> </w:t>
      </w:r>
    </w:p>
    <w:p>
      <w:pPr>
        <w:pStyle w:val="TextBody"/>
        <w:bidi w:val="0"/>
        <w:spacing w:before="180" w:after="283"/>
        <w:jc w:val="center"/>
        <w:rPr>
          <w:rFonts w:ascii="Times New Roman" w:hAnsi="Times New Roman"/>
          <w:b/>
          <w:color w:val="000000"/>
          <w:sz w:val="24"/>
        </w:rPr>
      </w:pPr>
      <w:r>
        <w:rPr>
          <w:rFonts w:ascii="Times New Roman" w:hAnsi="Times New Roman"/>
          <w:b/>
          <w:color w:val="000000"/>
          <w:sz w:val="24"/>
        </w:rPr>
        <w:t>CURRENT REPORT</w:t>
      </w:r>
    </w:p>
    <w:p>
      <w:pPr>
        <w:pStyle w:val="TextBody"/>
        <w:bidi w:val="0"/>
        <w:spacing w:before="180" w:after="120"/>
        <w:jc w:val="center"/>
        <w:rPr>
          <w:rFonts w:ascii="Times New Roman" w:hAnsi="Times New Roman"/>
          <w:b/>
          <w:color w:val="000000"/>
          <w:sz w:val="24"/>
        </w:rPr>
      </w:pPr>
      <w:r>
        <w:rPr>
          <w:rFonts w:ascii="Times New Roman" w:hAnsi="Times New Roman"/>
          <w:b/>
          <w:color w:val="000000"/>
          <w:sz w:val="24"/>
        </w:rPr>
        <w:t>Pursuant to Section 13 or 15(d) of the Securities Exchange Act of 1934</w:t>
      </w:r>
    </w:p>
    <w:tbl>
      <w:tblPr>
        <w:tblW w:w="5566" w:type="dxa"/>
        <w:jc w:val="left"/>
        <w:tblInd w:w="0" w:type="dxa"/>
        <w:tblLayout w:type="fixed"/>
        <w:tblCellMar>
          <w:top w:w="28" w:type="dxa"/>
          <w:left w:w="28" w:type="dxa"/>
          <w:bottom w:w="28" w:type="dxa"/>
          <w:right w:w="28" w:type="dxa"/>
        </w:tblCellMar>
      </w:tblPr>
      <w:tblGrid>
        <w:gridCol w:w="5566"/>
      </w:tblGrid>
      <w:tr>
        <w:trPr/>
        <w:tc>
          <w:tcPr>
            <w:tcW w:w="5566" w:type="dxa"/>
            <w:tcBorders/>
            <w:vAlign w:val="center"/>
          </w:tcPr>
          <w:p>
            <w:pPr>
              <w:pStyle w:val="TableContents"/>
              <w:bidi w:val="0"/>
              <w:spacing w:before="0" w:after="283"/>
              <w:jc w:val="left"/>
              <w:rPr>
                <w:sz w:val="4"/>
                <w:szCs w:val="4"/>
              </w:rPr>
            </w:pPr>
            <w:r>
              <w:rPr>
                <w:sz w:val="4"/>
                <w:szCs w:val="4"/>
              </w:rPr>
            </w:r>
          </w:p>
        </w:tc>
      </w:tr>
      <w:tr>
        <w:trPr/>
        <w:tc>
          <w:tcPr>
            <w:tcW w:w="556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Date of Report (Date of earliest event reported): August 06, 2026</w:t>
            </w:r>
          </w:p>
        </w:tc>
      </w:tr>
    </w:tbl>
    <w:p>
      <w:pPr>
        <w:pStyle w:val="TextBody"/>
        <w:pBdr>
          <w:bottom w:val="single" w:sz="6" w:space="1" w:color="000000"/>
        </w:pBdr>
        <w:bidi w:val="0"/>
        <w:spacing w:before="100" w:after="283"/>
        <w:jc w:val="left"/>
        <w:rPr/>
      </w:pPr>
      <w:r>
        <w:rPr/>
        <w:t> </w:t>
      </w:r>
    </w:p>
    <w:p>
      <w:pPr>
        <w:pStyle w:val="TextBody"/>
        <w:bidi w:val="0"/>
        <w:jc w:val="left"/>
        <w:rPr/>
      </w:pPr>
      <w:r>
        <w:rPr/>
        <w:t> </w:t>
      </w:r>
    </w:p>
    <w:p>
      <w:pPr>
        <w:pStyle w:val="TextBody"/>
        <w:bidi w:val="0"/>
        <w:spacing w:before="100" w:after="283"/>
        <w:jc w:val="center"/>
        <w:rPr>
          <w:rFonts w:ascii="Times New Roman" w:hAnsi="Times New Roman"/>
          <w:b/>
          <w:color w:val="000000"/>
          <w:sz w:val="48"/>
        </w:rPr>
      </w:pPr>
      <w:r>
        <w:rPr>
          <w:rFonts w:ascii="Times New Roman" w:hAnsi="Times New Roman"/>
          <w:b/>
          <w:color w:val="000000"/>
          <w:sz w:val="48"/>
        </w:rPr>
        <w:t>CORSAIR GAMING, INC.</w:t>
      </w:r>
    </w:p>
    <w:p>
      <w:pPr>
        <w:pStyle w:val="TextBody"/>
        <w:bidi w:val="0"/>
        <w:spacing w:before="60" w:after="283"/>
        <w:jc w:val="center"/>
        <w:rPr>
          <w:rFonts w:ascii="Times New Roman" w:hAnsi="Times New Roman"/>
          <w:b/>
          <w:color w:val="000000"/>
          <w:sz w:val="15"/>
        </w:rPr>
      </w:pPr>
      <w:r>
        <w:rPr>
          <w:rFonts w:ascii="Times New Roman" w:hAnsi="Times New Roman"/>
          <w:b/>
          <w:color w:val="000000"/>
          <w:sz w:val="15"/>
        </w:rPr>
        <w:t>(Exact name of Registrant as Specified in Its Charter)</w:t>
      </w:r>
    </w:p>
    <w:p>
      <w:pPr>
        <w:pStyle w:val="TextBody"/>
        <w:pBdr>
          <w:bottom w:val="single" w:sz="6" w:space="1" w:color="000000"/>
        </w:pBdr>
        <w:bidi w:val="0"/>
        <w:spacing w:before="180" w:after="283"/>
        <w:jc w:val="left"/>
        <w:rPr/>
      </w:pPr>
      <w:r>
        <w:rPr/>
        <w:t> </w:t>
      </w:r>
    </w:p>
    <w:p>
      <w:pPr>
        <w:pStyle w:val="TextBody"/>
        <w:bidi w:val="0"/>
        <w:jc w:val="left"/>
        <w:rPr/>
      </w:pPr>
      <w:r>
        <w:rPr/>
        <w:t> </w:t>
      </w:r>
    </w:p>
    <w:tbl>
      <w:tblPr>
        <w:tblW w:w="5867" w:type="dxa"/>
        <w:jc w:val="left"/>
        <w:tblInd w:w="0" w:type="dxa"/>
        <w:tblLayout w:type="fixed"/>
        <w:tblCellMar>
          <w:top w:w="28" w:type="dxa"/>
          <w:left w:w="28" w:type="dxa"/>
          <w:bottom w:w="28" w:type="dxa"/>
          <w:right w:w="28" w:type="dxa"/>
        </w:tblCellMar>
      </w:tblPr>
      <w:tblGrid>
        <w:gridCol w:w="950"/>
        <w:gridCol w:w="865"/>
        <w:gridCol w:w="870"/>
        <w:gridCol w:w="1846"/>
        <w:gridCol w:w="1336"/>
      </w:tblGrid>
      <w:tr>
        <w:trPr/>
        <w:tc>
          <w:tcPr>
            <w:tcW w:w="950" w:type="dxa"/>
            <w:tcBorders/>
            <w:vAlign w:val="center"/>
          </w:tcPr>
          <w:p>
            <w:pPr>
              <w:pStyle w:val="TableContents"/>
              <w:bidi w:val="0"/>
              <w:spacing w:before="0" w:after="283"/>
              <w:jc w:val="left"/>
              <w:rPr>
                <w:sz w:val="4"/>
                <w:szCs w:val="4"/>
              </w:rPr>
            </w:pPr>
            <w:r>
              <w:rPr>
                <w:sz w:val="4"/>
                <w:szCs w:val="4"/>
              </w:rPr>
            </w:r>
          </w:p>
        </w:tc>
        <w:tc>
          <w:tcPr>
            <w:tcW w:w="865" w:type="dxa"/>
            <w:tcBorders/>
            <w:vAlign w:val="center"/>
          </w:tcPr>
          <w:p>
            <w:pPr>
              <w:pStyle w:val="TableContents"/>
              <w:bidi w:val="0"/>
              <w:spacing w:before="0" w:after="283"/>
              <w:jc w:val="left"/>
              <w:rPr>
                <w:sz w:val="4"/>
                <w:szCs w:val="4"/>
              </w:rPr>
            </w:pPr>
            <w:r>
              <w:rPr>
                <w:sz w:val="4"/>
                <w:szCs w:val="4"/>
              </w:rPr>
            </w:r>
          </w:p>
        </w:tc>
        <w:tc>
          <w:tcPr>
            <w:tcW w:w="870" w:type="dxa"/>
            <w:tcBorders/>
            <w:vAlign w:val="center"/>
          </w:tcPr>
          <w:p>
            <w:pPr>
              <w:pStyle w:val="TableContents"/>
              <w:bidi w:val="0"/>
              <w:spacing w:before="0" w:after="283"/>
              <w:jc w:val="left"/>
              <w:rPr>
                <w:sz w:val="4"/>
                <w:szCs w:val="4"/>
              </w:rPr>
            </w:pPr>
            <w:r>
              <w:rPr>
                <w:sz w:val="4"/>
                <w:szCs w:val="4"/>
              </w:rPr>
            </w:r>
          </w:p>
        </w:tc>
        <w:tc>
          <w:tcPr>
            <w:tcW w:w="1846" w:type="dxa"/>
            <w:tcBorders/>
            <w:vAlign w:val="center"/>
          </w:tcPr>
          <w:p>
            <w:pPr>
              <w:pStyle w:val="TableContents"/>
              <w:bidi w:val="0"/>
              <w:spacing w:before="0" w:after="283"/>
              <w:jc w:val="left"/>
              <w:rPr>
                <w:sz w:val="4"/>
                <w:szCs w:val="4"/>
              </w:rPr>
            </w:pPr>
            <w:r>
              <w:rPr>
                <w:sz w:val="4"/>
                <w:szCs w:val="4"/>
              </w:rPr>
            </w:r>
          </w:p>
        </w:tc>
        <w:tc>
          <w:tcPr>
            <w:tcW w:w="1336" w:type="dxa"/>
            <w:tcBorders/>
            <w:vAlign w:val="center"/>
          </w:tcPr>
          <w:p>
            <w:pPr>
              <w:pStyle w:val="TableContents"/>
              <w:bidi w:val="0"/>
              <w:spacing w:before="0" w:after="283"/>
              <w:jc w:val="left"/>
              <w:rPr>
                <w:sz w:val="4"/>
                <w:szCs w:val="4"/>
              </w:rPr>
            </w:pPr>
            <w:r>
              <w:rPr>
                <w:sz w:val="4"/>
                <w:szCs w:val="4"/>
              </w:rPr>
            </w:r>
          </w:p>
        </w:tc>
      </w:tr>
      <w:tr>
        <w:trPr/>
        <w:tc>
          <w:tcPr>
            <w:tcW w:w="2685"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Delaware</w:t>
            </w:r>
          </w:p>
        </w:tc>
        <w:tc>
          <w:tcPr>
            <w:tcW w:w="18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001-39533</w:t>
            </w:r>
          </w:p>
        </w:tc>
        <w:tc>
          <w:tcPr>
            <w:tcW w:w="13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82-2335306</w:t>
            </w:r>
          </w:p>
        </w:tc>
      </w:tr>
      <w:tr>
        <w:trPr/>
        <w:tc>
          <w:tcPr>
            <w:tcW w:w="2685"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(State or Other Jurisdiction</w:t>
              <w:br/>
              <w:t>of Incorporation)</w:t>
            </w:r>
          </w:p>
        </w:tc>
        <w:tc>
          <w:tcPr>
            <w:tcW w:w="18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(Commission File Number)</w:t>
            </w:r>
          </w:p>
        </w:tc>
        <w:tc>
          <w:tcPr>
            <w:tcW w:w="13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(IRS Employer</w:t>
              <w:br/>
              <w:t>Identification No.)</w:t>
            </w:r>
          </w:p>
        </w:tc>
      </w:tr>
      <w:tr>
        <w:trPr/>
        <w:tc>
          <w:tcPr>
            <w:tcW w:w="950" w:type="dxa"/>
            <w:tcBorders/>
            <w:tcMar>
              <w:top w:w="0" w:type="dxa"/>
              <w:left w:w="0" w:type="dxa"/>
              <w:bottom w:w="0" w:type="dxa"/>
              <w:right w:w="0" w:type="dxa"/>
            </w:tcMar>
            <w:vAlign w:val="center"/>
          </w:tcPr>
          <w:p>
            <w:pPr>
              <w:pStyle w:val="TableContents"/>
              <w:bidi w:val="0"/>
              <w:spacing w:before="0" w:after="283"/>
              <w:jc w:val="center"/>
              <w:rPr/>
            </w:pPr>
            <w:r>
              <w:rPr/>
              <w:t> </w:t>
            </w:r>
          </w:p>
        </w:tc>
        <w:tc>
          <w:tcPr>
            <w:tcW w:w="865" w:type="dxa"/>
            <w:tcBorders/>
            <w:tcMar>
              <w:top w:w="0" w:type="dxa"/>
              <w:left w:w="0" w:type="dxa"/>
              <w:bottom w:w="0" w:type="dxa"/>
              <w:right w:w="0" w:type="dxa"/>
            </w:tcMar>
            <w:vAlign w:val="center"/>
          </w:tcPr>
          <w:p>
            <w:pPr>
              <w:pStyle w:val="TableContents"/>
              <w:bidi w:val="0"/>
              <w:spacing w:before="0" w:after="283"/>
              <w:jc w:val="center"/>
              <w:rPr/>
            </w:pPr>
            <w:r>
              <w:rPr/>
              <w:t> </w:t>
            </w:r>
          </w:p>
        </w:tc>
        <w:tc>
          <w:tcPr>
            <w:tcW w:w="870" w:type="dxa"/>
            <w:tcBorders/>
            <w:tcMar>
              <w:top w:w="0" w:type="dxa"/>
              <w:left w:w="0" w:type="dxa"/>
              <w:bottom w:w="0" w:type="dxa"/>
              <w:right w:w="0" w:type="dxa"/>
            </w:tcMar>
            <w:vAlign w:val="center"/>
          </w:tcPr>
          <w:p>
            <w:pPr>
              <w:pStyle w:val="TableContents"/>
              <w:bidi w:val="0"/>
              <w:spacing w:before="0" w:after="283"/>
              <w:jc w:val="center"/>
              <w:rPr/>
            </w:pPr>
            <w:r>
              <w:rPr/>
              <w:t> </w:t>
            </w:r>
          </w:p>
        </w:tc>
        <w:tc>
          <w:tcPr>
            <w:tcW w:w="18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336"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2685"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115 N. McCarthy Boulevard</w:t>
            </w:r>
          </w:p>
        </w:tc>
        <w:tc>
          <w:tcPr>
            <w:tcW w:w="18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336"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2685"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Milpitas, California</w:t>
            </w:r>
          </w:p>
        </w:tc>
        <w:tc>
          <w:tcPr>
            <w:tcW w:w="1846" w:type="dxa"/>
            <w:tcBorders/>
            <w:tcMar>
              <w:top w:w="0" w:type="dxa"/>
              <w:left w:w="0" w:type="dxa"/>
              <w:bottom w:w="0" w:type="dxa"/>
              <w:right w:w="0" w:type="dxa"/>
            </w:tcMar>
            <w:vAlign w:val="center"/>
          </w:tcPr>
          <w:p>
            <w:pPr>
              <w:pStyle w:val="TableContents"/>
              <w:bidi w:val="0"/>
              <w:spacing w:before="0" w:after="283"/>
              <w:jc w:val="left"/>
              <w:rPr/>
            </w:pPr>
            <w:r>
              <w:rPr/>
              <w:t> </w:t>
            </w:r>
          </w:p>
        </w:tc>
        <w:tc>
          <w:tcPr>
            <w:tcW w:w="13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95035</w:t>
            </w:r>
          </w:p>
        </w:tc>
      </w:tr>
      <w:tr>
        <w:trPr/>
        <w:tc>
          <w:tcPr>
            <w:tcW w:w="2685"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(Address of Principal Executive Offices)</w:t>
            </w:r>
          </w:p>
        </w:tc>
        <w:tc>
          <w:tcPr>
            <w:tcW w:w="18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3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(Zip Code)</w:t>
            </w:r>
          </w:p>
        </w:tc>
      </w:tr>
    </w:tbl>
    <w:p>
      <w:pPr>
        <w:pStyle w:val="TextBody"/>
        <w:bidi w:val="0"/>
        <w:jc w:val="left"/>
        <w:rPr/>
      </w:pPr>
      <w:r>
        <w:rPr/>
        <w:t> </w:t>
      </w:r>
    </w:p>
    <w:tbl>
      <w:tblPr>
        <w:tblW w:w="6076" w:type="dxa"/>
        <w:jc w:val="left"/>
        <w:tblInd w:w="0" w:type="dxa"/>
        <w:tblLayout w:type="fixed"/>
        <w:tblCellMar>
          <w:top w:w="28" w:type="dxa"/>
          <w:left w:w="28" w:type="dxa"/>
          <w:bottom w:w="28" w:type="dxa"/>
          <w:right w:w="28" w:type="dxa"/>
        </w:tblCellMar>
      </w:tblPr>
      <w:tblGrid>
        <w:gridCol w:w="6076"/>
      </w:tblGrid>
      <w:tr>
        <w:trPr/>
        <w:tc>
          <w:tcPr>
            <w:tcW w:w="6076" w:type="dxa"/>
            <w:tcBorders/>
            <w:vAlign w:val="center"/>
          </w:tcPr>
          <w:p>
            <w:pPr>
              <w:pStyle w:val="TableContents"/>
              <w:bidi w:val="0"/>
              <w:spacing w:before="0" w:after="283"/>
              <w:jc w:val="left"/>
              <w:rPr>
                <w:sz w:val="4"/>
                <w:szCs w:val="4"/>
              </w:rPr>
            </w:pPr>
            <w:r>
              <w:rPr>
                <w:sz w:val="4"/>
                <w:szCs w:val="4"/>
              </w:rPr>
            </w:r>
          </w:p>
        </w:tc>
      </w:tr>
      <w:tr>
        <w:trPr/>
        <w:tc>
          <w:tcPr>
            <w:tcW w:w="607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sz w:val="20"/>
              </w:rPr>
            </w:pPr>
            <w:r>
              <w:rPr>
                <w:rFonts w:ascii="Times New Roman" w:hAnsi="Times New Roman"/>
                <w:b/>
                <w:color w:val="000000"/>
                <w:sz w:val="20"/>
              </w:rPr>
              <w:t>Registrant’s Telephone Number, Including Area Code:</w:t>
            </w:r>
            <w:r>
              <w:rPr>
                <w:rFonts w:ascii="Times New Roman" w:hAnsi="Times New Roman"/>
                <w:color w:val="000000"/>
                <w:sz w:val="20"/>
              </w:rPr>
              <w:t xml:space="preserve"> </w:t>
            </w:r>
            <w:r>
              <w:rPr>
                <w:rFonts w:ascii="Times New Roman" w:hAnsi="Times New Roman"/>
                <w:b/>
                <w:color w:val="000000"/>
                <w:sz w:val="20"/>
              </w:rPr>
              <w:t>(510)</w:t>
            </w:r>
            <w:r>
              <w:rPr>
                <w:rFonts w:ascii="Times New Roman" w:hAnsi="Times New Roman"/>
                <w:color w:val="000000"/>
                <w:sz w:val="20"/>
              </w:rPr>
              <w:t xml:space="preserve"> </w:t>
            </w:r>
            <w:r>
              <w:rPr>
                <w:rFonts w:ascii="Times New Roman" w:hAnsi="Times New Roman"/>
                <w:b/>
                <w:color w:val="000000"/>
                <w:sz w:val="20"/>
              </w:rPr>
              <w:t>657-8747</w:t>
            </w:r>
          </w:p>
        </w:tc>
      </w:tr>
    </w:tbl>
    <w:p>
      <w:pPr>
        <w:pStyle w:val="TextBody"/>
        <w:bidi w:val="0"/>
        <w:jc w:val="left"/>
        <w:rPr/>
      </w:pPr>
      <w:r>
        <w:rPr/>
        <w:t> </w:t>
      </w:r>
    </w:p>
    <w:tbl>
      <w:tblPr>
        <w:tblW w:w="1426" w:type="dxa"/>
        <w:jc w:val="left"/>
        <w:tblInd w:w="0" w:type="dxa"/>
        <w:tblLayout w:type="fixed"/>
        <w:tblCellMar>
          <w:top w:w="28" w:type="dxa"/>
          <w:left w:w="28" w:type="dxa"/>
          <w:bottom w:w="28" w:type="dxa"/>
          <w:right w:w="28" w:type="dxa"/>
        </w:tblCellMar>
      </w:tblPr>
      <w:tblGrid>
        <w:gridCol w:w="1426"/>
      </w:tblGrid>
      <w:tr>
        <w:trPr/>
        <w:tc>
          <w:tcPr>
            <w:tcW w:w="1426" w:type="dxa"/>
            <w:tcBorders/>
            <w:vAlign w:val="center"/>
          </w:tcPr>
          <w:p>
            <w:pPr>
              <w:pStyle w:val="TableContents"/>
              <w:bidi w:val="0"/>
              <w:spacing w:before="0" w:after="283"/>
              <w:jc w:val="left"/>
              <w:rPr>
                <w:sz w:val="4"/>
                <w:szCs w:val="4"/>
              </w:rPr>
            </w:pPr>
            <w:r>
              <w:rPr>
                <w:sz w:val="4"/>
                <w:szCs w:val="4"/>
              </w:rPr>
            </w:r>
          </w:p>
        </w:tc>
      </w:tr>
      <w:tr>
        <w:trPr/>
        <w:tc>
          <w:tcPr>
            <w:tcW w:w="142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Not Applicable</w:t>
            </w:r>
          </w:p>
        </w:tc>
      </w:tr>
    </w:tbl>
    <w:p>
      <w:pPr>
        <w:pStyle w:val="TextBody"/>
        <w:bidi w:val="0"/>
        <w:jc w:val="center"/>
        <w:rPr>
          <w:rFonts w:ascii="Times New Roman" w:hAnsi="Times New Roman"/>
          <w:b/>
          <w:color w:val="000000"/>
          <w:sz w:val="15"/>
        </w:rPr>
      </w:pPr>
      <w:r>
        <w:rPr>
          <w:rFonts w:ascii="Times New Roman" w:hAnsi="Times New Roman"/>
          <w:b/>
          <w:color w:val="000000"/>
          <w:sz w:val="15"/>
        </w:rPr>
        <w:t>(Former Name or Former Address, if Changed Since Last Report)</w:t>
      </w:r>
    </w:p>
    <w:p>
      <w:pPr>
        <w:pStyle w:val="TextBody"/>
        <w:pBdr>
          <w:bottom w:val="single" w:sz="6" w:space="1" w:color="000000"/>
        </w:pBdr>
        <w:bidi w:val="0"/>
        <w:spacing w:before="187" w:after="283"/>
        <w:jc w:val="left"/>
        <w:rPr/>
      </w:pPr>
      <w:r>
        <w:rPr/>
        <w:t> </w:t>
      </w:r>
    </w:p>
    <w:p>
      <w:pPr>
        <w:pStyle w:val="TextBody"/>
        <w:bidi w:val="0"/>
        <w:spacing w:before="187" w:after="120"/>
        <w:jc w:val="left"/>
        <w:rPr>
          <w:rFonts w:ascii="Times New Roman" w:hAnsi="Times New Roman"/>
          <w:color w:val="000000"/>
          <w:sz w:val="20"/>
        </w:rPr>
      </w:pPr>
      <w:r>
        <w:rPr>
          <w:rFonts w:ascii="Times New Roman" w:hAnsi="Times New Roman"/>
          <w:color w:val="000000"/>
          <w:sz w:val="20"/>
        </w:rPr>
        <w:t xml:space="preserve">Check the appropriate box below if the Form 8-K filing is intended to simultaneously satisfy the filing obligation of the registrant under any of the following provisions: </w:t>
      </w:r>
    </w:p>
    <w:p>
      <w:pPr>
        <w:pStyle w:val="TextBody"/>
        <w:bidi w:val="0"/>
        <w:spacing w:before="60" w:after="283"/>
        <w:ind w:left="0" w:right="0" w:hanging="490"/>
        <w:jc w:val="left"/>
        <w:rPr/>
      </w:pPr>
      <w:r>
        <w:rPr/>
        <w:t>☐</w:t>
      </w:r>
      <w:r>
        <w:rPr>
          <w:rFonts w:ascii="Times New Roman" w:hAnsi="Times New Roman"/>
          <w:color w:val="000000"/>
          <w:sz w:val="20"/>
        </w:rPr>
        <w:t>Written communications pursuant to Rule 425 under the Securities Act (17 CFR 230.425)</w:t>
      </w:r>
    </w:p>
    <w:p>
      <w:pPr>
        <w:pStyle w:val="TextBody"/>
        <w:bidi w:val="0"/>
        <w:spacing w:before="120" w:after="283"/>
        <w:ind w:left="0" w:right="0" w:hanging="490"/>
        <w:jc w:val="left"/>
        <w:rPr/>
      </w:pPr>
      <w:r>
        <w:rPr/>
        <w:t>☐</w:t>
      </w:r>
      <w:r>
        <w:rPr>
          <w:rFonts w:ascii="Times New Roman" w:hAnsi="Times New Roman"/>
          <w:color w:val="000000"/>
          <w:sz w:val="20"/>
        </w:rPr>
        <w:t>Soliciting material pursuant to Rule 14a-12 under the Exchange Act (17 CFR 240.14a-12)</w:t>
      </w:r>
    </w:p>
    <w:p>
      <w:pPr>
        <w:pStyle w:val="TextBody"/>
        <w:bidi w:val="0"/>
        <w:spacing w:before="120" w:after="283"/>
        <w:ind w:left="0" w:right="0" w:hanging="490"/>
        <w:jc w:val="left"/>
        <w:rPr/>
      </w:pPr>
      <w:r>
        <w:rPr/>
        <w:t>☐</w:t>
      </w:r>
      <w:r>
        <w:rPr>
          <w:rFonts w:ascii="Times New Roman" w:hAnsi="Times New Roman"/>
          <w:color w:val="000000"/>
          <w:sz w:val="20"/>
        </w:rPr>
        <w:t>Pre-commencement communications pursuant to Rule 14d-2(b) under the Exchange Act (17 CFR 240.14d-2(b))</w:t>
      </w:r>
    </w:p>
    <w:p>
      <w:pPr>
        <w:pStyle w:val="TextBody"/>
        <w:bidi w:val="0"/>
        <w:spacing w:before="120" w:after="283"/>
        <w:ind w:left="0" w:right="0" w:hanging="490"/>
        <w:jc w:val="left"/>
        <w:rPr/>
      </w:pPr>
      <w:r>
        <w:rPr/>
        <w:t>☐</w:t>
      </w:r>
      <w:r>
        <w:rPr>
          <w:rFonts w:ascii="Times New Roman" w:hAnsi="Times New Roman"/>
          <w:color w:val="000000"/>
          <w:sz w:val="20"/>
        </w:rPr>
        <w:t>Pre-commencement communications pursuant to Rule 13e-4(c) under the Exchange Act (17 CFR 240.13e-4(c))</w:t>
      </w:r>
    </w:p>
    <w:p>
      <w:pPr>
        <w:pStyle w:val="TextBody"/>
        <w:bidi w:val="0"/>
        <w:spacing w:before="180" w:after="180"/>
        <w:jc w:val="center"/>
        <w:rPr>
          <w:rFonts w:ascii="Times New Roman" w:hAnsi="Times New Roman"/>
          <w:b/>
          <w:color w:val="000000"/>
          <w:sz w:val="20"/>
        </w:rPr>
      </w:pPr>
      <w:r>
        <w:rPr>
          <w:rFonts w:ascii="Times New Roman" w:hAnsi="Times New Roman"/>
          <w:b/>
          <w:color w:val="000000"/>
          <w:sz w:val="20"/>
        </w:rPr>
        <w:t>Securities registered pursuant to Section 12(b) of the Act:</w:t>
      </w:r>
    </w:p>
    <w:tbl>
      <w:tblPr>
        <w:tblW w:w="8770" w:type="dxa"/>
        <w:jc w:val="left"/>
        <w:tblInd w:w="0" w:type="dxa"/>
        <w:tblLayout w:type="fixed"/>
        <w:tblCellMar>
          <w:top w:w="28" w:type="dxa"/>
          <w:left w:w="28" w:type="dxa"/>
          <w:bottom w:w="28" w:type="dxa"/>
          <w:right w:w="28" w:type="dxa"/>
        </w:tblCellMar>
      </w:tblPr>
      <w:tblGrid>
        <w:gridCol w:w="3706"/>
        <w:gridCol w:w="146"/>
        <w:gridCol w:w="946"/>
        <w:gridCol w:w="146"/>
        <w:gridCol w:w="3826"/>
      </w:tblGrid>
      <w:tr>
        <w:trPr/>
        <w:tc>
          <w:tcPr>
            <w:tcW w:w="37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826" w:type="dxa"/>
            <w:tcBorders/>
            <w:vAlign w:val="center"/>
          </w:tcPr>
          <w:p>
            <w:pPr>
              <w:pStyle w:val="TableContents"/>
              <w:bidi w:val="0"/>
              <w:spacing w:before="0" w:after="283"/>
              <w:jc w:val="left"/>
              <w:rPr>
                <w:sz w:val="4"/>
                <w:szCs w:val="4"/>
              </w:rPr>
            </w:pPr>
            <w:r>
              <w:rPr>
                <w:sz w:val="4"/>
                <w:szCs w:val="4"/>
              </w:rPr>
            </w:r>
          </w:p>
        </w:tc>
      </w:tr>
      <w:tr>
        <w:trPr/>
        <w:tc>
          <w:tcPr>
            <w:tcW w:w="3706" w:type="dxa"/>
            <w:tcBorders>
              <w:bottom w:val="single" w:sz="2"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br/>
              <w:t>Title of each class</w:t>
            </w:r>
          </w:p>
        </w:tc>
        <w:tc>
          <w:tcPr>
            <w:tcW w:w="146" w:type="dxa"/>
            <w:tcBorders>
              <w:bottom w:val="single" w:sz="2" w:space="0" w:color="000000"/>
            </w:tcBorders>
            <w:tcMar>
              <w:top w:w="0" w:type="dxa"/>
              <w:left w:w="0" w:type="dxa"/>
              <w:right w:w="0" w:type="dxa"/>
            </w:tcMar>
            <w:vAlign w:val="center"/>
          </w:tcPr>
          <w:p>
            <w:pPr>
              <w:pStyle w:val="TableContents"/>
              <w:bidi w:val="0"/>
              <w:spacing w:before="0" w:after="283"/>
              <w:jc w:val="left"/>
              <w:rPr/>
            </w:pPr>
            <w:r>
              <w:rPr/>
              <w:t> </w:t>
            </w:r>
          </w:p>
        </w:tc>
        <w:tc>
          <w:tcPr>
            <w:tcW w:w="946" w:type="dxa"/>
            <w:tcBorders>
              <w:bottom w:val="single" w:sz="2"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Trading</w:t>
              <w:br/>
              <w:t>Symbol(s)</w:t>
            </w:r>
          </w:p>
        </w:tc>
        <w:tc>
          <w:tcPr>
            <w:tcW w:w="146" w:type="dxa"/>
            <w:tcBorders>
              <w:bottom w:val="single" w:sz="2" w:space="0" w:color="000000"/>
            </w:tcBorders>
            <w:tcMar>
              <w:top w:w="0" w:type="dxa"/>
              <w:left w:w="0" w:type="dxa"/>
              <w:right w:w="0" w:type="dxa"/>
            </w:tcMar>
            <w:vAlign w:val="center"/>
          </w:tcPr>
          <w:p>
            <w:pPr>
              <w:pStyle w:val="TableContents"/>
              <w:bidi w:val="0"/>
              <w:spacing w:before="0" w:after="283"/>
              <w:jc w:val="left"/>
              <w:rPr/>
            </w:pPr>
            <w:r>
              <w:rPr/>
              <w:t> </w:t>
            </w:r>
          </w:p>
        </w:tc>
        <w:tc>
          <w:tcPr>
            <w:tcW w:w="3826" w:type="dxa"/>
            <w:tcBorders>
              <w:bottom w:val="single" w:sz="2"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br/>
              <w:t>Name of each exchange on which registered</w:t>
            </w:r>
          </w:p>
        </w:tc>
      </w:tr>
      <w:tr>
        <w:trPr/>
        <w:tc>
          <w:tcPr>
            <w:tcW w:w="370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Common Stock, $0.0001 par value per share</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CRSR</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82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The Nasdaq Global Select Market</w:t>
            </w:r>
          </w:p>
        </w:tc>
      </w:tr>
    </w:tbl>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Indicate by check mark whether the registrant is an emerging growth company as defined in Rule 405 of the Securities Act of 1933 (§ 230.405 of this chapter) or Rule 12b-2 of the Securities Exchange Act of 1934 (§ 240.12b-2 of this chapter). </w:t>
      </w:r>
    </w:p>
    <w:p>
      <w:pPr>
        <w:pStyle w:val="TextBody"/>
        <w:bidi w:val="0"/>
        <w:spacing w:before="180" w:after="283"/>
        <w:jc w:val="left"/>
        <w:rPr>
          <w:rFonts w:ascii="Times New Roman" w:hAnsi="Times New Roman"/>
          <w:sz w:val="20"/>
        </w:rPr>
      </w:pPr>
      <w:r>
        <w:rPr>
          <w:rFonts w:ascii="Times New Roman" w:hAnsi="Times New Roman"/>
          <w:color w:val="000000"/>
          <w:sz w:val="20"/>
        </w:rPr>
        <w:t xml:space="preserve">Emerging growth company </w:t>
      </w:r>
      <w:r>
        <w:rPr>
          <w:rFonts w:ascii="Times New Roman" w:hAnsi="Times New Roman"/>
          <w:sz w:val="20"/>
        </w:rPr>
        <w:t>☐</w:t>
      </w:r>
    </w:p>
    <w:p>
      <w:pPr>
        <w:pStyle w:val="TextBody"/>
        <w:bidi w:val="0"/>
        <w:spacing w:before="180" w:after="283"/>
        <w:jc w:val="left"/>
        <w:rPr>
          <w:rFonts w:ascii="Times New Roman" w:hAnsi="Times New Roman"/>
          <w:sz w:val="20"/>
        </w:rPr>
      </w:pPr>
      <w:r>
        <w:rPr>
          <w:rFonts w:ascii="Times New Roman" w:hAnsi="Times New Roman"/>
          <w:color w:val="000000"/>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Times New Roman" w:hAnsi="Times New Roman"/>
          <w:sz w:val="20"/>
        </w:rPr>
        <w:t>☐</w:t>
      </w:r>
    </w:p>
    <w:p>
      <w:pPr>
        <w:pStyle w:val="TextBody"/>
        <w:pBdr>
          <w:bottom w:val="double" w:sz="6" w:space="1" w:color="000000"/>
        </w:pBdr>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Item 2.02 Results of Operations and Financial Condition</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On August 6, 2026, Corsair Gaming, Inc. (“Corsair” or the “Company”) issued a press release announcing its financial results for the fiscal quarter ended June 30, 2026. The full text of the press release is furnished as Exhibit 99.1 to this Current Report on Form 8-K. A presentation regarding the Company’s fiscal quarter ended June 30, 2026 is furnished as Exhibit 99.2 hereto.</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Item 9.01 Financial Statements and Exhibits.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(d) Exhibits.</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811"/>
        <w:gridCol w:w="146"/>
        <w:gridCol w:w="9248"/>
      </w:tblGrid>
      <w:tr>
        <w:trPr/>
        <w:tc>
          <w:tcPr>
            <w:tcW w:w="8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248" w:type="dxa"/>
            <w:tcBorders/>
            <w:vAlign w:val="center"/>
          </w:tcPr>
          <w:p>
            <w:pPr>
              <w:pStyle w:val="TableContents"/>
              <w:bidi w:val="0"/>
              <w:spacing w:before="0" w:after="283"/>
              <w:jc w:val="left"/>
              <w:rPr>
                <w:sz w:val="4"/>
                <w:szCs w:val="4"/>
              </w:rPr>
            </w:pPr>
            <w:r>
              <w:rPr>
                <w:sz w:val="4"/>
                <w:szCs w:val="4"/>
              </w:rPr>
            </w:r>
          </w:p>
        </w:tc>
      </w:tr>
      <w:tr>
        <w:trPr/>
        <w:tc>
          <w:tcPr>
            <w:tcW w:w="811" w:type="dxa"/>
            <w:tcBorders>
              <w:bottom w:val="single" w:sz="4" w:space="0" w:color="000000"/>
            </w:tcBorders>
            <w:shd w:fill="FFFFFF" w:val="clear"/>
            <w:tcMar>
              <w:top w:w="0" w:type="dxa"/>
              <w:left w:w="0" w:type="dxa"/>
              <w:right w:w="0" w:type="dxa"/>
            </w:tcMar>
            <w:vAlign w:val="center"/>
          </w:tcPr>
          <w:p>
            <w:pPr>
              <w:pStyle w:val="TableContents"/>
              <w:bidi w:val="0"/>
              <w:jc w:val="center"/>
              <w:rPr>
                <w:rFonts w:ascii="Times New Roman" w:hAnsi="Times New Roman"/>
                <w:b/>
                <w:color w:val="000000"/>
                <w:sz w:val="20"/>
              </w:rPr>
            </w:pPr>
            <w:r>
              <w:rPr>
                <w:rFonts w:ascii="Times New Roman" w:hAnsi="Times New Roman"/>
                <w:b/>
                <w:color w:val="000000"/>
                <w:sz w:val="20"/>
              </w:rPr>
              <w:t>Exhibit</w:t>
            </w:r>
          </w:p>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Number</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24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Description</w:t>
            </w:r>
          </w:p>
        </w:tc>
      </w:tr>
      <w:tr>
        <w:trPr/>
        <w:tc>
          <w:tcPr>
            <w:tcW w:w="81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99.1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8"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crsr-ex99_1.htm">
              <w:r>
                <w:rPr>
                  <w:rStyle w:val="InternetLink"/>
                  <w:rFonts w:ascii="Times New Roman" w:hAnsi="Times New Roman"/>
                  <w:color w:val="0000FF"/>
                  <w:sz w:val="20"/>
                  <w:u w:val="single"/>
                </w:rPr>
                <w:t>Press Release dated August 6, 2026, titled “Corsair Reports Strong Second Quarter 2026 Profit Growth and Cash Generation”</w:t>
              </w:r>
            </w:hyperlink>
          </w:p>
        </w:tc>
      </w:tr>
      <w:tr>
        <w:trPr/>
        <w:tc>
          <w:tcPr>
            <w:tcW w:w="81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99.2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48"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crsr-ex99_2.htm">
              <w:r>
                <w:rPr>
                  <w:rStyle w:val="InternetLink"/>
                  <w:rFonts w:ascii="Times New Roman" w:hAnsi="Times New Roman"/>
                  <w:color w:val="0000FF"/>
                  <w:sz w:val="20"/>
                  <w:u w:val="single"/>
                </w:rPr>
                <w:t>Investor Presentation dated August 6, 2026</w:t>
              </w:r>
            </w:hyperlink>
          </w:p>
        </w:tc>
      </w:tr>
      <w:tr>
        <w:trPr/>
        <w:tc>
          <w:tcPr>
            <w:tcW w:w="81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4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Cover Page Interactive Data File (embedded within the Inline XBRL document)</w:t>
            </w:r>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 information in this Current Report on Form 8-K and Exhibit 99.1 and Exhibit 99.2 attached hereto shall not be deemed to be “filed” for the purposes of Section 18 of the Securities Exchange Act of 1934, as amended, or otherwise subject to the liabilities of Sections 11 and 12(a)(2) of the Securities Act of 1933, as amended. The information contained herein and in the accompanying exhibits shall not be incorporated by reference into any filing with the U.S. Securities and Exchange Commission made by Corsair Gaming, Inc., whether made before or after the date hereof, regardless of any general incorporation language in such filing.</w:t>
      </w:r>
    </w:p>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SIGNATURES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Pursuant to the requirements of the Securities Exchange Act of 1934, as amended, the registrant has duly caused this report to be signed on its behalf by the undersigned hereunto duly authorized.</w:t>
      </w:r>
    </w:p>
    <w:p>
      <w:pPr>
        <w:pStyle w:val="TextBody"/>
        <w:bidi w:val="0"/>
        <w:jc w:val="left"/>
        <w:rPr/>
      </w:pPr>
      <w:r>
        <w:rPr/>
        <w:t> </w:t>
      </w:r>
    </w:p>
    <w:tbl>
      <w:tblPr>
        <w:tblW w:w="7672" w:type="dxa"/>
        <w:jc w:val="left"/>
        <w:tblInd w:w="0" w:type="dxa"/>
        <w:tblLayout w:type="fixed"/>
        <w:tblCellMar>
          <w:top w:w="28" w:type="dxa"/>
          <w:left w:w="28" w:type="dxa"/>
          <w:bottom w:w="28" w:type="dxa"/>
          <w:right w:w="28" w:type="dxa"/>
        </w:tblCellMar>
      </w:tblPr>
      <w:tblGrid>
        <w:gridCol w:w="1846"/>
        <w:gridCol w:w="109"/>
        <w:gridCol w:w="406"/>
        <w:gridCol w:w="5311"/>
      </w:tblGrid>
      <w:tr>
        <w:trPr/>
        <w:tc>
          <w:tcPr>
            <w:tcW w:w="18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5311" w:type="dxa"/>
            <w:tcBorders/>
            <w:vAlign w:val="center"/>
          </w:tcPr>
          <w:p>
            <w:pPr>
              <w:pStyle w:val="TableContents"/>
              <w:bidi w:val="0"/>
              <w:spacing w:before="0" w:after="283"/>
              <w:jc w:val="left"/>
              <w:rPr>
                <w:sz w:val="4"/>
                <w:szCs w:val="4"/>
              </w:rPr>
            </w:pPr>
            <w:r>
              <w:rPr>
                <w:sz w:val="4"/>
                <w:szCs w:val="4"/>
              </w:rPr>
            </w:r>
          </w:p>
        </w:tc>
      </w:tr>
      <w:tr>
        <w:trPr/>
        <w:tc>
          <w:tcPr>
            <w:tcW w:w="18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7" w:type="dxa"/>
            <w:gridSpan w:val="2"/>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CORSAIR GAMING, INC.</w:t>
            </w:r>
          </w:p>
        </w:tc>
      </w:tr>
      <w:tr>
        <w:trPr/>
        <w:tc>
          <w:tcPr>
            <w:tcW w:w="18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August 6, 2026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5311"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 Gordon Mattingly</w:t>
            </w:r>
          </w:p>
        </w:tc>
      </w:tr>
      <w:tr>
        <w:trPr/>
        <w:tc>
          <w:tcPr>
            <w:tcW w:w="18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1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Gordon Mattingly</w:t>
            </w:r>
          </w:p>
        </w:tc>
      </w:tr>
      <w:tr>
        <w:trPr/>
        <w:tc>
          <w:tcPr>
            <w:tcW w:w="18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11" w:type="dxa"/>
            <w:tcBorders/>
            <w:shd w:fill="FFFFFF" w:val="clear"/>
            <w:tcMar>
              <w:top w:w="0" w:type="dxa"/>
              <w:left w:w="0" w:type="dxa"/>
              <w:bottom w:w="0" w:type="dxa"/>
              <w:right w:w="0" w:type="dxa"/>
            </w:tcMar>
            <w:vAlign w:val="center"/>
          </w:tcPr>
          <w:p>
            <w:pPr>
              <w:pStyle w:val="TableContents"/>
              <w:bidi w:val="0"/>
              <w:jc w:val="center"/>
              <w:rPr>
                <w:rFonts w:ascii="Times New Roman" w:hAnsi="Times New Roman"/>
                <w:color w:val="000000"/>
                <w:sz w:val="20"/>
              </w:rPr>
            </w:pPr>
            <w:r>
              <w:rPr>
                <w:rFonts w:ascii="Times New Roman" w:hAnsi="Times New Roman"/>
                <w:color w:val="000000"/>
                <w:sz w:val="20"/>
              </w:rPr>
              <w:t>Chief Financial Officer</w:t>
            </w:r>
          </w:p>
          <w:p>
            <w:pPr>
              <w:pStyle w:val="TableContents"/>
              <w:bidi w:val="0"/>
              <w:spacing w:before="0" w:after="283"/>
              <w:jc w:val="center"/>
              <w:rPr>
                <w:rFonts w:ascii="Times New Roman" w:hAnsi="Times New Roman"/>
                <w:i/>
                <w:color w:val="000000"/>
                <w:sz w:val="20"/>
              </w:rPr>
            </w:pPr>
            <w:r>
              <w:rPr>
                <w:rFonts w:ascii="Times New Roman" w:hAnsi="Times New Roman"/>
                <w:i/>
                <w:color w:val="000000"/>
                <w:sz w:val="20"/>
              </w:rPr>
              <w:t>(Principal Financial Officer and Principal Accounting Officer)</w:t>
            </w:r>
          </w:p>
        </w:tc>
      </w:tr>
    </w:tbl>
    <w:p>
      <w:pPr>
        <w:pStyle w:val="TextBody"/>
        <w:bidi w:val="0"/>
        <w:spacing w:before="120" w:after="283"/>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2</w:t>
      </w:r>
    </w:p>
    <w:p>
      <w:pPr>
        <w:pStyle w:val="HorizontalLine"/>
        <w:pBdr>
          <w:bottom w:val="double" w:sz="2" w:space="0" w:color="808080"/>
        </w:pBdr>
        <w:bidi w:val="0"/>
        <w:spacing w:before="0" w:after="283"/>
        <w:jc w:val="left"/>
        <w:rPr/>
      </w:pPr>
      <w:r>
        <w:rPr/>
      </w:r>
    </w:p>
    <w:p>
      <w:pPr>
        <w:pStyle w:val="TextBody"/>
        <w:bidi w:val="0"/>
        <w:jc w:val="right"/>
        <w:rPr>
          <w:rFonts w:ascii="sans-serif" w:hAnsi="sans-serif"/>
          <w:b/>
          <w:color w:val="000000"/>
          <w:sz w:val="22"/>
        </w:rPr>
      </w:pPr>
      <w:bookmarkStart w:id="2" w:name="crsr-ex99_1.htm"/>
      <w:bookmarkStart w:id="3" w:name="kscrsrex99_1"/>
      <w:bookmarkEnd w:id="2"/>
      <w:bookmarkEnd w:id="3"/>
      <w:r>
        <w:rPr>
          <w:rFonts w:ascii="sans-serif" w:hAnsi="sans-serif"/>
          <w:b/>
          <w:color w:val="000000"/>
          <w:sz w:val="22"/>
        </w:rPr>
        <w:t>Exhibit 99.1</w:t>
      </w:r>
      <w:r>
        <w:br w:type="page"/>
      </w:r>
    </w:p>
    <w:p>
      <w:pPr>
        <w:pStyle w:val="TextBody"/>
        <w:bidi w:val="0"/>
        <w:jc w:val="left"/>
        <w:rPr/>
      </w:pPr>
      <w:r>
        <w:rPr/>
        <w:t> </w:t>
      </w:r>
    </w:p>
    <w:p>
      <w:pPr>
        <w:pStyle w:val="TextBody"/>
        <w:bidi w:val="0"/>
        <w:jc w:val="left"/>
        <w:rPr/>
      </w:pPr>
      <w:r>
        <w:rPr/>
        <w:drawing>
          <wp:inline distT="0" distB="0" distL="0" distR="0">
            <wp:extent cx="2390775" cy="6000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2390775" cy="600075"/>
                    </a:xfrm>
                    <a:prstGeom prst="rect">
                      <a:avLst/>
                    </a:prstGeom>
                  </pic:spPr>
                </pic:pic>
              </a:graphicData>
            </a:graphic>
          </wp:inline>
        </w:drawing>
      </w:r>
    </w:p>
    <w:p>
      <w:pPr>
        <w:pStyle w:val="TextBody"/>
        <w:bidi w:val="0"/>
        <w:jc w:val="center"/>
        <w:rPr/>
      </w:pPr>
      <w:r>
        <w:rPr/>
        <w:t> </w:t>
      </w:r>
    </w:p>
    <w:p>
      <w:pPr>
        <w:pStyle w:val="TextBody"/>
        <w:bidi w:val="0"/>
        <w:jc w:val="center"/>
        <w:rPr>
          <w:rFonts w:ascii="Times New Roman" w:hAnsi="Times New Roman"/>
          <w:sz w:val="20"/>
        </w:rPr>
      </w:pPr>
      <w:r>
        <w:rPr>
          <w:rFonts w:ascii="Arial" w:hAnsi="Arial"/>
          <w:b/>
          <w:color w:val="000000"/>
          <w:sz w:val="24"/>
        </w:rPr>
        <w:t>Corsair Reports Strong Second Quarter 2026 Profit Growth and Cash Generation</w:t>
      </w:r>
      <w:r>
        <w:rPr>
          <w:rFonts w:ascii="Times New Roman" w:hAnsi="Times New Roman"/>
          <w:color w:val="000000"/>
          <w:sz w:val="20"/>
        </w:rPr>
        <w:t xml:space="preserve"> </w:t>
      </w:r>
    </w:p>
    <w:p>
      <w:pPr>
        <w:pStyle w:val="TextBody"/>
        <w:bidi w:val="0"/>
        <w:jc w:val="center"/>
        <w:rPr/>
      </w:pPr>
      <w:r>
        <w:rPr/>
        <w:t> </w:t>
      </w:r>
    </w:p>
    <w:p>
      <w:pPr>
        <w:pStyle w:val="TextBody"/>
        <w:bidi w:val="0"/>
        <w:jc w:val="center"/>
        <w:rPr>
          <w:rFonts w:ascii="Arial" w:hAnsi="Arial"/>
          <w:b/>
          <w:color w:val="000000"/>
          <w:sz w:val="20"/>
        </w:rPr>
      </w:pPr>
      <w:r>
        <w:rPr>
          <w:rFonts w:ascii="Arial" w:hAnsi="Arial"/>
          <w:b/>
          <w:color w:val="000000"/>
          <w:sz w:val="20"/>
        </w:rPr>
        <w:t>Exceeds Profit Expectations with and without Tariff Refund</w:t>
      </w:r>
    </w:p>
    <w:p>
      <w:pPr>
        <w:pStyle w:val="TextBody"/>
        <w:bidi w:val="0"/>
        <w:jc w:val="center"/>
        <w:rPr/>
      </w:pPr>
      <w:r>
        <w:rPr/>
        <w:t> </w:t>
      </w:r>
    </w:p>
    <w:p>
      <w:pPr>
        <w:pStyle w:val="TextBody"/>
        <w:bidi w:val="0"/>
        <w:jc w:val="left"/>
        <w:rPr>
          <w:rFonts w:ascii="Times New Roman" w:hAnsi="Times New Roman"/>
          <w:sz w:val="20"/>
        </w:rPr>
      </w:pPr>
      <w:r>
        <w:rPr>
          <w:rFonts w:ascii="sans-serif" w:hAnsi="sans-serif"/>
          <w:b/>
          <w:color w:val="000000"/>
          <w:sz w:val="22"/>
        </w:rPr>
        <w:t xml:space="preserve">MILPITAS, CA, August 6, 2026 </w:t>
      </w:r>
      <w:r>
        <w:rPr>
          <w:rFonts w:ascii="Times New Roman" w:hAnsi="Times New Roman"/>
          <w:color w:val="000000"/>
          <w:sz w:val="20"/>
        </w:rPr>
        <w:t xml:space="preserve">– </w:t>
      </w:r>
      <w:r>
        <w:rPr>
          <w:rFonts w:ascii="sans-serif" w:hAnsi="sans-serif"/>
          <w:color w:val="000000"/>
          <w:sz w:val="22"/>
        </w:rPr>
        <w:t>Corsair Gaming, Inc. (Nasdaq: CRSR) (“Corsair” or the “Company”), a leading global provider and innovator of high-performance products for gamers, streamers, content-creators, performance PC builders, and SIM Racing enthusiasts, today announced financial results for the second quarter 2026, guidance for the third quarter 2026, and updated guidance for full year 2026.</w:t>
      </w:r>
    </w:p>
    <w:p>
      <w:pPr>
        <w:pStyle w:val="TextBody"/>
        <w:bidi w:val="0"/>
        <w:jc w:val="left"/>
        <w:rPr/>
      </w:pPr>
      <w:r>
        <w:rPr/>
        <w:t> </w:t>
      </w:r>
    </w:p>
    <w:p>
      <w:pPr>
        <w:pStyle w:val="TextBody"/>
        <w:bidi w:val="0"/>
        <w:jc w:val="left"/>
        <w:rPr>
          <w:rFonts w:ascii="sans-serif" w:hAnsi="sans-serif"/>
          <w:b/>
          <w:color w:val="000000"/>
          <w:sz w:val="22"/>
        </w:rPr>
      </w:pPr>
      <w:r>
        <w:rPr>
          <w:rFonts w:ascii="sans-serif" w:hAnsi="sans-serif"/>
          <w:b/>
          <w:color w:val="000000"/>
          <w:sz w:val="22"/>
        </w:rPr>
        <w:t>Second Quarter 2026 Select Financial Highlights (compared to second quarter 2025 unless otherwise stated)</w:t>
      </w:r>
    </w:p>
    <w:p>
      <w:pPr>
        <w:pStyle w:val="TextBody"/>
        <w:bidi w:val="0"/>
        <w:jc w:val="left"/>
        <w:rPr/>
      </w:pPr>
      <w:r>
        <w:rPr/>
        <w:t> </w:t>
      </w:r>
    </w:p>
    <w:p>
      <w:pPr>
        <w:pStyle w:val="TextBody"/>
        <w:bidi w:val="0"/>
        <w:spacing w:before="0" w:after="0"/>
        <w:jc w:val="left"/>
        <w:rPr>
          <w:color w:val="000000"/>
        </w:rPr>
      </w:pPr>
      <w:r>
        <w:rPr>
          <w:color w:val="000000"/>
        </w:rPr>
        <w:t>•</w:t>
      </w:r>
    </w:p>
    <w:p>
      <w:pPr>
        <w:pStyle w:val="TextBody"/>
        <w:bidi w:val="0"/>
        <w:spacing w:before="0" w:after="0"/>
        <w:jc w:val="left"/>
        <w:rPr>
          <w:rFonts w:ascii="sans-serif" w:hAnsi="sans-serif"/>
          <w:color w:val="000000"/>
          <w:sz w:val="22"/>
        </w:rPr>
      </w:pPr>
      <w:r>
        <w:rPr>
          <w:rFonts w:ascii="sans-serif" w:hAnsi="sans-serif"/>
          <w:color w:val="000000"/>
          <w:sz w:val="22"/>
        </w:rPr>
        <w:t>Gross profit increased 21% year-over-year to $104.3 million. Gross margin expanded by 635 basis points year-over-year and 45 basis points sequentially to 33.2%, a company record.</w:t>
      </w:r>
    </w:p>
    <w:p>
      <w:pPr>
        <w:pStyle w:val="TextBody"/>
        <w:bidi w:val="0"/>
        <w:spacing w:before="0" w:after="0"/>
        <w:jc w:val="left"/>
        <w:rPr>
          <w:color w:val="000000"/>
        </w:rPr>
      </w:pPr>
      <w:r>
        <w:rPr>
          <w:color w:val="000000"/>
        </w:rPr>
        <w:t>•</w:t>
      </w:r>
    </w:p>
    <w:p>
      <w:pPr>
        <w:pStyle w:val="TextBody"/>
        <w:bidi w:val="0"/>
        <w:spacing w:before="0" w:after="0"/>
        <w:jc w:val="left"/>
        <w:rPr>
          <w:rFonts w:ascii="sans-serif" w:hAnsi="sans-serif"/>
          <w:color w:val="000000"/>
          <w:sz w:val="22"/>
        </w:rPr>
      </w:pPr>
      <w:r>
        <w:rPr>
          <w:rFonts w:ascii="sans-serif" w:hAnsi="sans-serif"/>
          <w:color w:val="000000"/>
          <w:sz w:val="22"/>
        </w:rPr>
        <w:t xml:space="preserve">GAAP operating income improved to $7.6 million from an operating loss of $16.9 million, while net income improved to $9.1 million from a net loss of $20.3 million. </w:t>
      </w:r>
    </w:p>
    <w:p>
      <w:pPr>
        <w:pStyle w:val="TextBody"/>
        <w:bidi w:val="0"/>
        <w:spacing w:before="0" w:after="0"/>
        <w:jc w:val="left"/>
        <w:rPr>
          <w:color w:val="000000"/>
        </w:rPr>
      </w:pPr>
      <w:r>
        <w:rPr>
          <w:color w:val="000000"/>
        </w:rPr>
        <w:t>•</w:t>
      </w:r>
    </w:p>
    <w:p>
      <w:pPr>
        <w:pStyle w:val="TextBody"/>
        <w:bidi w:val="0"/>
        <w:spacing w:before="0" w:after="0"/>
        <w:jc w:val="left"/>
        <w:rPr>
          <w:rFonts w:ascii="sans-serif" w:hAnsi="sans-serif"/>
          <w:color w:val="000000"/>
          <w:sz w:val="22"/>
        </w:rPr>
      </w:pPr>
      <w:r>
        <w:rPr>
          <w:rFonts w:ascii="sans-serif" w:hAnsi="sans-serif"/>
          <w:color w:val="000000"/>
          <w:sz w:val="22"/>
        </w:rPr>
        <w:t>Adjusted EBITDA increased 279% year-over-year to $30.8 million, nearly double the high end of the Company’s guidance of $15.5 million. Adjusted EBITDA margin expanded by 730 basis points to 9.8%.</w:t>
      </w:r>
    </w:p>
    <w:p>
      <w:pPr>
        <w:pStyle w:val="TextBody"/>
        <w:bidi w:val="0"/>
        <w:spacing w:before="0" w:after="0"/>
        <w:jc w:val="left"/>
        <w:rPr>
          <w:color w:val="000000"/>
        </w:rPr>
      </w:pPr>
      <w:r>
        <w:rPr>
          <w:color w:val="000000"/>
        </w:rPr>
        <w:t>•</w:t>
      </w:r>
    </w:p>
    <w:p>
      <w:pPr>
        <w:pStyle w:val="TextBody"/>
        <w:bidi w:val="0"/>
        <w:spacing w:before="0" w:after="0"/>
        <w:jc w:val="left"/>
        <w:rPr>
          <w:rFonts w:ascii="sans-serif" w:hAnsi="sans-serif"/>
          <w:color w:val="000000"/>
          <w:sz w:val="22"/>
        </w:rPr>
      </w:pPr>
      <w:r>
        <w:rPr>
          <w:rFonts w:ascii="sans-serif" w:hAnsi="sans-serif"/>
          <w:color w:val="000000"/>
          <w:sz w:val="22"/>
        </w:rPr>
        <w:t>GAAP diluted earnings per share was $0.06, compared with a loss of $0.16 a year ago; non-GAAP diluted earnings per share was $0.23, compared with $0.01 a year ago, which was more than three times the high end of the Company’s guided range of $0.05 to $0.07.</w:t>
      </w:r>
    </w:p>
    <w:p>
      <w:pPr>
        <w:pStyle w:val="TextBody"/>
        <w:bidi w:val="0"/>
        <w:spacing w:before="0" w:after="0"/>
        <w:jc w:val="left"/>
        <w:rPr>
          <w:color w:val="000000"/>
        </w:rPr>
      </w:pPr>
      <w:r>
        <w:rPr>
          <w:color w:val="000000"/>
        </w:rPr>
        <w:t>•</w:t>
      </w:r>
    </w:p>
    <w:p>
      <w:pPr>
        <w:pStyle w:val="TextBody"/>
        <w:bidi w:val="0"/>
        <w:spacing w:before="0" w:after="0"/>
        <w:jc w:val="left"/>
        <w:rPr>
          <w:rFonts w:ascii="sans-serif" w:hAnsi="sans-serif"/>
          <w:color w:val="000000"/>
          <w:sz w:val="22"/>
        </w:rPr>
      </w:pPr>
      <w:r>
        <w:rPr>
          <w:rFonts w:ascii="sans-serif" w:hAnsi="sans-serif"/>
          <w:color w:val="000000"/>
          <w:sz w:val="22"/>
        </w:rPr>
        <w:t>Net revenue was $314.3 million, down 2% year-over-year, above the assumed midpoint of the Company’s guided range of $295 million to $320 million.</w:t>
      </w:r>
    </w:p>
    <w:p>
      <w:pPr>
        <w:pStyle w:val="TextBody"/>
        <w:bidi w:val="0"/>
        <w:spacing w:before="0" w:after="0"/>
        <w:jc w:val="left"/>
        <w:rPr>
          <w:color w:val="000000"/>
        </w:rPr>
      </w:pPr>
      <w:r>
        <w:rPr>
          <w:color w:val="000000"/>
        </w:rPr>
        <w:t>•</w:t>
      </w:r>
    </w:p>
    <w:p>
      <w:pPr>
        <w:pStyle w:val="TextBody"/>
        <w:bidi w:val="0"/>
        <w:spacing w:before="0" w:after="0"/>
        <w:jc w:val="left"/>
        <w:rPr>
          <w:rFonts w:ascii="sans-serif" w:hAnsi="sans-serif"/>
          <w:color w:val="000000"/>
          <w:sz w:val="22"/>
        </w:rPr>
      </w:pPr>
      <w:r>
        <w:rPr>
          <w:rFonts w:ascii="sans-serif" w:hAnsi="sans-serif"/>
          <w:color w:val="000000"/>
          <w:sz w:val="22"/>
        </w:rPr>
        <w:t xml:space="preserve">Direct-to-consumer business was 20% of total net revenue. </w:t>
      </w:r>
    </w:p>
    <w:p>
      <w:pPr>
        <w:pStyle w:val="TextBody"/>
        <w:bidi w:val="0"/>
        <w:spacing w:before="0" w:after="0"/>
        <w:jc w:val="left"/>
        <w:rPr>
          <w:color w:val="000000"/>
        </w:rPr>
      </w:pPr>
      <w:r>
        <w:rPr>
          <w:color w:val="000000"/>
        </w:rPr>
        <w:t>•</w:t>
      </w:r>
    </w:p>
    <w:p>
      <w:pPr>
        <w:pStyle w:val="TextBody"/>
        <w:bidi w:val="0"/>
        <w:jc w:val="left"/>
        <w:rPr>
          <w:rFonts w:ascii="sans-serif" w:hAnsi="sans-serif"/>
          <w:color w:val="000000"/>
          <w:sz w:val="22"/>
        </w:rPr>
      </w:pPr>
      <w:r>
        <w:rPr>
          <w:rFonts w:ascii="sans-serif" w:hAnsi="sans-serif"/>
          <w:color w:val="000000"/>
          <w:sz w:val="22"/>
        </w:rPr>
        <w:t>Net cash provided by operating activities increased 148% year-over-year to $74.8 million. Cash and restricted cash increased $74.1 million sequentially to $193.9 million at quarter-end.</w:t>
      </w:r>
    </w:p>
    <w:p>
      <w:pPr>
        <w:pStyle w:val="TextBody"/>
        <w:bidi w:val="0"/>
        <w:jc w:val="both"/>
        <w:rPr/>
      </w:pPr>
      <w:r>
        <w:rPr/>
        <w:t> </w:t>
      </w:r>
    </w:p>
    <w:p>
      <w:pPr>
        <w:pStyle w:val="TextBody"/>
        <w:bidi w:val="0"/>
        <w:jc w:val="left"/>
        <w:rPr>
          <w:rFonts w:ascii="sans-serif" w:hAnsi="sans-serif"/>
          <w:color w:val="000000"/>
          <w:sz w:val="22"/>
        </w:rPr>
      </w:pPr>
      <w:r>
        <w:rPr>
          <w:rFonts w:ascii="sans-serif" w:hAnsi="sans-serif"/>
          <w:color w:val="000000"/>
          <w:sz w:val="22"/>
        </w:rPr>
        <w:t>During the second quarter of 2026, the Company recognized a benefit of approximately $15.6 million to GAAP gross profit from refunds of tariffs previously paid under the International Emergency Economic Powers Act. This delivered approximately 500 basis points of benefit to gross margin. Net income benefited by approximately $14.9 million, adjusted EBITDA by approximately $14.3 million and non-GAAP diluted earnings per share by $0.14. Excluding this benefit, net loss would have been $5.7 million and GAAP diluted loss per share would have been $(0.07), adjusted EBITDA would have been $16.6 million, and non-GAAP diluted earnings per share would have been $0.09, both above the high end of the Company’s guided ranges of $15.5 million and $0.07 respectively. Following receipt of these amounts, the Company is materially complete with the tariff-refund process, although it may receive immaterial administrative adjustments or interest in future periods.</w:t>
      </w:r>
    </w:p>
    <w:p>
      <w:pPr>
        <w:pStyle w:val="TextBody"/>
        <w:bidi w:val="0"/>
        <w:jc w:val="left"/>
        <w:rPr/>
      </w:pPr>
      <w:r>
        <w:rPr/>
        <w:t> </w:t>
      </w:r>
    </w:p>
    <w:p>
      <w:pPr>
        <w:pStyle w:val="TextBody"/>
        <w:bidi w:val="0"/>
        <w:jc w:val="left"/>
        <w:rPr>
          <w:rFonts w:ascii="sans-serif" w:hAnsi="sans-serif"/>
          <w:color w:val="000000"/>
          <w:sz w:val="22"/>
        </w:rPr>
      </w:pPr>
      <w:r>
        <w:rPr>
          <w:rFonts w:ascii="sans-serif" w:hAnsi="sans-serif"/>
          <w:color w:val="000000"/>
          <w:sz w:val="22"/>
        </w:rPr>
        <w:t>Definitions of the non-GAAP financial measures used in this press release and reconciliations of such measures to their nearest GAAP equivalents are included below under the heading “Use and Reconciliation of Non-GAAP Financial Measures.”</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jc w:val="left"/>
        <w:rPr>
          <w:rFonts w:ascii="sans-serif" w:hAnsi="sans-serif"/>
          <w:b/>
          <w:color w:val="000000"/>
          <w:sz w:val="22"/>
        </w:rPr>
      </w:pPr>
      <w:r>
        <w:rPr>
          <w:rFonts w:ascii="sans-serif" w:hAnsi="sans-serif"/>
          <w:b/>
          <w:color w:val="000000"/>
          <w:sz w:val="22"/>
        </w:rPr>
        <w:t>Business Segment Highlights:</w:t>
      </w:r>
    </w:p>
    <w:p>
      <w:pPr>
        <w:pStyle w:val="TextBody"/>
        <w:bidi w:val="0"/>
        <w:jc w:val="left"/>
        <w:rPr/>
      </w:pPr>
      <w:r>
        <w:rPr/>
        <w:t> </w:t>
      </w:r>
    </w:p>
    <w:p>
      <w:pPr>
        <w:pStyle w:val="TextBody"/>
        <w:bidi w:val="0"/>
        <w:jc w:val="left"/>
        <w:rPr>
          <w:rFonts w:ascii="sans-serif" w:hAnsi="sans-serif"/>
          <w:b/>
          <w:color w:val="000000"/>
          <w:sz w:val="22"/>
        </w:rPr>
      </w:pPr>
      <w:r>
        <w:rPr>
          <w:rFonts w:ascii="sans-serif" w:hAnsi="sans-serif"/>
          <w:b/>
          <w:color w:val="000000"/>
          <w:sz w:val="22"/>
        </w:rPr>
        <w:t>Gamer and Creator Peripherals Segment</w:t>
      </w:r>
    </w:p>
    <w:p>
      <w:pPr>
        <w:pStyle w:val="TextBody"/>
        <w:bidi w:val="0"/>
        <w:spacing w:before="60" w:after="60"/>
        <w:jc w:val="left"/>
        <w:rPr>
          <w:rFonts w:ascii="sans-serif" w:hAnsi="sans-serif"/>
          <w:color w:val="000000"/>
          <w:sz w:val="22"/>
        </w:rPr>
      </w:pPr>
      <w:r>
        <w:rPr>
          <w:rFonts w:ascii="sans-serif" w:hAnsi="sans-serif"/>
          <w:color w:val="000000"/>
          <w:sz w:val="22"/>
        </w:rPr>
        <w:t>Revenue grew 13% year over year to $115.9 million, with continued strong demand across gaming peripherals, streaming components, and Sim Racing solutions. Growth reflects market share gains, successful new product introductions, and continued ecosystem expansion.</w:t>
      </w:r>
    </w:p>
    <w:p>
      <w:pPr>
        <w:pStyle w:val="TextBody"/>
        <w:bidi w:val="0"/>
        <w:spacing w:before="0" w:after="60"/>
        <w:jc w:val="left"/>
        <w:rPr/>
      </w:pPr>
      <w:r>
        <w:rPr/>
        <w:t> </w:t>
      </w:r>
    </w:p>
    <w:p>
      <w:pPr>
        <w:pStyle w:val="TextBody"/>
        <w:bidi w:val="0"/>
        <w:spacing w:before="0" w:after="60"/>
        <w:jc w:val="left"/>
        <w:rPr>
          <w:rFonts w:ascii="sans-serif" w:hAnsi="sans-serif"/>
          <w:color w:val="000000"/>
          <w:sz w:val="22"/>
        </w:rPr>
      </w:pPr>
      <w:r>
        <w:rPr>
          <w:rFonts w:ascii="sans-serif" w:hAnsi="sans-serif"/>
          <w:color w:val="000000"/>
          <w:sz w:val="22"/>
        </w:rPr>
        <w:t>Gross profit increased 27% year-over-year to $52.0 million, with the segment continuing to benefit from a favorable shift toward higher-margin categories.</w:t>
      </w:r>
    </w:p>
    <w:p>
      <w:pPr>
        <w:pStyle w:val="TextBody"/>
        <w:bidi w:val="0"/>
        <w:spacing w:before="0" w:after="60"/>
        <w:jc w:val="left"/>
        <w:rPr/>
      </w:pPr>
      <w:r>
        <w:rPr/>
        <w:t> </w:t>
      </w:r>
    </w:p>
    <w:p>
      <w:pPr>
        <w:pStyle w:val="TextBody"/>
        <w:bidi w:val="0"/>
        <w:spacing w:before="0" w:after="60"/>
        <w:jc w:val="left"/>
        <w:rPr>
          <w:rFonts w:ascii="sans-serif" w:hAnsi="sans-serif"/>
          <w:color w:val="000000"/>
          <w:sz w:val="22"/>
        </w:rPr>
      </w:pPr>
      <w:r>
        <w:rPr>
          <w:rFonts w:ascii="sans-serif" w:hAnsi="sans-serif"/>
          <w:color w:val="000000"/>
          <w:sz w:val="22"/>
        </w:rPr>
        <w:t>Elgato and Stream Deck continued to expand beyond content creation into broader workflow automation and professional broadcast applications. In the first half of 2026, the Elgato Marketplace delivered strong first half year-over-year growth, with gross revenue and transaction volume each up over 100% and product submissions up more than 300%, alongside more than 500,000 new accounts added. AI-assisted development is making it easier for creators and developers to build new profiles and plug-ins, increasing the utility of the Stream Deck ecosystem and supporting future recurring-revenue opportunities. During the quarter, Corsair also made a minority investment in Bitfocus AS, a Norway-based software company, to deepen integration between Stream Deck and Bitfocus's professional show-control software, further extending the Stream Deck ecosystem into live production and broadcast workflows. As part of the agreement, Corsair and Bitfocus also established a partnership under which Stream Deck Studio and the broader Stream Deck range will serve as the preferred and primary control surfaces across Bitfocus customer deployments.</w:t>
      </w:r>
    </w:p>
    <w:p>
      <w:pPr>
        <w:pStyle w:val="TextBody"/>
        <w:bidi w:val="0"/>
        <w:jc w:val="left"/>
        <w:rPr/>
      </w:pPr>
      <w:r>
        <w:rPr/>
        <w:t> </w:t>
      </w:r>
    </w:p>
    <w:p>
      <w:pPr>
        <w:pStyle w:val="TextBody"/>
        <w:bidi w:val="0"/>
        <w:spacing w:before="60" w:after="60"/>
        <w:jc w:val="left"/>
        <w:rPr>
          <w:rFonts w:ascii="sans-serif" w:hAnsi="sans-serif"/>
          <w:color w:val="000000"/>
          <w:sz w:val="22"/>
        </w:rPr>
      </w:pPr>
      <w:r>
        <w:rPr>
          <w:rFonts w:ascii="sans-serif" w:hAnsi="sans-serif"/>
          <w:color w:val="000000"/>
          <w:sz w:val="22"/>
        </w:rPr>
        <w:t>Sim Racing remained a key growth driver, with continued momentum at Fanatec supported by new products, expanded distribution and direct-to-consumer engagement. Fanatec’s momentum was one of the key contributors to the segment’s double-digit revenue growth, while it also carries gross margins above the segment average. Fanatec’s direct-to-consumer orientation also provides stronger unit economics, richer customer data and deeper customer relationships, while complementing Corsair’s channel partnerships.</w:t>
      </w:r>
    </w:p>
    <w:p>
      <w:pPr>
        <w:pStyle w:val="TextBody"/>
        <w:bidi w:val="0"/>
        <w:jc w:val="left"/>
        <w:rPr/>
      </w:pPr>
      <w:r>
        <w:rPr/>
        <w:t> </w:t>
      </w:r>
    </w:p>
    <w:p>
      <w:pPr>
        <w:pStyle w:val="TextBody"/>
        <w:bidi w:val="0"/>
        <w:jc w:val="left"/>
        <w:rPr>
          <w:rFonts w:ascii="sans-serif" w:hAnsi="sans-serif"/>
          <w:b/>
          <w:color w:val="000000"/>
          <w:sz w:val="22"/>
        </w:rPr>
      </w:pPr>
      <w:r>
        <w:rPr>
          <w:rFonts w:ascii="sans-serif" w:hAnsi="sans-serif"/>
          <w:b/>
          <w:color w:val="000000"/>
          <w:sz w:val="22"/>
        </w:rPr>
        <w:t>Recent Developments:</w:t>
      </w:r>
    </w:p>
    <w:p>
      <w:pPr>
        <w:pStyle w:val="TextBody"/>
        <w:bidi w:val="0"/>
        <w:spacing w:before="60" w:after="60"/>
        <w:jc w:val="left"/>
        <w:rPr>
          <w:rFonts w:ascii="Times New Roman" w:hAnsi="Times New Roman"/>
          <w:sz w:val="20"/>
        </w:rPr>
      </w:pPr>
      <w:r>
        <w:rPr>
          <w:rFonts w:ascii="sans-serif" w:hAnsi="sans-serif"/>
          <w:color w:val="000000"/>
          <w:sz w:val="22"/>
        </w:rPr>
        <w:t>On August 3, 2026, Corsair completed the acquisition of Trak Racer, a complementary Sim Racing hardware brand sold primarily through direct-to-consumer channels, extending Fanatec’s product range and distribution reach within the Company's Sim Racing platform. As part of the transaction, Trak Racer founder Matt Sten has joined as Chief Technology Officer of the Company's Sim Solutions group, and Pete Hosking will continue to lead Trak Racer with ongoing P&amp;L responsibility.</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sans-serif" w:hAnsi="sans-serif"/>
          <w:b/>
          <w:color w:val="000000"/>
          <w:sz w:val="22"/>
        </w:rPr>
      </w:pPr>
      <w:r>
        <w:rPr>
          <w:rFonts w:ascii="sans-serif" w:hAnsi="sans-serif"/>
          <w:b/>
          <w:color w:val="000000"/>
          <w:sz w:val="22"/>
        </w:rPr>
        <w:t>Gaming Components and Systems Segment</w:t>
      </w:r>
    </w:p>
    <w:p>
      <w:pPr>
        <w:pStyle w:val="TextBody"/>
        <w:bidi w:val="0"/>
        <w:spacing w:before="60" w:after="60"/>
        <w:jc w:val="left"/>
        <w:rPr>
          <w:rFonts w:ascii="sans-serif" w:hAnsi="sans-serif"/>
          <w:color w:val="000000"/>
          <w:sz w:val="22"/>
        </w:rPr>
      </w:pPr>
      <w:r>
        <w:rPr>
          <w:rFonts w:ascii="sans-serif" w:hAnsi="sans-serif"/>
          <w:color w:val="000000"/>
          <w:sz w:val="22"/>
        </w:rPr>
        <w:t>Revenue declined 9% year-over-year to $198.5 million. Higher memory pricing continued to weigh on the market for DIY PC builds and standalone components, which shrank year-over-year during the quarter.</w:t>
      </w:r>
    </w:p>
    <w:p>
      <w:pPr>
        <w:pStyle w:val="TextBody"/>
        <w:bidi w:val="0"/>
        <w:spacing w:before="0" w:after="60"/>
        <w:jc w:val="left"/>
        <w:rPr>
          <w:rFonts w:ascii="Times New Roman" w:hAnsi="Times New Roman"/>
          <w:sz w:val="20"/>
        </w:rPr>
      </w:pPr>
      <w:r>
        <w:rPr>
          <w:rFonts w:ascii="sans-serif" w:hAnsi="sans-serif"/>
          <w:color w:val="000000"/>
          <w:sz w:val="22"/>
        </w:rPr>
        <w:t>Elsewhere within the segment, memory revenue grew 17% year-over-year, supported by continued excellence in supply chain management, robust demand and sequential market share gains in North America. The Company’s memory supply availability remained adequate as its strategically built memory inventory was substantially right-sized during the first half of 2026.</w:t>
      </w:r>
      <w:r>
        <w:rPr>
          <w:rFonts w:ascii="Times New Roman" w:hAnsi="Times New Roman"/>
          <w:color w:val="000000"/>
          <w:sz w:val="20"/>
        </w:rPr>
        <w:t xml:space="preserve"> </w:t>
      </w:r>
    </w:p>
    <w:p>
      <w:pPr>
        <w:pStyle w:val="TextBody"/>
        <w:bidi w:val="0"/>
        <w:spacing w:before="0" w:after="60"/>
        <w:jc w:val="left"/>
        <w:rPr/>
      </w:pPr>
      <w:r>
        <w:rPr/>
        <w:t> </w:t>
      </w:r>
    </w:p>
    <w:p>
      <w:pPr>
        <w:pStyle w:val="TextBody"/>
        <w:bidi w:val="0"/>
        <w:jc w:val="left"/>
        <w:rPr>
          <w:rFonts w:ascii="Times New Roman" w:hAnsi="Times New Roman"/>
          <w:sz w:val="20"/>
        </w:rPr>
      </w:pPr>
      <w:r>
        <w:rPr>
          <w:rFonts w:ascii="sans-serif" w:hAnsi="sans-serif"/>
          <w:color w:val="000000"/>
          <w:sz w:val="22"/>
        </w:rPr>
        <w:t>Within Systems, demand remained strong, with continued AI compute momentum driving solid year-over-year revenue growth. Corsair is building its AI workstation offering as a natural extension of its</w:t>
      </w:r>
      <w:r>
        <w:rPr>
          <w:rFonts w:ascii="Times New Roman" w:hAnsi="Times New Roman"/>
          <w:color w:val="000000"/>
          <w:sz w:val="20"/>
        </w:rPr>
        <w:t xml:space="preserve">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jc w:val="left"/>
        <w:rPr>
          <w:rFonts w:ascii="sans-serif" w:hAnsi="sans-serif"/>
          <w:color w:val="000000"/>
          <w:sz w:val="22"/>
        </w:rPr>
      </w:pPr>
      <w:r>
        <w:rPr>
          <w:rFonts w:ascii="sans-serif" w:hAnsi="sans-serif"/>
          <w:color w:val="000000"/>
          <w:sz w:val="22"/>
        </w:rPr>
        <w:t>existing capabilities in high-performance systems, customization, memory, thermal management and power delivery, initially targeting the approximately $22 billion desktop AI PC opportunity and prosumer and small- and medium-sized business customers who value local compute, data security and lower cloud-token consumption. The significance of this opportunity to the Company’s operations remains early, with a more impactful contribution expected in the latter part of 2027 and beyond.</w:t>
      </w:r>
    </w:p>
    <w:p>
      <w:pPr>
        <w:pStyle w:val="TextBody"/>
        <w:bidi w:val="0"/>
        <w:jc w:val="left"/>
        <w:rPr>
          <w:rFonts w:ascii="Times New Roman" w:hAnsi="Times New Roman"/>
          <w:sz w:val="20"/>
        </w:rPr>
      </w:pPr>
      <w:r>
        <w:rPr>
          <w:rFonts w:ascii="sans-serif" w:hAnsi="sans-serif"/>
          <w:color w:val="000000"/>
          <w:sz w:val="22"/>
        </w:rPr>
        <w:br/>
        <w:t>Despite the market headwinds in components, gross profit increased 17% year-over-year to $52.2 million and gross margin expanded 570 basis points to 26.3% year-over-year.</w:t>
      </w:r>
      <w:r>
        <w:rPr>
          <w:rFonts w:ascii="Times New Roman" w:hAnsi="Times New Roman"/>
          <w:color w:val="000000"/>
          <w:sz w:val="20"/>
        </w:rPr>
        <w:t xml:space="preserve"> </w:t>
      </w:r>
    </w:p>
    <w:p>
      <w:pPr>
        <w:pStyle w:val="TextBody"/>
        <w:bidi w:val="0"/>
        <w:spacing w:before="60" w:after="60"/>
        <w:jc w:val="left"/>
        <w:rPr/>
      </w:pPr>
      <w:r>
        <w:rPr/>
        <w:t> </w:t>
      </w:r>
    </w:p>
    <w:p>
      <w:pPr>
        <w:pStyle w:val="TextBody"/>
        <w:bidi w:val="0"/>
        <w:jc w:val="left"/>
        <w:rPr/>
      </w:pPr>
      <w:r>
        <w:rPr/>
        <w:t> </w:t>
      </w:r>
    </w:p>
    <w:p>
      <w:pPr>
        <w:pStyle w:val="TextBody"/>
        <w:bidi w:val="0"/>
        <w:jc w:val="left"/>
        <w:rPr>
          <w:rFonts w:ascii="sans-serif" w:hAnsi="sans-serif"/>
          <w:b/>
          <w:color w:val="000000"/>
          <w:sz w:val="22"/>
        </w:rPr>
      </w:pPr>
      <w:r>
        <w:rPr>
          <w:rFonts w:ascii="sans-serif" w:hAnsi="sans-serif"/>
          <w:b/>
          <w:color w:val="000000"/>
          <w:sz w:val="22"/>
        </w:rPr>
        <w:t>Management Commentary:</w:t>
      </w:r>
    </w:p>
    <w:p>
      <w:pPr>
        <w:pStyle w:val="TextBody"/>
        <w:bidi w:val="0"/>
        <w:jc w:val="left"/>
        <w:rPr/>
      </w:pPr>
      <w:r>
        <w:rPr/>
        <w:t> </w:t>
      </w:r>
    </w:p>
    <w:p>
      <w:pPr>
        <w:pStyle w:val="TextBody"/>
        <w:bidi w:val="0"/>
        <w:jc w:val="left"/>
        <w:rPr>
          <w:rFonts w:ascii="sans-serif" w:hAnsi="sans-serif"/>
          <w:color w:val="000000"/>
          <w:sz w:val="22"/>
        </w:rPr>
      </w:pPr>
      <w:r>
        <w:rPr>
          <w:rFonts w:ascii="sans-serif" w:hAnsi="sans-serif"/>
          <w:color w:val="000000"/>
          <w:sz w:val="22"/>
        </w:rPr>
        <w:t>Thi La, Chief Executive Officer of Corsair, stated, “We delivered another quarter of significant profitability improvement, with gross margin reaching a record for the Company at 33.2%, gross profit increasing 21% year-over-year, net loss of $5.7 million excluding the tariff refund and adjusted EBITDA, excluding the tariff refund, of $16.6 million, above the high end of our guidance. These results demonstrate the strength of our improving product mix, disciplined execution and continued shift toward higher-margin categories. Gamer and Creator Peripherals was a standout, delivering 13% revenue growth, 27% gross profit growth and a gross margin of 44.9%, supported by continued momentum at Fanatec and the expanding Elgato and Stream Deck ecosystem.”</w:t>
      </w:r>
    </w:p>
    <w:p>
      <w:pPr>
        <w:pStyle w:val="TextBody"/>
        <w:bidi w:val="0"/>
        <w:jc w:val="left"/>
        <w:rPr/>
      </w:pPr>
      <w:r>
        <w:rPr/>
        <w:t> </w:t>
      </w:r>
    </w:p>
    <w:p>
      <w:pPr>
        <w:pStyle w:val="TextBody"/>
        <w:bidi w:val="0"/>
        <w:jc w:val="left"/>
        <w:rPr>
          <w:color w:val="000000"/>
        </w:rPr>
      </w:pPr>
      <w:r>
        <w:rPr>
          <w:color w:val="000000"/>
        </w:rPr>
        <w:t>“</w:t>
      </w:r>
      <w:r>
        <w:rPr>
          <w:rFonts w:ascii="sans-serif" w:hAnsi="sans-serif"/>
          <w:color w:val="000000"/>
          <w:sz w:val="22"/>
        </w:rPr>
        <w:t>Looking ahead, our investments remain focused on margin potential, ecosystem value and our ability to win. We see meaningful opportunities to further expand Stream Deck into workflow automation and professional broadcasting, accelerate Marketplace development through AI, deepen our direct-to-consumer relationships and build on Fanatec’s momentum in Sim Racing. Adding to this, our acquisition of Trak Racer has the potential to deliver strong synergies from product range to channel reach. While elevated memory pricing continues to delay DIY PC builds, we believe that demand has been deferred, not lost, and that Corsair is well positioned to benefit as market conditions normalize.”</w:t>
      </w:r>
    </w:p>
    <w:p>
      <w:pPr>
        <w:pStyle w:val="TextBody"/>
        <w:bidi w:val="0"/>
        <w:jc w:val="left"/>
        <w:rPr/>
      </w:pPr>
      <w:r>
        <w:rPr/>
        <w:t> </w:t>
      </w:r>
    </w:p>
    <w:p>
      <w:pPr>
        <w:pStyle w:val="TextBody"/>
        <w:bidi w:val="0"/>
        <w:jc w:val="left"/>
        <w:rPr>
          <w:rFonts w:ascii="sans-serif" w:hAnsi="sans-serif"/>
          <w:color w:val="000000"/>
          <w:sz w:val="22"/>
        </w:rPr>
      </w:pPr>
      <w:r>
        <w:rPr>
          <w:rFonts w:ascii="sans-serif" w:hAnsi="sans-serif"/>
          <w:color w:val="000000"/>
          <w:sz w:val="22"/>
        </w:rPr>
        <w:t>Gordon Mattingly, Chief Financial Officer of Corsair, stated, “The quarter showed strong conversion of gross-profit improvement into earnings and cash generation. We moved from a $16.9 million GAAP operating loss a year ago to $7.6 million of operating income, generated $74.8 million of operating cash flow, and ended the quarter with $193.9 million of cash and restricted cash against approximately $118.7 million of debt. We also reduced operating expenses by $6.1 million year-over-year, allowing more of the gross-profit improvement from mix and execution to reach the bottom line. The tariff refund further strengthened our financial results and cash position during the quarter. With the related refund process now materially complete, our focus remains on executing against the underlying operating priorities of the business as we continue to drive growth.”</w:t>
      </w:r>
    </w:p>
    <w:p>
      <w:pPr>
        <w:pStyle w:val="TextBody"/>
        <w:bidi w:val="0"/>
        <w:jc w:val="left"/>
        <w:rPr/>
      </w:pPr>
      <w:r>
        <w:rPr/>
        <w:t> </w:t>
      </w:r>
    </w:p>
    <w:p>
      <w:pPr>
        <w:pStyle w:val="TextBody"/>
        <w:bidi w:val="0"/>
        <w:jc w:val="left"/>
        <w:rPr/>
      </w:pPr>
      <w:r>
        <w:rPr/>
        <w:t> </w:t>
      </w:r>
    </w:p>
    <w:p>
      <w:pPr>
        <w:pStyle w:val="TextBody"/>
        <w:bidi w:val="0"/>
        <w:jc w:val="left"/>
        <w:rPr>
          <w:rFonts w:ascii="sans-serif" w:hAnsi="sans-serif"/>
          <w:b/>
          <w:color w:val="000000"/>
          <w:sz w:val="22"/>
        </w:rPr>
      </w:pPr>
      <w:r>
        <w:rPr>
          <w:rFonts w:ascii="sans-serif" w:hAnsi="sans-serif"/>
          <w:b/>
          <w:color w:val="000000"/>
          <w:sz w:val="22"/>
        </w:rPr>
        <w:t>Third Quarter and Updated Full Year 2026 Financial Outlook:</w:t>
      </w:r>
    </w:p>
    <w:p>
      <w:pPr>
        <w:pStyle w:val="TextBody"/>
        <w:bidi w:val="0"/>
        <w:spacing w:before="240" w:after="283"/>
        <w:jc w:val="left"/>
        <w:rPr>
          <w:rFonts w:ascii="sans-serif" w:hAnsi="sans-serif"/>
          <w:color w:val="000000"/>
          <w:sz w:val="22"/>
        </w:rPr>
      </w:pPr>
      <w:r>
        <w:rPr>
          <w:rFonts w:ascii="sans-serif" w:hAnsi="sans-serif"/>
          <w:color w:val="000000"/>
          <w:sz w:val="22"/>
        </w:rPr>
        <w:t>For the third quarter of 2026, we expect:</w:t>
      </w:r>
    </w:p>
    <w:p>
      <w:pPr>
        <w:pStyle w:val="TextBody"/>
        <w:bidi w:val="0"/>
        <w:spacing w:before="240" w:after="283"/>
        <w:jc w:val="left"/>
        <w:rPr>
          <w:color w:val="000000"/>
        </w:rPr>
      </w:pPr>
      <w:r>
        <w:rPr>
          <w:color w:val="000000"/>
        </w:rPr>
        <w:t>•</w:t>
      </w:r>
    </w:p>
    <w:p>
      <w:pPr>
        <w:pStyle w:val="TextBody"/>
        <w:bidi w:val="0"/>
        <w:spacing w:before="240" w:after="283"/>
        <w:jc w:val="left"/>
        <w:rPr>
          <w:rFonts w:ascii="sans-serif" w:hAnsi="sans-serif"/>
          <w:color w:val="000000"/>
          <w:sz w:val="22"/>
        </w:rPr>
      </w:pPr>
      <w:r>
        <w:rPr>
          <w:rFonts w:ascii="sans-serif" w:hAnsi="sans-serif"/>
          <w:color w:val="000000"/>
          <w:sz w:val="22"/>
        </w:rPr>
        <w:t>Net revenue to be in the range of $320 million to $350 million.</w:t>
      </w:r>
    </w:p>
    <w:p>
      <w:pPr>
        <w:pStyle w:val="TextBody"/>
        <w:bidi w:val="0"/>
        <w:spacing w:before="240" w:after="283"/>
        <w:jc w:val="left"/>
        <w:rPr>
          <w:color w:val="000000"/>
        </w:rPr>
      </w:pPr>
      <w:r>
        <w:rPr>
          <w:color w:val="000000"/>
        </w:rPr>
        <w:t>•</w:t>
      </w:r>
    </w:p>
    <w:p>
      <w:pPr>
        <w:pStyle w:val="TextBody"/>
        <w:bidi w:val="0"/>
        <w:spacing w:before="240" w:after="283"/>
        <w:jc w:val="left"/>
        <w:rPr>
          <w:rFonts w:ascii="sans-serif" w:hAnsi="sans-serif"/>
          <w:color w:val="000000"/>
          <w:sz w:val="22"/>
        </w:rPr>
      </w:pPr>
      <w:r>
        <w:rPr>
          <w:rFonts w:ascii="sans-serif" w:hAnsi="sans-serif"/>
          <w:color w:val="000000"/>
          <w:sz w:val="22"/>
        </w:rPr>
        <w:t>Adjusted EBITDA to be in the range of $18 million to $21 million.</w:t>
      </w:r>
    </w:p>
    <w:p>
      <w:pPr>
        <w:pStyle w:val="TextBody"/>
        <w:bidi w:val="0"/>
        <w:spacing w:before="240" w:after="283"/>
        <w:jc w:val="left"/>
        <w:rPr>
          <w:color w:val="000000"/>
        </w:rPr>
      </w:pPr>
      <w:r>
        <w:rPr>
          <w:color w:val="000000"/>
        </w:rPr>
        <w:t>•</w:t>
      </w:r>
    </w:p>
    <w:p>
      <w:pPr>
        <w:pStyle w:val="TextBody"/>
        <w:bidi w:val="0"/>
        <w:spacing w:before="240" w:after="283"/>
        <w:jc w:val="left"/>
        <w:rPr>
          <w:rFonts w:ascii="sans-serif" w:hAnsi="sans-serif"/>
          <w:color w:val="000000"/>
          <w:sz w:val="22"/>
        </w:rPr>
      </w:pPr>
      <w:r>
        <w:rPr>
          <w:rFonts w:ascii="sans-serif" w:hAnsi="sans-serif"/>
          <w:color w:val="000000"/>
          <w:sz w:val="22"/>
        </w:rPr>
        <w:t>Non-GAAP EPS to be in the range of $0.09 to $0.12.</w:t>
      </w:r>
    </w:p>
    <w:p>
      <w:pPr>
        <w:pStyle w:val="TextBody"/>
        <w:bidi w:val="0"/>
        <w:spacing w:before="80" w:after="6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spacing w:before="240" w:after="283"/>
        <w:jc w:val="left"/>
        <w:rPr>
          <w:rFonts w:ascii="sans-serif" w:hAnsi="sans-serif"/>
          <w:color w:val="000000"/>
          <w:sz w:val="22"/>
        </w:rPr>
      </w:pPr>
      <w:r>
        <w:rPr>
          <w:rFonts w:ascii="sans-serif" w:hAnsi="sans-serif"/>
          <w:color w:val="000000"/>
          <w:sz w:val="22"/>
        </w:rPr>
        <w:t>For the full year 2026, we expect:</w:t>
      </w:r>
    </w:p>
    <w:p>
      <w:pPr>
        <w:pStyle w:val="TextBody"/>
        <w:bidi w:val="0"/>
        <w:spacing w:before="240" w:after="283"/>
        <w:jc w:val="left"/>
        <w:rPr>
          <w:color w:val="000000"/>
        </w:rPr>
      </w:pPr>
      <w:r>
        <w:rPr>
          <w:color w:val="000000"/>
        </w:rPr>
        <w:t>•</w:t>
      </w:r>
    </w:p>
    <w:p>
      <w:pPr>
        <w:pStyle w:val="TextBody"/>
        <w:bidi w:val="0"/>
        <w:spacing w:before="240" w:after="283"/>
        <w:jc w:val="left"/>
        <w:rPr>
          <w:rFonts w:ascii="sans-serif" w:hAnsi="sans-serif"/>
          <w:color w:val="000000"/>
          <w:sz w:val="22"/>
        </w:rPr>
      </w:pPr>
      <w:r>
        <w:rPr>
          <w:rFonts w:ascii="sans-serif" w:hAnsi="sans-serif"/>
          <w:color w:val="000000"/>
          <w:sz w:val="22"/>
        </w:rPr>
        <w:t>Net revenue to be in the range of $1.40 billion to $1.47 billion.</w:t>
      </w:r>
    </w:p>
    <w:p>
      <w:pPr>
        <w:pStyle w:val="TextBody"/>
        <w:bidi w:val="0"/>
        <w:spacing w:before="240" w:after="283"/>
        <w:jc w:val="left"/>
        <w:rPr>
          <w:color w:val="000000"/>
        </w:rPr>
      </w:pPr>
      <w:r>
        <w:rPr>
          <w:color w:val="000000"/>
        </w:rPr>
        <w:t>•</w:t>
      </w:r>
    </w:p>
    <w:p>
      <w:pPr>
        <w:pStyle w:val="TextBody"/>
        <w:bidi w:val="0"/>
        <w:spacing w:before="240" w:after="283"/>
        <w:jc w:val="left"/>
        <w:rPr>
          <w:rFonts w:ascii="sans-serif" w:hAnsi="sans-serif"/>
          <w:color w:val="000000"/>
          <w:sz w:val="22"/>
        </w:rPr>
      </w:pPr>
      <w:r>
        <w:rPr>
          <w:rFonts w:ascii="sans-serif" w:hAnsi="sans-serif"/>
          <w:color w:val="000000"/>
          <w:sz w:val="22"/>
        </w:rPr>
        <w:t>Adjusted EBITDA to be in the range of $121 to $131 million.</w:t>
      </w:r>
    </w:p>
    <w:p>
      <w:pPr>
        <w:pStyle w:val="TextBody"/>
        <w:bidi w:val="0"/>
        <w:spacing w:before="240" w:after="283"/>
        <w:jc w:val="left"/>
        <w:rPr>
          <w:color w:val="000000"/>
        </w:rPr>
      </w:pPr>
      <w:r>
        <w:rPr>
          <w:color w:val="000000"/>
        </w:rPr>
        <w:t>•</w:t>
      </w:r>
    </w:p>
    <w:p>
      <w:pPr>
        <w:pStyle w:val="TextBody"/>
        <w:bidi w:val="0"/>
        <w:spacing w:before="240" w:after="283"/>
        <w:jc w:val="left"/>
        <w:rPr>
          <w:rFonts w:ascii="sans-serif" w:hAnsi="sans-serif"/>
          <w:color w:val="000000"/>
          <w:sz w:val="22"/>
        </w:rPr>
      </w:pPr>
      <w:r>
        <w:rPr>
          <w:rFonts w:ascii="sans-serif" w:hAnsi="sans-serif"/>
          <w:color w:val="000000"/>
          <w:sz w:val="22"/>
        </w:rPr>
        <w:t>Non-GAAP EPS to be in the range of $0.85 to $0.94.</w:t>
      </w:r>
    </w:p>
    <w:p>
      <w:pPr>
        <w:pStyle w:val="TextBody"/>
        <w:bidi w:val="0"/>
        <w:jc w:val="left"/>
        <w:rPr/>
      </w:pPr>
      <w:r>
        <w:rPr/>
        <w:t> </w:t>
      </w:r>
    </w:p>
    <w:p>
      <w:pPr>
        <w:pStyle w:val="TextBody"/>
        <w:bidi w:val="0"/>
        <w:jc w:val="left"/>
        <w:rPr>
          <w:rFonts w:ascii="Times New Roman" w:hAnsi="Times New Roman"/>
          <w:sz w:val="20"/>
        </w:rPr>
      </w:pPr>
      <w:r>
        <w:rPr>
          <w:rFonts w:ascii="sans-serif" w:hAnsi="sans-serif"/>
          <w:color w:val="000000"/>
          <w:sz w:val="22"/>
        </w:rPr>
        <w:t>The third quarter and full year 2026 outlook assumes continued double-digit growth in Gamer and Creator Peripherals, led by Fanatec, Elgato and Stream Deck, with the higher-margin mix and continued direct-to-consumer progress supporting consolidated gross margin. Gaming Components and Systems is expected to remain pressured by elevated memory pricing delaying DIY demand, although supply availability is expected to remain adequate.</w:t>
      </w:r>
      <w:r>
        <w:rPr>
          <w:rFonts w:ascii="Times New Roman" w:hAnsi="Times New Roman"/>
          <w:color w:val="000000"/>
          <w:sz w:val="20"/>
        </w:rPr>
        <w:t xml:space="preserve"> </w:t>
      </w:r>
    </w:p>
    <w:p>
      <w:pPr>
        <w:pStyle w:val="TextBody"/>
        <w:bidi w:val="0"/>
        <w:jc w:val="both"/>
        <w:rPr/>
      </w:pPr>
      <w:r>
        <w:rPr/>
        <w:t> </w:t>
      </w:r>
    </w:p>
    <w:p>
      <w:pPr>
        <w:pStyle w:val="TextBody"/>
        <w:bidi w:val="0"/>
        <w:jc w:val="left"/>
        <w:rPr>
          <w:rFonts w:ascii="Times New Roman" w:hAnsi="Times New Roman"/>
          <w:sz w:val="20"/>
        </w:rPr>
      </w:pPr>
      <w:r>
        <w:rPr>
          <w:rFonts w:ascii="sans-serif" w:hAnsi="sans-serif"/>
          <w:color w:val="000000"/>
          <w:sz w:val="22"/>
        </w:rPr>
        <w:t>Our full year 2026 outlook for net revenue represents an increase of approximately $35 million at the assumed midpoint of our updated guidance range, compared to our prior guidance. The assumed midpoint of our adjusted EBITDA range is also up approximately $19 million compared to the assumed midpoint of our prior guidance range of $100 million to $115 million.</w:t>
      </w:r>
      <w:r>
        <w:rPr>
          <w:rFonts w:ascii="Times New Roman" w:hAnsi="Times New Roman"/>
          <w:color w:val="000000"/>
          <w:sz w:val="20"/>
        </w:rPr>
        <w:t xml:space="preserve"> </w:t>
      </w:r>
    </w:p>
    <w:p>
      <w:pPr>
        <w:pStyle w:val="TextBody"/>
        <w:bidi w:val="0"/>
        <w:jc w:val="left"/>
        <w:rPr/>
      </w:pPr>
      <w:r>
        <w:rPr/>
        <w:t> </w:t>
      </w:r>
    </w:p>
    <w:p>
      <w:pPr>
        <w:pStyle w:val="TextBody"/>
        <w:bidi w:val="0"/>
        <w:jc w:val="left"/>
        <w:rPr/>
      </w:pPr>
      <w:r>
        <w:rPr/>
        <w:t> </w:t>
      </w:r>
    </w:p>
    <w:p>
      <w:pPr>
        <w:pStyle w:val="TextBody"/>
        <w:bidi w:val="0"/>
        <w:jc w:val="both"/>
        <w:rPr>
          <w:rFonts w:ascii="sans-serif" w:hAnsi="sans-serif"/>
          <w:b/>
          <w:color w:val="000000"/>
          <w:sz w:val="22"/>
        </w:rPr>
      </w:pPr>
      <w:r>
        <w:rPr>
          <w:rFonts w:ascii="sans-serif" w:hAnsi="sans-serif"/>
          <w:b/>
          <w:color w:val="000000"/>
          <w:sz w:val="22"/>
        </w:rPr>
        <w:t>Conference Call and Webcast Information</w:t>
      </w:r>
    </w:p>
    <w:p>
      <w:pPr>
        <w:pStyle w:val="TextBody"/>
        <w:bidi w:val="0"/>
        <w:jc w:val="left"/>
        <w:rPr>
          <w:rFonts w:ascii="sans-serif" w:hAnsi="sans-serif"/>
          <w:color w:val="000000"/>
          <w:sz w:val="22"/>
        </w:rPr>
      </w:pPr>
      <w:r>
        <w:rPr>
          <w:rFonts w:ascii="sans-serif" w:hAnsi="sans-serif"/>
          <w:color w:val="000000"/>
          <w:sz w:val="22"/>
        </w:rPr>
        <w:t>Corsair will host a conference call to discuss the second quarter of 2026 financial results today at 2:00 p.m. Pacific Time. The conference call will be accessible on Corsair’s Investor Relations website at https://ir.corsair.com, or by dialing 1-877-407-0784 (USA) or 1-201-689-8560 (International) with conference ID 13761177. A replay will be available approximately 3 hours after the live call ends on Corsair’s Investor Relations website, or through August 13, 2026 by dialing 1-844-512-2921 (USA) or 1-412-317-6671 (International), with passcode 13761177.</w:t>
      </w:r>
    </w:p>
    <w:p>
      <w:pPr>
        <w:pStyle w:val="TextBody"/>
        <w:bidi w:val="0"/>
        <w:jc w:val="left"/>
        <w:rPr/>
      </w:pPr>
      <w:r>
        <w:rPr/>
        <w:t> </w:t>
      </w:r>
    </w:p>
    <w:p>
      <w:pPr>
        <w:pStyle w:val="TextBody"/>
        <w:bidi w:val="0"/>
        <w:jc w:val="both"/>
        <w:rPr>
          <w:rFonts w:ascii="sans-serif" w:hAnsi="sans-serif"/>
          <w:b/>
          <w:color w:val="000000"/>
          <w:sz w:val="22"/>
        </w:rPr>
      </w:pPr>
      <w:r>
        <w:rPr>
          <w:rFonts w:ascii="sans-serif" w:hAnsi="sans-serif"/>
          <w:b/>
          <w:color w:val="000000"/>
          <w:sz w:val="22"/>
        </w:rPr>
        <w:t>About Corsair Gaming</w:t>
      </w:r>
    </w:p>
    <w:p>
      <w:pPr>
        <w:pStyle w:val="TextBody"/>
        <w:bidi w:val="0"/>
        <w:jc w:val="left"/>
        <w:rPr>
          <w:rFonts w:ascii="sans-serif" w:hAnsi="sans-serif"/>
          <w:color w:val="000000"/>
          <w:sz w:val="22"/>
        </w:rPr>
      </w:pPr>
      <w:r>
        <w:rPr>
          <w:rFonts w:ascii="sans-serif" w:hAnsi="sans-serif"/>
          <w:color w:val="000000"/>
          <w:sz w:val="22"/>
        </w:rPr>
        <w:t>Corsair (Nasdaq: CRSR) is a leading global developer and manufacturer of high-performance products and technology for gamers, content creators, and PC enthusiasts. From award-winning PC components and peripherals to premium streaming equipment and smart ambient lighting, Corsair delivers a full ecosystem of products that work together to enable everyone, from casual gamers to committed professionals, to perform at their very best. Corsair also sells products under its Fanatec brand, the leading end-to-end premium Sim Racing product line; Trak Racer brand, which provides premium racing and flight-simulation cockpits, frames, seats, monitor stands, motion systems and accessories; Elgato brand, which provides premium studio equipment and accessories for content creators; SCUF Gaming brand, which builds custom-designed controllers for competitive gamers; and ORIGIN PC brand, a builder of custom gaming and workstation desktop PCs.</w:t>
      </w:r>
    </w:p>
    <w:p>
      <w:pPr>
        <w:pStyle w:val="TextBody"/>
        <w:bidi w:val="0"/>
        <w:jc w:val="both"/>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jc w:val="both"/>
        <w:rPr>
          <w:rFonts w:ascii="sans-serif" w:hAnsi="sans-serif"/>
          <w:b/>
          <w:color w:val="000000"/>
          <w:sz w:val="22"/>
        </w:rPr>
      </w:pPr>
      <w:r>
        <w:rPr>
          <w:rFonts w:ascii="sans-serif" w:hAnsi="sans-serif"/>
          <w:b/>
          <w:color w:val="000000"/>
          <w:sz w:val="22"/>
        </w:rPr>
        <w:t>Forward-Looking Statements</w:t>
      </w:r>
    </w:p>
    <w:p>
      <w:pPr>
        <w:pStyle w:val="TextBody"/>
        <w:bidi w:val="0"/>
        <w:jc w:val="left"/>
        <w:rPr>
          <w:rFonts w:ascii="sans-serif" w:hAnsi="sans-serif"/>
          <w:color w:val="000000"/>
          <w:sz w:val="22"/>
        </w:rPr>
      </w:pPr>
      <w:r>
        <w:rPr>
          <w:rFonts w:ascii="sans-serif" w:hAnsi="sans-serif"/>
          <w:color w:val="000000"/>
          <w:sz w:val="22"/>
        </w:rPr>
        <w:t>This press release contains express and implied forward-looking statements within the meaning of the Private Securities Litigation Reform Act of 1995, including, but not limited to, statements regarding the Company’s financial outlook for the third quarter 2026 and the full year 2026; potential future growth in certain product categories; future headwinds and tailwinds that may impact the Company’s sales and results of operations including semiconductor supply constraints and demand for AI-focused workstations; the potential growth and the long-term trajectory of our segments; expected synergies from the acquisition of Trak Racer; the potential market opportunity for desktop AI PCs; the anticipated timeline for a more meaningful contribution from the Company's AI workstation initiative; statements regarding the status of the tariff refund process and the possibility of future administrative adjustments; and the Company's view that elevated DIY PC demand has been deferred rather than lost and its positioning to benefit as market conditions normalize. Forward-looking statements are based on our management’s beliefs, as well as assumptions made by, and information currently available to them. Because such statements are based on expectations as to future financial and operating results and are not statements of fact, actual results may differ materially from those projected. Factors which may cause actual results to differ materially from current expectations include, but are not limited to: the Company’s limited operating history, which makes it difficult to forecast the Company’s future results of operations; current macroeconomic conditions, including the impacts of high inflation and risk of recession, on demand for our products, consumer confidence and financial markets generally; changes in trade regulations, policies, and agreements and the imposition of tariffs that affect our products or operations, including potential new tariffs that may be imposed on U.S. imports and our ability to mitigate; the Company’s ability to build and maintain the strength of the Company’s brand among gaming, streaming and content creator enthusiasts and ability to continuously develop and successfully market new products and improvements to existing products; the introduction and success of new third-party high-performance computer hardware, particularly graphics processing units and central processing units as well as sophisticated new video games; fluctuations in operating results; the loss or inability to attract and retain key management; the impacts from geopolitical events and unrest; delays or disruptions at the Company or third-parties’ manufacturing and distribution facilities; and the other factors described under the heading “Risk Factors” in our Annual Report on Form 10-K for the year ended December 31, 2025 filed with the Securities and Exchange Commission (“SEC”) and our subsequent filings with the SEC. All forward-looking statements reflect our beliefs and assumptions only as of the date of this press release. We undertake no obligation to update forward-looking statements to reflect future events or circumstances. Our results for the quarter ended June 30, 2026 are also not necessarily indicative of our operating results for any future periods.</w:t>
      </w:r>
    </w:p>
    <w:p>
      <w:pPr>
        <w:pStyle w:val="TextBody"/>
        <w:bidi w:val="0"/>
        <w:jc w:val="both"/>
        <w:rPr/>
      </w:pPr>
      <w:r>
        <w:rPr/>
        <w:t> </w:t>
      </w:r>
    </w:p>
    <w:p>
      <w:pPr>
        <w:pStyle w:val="TextBody"/>
        <w:bidi w:val="0"/>
        <w:jc w:val="both"/>
        <w:rPr>
          <w:rFonts w:ascii="sans-serif" w:hAnsi="sans-serif"/>
          <w:b/>
          <w:color w:val="000000"/>
          <w:sz w:val="22"/>
        </w:rPr>
      </w:pPr>
      <w:r>
        <w:rPr>
          <w:rFonts w:ascii="sans-serif" w:hAnsi="sans-serif"/>
          <w:b/>
          <w:color w:val="000000"/>
          <w:sz w:val="22"/>
        </w:rPr>
        <w:t>Use and Reconciliation of Non-GAAP Financial Measures</w:t>
      </w:r>
    </w:p>
    <w:p>
      <w:pPr>
        <w:pStyle w:val="TextBody"/>
        <w:bidi w:val="0"/>
        <w:jc w:val="both"/>
        <w:rPr/>
      </w:pPr>
      <w:r>
        <w:rPr/>
        <w:t> </w:t>
      </w:r>
    </w:p>
    <w:p>
      <w:pPr>
        <w:pStyle w:val="TextBody"/>
        <w:bidi w:val="0"/>
        <w:jc w:val="left"/>
        <w:rPr>
          <w:rFonts w:ascii="Times New Roman" w:hAnsi="Times New Roman"/>
          <w:sz w:val="20"/>
        </w:rPr>
      </w:pPr>
      <w:r>
        <w:rPr>
          <w:rFonts w:ascii="sans-serif" w:hAnsi="sans-serif"/>
          <w:color w:val="000000"/>
          <w:sz w:val="22"/>
        </w:rPr>
        <w:t>To supplement the financial results presented in accordance with GAAP, this earnings release presents certain non-GAAP financial information, including adjusted operating income (loss), adjusted net income (loss), adjusted net income (loss) per diluted share and adjusted EBITDA. These are important financial performance measures for us but are not financial measures as defined by GAAP. The presentation of this non-GAAP financial information is not intended to be considered in isolation of or as a substitute for, or superior to, the financial information prepared and presented in accordance with GAAP.</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sz w:val="20"/>
        </w:rPr>
      </w:pPr>
      <w:r>
        <w:rPr>
          <w:rFonts w:ascii="sans-serif" w:hAnsi="sans-serif"/>
          <w:color w:val="000000"/>
          <w:sz w:val="22"/>
        </w:rPr>
        <w:t>We use adjusted operating income (loss), adjusted net income (loss), adjusted net income (loss) per share and adjusted EBITDA to evaluate our operating performance and trends and make planning decisions. We believe that these non-GAAP financial measures help identify underlying trends in our business that could otherwise be masked by the effect of the expenses and other items that we exclude in such non-GAAP measures. Accordingly, we believe that these non-GAAP financial measures provide useful information to investors and others in understanding and evaluating our operating results, enhancing the overall understanding of our past performance and future prospects, and allowing for greater transparency with respect to the key financial metrics used by our management in our financial</w:t>
      </w:r>
      <w:r>
        <w:rPr>
          <w:rFonts w:ascii="Times New Roman" w:hAnsi="Times New Roman"/>
          <w:color w:val="000000"/>
          <w:sz w:val="20"/>
        </w:rPr>
        <w:t xml:space="preserve">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jc w:val="left"/>
        <w:rPr>
          <w:rFonts w:ascii="Times New Roman" w:hAnsi="Times New Roman"/>
          <w:sz w:val="20"/>
        </w:rPr>
      </w:pPr>
      <w:r>
        <w:rPr>
          <w:rFonts w:ascii="sans-serif" w:hAnsi="sans-serif"/>
          <w:color w:val="000000"/>
          <w:sz w:val="22"/>
        </w:rPr>
        <w:t>and operational decision-making. We also present these non-GAAP financial measures because we believe investors, analysts and rating agencies consider it useful in measuring our ability to meet our debt service obligations.</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sans-serif" w:hAnsi="sans-serif"/>
          <w:color w:val="000000"/>
          <w:sz w:val="22"/>
        </w:rPr>
      </w:pPr>
      <w:r>
        <w:rPr>
          <w:rFonts w:ascii="sans-serif" w:hAnsi="sans-serif"/>
          <w:color w:val="000000"/>
          <w:sz w:val="22"/>
        </w:rPr>
        <w:t>Our use of these terms may vary from that of others in our industry. These non-GAAP financial measures should not be considered as an alternative to net revenue, operating income (loss), net income (loss), cash provided by operating activities, or any other measures derived in accordance with GAAP as measures of operating performance or liquidity. Reconciliations of these measures to the most directly comparable GAAP financial measures are presented in the attached schedules.</w:t>
      </w:r>
    </w:p>
    <w:p>
      <w:pPr>
        <w:pStyle w:val="TextBody"/>
        <w:bidi w:val="0"/>
        <w:jc w:val="left"/>
        <w:rPr/>
      </w:pPr>
      <w:r>
        <w:rPr/>
        <w:t> </w:t>
      </w:r>
    </w:p>
    <w:p>
      <w:pPr>
        <w:pStyle w:val="TextBody"/>
        <w:bidi w:val="0"/>
        <w:jc w:val="left"/>
        <w:rPr>
          <w:rFonts w:ascii="sans-serif" w:hAnsi="sans-serif"/>
          <w:color w:val="000000"/>
          <w:sz w:val="22"/>
        </w:rPr>
      </w:pPr>
      <w:r>
        <w:rPr>
          <w:rFonts w:ascii="sans-serif" w:hAnsi="sans-serif"/>
          <w:color w:val="000000"/>
          <w:sz w:val="22"/>
        </w:rPr>
        <w:t>We calculate these non-GAAP financial measures as follows:</w:t>
      </w:r>
    </w:p>
    <w:p>
      <w:pPr>
        <w:pStyle w:val="TextBody"/>
        <w:bidi w:val="0"/>
        <w:spacing w:before="0" w:after="0"/>
        <w:jc w:val="left"/>
        <w:rPr>
          <w:color w:val="000000"/>
        </w:rPr>
      </w:pPr>
      <w:r>
        <w:rPr>
          <w:color w:val="000000"/>
        </w:rPr>
        <w:t>•</w:t>
      </w:r>
    </w:p>
    <w:p>
      <w:pPr>
        <w:pStyle w:val="TextBody"/>
        <w:bidi w:val="0"/>
        <w:spacing w:before="0" w:after="0"/>
        <w:jc w:val="left"/>
        <w:rPr>
          <w:rFonts w:ascii="sans-serif" w:hAnsi="sans-serif"/>
          <w:color w:val="000000"/>
          <w:sz w:val="22"/>
        </w:rPr>
      </w:pPr>
      <w:r>
        <w:rPr>
          <w:rFonts w:ascii="sans-serif" w:hAnsi="sans-serif"/>
          <w:color w:val="000000"/>
          <w:sz w:val="22"/>
        </w:rPr>
        <w:t>Adjusted operating income (loss), non-GAAP, is determined by adding back to GAAP operating income (loss), the impact from amortization, stock-based compensation, one-time costs related to legal and other matters, acquisition and related integration costs, restructuring and other charges, legal and due diligence costs related to strategic investments, and acquisition accounting impact related to recognizing acquired inventory at fair value.</w:t>
      </w:r>
    </w:p>
    <w:p>
      <w:pPr>
        <w:pStyle w:val="TextBody"/>
        <w:bidi w:val="0"/>
        <w:spacing w:before="0" w:after="0"/>
        <w:jc w:val="left"/>
        <w:rPr>
          <w:color w:val="000000"/>
        </w:rPr>
      </w:pPr>
      <w:r>
        <w:rPr>
          <w:color w:val="000000"/>
        </w:rPr>
        <w:t>•</w:t>
      </w:r>
    </w:p>
    <w:p>
      <w:pPr>
        <w:pStyle w:val="TextBody"/>
        <w:bidi w:val="0"/>
        <w:spacing w:before="0" w:after="0"/>
        <w:jc w:val="left"/>
        <w:rPr>
          <w:rFonts w:ascii="sans-serif" w:hAnsi="sans-serif"/>
          <w:color w:val="000000"/>
          <w:sz w:val="22"/>
        </w:rPr>
      </w:pPr>
      <w:r>
        <w:rPr>
          <w:rFonts w:ascii="sans-serif" w:hAnsi="sans-serif"/>
          <w:color w:val="000000"/>
          <w:sz w:val="22"/>
        </w:rPr>
        <w:t>Adjusted net income (loss), non-GAAP, excludes the impact from amortization, stock-based compensation, one-time costs related to legal and other matters, acquisition and related integration costs, restructuring and other charges, acquisition accounting impact related to recognizing acquired inventory at fair value, legal and due diligence costs related to strategic investments, and the bargain purchase gain on business acquisition, as well as the related tax effects of each of these adjustments.</w:t>
      </w:r>
    </w:p>
    <w:p>
      <w:pPr>
        <w:pStyle w:val="TextBody"/>
        <w:bidi w:val="0"/>
        <w:spacing w:before="0" w:after="0"/>
        <w:jc w:val="left"/>
        <w:rPr>
          <w:color w:val="000000"/>
        </w:rPr>
      </w:pPr>
      <w:r>
        <w:rPr>
          <w:color w:val="000000"/>
        </w:rPr>
        <w:t>•</w:t>
      </w:r>
    </w:p>
    <w:p>
      <w:pPr>
        <w:pStyle w:val="TextBody"/>
        <w:bidi w:val="0"/>
        <w:spacing w:before="0" w:after="0"/>
        <w:jc w:val="left"/>
        <w:rPr>
          <w:rFonts w:ascii="sans-serif" w:hAnsi="sans-serif"/>
          <w:color w:val="000000"/>
          <w:sz w:val="22"/>
        </w:rPr>
      </w:pPr>
      <w:r>
        <w:rPr>
          <w:rFonts w:ascii="sans-serif" w:hAnsi="sans-serif"/>
          <w:color w:val="000000"/>
          <w:sz w:val="22"/>
        </w:rPr>
        <w:t>Adjusted net income (loss) per diluted share, non-GAAP, is determined by dividing adjusted net income (loss), non-GAAP, by the respective weighted average shares outstanding, inclusive of the impact of other dilutive securities.</w:t>
      </w:r>
    </w:p>
    <w:p>
      <w:pPr>
        <w:pStyle w:val="TextBody"/>
        <w:bidi w:val="0"/>
        <w:spacing w:before="0" w:after="0"/>
        <w:jc w:val="left"/>
        <w:rPr>
          <w:color w:val="000000"/>
        </w:rPr>
      </w:pPr>
      <w:r>
        <w:rPr>
          <w:color w:val="000000"/>
        </w:rPr>
        <w:t>•</w:t>
      </w:r>
    </w:p>
    <w:p>
      <w:pPr>
        <w:pStyle w:val="TextBody"/>
        <w:bidi w:val="0"/>
        <w:jc w:val="left"/>
        <w:rPr>
          <w:rFonts w:ascii="sans-serif" w:hAnsi="sans-serif"/>
          <w:color w:val="000000"/>
          <w:sz w:val="22"/>
        </w:rPr>
      </w:pPr>
      <w:r>
        <w:rPr>
          <w:rFonts w:ascii="sans-serif" w:hAnsi="sans-serif"/>
          <w:color w:val="000000"/>
          <w:sz w:val="22"/>
        </w:rPr>
        <w:t xml:space="preserve">Adjusted EBITDA excludes the impact from amortization, stock-based compensation, one-time costs related to legal and other matters, acquisition and related integration costs, restructuring and other charges, acquisition accounting impact related to recognizing acquired inventory at fair value, legal and due diligence costs related to strategic investments, and the bargain purchase gain on business acquisition, depreciation, interest expense, net, and tax expense (benefit). </w:t>
      </w:r>
    </w:p>
    <w:p>
      <w:pPr>
        <w:pStyle w:val="TextBody"/>
        <w:bidi w:val="0"/>
        <w:jc w:val="left"/>
        <w:rPr/>
      </w:pPr>
      <w:r>
        <w:rPr/>
        <w:t> </w:t>
      </w:r>
    </w:p>
    <w:p>
      <w:pPr>
        <w:pStyle w:val="TextBody"/>
        <w:bidi w:val="0"/>
        <w:jc w:val="left"/>
        <w:rPr>
          <w:rFonts w:ascii="sans-serif" w:hAnsi="sans-serif"/>
          <w:color w:val="000000"/>
          <w:sz w:val="22"/>
        </w:rPr>
      </w:pPr>
      <w:r>
        <w:rPr>
          <w:rFonts w:ascii="sans-serif" w:hAnsi="sans-serif"/>
          <w:color w:val="000000"/>
          <w:sz w:val="22"/>
        </w:rPr>
        <w:t>We encourage investors and others to review our financial information in its entirety, not to rely on any single financial measure and to view these non-GAAP financial measures in conjunction with the related GAAP financial measures.</w:t>
      </w:r>
    </w:p>
    <w:p>
      <w:pPr>
        <w:pStyle w:val="TextBody"/>
        <w:bidi w:val="0"/>
        <w:jc w:val="left"/>
        <w:rPr/>
      </w:pPr>
      <w:r>
        <w:rPr/>
        <w:t> </w:t>
      </w:r>
    </w:p>
    <w:tbl>
      <w:tblPr>
        <w:tblW w:w="5957" w:type="dxa"/>
        <w:jc w:val="left"/>
        <w:tblInd w:w="0" w:type="dxa"/>
        <w:tblLayout w:type="fixed"/>
        <w:tblCellMar>
          <w:top w:w="28" w:type="dxa"/>
          <w:left w:w="28" w:type="dxa"/>
          <w:bottom w:w="28" w:type="dxa"/>
          <w:right w:w="28" w:type="dxa"/>
        </w:tblCellMar>
      </w:tblPr>
      <w:tblGrid>
        <w:gridCol w:w="3571"/>
        <w:gridCol w:w="2386"/>
      </w:tblGrid>
      <w:tr>
        <w:trPr/>
        <w:tc>
          <w:tcPr>
            <w:tcW w:w="3571" w:type="dxa"/>
            <w:tcBorders/>
            <w:vAlign w:val="center"/>
          </w:tcPr>
          <w:p>
            <w:pPr>
              <w:pStyle w:val="TableContents"/>
              <w:bidi w:val="0"/>
              <w:spacing w:before="0" w:after="283"/>
              <w:jc w:val="left"/>
              <w:rPr>
                <w:sz w:val="4"/>
                <w:szCs w:val="4"/>
              </w:rPr>
            </w:pPr>
            <w:r>
              <w:rPr>
                <w:sz w:val="4"/>
                <w:szCs w:val="4"/>
              </w:rPr>
            </w:r>
          </w:p>
        </w:tc>
        <w:tc>
          <w:tcPr>
            <w:tcW w:w="2386" w:type="dxa"/>
            <w:tcBorders/>
            <w:vAlign w:val="center"/>
          </w:tcPr>
          <w:p>
            <w:pPr>
              <w:pStyle w:val="TableContents"/>
              <w:bidi w:val="0"/>
              <w:spacing w:before="0" w:after="283"/>
              <w:jc w:val="left"/>
              <w:rPr>
                <w:sz w:val="4"/>
                <w:szCs w:val="4"/>
              </w:rPr>
            </w:pPr>
            <w:r>
              <w:rPr>
                <w:sz w:val="4"/>
                <w:szCs w:val="4"/>
              </w:rPr>
            </w:r>
          </w:p>
        </w:tc>
      </w:tr>
      <w:tr>
        <w:trPr/>
        <w:tc>
          <w:tcPr>
            <w:tcW w:w="3571" w:type="dxa"/>
            <w:tcBorders/>
            <w:tcMar>
              <w:top w:w="0" w:type="dxa"/>
              <w:left w:w="0" w:type="dxa"/>
              <w:bottom w:w="0" w:type="dxa"/>
              <w:right w:w="0" w:type="dxa"/>
            </w:tcMar>
            <w:vAlign w:val="center"/>
          </w:tcPr>
          <w:p>
            <w:pPr>
              <w:pStyle w:val="TableContents"/>
              <w:bidi w:val="0"/>
              <w:jc w:val="left"/>
              <w:rPr>
                <w:rFonts w:ascii="sans-serif" w:hAnsi="sans-serif"/>
                <w:b/>
                <w:color w:val="000000"/>
                <w:sz w:val="22"/>
              </w:rPr>
            </w:pPr>
            <w:r>
              <w:rPr>
                <w:rFonts w:ascii="sans-serif" w:hAnsi="sans-serif"/>
                <w:b/>
                <w:color w:val="000000"/>
                <w:sz w:val="22"/>
              </w:rPr>
              <w:t>Investor Relations Contact:</w:t>
            </w:r>
          </w:p>
          <w:p>
            <w:pPr>
              <w:pStyle w:val="TableContents"/>
              <w:bidi w:val="0"/>
              <w:jc w:val="left"/>
              <w:rPr>
                <w:rFonts w:ascii="sans-serif" w:hAnsi="sans-serif"/>
                <w:color w:val="000000"/>
                <w:sz w:val="22"/>
              </w:rPr>
            </w:pPr>
            <w:r>
              <w:rPr>
                <w:rFonts w:ascii="sans-serif" w:hAnsi="sans-serif"/>
                <w:color w:val="000000"/>
                <w:sz w:val="22"/>
              </w:rPr>
              <w:t>David Pasquale</w:t>
            </w:r>
          </w:p>
          <w:p>
            <w:pPr>
              <w:pStyle w:val="TableContents"/>
              <w:bidi w:val="0"/>
              <w:jc w:val="left"/>
              <w:rPr>
                <w:rFonts w:ascii="sans-serif" w:hAnsi="sans-serif"/>
                <w:color w:val="000000"/>
                <w:sz w:val="22"/>
              </w:rPr>
            </w:pPr>
            <w:r>
              <w:rPr>
                <w:rFonts w:ascii="sans-serif" w:hAnsi="sans-serif"/>
                <w:color w:val="000000"/>
                <w:sz w:val="22"/>
              </w:rPr>
              <w:t>ir@corsair.com</w:t>
            </w:r>
          </w:p>
          <w:p>
            <w:pPr>
              <w:pStyle w:val="TableContents"/>
              <w:bidi w:val="0"/>
              <w:spacing w:before="0" w:after="283"/>
              <w:jc w:val="left"/>
              <w:rPr>
                <w:rFonts w:ascii="sans-serif" w:hAnsi="sans-serif"/>
                <w:color w:val="000000"/>
                <w:sz w:val="22"/>
              </w:rPr>
            </w:pPr>
            <w:r>
              <w:rPr>
                <w:rFonts w:ascii="sans-serif" w:hAnsi="sans-serif"/>
                <w:color w:val="000000"/>
                <w:sz w:val="22"/>
              </w:rPr>
              <w:t>914-337-8801</w:t>
            </w:r>
          </w:p>
        </w:tc>
        <w:tc>
          <w:tcPr>
            <w:tcW w:w="2386" w:type="dxa"/>
            <w:tcBorders/>
            <w:tcMar>
              <w:top w:w="0" w:type="dxa"/>
              <w:left w:w="0" w:type="dxa"/>
              <w:bottom w:w="0" w:type="dxa"/>
              <w:right w:w="0" w:type="dxa"/>
            </w:tcMar>
            <w:vAlign w:val="center"/>
          </w:tcPr>
          <w:p>
            <w:pPr>
              <w:pStyle w:val="TableContents"/>
              <w:bidi w:val="0"/>
              <w:jc w:val="left"/>
              <w:rPr>
                <w:rFonts w:ascii="sans-serif" w:hAnsi="sans-serif"/>
                <w:b/>
                <w:color w:val="000000"/>
                <w:sz w:val="22"/>
              </w:rPr>
            </w:pPr>
            <w:r>
              <w:rPr>
                <w:rFonts w:ascii="sans-serif" w:hAnsi="sans-serif"/>
                <w:b/>
                <w:color w:val="000000"/>
                <w:sz w:val="22"/>
              </w:rPr>
              <w:t>Media Contact:</w:t>
            </w:r>
          </w:p>
          <w:p>
            <w:pPr>
              <w:pStyle w:val="TableContents"/>
              <w:bidi w:val="0"/>
              <w:jc w:val="left"/>
              <w:rPr>
                <w:rFonts w:ascii="sans-serif" w:hAnsi="sans-serif"/>
                <w:color w:val="000000"/>
                <w:sz w:val="22"/>
              </w:rPr>
            </w:pPr>
            <w:r>
              <w:rPr>
                <w:rFonts w:ascii="sans-serif" w:hAnsi="sans-serif"/>
                <w:color w:val="000000"/>
                <w:sz w:val="22"/>
              </w:rPr>
              <w:t>media@corsair.com</w:t>
            </w:r>
          </w:p>
          <w:p>
            <w:pPr>
              <w:pStyle w:val="TableContents"/>
              <w:bidi w:val="0"/>
              <w:jc w:val="left"/>
              <w:rPr>
                <w:rFonts w:ascii="sans-serif" w:hAnsi="sans-serif"/>
                <w:color w:val="000000"/>
                <w:sz w:val="22"/>
              </w:rPr>
            </w:pPr>
            <w:r>
              <w:rPr>
                <w:rFonts w:ascii="sans-serif" w:hAnsi="sans-serif"/>
                <w:color w:val="000000"/>
                <w:sz w:val="22"/>
              </w:rPr>
              <w:t>510-657-8747</w:t>
            </w:r>
          </w:p>
          <w:p>
            <w:pPr>
              <w:pStyle w:val="TableContents"/>
              <w:bidi w:val="0"/>
              <w:spacing w:before="0" w:after="283"/>
              <w:jc w:val="left"/>
              <w:rPr/>
            </w:pPr>
            <w:r>
              <w:rPr/>
              <w:t> </w:t>
            </w:r>
          </w:p>
        </w:tc>
      </w:tr>
    </w:tbl>
    <w:p>
      <w:pPr>
        <w:pStyle w:val="TextBody"/>
        <w:bidi w:val="0"/>
        <w:spacing w:before="0" w:after="16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spacing w:before="120" w:after="283"/>
        <w:jc w:val="center"/>
        <w:rPr>
          <w:rFonts w:ascii="sans-serif" w:hAnsi="sans-serif"/>
          <w:b/>
          <w:color w:val="000000"/>
          <w:sz w:val="22"/>
        </w:rPr>
      </w:pPr>
      <w:r>
        <w:rPr>
          <w:rFonts w:ascii="sans-serif" w:hAnsi="sans-serif"/>
          <w:b/>
          <w:color w:val="000000"/>
          <w:sz w:val="22"/>
        </w:rPr>
        <w:t>Corsair Gaming, Inc.</w:t>
      </w:r>
    </w:p>
    <w:p>
      <w:pPr>
        <w:pStyle w:val="TextBody"/>
        <w:bidi w:val="0"/>
        <w:jc w:val="center"/>
        <w:rPr>
          <w:rFonts w:ascii="sans-serif" w:hAnsi="sans-serif"/>
          <w:b/>
          <w:color w:val="000000"/>
          <w:sz w:val="22"/>
        </w:rPr>
      </w:pPr>
      <w:r>
        <w:rPr>
          <w:rFonts w:ascii="sans-serif" w:hAnsi="sans-serif"/>
          <w:b/>
          <w:color w:val="000000"/>
          <w:sz w:val="22"/>
        </w:rPr>
        <w:t>Condensed Consolidated Statements of Operations</w:t>
      </w:r>
    </w:p>
    <w:p>
      <w:pPr>
        <w:pStyle w:val="TextBody"/>
        <w:bidi w:val="0"/>
        <w:jc w:val="center"/>
        <w:rPr>
          <w:rFonts w:ascii="sans-serif" w:hAnsi="sans-serif"/>
          <w:color w:val="000000"/>
          <w:sz w:val="20"/>
        </w:rPr>
      </w:pPr>
      <w:r>
        <w:rPr>
          <w:rFonts w:ascii="sans-serif" w:hAnsi="sans-serif"/>
          <w:color w:val="000000"/>
          <w:sz w:val="20"/>
        </w:rPr>
        <w:t>(Unaudited, in thousands, except per share amounts)</w:t>
      </w:r>
    </w:p>
    <w:p>
      <w:pPr>
        <w:pStyle w:val="TextBody"/>
        <w:bidi w:val="0"/>
        <w:jc w:val="center"/>
        <w:rPr/>
      </w:pPr>
      <w:r>
        <w:rPr/>
        <w:t> </w:t>
      </w:r>
    </w:p>
    <w:tbl>
      <w:tblPr>
        <w:tblW w:w="10205" w:type="dxa"/>
        <w:jc w:val="left"/>
        <w:tblInd w:w="0" w:type="dxa"/>
        <w:tblLayout w:type="fixed"/>
        <w:tblCellMar>
          <w:top w:w="28" w:type="dxa"/>
          <w:left w:w="28" w:type="dxa"/>
          <w:bottom w:w="28" w:type="dxa"/>
          <w:right w:w="28" w:type="dxa"/>
        </w:tblCellMar>
      </w:tblPr>
      <w:tblGrid>
        <w:gridCol w:w="4239"/>
        <w:gridCol w:w="146"/>
        <w:gridCol w:w="226"/>
        <w:gridCol w:w="886"/>
        <w:gridCol w:w="181"/>
        <w:gridCol w:w="146"/>
        <w:gridCol w:w="226"/>
        <w:gridCol w:w="886"/>
        <w:gridCol w:w="181"/>
        <w:gridCol w:w="146"/>
        <w:gridCol w:w="226"/>
        <w:gridCol w:w="886"/>
        <w:gridCol w:w="181"/>
        <w:gridCol w:w="146"/>
        <w:gridCol w:w="226"/>
        <w:gridCol w:w="886"/>
        <w:gridCol w:w="391"/>
      </w:tblGrid>
      <w:tr>
        <w:trPr/>
        <w:tc>
          <w:tcPr>
            <w:tcW w:w="423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42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5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Three Months Ended</w:t>
              <w:br/>
              <w:t>June 30,</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5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Six Months Ended</w:t>
              <w:br/>
              <w:t>June 30,</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2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2026</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2025</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2026</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2025</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2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239"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Net 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314,335</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320,112</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668,847</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689,862</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239"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Cost of revenue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210,047</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234,241</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448,530</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501,629</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239"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Gross profit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104,288</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85,871</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220,317</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188,233</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239"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Operating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4239"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sans-serif" w:hAnsi="sans-serif"/>
                <w:color w:val="000000"/>
                <w:sz w:val="20"/>
              </w:rPr>
            </w:pPr>
            <w:r>
              <w:rPr>
                <w:rFonts w:ascii="sans-serif" w:hAnsi="sans-serif"/>
                <w:color w:val="000000"/>
                <w:sz w:val="20"/>
              </w:rPr>
              <w:t>Sales, general and administrative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81,233</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85,280</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166,221</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172,272</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4239"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sans-serif" w:hAnsi="sans-serif"/>
                <w:color w:val="000000"/>
                <w:sz w:val="20"/>
              </w:rPr>
            </w:pPr>
            <w:r>
              <w:rPr>
                <w:rFonts w:ascii="sans-serif" w:hAnsi="sans-serif"/>
                <w:color w:val="000000"/>
                <w:sz w:val="20"/>
              </w:rPr>
              <w:t>Product development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15,447</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17,514</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32,692</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35,147</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239"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Total operating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96,680</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102,794</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198,913</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207,419</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239"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Operating income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7,608</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(16,923</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21,404</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(19,186</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r>
      <w:tr>
        <w:trPr/>
        <w:tc>
          <w:tcPr>
            <w:tcW w:w="4239"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Other (expense)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4239"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sans-serif" w:hAnsi="sans-serif"/>
                <w:color w:val="000000"/>
                <w:sz w:val="20"/>
              </w:rPr>
            </w:pPr>
            <w:r>
              <w:rPr>
                <w:rFonts w:ascii="sans-serif" w:hAnsi="sans-serif"/>
                <w:color w:val="000000"/>
                <w:sz w:val="20"/>
              </w:rPr>
              <w:t>Interest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(1,674</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(2,476</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(3,365</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(5,152</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sans-serif" w:hAnsi="sans-serif"/>
                <w:color w:val="000000"/>
                <w:sz w:val="20"/>
              </w:rPr>
            </w:pPr>
            <w:r>
              <w:rPr>
                <w:rFonts w:ascii="sans-serif" w:hAnsi="sans-serif"/>
                <w:color w:val="000000"/>
                <w:sz w:val="20"/>
              </w:rPr>
              <w:t>)</w:t>
            </w:r>
          </w:p>
        </w:tc>
      </w:tr>
      <w:tr>
        <w:trPr/>
        <w:tc>
          <w:tcPr>
            <w:tcW w:w="4239"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sans-serif" w:hAnsi="sans-serif"/>
                <w:color w:val="000000"/>
                <w:sz w:val="20"/>
              </w:rPr>
            </w:pPr>
            <w:r>
              <w:rPr>
                <w:rFonts w:ascii="sans-serif" w:hAnsi="sans-serif"/>
                <w:color w:val="000000"/>
                <w:sz w:val="20"/>
              </w:rPr>
              <w:t>Interest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1,404</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580</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1,825</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1,210</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4239"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sans-serif" w:hAnsi="sans-serif"/>
                <w:color w:val="000000"/>
                <w:sz w:val="20"/>
              </w:rPr>
            </w:pPr>
            <w:r>
              <w:rPr>
                <w:rFonts w:ascii="sans-serif" w:hAnsi="sans-serif"/>
                <w:color w:val="000000"/>
                <w:sz w:val="20"/>
              </w:rPr>
              <w:t>Other (expense) income,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1,781</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(1,856</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2,155</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(5,803</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r>
      <w:tr>
        <w:trPr/>
        <w:tc>
          <w:tcPr>
            <w:tcW w:w="4239"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Total other expense (income),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1,511</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(3,752</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615</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(9,745</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r>
      <w:tr>
        <w:trPr/>
        <w:tc>
          <w:tcPr>
            <w:tcW w:w="4239"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Income (loss) before income taxes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9,119</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(20,675</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22,019</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(28,931</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sans-serif" w:hAnsi="sans-serif"/>
                <w:color w:val="000000"/>
                <w:sz w:val="20"/>
              </w:rPr>
            </w:pPr>
            <w:r>
              <w:rPr>
                <w:rFonts w:ascii="sans-serif" w:hAnsi="sans-serif"/>
                <w:color w:val="000000"/>
                <w:sz w:val="20"/>
              </w:rPr>
              <w:t>)</w:t>
            </w:r>
          </w:p>
        </w:tc>
      </w:tr>
      <w:tr>
        <w:trPr/>
        <w:tc>
          <w:tcPr>
            <w:tcW w:w="4239"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sans-serif" w:hAnsi="sans-serif"/>
                <w:color w:val="000000"/>
                <w:sz w:val="20"/>
              </w:rPr>
            </w:pPr>
            <w:r>
              <w:rPr>
                <w:rFonts w:ascii="sans-serif" w:hAnsi="sans-serif"/>
                <w:color w:val="000000"/>
                <w:sz w:val="20"/>
              </w:rPr>
              <w:t>Income tax benefit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30</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369</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187</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(1,692</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r>
      <w:tr>
        <w:trPr/>
        <w:tc>
          <w:tcPr>
            <w:tcW w:w="4239"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Net income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9,149</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(20,306</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22,206</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(30,623</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sans-serif" w:hAnsi="sans-serif"/>
                <w:color w:val="000000"/>
                <w:sz w:val="20"/>
              </w:rPr>
            </w:pPr>
            <w:r>
              <w:rPr>
                <w:rFonts w:ascii="sans-serif" w:hAnsi="sans-serif"/>
                <w:color w:val="000000"/>
                <w:sz w:val="20"/>
              </w:rPr>
              <w:t>)</w:t>
            </w:r>
          </w:p>
        </w:tc>
      </w:tr>
      <w:tr>
        <w:trPr/>
        <w:tc>
          <w:tcPr>
            <w:tcW w:w="4239"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sans-serif" w:hAnsi="sans-serif"/>
                <w:color w:val="000000"/>
                <w:sz w:val="20"/>
              </w:rPr>
            </w:pPr>
            <w:r>
              <w:rPr>
                <w:rFonts w:ascii="sans-serif" w:hAnsi="sans-serif"/>
                <w:color w:val="000000"/>
                <w:sz w:val="20"/>
              </w:rPr>
              <w:t>Less: Net income attributable to noncontrolling interest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306</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556</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579</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698</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100"/>
              <w:jc w:val="left"/>
              <w:rPr/>
            </w:pPr>
            <w:r>
              <w:rPr/>
              <w:t> </w:t>
            </w:r>
          </w:p>
        </w:tc>
      </w:tr>
      <w:tr>
        <w:trPr/>
        <w:tc>
          <w:tcPr>
            <w:tcW w:w="4239"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sans-serif" w:hAnsi="sans-serif"/>
                <w:color w:val="000000"/>
                <w:sz w:val="20"/>
              </w:rPr>
            </w:pPr>
            <w:r>
              <w:rPr>
                <w:rFonts w:ascii="sans-serif" w:hAnsi="sans-serif"/>
                <w:color w:val="000000"/>
                <w:sz w:val="20"/>
              </w:rPr>
              <w:t>Net income (loss) attributable to Corsair Gaming, Inc.</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88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8,843</w:t>
            </w:r>
          </w:p>
        </w:tc>
        <w:tc>
          <w:tcPr>
            <w:tcW w:w="1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88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(20,862</w:t>
            </w:r>
          </w:p>
        </w:tc>
        <w:tc>
          <w:tcPr>
            <w:tcW w:w="1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88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21,627</w:t>
            </w:r>
          </w:p>
        </w:tc>
        <w:tc>
          <w:tcPr>
            <w:tcW w:w="1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88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(31,321</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r>
      <w:tr>
        <w:trPr/>
        <w:tc>
          <w:tcPr>
            <w:tcW w:w="42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239"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Calculation of net income (loss) per share attributable to common stockholders of Corsair Gaming, Inc.:</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4239"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sans-serif" w:hAnsi="sans-serif"/>
                <w:color w:val="000000"/>
                <w:sz w:val="20"/>
              </w:rPr>
            </w:pPr>
            <w:r>
              <w:rPr>
                <w:rFonts w:ascii="sans-serif" w:hAnsi="sans-serif"/>
                <w:color w:val="000000"/>
                <w:sz w:val="20"/>
              </w:rPr>
              <w:t>Net income (loss) attributable to Corsair Gaming, Inc.</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8,843</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(20,862</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21,627</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(31,321</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sans-serif" w:hAnsi="sans-serif"/>
                <w:color w:val="000000"/>
                <w:sz w:val="20"/>
              </w:rPr>
            </w:pPr>
            <w:r>
              <w:rPr>
                <w:rFonts w:ascii="sans-serif" w:hAnsi="sans-serif"/>
                <w:color w:val="000000"/>
                <w:sz w:val="20"/>
              </w:rPr>
              <w:t>)</w:t>
            </w:r>
          </w:p>
        </w:tc>
      </w:tr>
      <w:tr>
        <w:trPr/>
        <w:tc>
          <w:tcPr>
            <w:tcW w:w="4239"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sans-serif" w:hAnsi="sans-serif"/>
                <w:color w:val="000000"/>
                <w:sz w:val="20"/>
              </w:rPr>
            </w:pPr>
            <w:r>
              <w:rPr>
                <w:rFonts w:ascii="sans-serif" w:hAnsi="sans-serif"/>
                <w:color w:val="000000"/>
                <w:sz w:val="20"/>
              </w:rPr>
              <w:t>Change in redemption value of redeemable noncontrolling interest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(2,015</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3,861</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(2,935</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4,253</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4239"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sans-serif" w:hAnsi="sans-serif"/>
                <w:color w:val="000000"/>
                <w:sz w:val="20"/>
              </w:rPr>
            </w:pPr>
            <w:r>
              <w:rPr>
                <w:rFonts w:ascii="sans-serif" w:hAnsi="sans-serif"/>
                <w:color w:val="000000"/>
                <w:sz w:val="20"/>
              </w:rPr>
              <w:t>Net income (loss) attributable to common stockholders of Corsair Gaming, Inc.</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88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6,828</w:t>
            </w:r>
          </w:p>
        </w:tc>
        <w:tc>
          <w:tcPr>
            <w:tcW w:w="1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88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(17,001</w:t>
            </w:r>
          </w:p>
        </w:tc>
        <w:tc>
          <w:tcPr>
            <w:tcW w:w="1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88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18,692</w:t>
            </w:r>
          </w:p>
        </w:tc>
        <w:tc>
          <w:tcPr>
            <w:tcW w:w="1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88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(27,068</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r>
      <w:tr>
        <w:trPr/>
        <w:tc>
          <w:tcPr>
            <w:tcW w:w="42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239"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Net income (loss) per share attributable to common stockholders of Corsair Gaming, Inc.:</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4239"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sans-serif" w:hAnsi="sans-serif"/>
                <w:color w:val="000000"/>
                <w:sz w:val="20"/>
              </w:rPr>
            </w:pPr>
            <w:r>
              <w:rPr>
                <w:rFonts w:ascii="sans-serif" w:hAnsi="sans-serif"/>
                <w:color w:val="000000"/>
                <w:sz w:val="20"/>
              </w:rPr>
              <w:t>Basic</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0.06</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(0.16</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0.17</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(0.26</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sans-serif" w:hAnsi="sans-serif"/>
                <w:color w:val="000000"/>
                <w:sz w:val="20"/>
              </w:rPr>
            </w:pPr>
            <w:r>
              <w:rPr>
                <w:rFonts w:ascii="sans-serif" w:hAnsi="sans-serif"/>
                <w:color w:val="000000"/>
                <w:sz w:val="20"/>
              </w:rPr>
              <w:t>)</w:t>
            </w:r>
          </w:p>
        </w:tc>
      </w:tr>
      <w:tr>
        <w:trPr/>
        <w:tc>
          <w:tcPr>
            <w:tcW w:w="4239"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sans-serif" w:hAnsi="sans-serif"/>
                <w:color w:val="000000"/>
                <w:sz w:val="20"/>
              </w:rPr>
            </w:pPr>
            <w:r>
              <w:rPr>
                <w:rFonts w:ascii="sans-serif" w:hAnsi="sans-serif"/>
                <w:color w:val="000000"/>
                <w:sz w:val="20"/>
              </w:rPr>
              <w:t>Diluted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0.06</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(0.16</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0.17</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(0.26</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r>
      <w:tr>
        <w:trPr/>
        <w:tc>
          <w:tcPr>
            <w:tcW w:w="4239"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Weighted-average common shares outstanding:</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4239"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sans-serif" w:hAnsi="sans-serif"/>
                <w:color w:val="000000"/>
                <w:sz w:val="20"/>
              </w:rPr>
            </w:pPr>
            <w:r>
              <w:rPr>
                <w:rFonts w:ascii="sans-serif" w:hAnsi="sans-serif"/>
                <w:color w:val="000000"/>
                <w:sz w:val="20"/>
              </w:rPr>
              <w:t>Basic</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107,351</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105,864</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107,110</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105,554</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4239"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sans-serif" w:hAnsi="sans-serif"/>
                <w:color w:val="000000"/>
                <w:sz w:val="20"/>
              </w:rPr>
            </w:pPr>
            <w:r>
              <w:rPr>
                <w:rFonts w:ascii="sans-serif" w:hAnsi="sans-serif"/>
                <w:color w:val="000000"/>
                <w:sz w:val="20"/>
              </w:rPr>
              <w:t>Diluted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109,193</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105,864</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108,485</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105,554</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0" w:after="16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sans-serif" w:hAnsi="sans-serif"/>
          <w:b/>
          <w:color w:val="000000"/>
          <w:sz w:val="22"/>
        </w:rPr>
      </w:pPr>
      <w:r>
        <w:rPr>
          <w:rFonts w:ascii="sans-serif" w:hAnsi="sans-serif"/>
          <w:b/>
          <w:color w:val="000000"/>
          <w:sz w:val="22"/>
        </w:rPr>
        <w:t>Corsair Gaming, Inc.</w:t>
      </w:r>
    </w:p>
    <w:p>
      <w:pPr>
        <w:pStyle w:val="TextBody"/>
        <w:bidi w:val="0"/>
        <w:jc w:val="center"/>
        <w:rPr>
          <w:rFonts w:ascii="sans-serif" w:hAnsi="sans-serif"/>
          <w:b/>
          <w:color w:val="000000"/>
          <w:sz w:val="22"/>
        </w:rPr>
      </w:pPr>
      <w:r>
        <w:rPr>
          <w:rFonts w:ascii="sans-serif" w:hAnsi="sans-serif"/>
          <w:b/>
          <w:color w:val="000000"/>
          <w:sz w:val="22"/>
        </w:rPr>
        <w:t>Segment Information</w:t>
      </w:r>
    </w:p>
    <w:p>
      <w:pPr>
        <w:pStyle w:val="TextBody"/>
        <w:bidi w:val="0"/>
        <w:jc w:val="center"/>
        <w:rPr>
          <w:rFonts w:ascii="sans-serif" w:hAnsi="sans-serif"/>
          <w:color w:val="000000"/>
          <w:sz w:val="20"/>
        </w:rPr>
      </w:pPr>
      <w:r>
        <w:rPr>
          <w:rFonts w:ascii="sans-serif" w:hAnsi="sans-serif"/>
          <w:color w:val="000000"/>
          <w:sz w:val="20"/>
        </w:rPr>
        <w:t>(Unaudited, in thousands, except percentages)</w:t>
      </w:r>
    </w:p>
    <w:p>
      <w:pPr>
        <w:pStyle w:val="TextBody"/>
        <w:bidi w:val="0"/>
        <w:jc w:val="center"/>
        <w:rPr/>
      </w:pPr>
      <w:r>
        <w:rPr/>
        <w:t> </w:t>
      </w:r>
    </w:p>
    <w:tbl>
      <w:tblPr>
        <w:tblW w:w="9817" w:type="dxa"/>
        <w:jc w:val="left"/>
        <w:tblInd w:w="0" w:type="dxa"/>
        <w:tblLayout w:type="fixed"/>
        <w:tblCellMar>
          <w:top w:w="28" w:type="dxa"/>
          <w:left w:w="28" w:type="dxa"/>
          <w:bottom w:w="28" w:type="dxa"/>
          <w:right w:w="28" w:type="dxa"/>
        </w:tblCellMar>
      </w:tblPr>
      <w:tblGrid>
        <w:gridCol w:w="3496"/>
        <w:gridCol w:w="146"/>
        <w:gridCol w:w="226"/>
        <w:gridCol w:w="886"/>
        <w:gridCol w:w="286"/>
        <w:gridCol w:w="146"/>
        <w:gridCol w:w="226"/>
        <w:gridCol w:w="886"/>
        <w:gridCol w:w="286"/>
        <w:gridCol w:w="146"/>
        <w:gridCol w:w="226"/>
        <w:gridCol w:w="886"/>
        <w:gridCol w:w="286"/>
        <w:gridCol w:w="146"/>
        <w:gridCol w:w="226"/>
        <w:gridCol w:w="886"/>
        <w:gridCol w:w="431"/>
      </w:tblGrid>
      <w:tr>
        <w:trPr/>
        <w:tc>
          <w:tcPr>
            <w:tcW w:w="34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431" w:type="dxa"/>
            <w:tcBorders/>
            <w:vAlign w:val="center"/>
          </w:tcPr>
          <w:p>
            <w:pPr>
              <w:pStyle w:val="TableContents"/>
              <w:bidi w:val="0"/>
              <w:spacing w:before="0" w:after="283"/>
              <w:jc w:val="left"/>
              <w:rPr>
                <w:sz w:val="4"/>
                <w:szCs w:val="4"/>
              </w:rPr>
            </w:pPr>
            <w:r>
              <w:rPr>
                <w:sz w:val="4"/>
                <w:szCs w:val="4"/>
              </w:rPr>
            </w:r>
          </w:p>
        </w:tc>
      </w:tr>
      <w:tr>
        <w:trPr/>
        <w:tc>
          <w:tcPr>
            <w:tcW w:w="34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65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Three Months Ended</w:t>
              <w:br/>
              <w:t>June 30,</w:t>
            </w:r>
          </w:p>
        </w:tc>
        <w:tc>
          <w:tcPr>
            <w:tcW w:w="2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65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Six Months Ended</w:t>
              <w:br/>
              <w:t>June 30,</w:t>
            </w:r>
          </w:p>
        </w:tc>
        <w:tc>
          <w:tcPr>
            <w:tcW w:w="4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4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1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2026</w:t>
            </w:r>
          </w:p>
        </w:tc>
        <w:tc>
          <w:tcPr>
            <w:tcW w:w="2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2025</w:t>
            </w:r>
          </w:p>
        </w:tc>
        <w:tc>
          <w:tcPr>
            <w:tcW w:w="2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1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2026</w:t>
            </w:r>
          </w:p>
        </w:tc>
        <w:tc>
          <w:tcPr>
            <w:tcW w:w="2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2025</w:t>
            </w:r>
          </w:p>
        </w:tc>
        <w:tc>
          <w:tcPr>
            <w:tcW w:w="4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4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1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1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1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1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3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49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20"/>
              </w:rPr>
            </w:pPr>
            <w:r>
              <w:rPr>
                <w:rFonts w:ascii="sans-serif" w:hAnsi="sans-serif"/>
                <w:b/>
                <w:color w:val="000000"/>
                <w:sz w:val="20"/>
              </w:rPr>
              <w:t>Net 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8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8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49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Gamer and Creator Peripherals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115,884</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102,642</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239,194</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214,615</w:t>
            </w:r>
          </w:p>
        </w:tc>
        <w:tc>
          <w:tcPr>
            <w:tcW w:w="4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49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Gaming Components and Systems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198,451</w:t>
            </w:r>
          </w:p>
        </w:tc>
        <w:tc>
          <w:tcPr>
            <w:tcW w:w="2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217,470</w:t>
            </w:r>
          </w:p>
        </w:tc>
        <w:tc>
          <w:tcPr>
            <w:tcW w:w="2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429,653</w:t>
            </w:r>
          </w:p>
        </w:tc>
        <w:tc>
          <w:tcPr>
            <w:tcW w:w="2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475,247</w:t>
            </w:r>
          </w:p>
        </w:tc>
        <w:tc>
          <w:tcPr>
            <w:tcW w:w="43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100"/>
              <w:jc w:val="left"/>
              <w:rPr/>
            </w:pPr>
            <w:r>
              <w:rPr/>
              <w:t> </w:t>
            </w:r>
          </w:p>
        </w:tc>
      </w:tr>
      <w:tr>
        <w:trPr/>
        <w:tc>
          <w:tcPr>
            <w:tcW w:w="349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sans-serif" w:hAnsi="sans-serif"/>
                <w:color w:val="000000"/>
                <w:sz w:val="20"/>
              </w:rPr>
            </w:pPr>
            <w:r>
              <w:rPr>
                <w:rFonts w:ascii="sans-serif" w:hAnsi="sans-serif"/>
                <w:color w:val="000000"/>
                <w:sz w:val="20"/>
              </w:rPr>
              <w:t>Total Net revenue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88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314,335</w:t>
            </w:r>
          </w:p>
        </w:tc>
        <w:tc>
          <w:tcPr>
            <w:tcW w:w="28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88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320,112</w:t>
            </w:r>
          </w:p>
        </w:tc>
        <w:tc>
          <w:tcPr>
            <w:tcW w:w="28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88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668,847</w:t>
            </w:r>
          </w:p>
        </w:tc>
        <w:tc>
          <w:tcPr>
            <w:tcW w:w="28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88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689,862</w:t>
            </w:r>
          </w:p>
        </w:tc>
        <w:tc>
          <w:tcPr>
            <w:tcW w:w="4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4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3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49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20"/>
              </w:rPr>
            </w:pPr>
            <w:r>
              <w:rPr>
                <w:rFonts w:ascii="sans-serif" w:hAnsi="sans-serif"/>
                <w:b/>
                <w:color w:val="000000"/>
                <w:sz w:val="20"/>
              </w:rPr>
              <w:t>Gross Profit: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8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8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8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3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49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Gamer and Creator Peripherals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52,044</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41,089</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102,334</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87,503</w:t>
            </w:r>
          </w:p>
        </w:tc>
        <w:tc>
          <w:tcPr>
            <w:tcW w:w="4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49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Gaming Components and Systems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52,244</w:t>
            </w:r>
          </w:p>
        </w:tc>
        <w:tc>
          <w:tcPr>
            <w:tcW w:w="2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44,782</w:t>
            </w:r>
          </w:p>
        </w:tc>
        <w:tc>
          <w:tcPr>
            <w:tcW w:w="2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117,983</w:t>
            </w:r>
          </w:p>
        </w:tc>
        <w:tc>
          <w:tcPr>
            <w:tcW w:w="2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100,730</w:t>
            </w:r>
          </w:p>
        </w:tc>
        <w:tc>
          <w:tcPr>
            <w:tcW w:w="43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100"/>
              <w:jc w:val="left"/>
              <w:rPr/>
            </w:pPr>
            <w:r>
              <w:rPr/>
              <w:t> </w:t>
            </w:r>
          </w:p>
        </w:tc>
      </w:tr>
      <w:tr>
        <w:trPr/>
        <w:tc>
          <w:tcPr>
            <w:tcW w:w="349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sans-serif" w:hAnsi="sans-serif"/>
                <w:color w:val="000000"/>
                <w:sz w:val="20"/>
              </w:rPr>
            </w:pPr>
            <w:r>
              <w:rPr>
                <w:rFonts w:ascii="sans-serif" w:hAnsi="sans-serif"/>
                <w:color w:val="000000"/>
                <w:sz w:val="20"/>
              </w:rPr>
              <w:t>Total Gross Profit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88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104,288</w:t>
            </w:r>
          </w:p>
        </w:tc>
        <w:tc>
          <w:tcPr>
            <w:tcW w:w="28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88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85,871</w:t>
            </w:r>
          </w:p>
        </w:tc>
        <w:tc>
          <w:tcPr>
            <w:tcW w:w="28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88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220,317</w:t>
            </w:r>
          </w:p>
        </w:tc>
        <w:tc>
          <w:tcPr>
            <w:tcW w:w="28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88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188,233</w:t>
            </w:r>
          </w:p>
        </w:tc>
        <w:tc>
          <w:tcPr>
            <w:tcW w:w="4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4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49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20"/>
              </w:rPr>
            </w:pPr>
            <w:r>
              <w:rPr>
                <w:rFonts w:ascii="sans-serif" w:hAnsi="sans-serif"/>
                <w:b/>
                <w:color w:val="000000"/>
                <w:sz w:val="20"/>
              </w:rPr>
              <w:t>Gross Margin: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8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8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49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Gamer and Creator Peripherals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44.9</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40.0</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42.8</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40.8</w:t>
            </w:r>
          </w:p>
        </w:tc>
        <w:tc>
          <w:tcPr>
            <w:tcW w:w="43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r>
      <w:tr>
        <w:trPr/>
        <w:tc>
          <w:tcPr>
            <w:tcW w:w="349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Gaming Components and Systems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26.3</w:t>
            </w:r>
          </w:p>
        </w:tc>
        <w:tc>
          <w:tcPr>
            <w:tcW w:w="28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20.6</w:t>
            </w:r>
          </w:p>
        </w:tc>
        <w:tc>
          <w:tcPr>
            <w:tcW w:w="28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27.5</w:t>
            </w:r>
          </w:p>
        </w:tc>
        <w:tc>
          <w:tcPr>
            <w:tcW w:w="28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21.2</w:t>
            </w:r>
          </w:p>
        </w:tc>
        <w:tc>
          <w:tcPr>
            <w:tcW w:w="43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sans-serif" w:hAnsi="sans-serif"/>
                <w:color w:val="000000"/>
                <w:sz w:val="20"/>
              </w:rPr>
            </w:pPr>
            <w:r>
              <w:rPr>
                <w:rFonts w:ascii="sans-serif" w:hAnsi="sans-serif"/>
                <w:color w:val="000000"/>
                <w:sz w:val="20"/>
              </w:rPr>
              <w:t>%</w:t>
            </w:r>
          </w:p>
        </w:tc>
      </w:tr>
      <w:tr>
        <w:trPr/>
        <w:tc>
          <w:tcPr>
            <w:tcW w:w="349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sans-serif" w:hAnsi="sans-serif"/>
                <w:color w:val="000000"/>
                <w:sz w:val="20"/>
              </w:rPr>
            </w:pPr>
            <w:r>
              <w:rPr>
                <w:rFonts w:ascii="sans-serif" w:hAnsi="sans-serif"/>
                <w:color w:val="000000"/>
                <w:sz w:val="20"/>
              </w:rPr>
              <w:t>Total Gross Margin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33.2</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26.8</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32.9</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27.3</w:t>
            </w:r>
          </w:p>
        </w:tc>
        <w:tc>
          <w:tcPr>
            <w:tcW w:w="43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r>
    </w:tbl>
    <w:p>
      <w:pPr>
        <w:pStyle w:val="TextBody"/>
        <w:bidi w:val="0"/>
        <w:jc w:val="center"/>
        <w:rPr/>
      </w:pPr>
      <w:r>
        <w:rPr/>
        <w:t> </w:t>
      </w:r>
    </w:p>
    <w:p>
      <w:pPr>
        <w:pStyle w:val="TextBody"/>
        <w:bidi w:val="0"/>
        <w:jc w:val="center"/>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sans-serif" w:hAnsi="sans-serif"/>
          <w:b/>
          <w:color w:val="000000"/>
          <w:sz w:val="22"/>
        </w:rPr>
      </w:pPr>
      <w:r>
        <w:rPr>
          <w:rFonts w:ascii="sans-serif" w:hAnsi="sans-serif"/>
          <w:b/>
          <w:color w:val="000000"/>
          <w:sz w:val="22"/>
        </w:rPr>
        <w:t>Corsair Gaming, Inc.</w:t>
      </w:r>
    </w:p>
    <w:p>
      <w:pPr>
        <w:pStyle w:val="TextBody"/>
        <w:bidi w:val="0"/>
        <w:jc w:val="center"/>
        <w:rPr>
          <w:rFonts w:ascii="sans-serif" w:hAnsi="sans-serif"/>
          <w:b/>
          <w:color w:val="000000"/>
          <w:sz w:val="22"/>
        </w:rPr>
      </w:pPr>
      <w:r>
        <w:rPr>
          <w:rFonts w:ascii="sans-serif" w:hAnsi="sans-serif"/>
          <w:b/>
          <w:color w:val="000000"/>
          <w:sz w:val="22"/>
        </w:rPr>
        <w:t>Condensed Consolidated Balance Sheets</w:t>
      </w:r>
    </w:p>
    <w:p>
      <w:pPr>
        <w:pStyle w:val="TextBody"/>
        <w:bidi w:val="0"/>
        <w:jc w:val="center"/>
        <w:rPr>
          <w:rFonts w:ascii="sans-serif" w:hAnsi="sans-serif"/>
          <w:color w:val="000000"/>
          <w:sz w:val="20"/>
        </w:rPr>
      </w:pPr>
      <w:r>
        <w:rPr>
          <w:rFonts w:ascii="sans-serif" w:hAnsi="sans-serif"/>
          <w:color w:val="000000"/>
          <w:sz w:val="20"/>
        </w:rPr>
        <w:t>(Unaudited, in thousands)</w:t>
      </w:r>
    </w:p>
    <w:p>
      <w:pPr>
        <w:pStyle w:val="TextBody"/>
        <w:bidi w:val="0"/>
        <w:jc w:val="center"/>
        <w:rPr/>
      </w:pPr>
      <w:r>
        <w:rPr/>
        <w:t> </w:t>
      </w:r>
    </w:p>
    <w:tbl>
      <w:tblPr>
        <w:tblW w:w="9757" w:type="dxa"/>
        <w:jc w:val="left"/>
        <w:tblInd w:w="0" w:type="dxa"/>
        <w:tblLayout w:type="fixed"/>
        <w:tblCellMar>
          <w:top w:w="28" w:type="dxa"/>
          <w:left w:w="28" w:type="dxa"/>
          <w:bottom w:w="28" w:type="dxa"/>
          <w:right w:w="28" w:type="dxa"/>
        </w:tblCellMar>
      </w:tblPr>
      <w:tblGrid>
        <w:gridCol w:w="5851"/>
        <w:gridCol w:w="146"/>
        <w:gridCol w:w="226"/>
        <w:gridCol w:w="1066"/>
        <w:gridCol w:w="181"/>
        <w:gridCol w:w="146"/>
        <w:gridCol w:w="288"/>
        <w:gridCol w:w="1362"/>
        <w:gridCol w:w="491"/>
      </w:tblGrid>
      <w:tr>
        <w:trPr/>
        <w:tc>
          <w:tcPr>
            <w:tcW w:w="58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06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1362" w:type="dxa"/>
            <w:tcBorders/>
            <w:vAlign w:val="center"/>
          </w:tcPr>
          <w:p>
            <w:pPr>
              <w:pStyle w:val="TableContents"/>
              <w:bidi w:val="0"/>
              <w:spacing w:before="0" w:after="283"/>
              <w:jc w:val="left"/>
              <w:rPr>
                <w:sz w:val="4"/>
                <w:szCs w:val="4"/>
              </w:rPr>
            </w:pPr>
            <w:r>
              <w:rPr>
                <w:sz w:val="4"/>
                <w:szCs w:val="4"/>
              </w:rPr>
            </w:r>
          </w:p>
        </w:tc>
        <w:tc>
          <w:tcPr>
            <w:tcW w:w="491" w:type="dxa"/>
            <w:tcBorders/>
            <w:vAlign w:val="center"/>
          </w:tcPr>
          <w:p>
            <w:pPr>
              <w:pStyle w:val="TableContents"/>
              <w:bidi w:val="0"/>
              <w:spacing w:before="0" w:after="283"/>
              <w:jc w:val="left"/>
              <w:rPr>
                <w:sz w:val="4"/>
                <w:szCs w:val="4"/>
              </w:rPr>
            </w:pPr>
            <w:r>
              <w:rPr>
                <w:sz w:val="4"/>
                <w:szCs w:val="4"/>
              </w:rPr>
            </w:r>
          </w:p>
        </w:tc>
      </w:tr>
      <w:tr>
        <w:trPr/>
        <w:tc>
          <w:tcPr>
            <w:tcW w:w="58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June 30,</w:t>
              <w:br/>
              <w:t>2026</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5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December 31,</w:t>
              <w:br/>
              <w:t>2025</w:t>
            </w:r>
          </w:p>
        </w:tc>
        <w:tc>
          <w:tcPr>
            <w:tcW w:w="4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8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9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50"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585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20"/>
              </w:rPr>
            </w:pPr>
            <w:r>
              <w:rPr>
                <w:rFonts w:ascii="sans-serif" w:hAnsi="sans-serif"/>
                <w:b/>
                <w:color w:val="000000"/>
                <w:sz w:val="20"/>
              </w:rPr>
              <w:t>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5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585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sans-serif" w:hAnsi="sans-serif"/>
                <w:color w:val="000000"/>
                <w:sz w:val="20"/>
              </w:rPr>
            </w:pPr>
            <w:r>
              <w:rPr>
                <w:rFonts w:ascii="sans-serif" w:hAnsi="sans-serif"/>
                <w:color w:val="000000"/>
                <w:sz w:val="20"/>
              </w:rPr>
              <w:t>Current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5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585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sans-serif" w:hAnsi="sans-serif"/>
                <w:color w:val="000000"/>
                <w:sz w:val="20"/>
              </w:rPr>
            </w:pPr>
            <w:r>
              <w:rPr>
                <w:rFonts w:ascii="sans-serif" w:hAnsi="sans-serif"/>
                <w:color w:val="000000"/>
                <w:sz w:val="20"/>
              </w:rPr>
              <w:t>Cash and restricted cash</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06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193,604</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88"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362"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98,583</w:t>
            </w:r>
          </w:p>
        </w:tc>
        <w:tc>
          <w:tcPr>
            <w:tcW w:w="4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85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sans-serif" w:hAnsi="sans-serif"/>
                <w:color w:val="000000"/>
                <w:sz w:val="20"/>
              </w:rPr>
            </w:pPr>
            <w:r>
              <w:rPr>
                <w:rFonts w:ascii="sans-serif" w:hAnsi="sans-serif"/>
                <w:color w:val="000000"/>
                <w:sz w:val="20"/>
              </w:rPr>
              <w:t>Accounts receivable,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159,820</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8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62"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233,900</w:t>
            </w:r>
          </w:p>
        </w:tc>
        <w:tc>
          <w:tcPr>
            <w:tcW w:w="4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85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sans-serif" w:hAnsi="sans-serif"/>
                <w:color w:val="000000"/>
                <w:sz w:val="20"/>
              </w:rPr>
            </w:pPr>
            <w:r>
              <w:rPr>
                <w:rFonts w:ascii="sans-serif" w:hAnsi="sans-serif"/>
                <w:color w:val="000000"/>
                <w:sz w:val="20"/>
              </w:rPr>
              <w:t>Inventories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6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264,533</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8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62"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303,336</w:t>
            </w:r>
          </w:p>
        </w:tc>
        <w:tc>
          <w:tcPr>
            <w:tcW w:w="4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85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sans-serif" w:hAnsi="sans-serif"/>
                <w:color w:val="000000"/>
                <w:sz w:val="20"/>
              </w:rPr>
            </w:pPr>
            <w:r>
              <w:rPr>
                <w:rFonts w:ascii="sans-serif" w:hAnsi="sans-serif"/>
                <w:color w:val="000000"/>
                <w:sz w:val="20"/>
              </w:rPr>
              <w:t>Prepaid expenses and other current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28,891</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8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6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29,639</w:t>
            </w:r>
          </w:p>
        </w:tc>
        <w:tc>
          <w:tcPr>
            <w:tcW w:w="4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pPr>
            <w:r>
              <w:rPr/>
              <w:t> </w:t>
            </w:r>
          </w:p>
        </w:tc>
      </w:tr>
      <w:tr>
        <w:trPr/>
        <w:tc>
          <w:tcPr>
            <w:tcW w:w="585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sans-serif" w:hAnsi="sans-serif"/>
                <w:color w:val="000000"/>
                <w:sz w:val="20"/>
              </w:rPr>
            </w:pPr>
            <w:r>
              <w:rPr>
                <w:rFonts w:ascii="sans-serif" w:hAnsi="sans-serif"/>
                <w:color w:val="000000"/>
                <w:sz w:val="20"/>
              </w:rPr>
              <w:t>Total current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6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646,848</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8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62"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665,458</w:t>
            </w:r>
          </w:p>
        </w:tc>
        <w:tc>
          <w:tcPr>
            <w:tcW w:w="4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585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sans-serif" w:hAnsi="sans-serif"/>
                <w:color w:val="000000"/>
                <w:sz w:val="20"/>
              </w:rPr>
            </w:pPr>
            <w:r>
              <w:rPr>
                <w:rFonts w:ascii="sans-serif" w:hAnsi="sans-serif"/>
                <w:color w:val="000000"/>
                <w:sz w:val="20"/>
              </w:rPr>
              <w:t>Restricted cash, noncurrent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252</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8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62"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250</w:t>
            </w:r>
          </w:p>
        </w:tc>
        <w:tc>
          <w:tcPr>
            <w:tcW w:w="4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585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sans-serif" w:hAnsi="sans-serif"/>
                <w:color w:val="000000"/>
                <w:sz w:val="20"/>
              </w:rPr>
            </w:pPr>
            <w:r>
              <w:rPr>
                <w:rFonts w:ascii="sans-serif" w:hAnsi="sans-serif"/>
                <w:color w:val="000000"/>
                <w:sz w:val="20"/>
              </w:rPr>
              <w:t>Property and equipment,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6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30,367</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8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62"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31,514</w:t>
            </w:r>
          </w:p>
        </w:tc>
        <w:tc>
          <w:tcPr>
            <w:tcW w:w="4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585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sans-serif" w:hAnsi="sans-serif"/>
                <w:color w:val="000000"/>
                <w:sz w:val="20"/>
              </w:rPr>
            </w:pPr>
            <w:r>
              <w:rPr>
                <w:rFonts w:ascii="sans-serif" w:hAnsi="sans-serif"/>
                <w:color w:val="000000"/>
                <w:sz w:val="20"/>
              </w:rPr>
              <w:t>Goodwill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357,417</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8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62"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357,765</w:t>
            </w:r>
          </w:p>
        </w:tc>
        <w:tc>
          <w:tcPr>
            <w:tcW w:w="4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585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sans-serif" w:hAnsi="sans-serif"/>
                <w:color w:val="000000"/>
                <w:sz w:val="20"/>
              </w:rPr>
            </w:pPr>
            <w:r>
              <w:rPr>
                <w:rFonts w:ascii="sans-serif" w:hAnsi="sans-serif"/>
                <w:color w:val="000000"/>
                <w:sz w:val="20"/>
              </w:rPr>
              <w:t>Intangible assets,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6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106,489</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8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62"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125,210</w:t>
            </w:r>
          </w:p>
        </w:tc>
        <w:tc>
          <w:tcPr>
            <w:tcW w:w="4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585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sans-serif" w:hAnsi="sans-serif"/>
                <w:color w:val="000000"/>
                <w:sz w:val="20"/>
              </w:rPr>
            </w:pPr>
            <w:r>
              <w:rPr>
                <w:rFonts w:ascii="sans-serif" w:hAnsi="sans-serif"/>
                <w:color w:val="000000"/>
                <w:sz w:val="20"/>
              </w:rPr>
              <w:t>Other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74,892</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8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6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73,587</w:t>
            </w:r>
          </w:p>
        </w:tc>
        <w:tc>
          <w:tcPr>
            <w:tcW w:w="4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585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Total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0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1,216,265</w:t>
            </w:r>
          </w:p>
        </w:tc>
        <w:tc>
          <w:tcPr>
            <w:tcW w:w="1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8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36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1,253,784</w:t>
            </w:r>
          </w:p>
        </w:tc>
        <w:tc>
          <w:tcPr>
            <w:tcW w:w="4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585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20"/>
              </w:rPr>
            </w:pPr>
            <w:r>
              <w:rPr>
                <w:rFonts w:ascii="sans-serif" w:hAnsi="sans-serif"/>
                <w:b/>
                <w:color w:val="000000"/>
                <w:sz w:val="20"/>
              </w:rPr>
              <w:t>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5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585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sans-serif" w:hAnsi="sans-serif"/>
                <w:color w:val="000000"/>
                <w:sz w:val="20"/>
              </w:rPr>
            </w:pPr>
            <w:r>
              <w:rPr>
                <w:rFonts w:ascii="sans-serif" w:hAnsi="sans-serif"/>
                <w:color w:val="000000"/>
                <w:sz w:val="20"/>
              </w:rPr>
              <w:t>Current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5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585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sans-serif" w:hAnsi="sans-serif"/>
                <w:color w:val="000000"/>
                <w:sz w:val="20"/>
              </w:rPr>
            </w:pPr>
            <w:r>
              <w:rPr>
                <w:rFonts w:ascii="sans-serif" w:hAnsi="sans-serif"/>
                <w:color w:val="000000"/>
                <w:sz w:val="20"/>
              </w:rPr>
              <w:t>Debt maturing within one year,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06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6,123</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88"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362"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6,120</w:t>
            </w:r>
          </w:p>
        </w:tc>
        <w:tc>
          <w:tcPr>
            <w:tcW w:w="4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85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sans-serif" w:hAnsi="sans-serif"/>
                <w:color w:val="000000"/>
                <w:sz w:val="20"/>
              </w:rPr>
            </w:pPr>
            <w:r>
              <w:rPr>
                <w:rFonts w:ascii="sans-serif" w:hAnsi="sans-serif"/>
                <w:color w:val="000000"/>
                <w:sz w:val="20"/>
              </w:rPr>
              <w:t>Accounts payable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6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178,796</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8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62"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212,547</w:t>
            </w:r>
          </w:p>
        </w:tc>
        <w:tc>
          <w:tcPr>
            <w:tcW w:w="4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85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sans-serif" w:hAnsi="sans-serif"/>
                <w:color w:val="000000"/>
                <w:sz w:val="20"/>
              </w:rPr>
            </w:pPr>
            <w:r>
              <w:rPr>
                <w:rFonts w:ascii="sans-serif" w:hAnsi="sans-serif"/>
                <w:color w:val="000000"/>
                <w:sz w:val="20"/>
              </w:rPr>
              <w:t>Other liabilities and accrued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184,230</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8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6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212,275</w:t>
            </w:r>
          </w:p>
        </w:tc>
        <w:tc>
          <w:tcPr>
            <w:tcW w:w="4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300"/>
              <w:jc w:val="left"/>
              <w:rPr/>
            </w:pPr>
            <w:r>
              <w:rPr/>
              <w:t> </w:t>
            </w:r>
          </w:p>
        </w:tc>
      </w:tr>
      <w:tr>
        <w:trPr/>
        <w:tc>
          <w:tcPr>
            <w:tcW w:w="5851"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rFonts w:ascii="sans-serif" w:hAnsi="sans-serif"/>
                <w:color w:val="000000"/>
                <w:sz w:val="20"/>
              </w:rPr>
            </w:pPr>
            <w:r>
              <w:rPr>
                <w:rFonts w:ascii="sans-serif" w:hAnsi="sans-serif"/>
                <w:color w:val="000000"/>
                <w:sz w:val="20"/>
              </w:rPr>
              <w:t>Total current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6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369,149</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8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62"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430,942</w:t>
            </w:r>
          </w:p>
        </w:tc>
        <w:tc>
          <w:tcPr>
            <w:tcW w:w="4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585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sans-serif" w:hAnsi="sans-serif"/>
                <w:color w:val="000000"/>
                <w:sz w:val="20"/>
              </w:rPr>
            </w:pPr>
            <w:r>
              <w:rPr>
                <w:rFonts w:ascii="sans-serif" w:hAnsi="sans-serif"/>
                <w:color w:val="000000"/>
                <w:sz w:val="20"/>
              </w:rPr>
              <w:t>Long-term debt,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112,160</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8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62"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115,222</w:t>
            </w:r>
          </w:p>
        </w:tc>
        <w:tc>
          <w:tcPr>
            <w:tcW w:w="4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585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sans-serif" w:hAnsi="sans-serif"/>
                <w:color w:val="000000"/>
                <w:sz w:val="20"/>
              </w:rPr>
            </w:pPr>
            <w:r>
              <w:rPr>
                <w:rFonts w:ascii="sans-serif" w:hAnsi="sans-serif"/>
                <w:color w:val="000000"/>
                <w:sz w:val="20"/>
              </w:rPr>
              <w:t>Deferred tax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6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3,607</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8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62"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6,071</w:t>
            </w:r>
          </w:p>
        </w:tc>
        <w:tc>
          <w:tcPr>
            <w:tcW w:w="4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585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sans-serif" w:hAnsi="sans-serif"/>
                <w:color w:val="000000"/>
                <w:sz w:val="20"/>
              </w:rPr>
            </w:pPr>
            <w:r>
              <w:rPr>
                <w:rFonts w:ascii="sans-serif" w:hAnsi="sans-serif"/>
                <w:color w:val="000000"/>
                <w:sz w:val="20"/>
              </w:rPr>
              <w:t>Other liabilities, noncurrent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50,997</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8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6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55,795</w:t>
            </w:r>
          </w:p>
        </w:tc>
        <w:tc>
          <w:tcPr>
            <w:tcW w:w="4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585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Total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535,913</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8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36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608,030</w:t>
            </w:r>
          </w:p>
        </w:tc>
        <w:tc>
          <w:tcPr>
            <w:tcW w:w="4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585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20"/>
              </w:rPr>
            </w:pPr>
            <w:r>
              <w:rPr>
                <w:rFonts w:ascii="sans-serif" w:hAnsi="sans-serif"/>
                <w:b/>
                <w:color w:val="000000"/>
                <w:sz w:val="20"/>
              </w:rPr>
              <w:t>Temporary equity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5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585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sans-serif" w:hAnsi="sans-serif"/>
                <w:color w:val="000000"/>
                <w:sz w:val="20"/>
              </w:rPr>
            </w:pPr>
            <w:r>
              <w:rPr>
                <w:rFonts w:ascii="sans-serif" w:hAnsi="sans-serif"/>
                <w:color w:val="000000"/>
                <w:sz w:val="20"/>
              </w:rPr>
              <w:t>Redeemable noncontrolling interest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6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15,498</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8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62"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12,197</w:t>
            </w:r>
          </w:p>
        </w:tc>
        <w:tc>
          <w:tcPr>
            <w:tcW w:w="4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85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20"/>
              </w:rPr>
            </w:pPr>
            <w:r>
              <w:rPr>
                <w:rFonts w:ascii="sans-serif" w:hAnsi="sans-serif"/>
                <w:b/>
                <w:color w:val="000000"/>
                <w:sz w:val="20"/>
              </w:rPr>
              <w:t>Stockholders' equity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5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585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sans-serif" w:hAnsi="sans-serif"/>
                <w:color w:val="000000"/>
                <w:sz w:val="20"/>
              </w:rPr>
            </w:pPr>
            <w:r>
              <w:rPr>
                <w:rFonts w:ascii="sans-serif" w:hAnsi="sans-serif"/>
                <w:color w:val="000000"/>
                <w:sz w:val="20"/>
              </w:rPr>
              <w:t>Common stock and additional paid-in capital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6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718,782</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8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62"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705,372</w:t>
            </w:r>
          </w:p>
        </w:tc>
        <w:tc>
          <w:tcPr>
            <w:tcW w:w="4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585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sans-serif" w:hAnsi="sans-serif"/>
                <w:color w:val="000000"/>
                <w:sz w:val="20"/>
              </w:rPr>
            </w:pPr>
            <w:r>
              <w:rPr>
                <w:rFonts w:ascii="sans-serif" w:hAnsi="sans-serif"/>
                <w:color w:val="000000"/>
                <w:sz w:val="20"/>
              </w:rPr>
              <w:t>Accumulated deficit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(52,538</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8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62"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(71,230</w:t>
            </w:r>
          </w:p>
        </w:tc>
        <w:tc>
          <w:tcPr>
            <w:tcW w:w="4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sans-serif" w:hAnsi="sans-serif"/>
                <w:color w:val="000000"/>
                <w:sz w:val="20"/>
              </w:rPr>
            </w:pPr>
            <w:r>
              <w:rPr>
                <w:rFonts w:ascii="sans-serif" w:hAnsi="sans-serif"/>
                <w:color w:val="000000"/>
                <w:sz w:val="20"/>
              </w:rPr>
              <w:t>)</w:t>
            </w:r>
          </w:p>
        </w:tc>
      </w:tr>
      <w:tr>
        <w:trPr/>
        <w:tc>
          <w:tcPr>
            <w:tcW w:w="585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sans-serif" w:hAnsi="sans-serif"/>
                <w:color w:val="000000"/>
                <w:sz w:val="20"/>
              </w:rPr>
            </w:pPr>
            <w:r>
              <w:rPr>
                <w:rFonts w:ascii="sans-serif" w:hAnsi="sans-serif"/>
                <w:color w:val="000000"/>
                <w:sz w:val="20"/>
              </w:rPr>
              <w:t>Accumulated other comprehensive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(1,390</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8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36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(585</w:t>
            </w:r>
          </w:p>
        </w:tc>
        <w:tc>
          <w:tcPr>
            <w:tcW w:w="4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rFonts w:ascii="sans-serif" w:hAnsi="sans-serif"/>
                <w:color w:val="000000"/>
                <w:sz w:val="20"/>
              </w:rPr>
            </w:pPr>
            <w:r>
              <w:rPr>
                <w:rFonts w:ascii="sans-serif" w:hAnsi="sans-serif"/>
                <w:color w:val="000000"/>
                <w:sz w:val="20"/>
              </w:rPr>
              <w:t>)</w:t>
            </w:r>
          </w:p>
        </w:tc>
      </w:tr>
      <w:tr>
        <w:trPr/>
        <w:tc>
          <w:tcPr>
            <w:tcW w:w="585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sans-serif" w:hAnsi="sans-serif"/>
                <w:color w:val="000000"/>
                <w:sz w:val="20"/>
              </w:rPr>
            </w:pPr>
            <w:r>
              <w:rPr>
                <w:rFonts w:ascii="sans-serif" w:hAnsi="sans-serif"/>
                <w:color w:val="000000"/>
                <w:sz w:val="20"/>
              </w:rPr>
              <w:t>Total stockholders' equity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664,854</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8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62"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633,557</w:t>
            </w:r>
          </w:p>
        </w:tc>
        <w:tc>
          <w:tcPr>
            <w:tcW w:w="4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85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Total liabilities, temporary equity and stockholders' equity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066"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1,216,265</w:t>
            </w:r>
          </w:p>
        </w:tc>
        <w:tc>
          <w:tcPr>
            <w:tcW w:w="181"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88"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362"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1,253,784</w:t>
            </w:r>
          </w:p>
        </w:tc>
        <w:tc>
          <w:tcPr>
            <w:tcW w:w="491"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sans-serif" w:hAnsi="sans-serif"/>
          <w:b/>
          <w:color w:val="000000"/>
          <w:sz w:val="22"/>
        </w:rPr>
      </w:pPr>
      <w:r>
        <w:rPr>
          <w:rFonts w:ascii="sans-serif" w:hAnsi="sans-serif"/>
          <w:b/>
          <w:color w:val="000000"/>
          <w:sz w:val="22"/>
        </w:rPr>
        <w:t>Corsair Gaming, Inc.</w:t>
      </w:r>
    </w:p>
    <w:p>
      <w:pPr>
        <w:pStyle w:val="TextBody"/>
        <w:bidi w:val="0"/>
        <w:jc w:val="center"/>
        <w:rPr>
          <w:rFonts w:ascii="sans-serif" w:hAnsi="sans-serif"/>
          <w:b/>
          <w:color w:val="000000"/>
          <w:sz w:val="22"/>
        </w:rPr>
      </w:pPr>
      <w:r>
        <w:rPr>
          <w:rFonts w:ascii="sans-serif" w:hAnsi="sans-serif"/>
          <w:b/>
          <w:color w:val="000000"/>
          <w:sz w:val="22"/>
        </w:rPr>
        <w:t>Condensed Consolidated Statements of Cash Flows</w:t>
      </w:r>
    </w:p>
    <w:p>
      <w:pPr>
        <w:pStyle w:val="TextBody"/>
        <w:bidi w:val="0"/>
        <w:jc w:val="center"/>
        <w:rPr>
          <w:rFonts w:ascii="sans-serif" w:hAnsi="sans-serif"/>
          <w:color w:val="000000"/>
          <w:sz w:val="20"/>
        </w:rPr>
      </w:pPr>
      <w:r>
        <w:rPr>
          <w:rFonts w:ascii="sans-serif" w:hAnsi="sans-serif"/>
          <w:color w:val="000000"/>
          <w:sz w:val="20"/>
        </w:rPr>
        <w:t>(Unaudited, in thousands)</w:t>
      </w:r>
    </w:p>
    <w:p>
      <w:pPr>
        <w:pStyle w:val="TextBody"/>
        <w:bidi w:val="0"/>
        <w:jc w:val="center"/>
        <w:rPr/>
      </w:pPr>
      <w:r>
        <w:rPr/>
        <w:t> </w:t>
      </w:r>
    </w:p>
    <w:tbl>
      <w:tblPr>
        <w:tblW w:w="10205" w:type="dxa"/>
        <w:jc w:val="left"/>
        <w:tblInd w:w="0" w:type="dxa"/>
        <w:tblLayout w:type="fixed"/>
        <w:tblCellMar>
          <w:top w:w="28" w:type="dxa"/>
          <w:left w:w="28" w:type="dxa"/>
          <w:bottom w:w="28" w:type="dxa"/>
          <w:right w:w="28" w:type="dxa"/>
        </w:tblCellMar>
      </w:tblPr>
      <w:tblGrid>
        <w:gridCol w:w="4204"/>
        <w:gridCol w:w="146"/>
        <w:gridCol w:w="226"/>
        <w:gridCol w:w="886"/>
        <w:gridCol w:w="181"/>
        <w:gridCol w:w="146"/>
        <w:gridCol w:w="226"/>
        <w:gridCol w:w="886"/>
        <w:gridCol w:w="181"/>
        <w:gridCol w:w="146"/>
        <w:gridCol w:w="226"/>
        <w:gridCol w:w="886"/>
        <w:gridCol w:w="181"/>
        <w:gridCol w:w="146"/>
        <w:gridCol w:w="226"/>
        <w:gridCol w:w="886"/>
        <w:gridCol w:w="426"/>
      </w:tblGrid>
      <w:tr>
        <w:trPr/>
        <w:tc>
          <w:tcPr>
            <w:tcW w:w="420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426" w:type="dxa"/>
            <w:tcBorders/>
            <w:vAlign w:val="center"/>
          </w:tcPr>
          <w:p>
            <w:pPr>
              <w:pStyle w:val="TableContents"/>
              <w:bidi w:val="0"/>
              <w:spacing w:before="0" w:after="283"/>
              <w:jc w:val="left"/>
              <w:rPr>
                <w:sz w:val="4"/>
                <w:szCs w:val="4"/>
              </w:rPr>
            </w:pPr>
            <w:r>
              <w:rPr>
                <w:sz w:val="4"/>
                <w:szCs w:val="4"/>
              </w:rPr>
            </w:r>
          </w:p>
        </w:tc>
      </w:tr>
      <w:tr>
        <w:trPr/>
        <w:tc>
          <w:tcPr>
            <w:tcW w:w="420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5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Three Months Ended</w:t>
              <w:br/>
              <w:t>June 30,</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5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Six Months Ended</w:t>
              <w:br/>
              <w:t>June 30,</w:t>
            </w:r>
          </w:p>
        </w:tc>
        <w:tc>
          <w:tcPr>
            <w:tcW w:w="4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20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2026</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2025</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2026</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2025</w:t>
            </w:r>
          </w:p>
        </w:tc>
        <w:tc>
          <w:tcPr>
            <w:tcW w:w="4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20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1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1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1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1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2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204"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20"/>
              </w:rPr>
            </w:pPr>
            <w:r>
              <w:rPr>
                <w:rFonts w:ascii="sans-serif" w:hAnsi="sans-serif"/>
                <w:b/>
                <w:color w:val="000000"/>
                <w:sz w:val="20"/>
              </w:rPr>
              <w:t>Cash flows from operating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2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204"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Net income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9,149</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(20,306</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22,206</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(30,623</w:t>
            </w:r>
          </w:p>
        </w:tc>
        <w:tc>
          <w:tcPr>
            <w:tcW w:w="42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r>
      <w:tr>
        <w:trPr/>
        <w:tc>
          <w:tcPr>
            <w:tcW w:w="4204"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Adjustments to reconcile net loss to net cash provided by operating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2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204"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Stock-based compensation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5,935</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9,335</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12,629</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18,657</w:t>
            </w:r>
          </w:p>
        </w:tc>
        <w:tc>
          <w:tcPr>
            <w:tcW w:w="4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204"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Depreciation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3,649</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3,351</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7,200</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6,724</w:t>
            </w:r>
          </w:p>
        </w:tc>
        <w:tc>
          <w:tcPr>
            <w:tcW w:w="4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204"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Amortization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8,815</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9,853</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18,621</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19,635</w:t>
            </w:r>
          </w:p>
        </w:tc>
        <w:tc>
          <w:tcPr>
            <w:tcW w:w="4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204"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Provision for doubtful accounts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2,828</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2,828</w:t>
            </w:r>
          </w:p>
        </w:tc>
        <w:tc>
          <w:tcPr>
            <w:tcW w:w="4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204"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Reversal of bargain purchase gain on business acquisition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2,581</w:t>
            </w:r>
          </w:p>
        </w:tc>
        <w:tc>
          <w:tcPr>
            <w:tcW w:w="4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204"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Deferred income taxes, net of valuation allowance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(3,625</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(2,287</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(6,394</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(3,303</w:t>
            </w:r>
          </w:p>
        </w:tc>
        <w:tc>
          <w:tcPr>
            <w:tcW w:w="42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r>
      <w:tr>
        <w:trPr/>
        <w:tc>
          <w:tcPr>
            <w:tcW w:w="4204"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Other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803</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(745</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1,540</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2,286</w:t>
            </w:r>
          </w:p>
        </w:tc>
        <w:tc>
          <w:tcPr>
            <w:tcW w:w="4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204"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Changes in operating assets and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11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2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204"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Accounts receivable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18,917</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37,822</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73,131</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38,023</w:t>
            </w:r>
          </w:p>
        </w:tc>
        <w:tc>
          <w:tcPr>
            <w:tcW w:w="4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204"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Inventories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8,725</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(21,501</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38,905</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(43,738</w:t>
            </w:r>
          </w:p>
        </w:tc>
        <w:tc>
          <w:tcPr>
            <w:tcW w:w="42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r>
      <w:tr>
        <w:trPr/>
        <w:tc>
          <w:tcPr>
            <w:tcW w:w="4204"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Prepaid expenses and other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(1,135</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1,771</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(111</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4,018</w:t>
            </w:r>
          </w:p>
        </w:tc>
        <w:tc>
          <w:tcPr>
            <w:tcW w:w="4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204"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Accounts payable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20,885</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15,306</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(33,698</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49,559</w:t>
            </w:r>
          </w:p>
        </w:tc>
        <w:tc>
          <w:tcPr>
            <w:tcW w:w="4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204"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Other liabilities and accrued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2,720</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(5,234</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(29,463</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(17,704</w:t>
            </w:r>
          </w:p>
        </w:tc>
        <w:tc>
          <w:tcPr>
            <w:tcW w:w="42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rFonts w:ascii="sans-serif" w:hAnsi="sans-serif"/>
                <w:color w:val="000000"/>
                <w:sz w:val="20"/>
              </w:rPr>
            </w:pPr>
            <w:r>
              <w:rPr>
                <w:rFonts w:ascii="sans-serif" w:hAnsi="sans-serif"/>
                <w:color w:val="000000"/>
                <w:sz w:val="20"/>
              </w:rPr>
              <w:t>)</w:t>
            </w:r>
          </w:p>
        </w:tc>
      </w:tr>
      <w:tr>
        <w:trPr/>
        <w:tc>
          <w:tcPr>
            <w:tcW w:w="420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sans-serif" w:hAnsi="sans-serif"/>
                <w:color w:val="000000"/>
                <w:sz w:val="20"/>
              </w:rPr>
            </w:pPr>
            <w:r>
              <w:rPr>
                <w:rFonts w:ascii="sans-serif" w:hAnsi="sans-serif"/>
                <w:color w:val="000000"/>
                <w:sz w:val="20"/>
              </w:rPr>
              <w:t>Net cash provided by operating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74,838</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30,193</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104,566</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48,943</w:t>
            </w:r>
          </w:p>
        </w:tc>
        <w:tc>
          <w:tcPr>
            <w:tcW w:w="4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204"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20"/>
              </w:rPr>
            </w:pPr>
            <w:r>
              <w:rPr>
                <w:rFonts w:ascii="sans-serif" w:hAnsi="sans-serif"/>
                <w:b/>
                <w:color w:val="000000"/>
                <w:sz w:val="20"/>
              </w:rPr>
              <w:t>Cash flows from investing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2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204"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Purchase of property and equipment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(2,771</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(2,713</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(6,440</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(5,785</w:t>
            </w:r>
          </w:p>
        </w:tc>
        <w:tc>
          <w:tcPr>
            <w:tcW w:w="426"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rFonts w:ascii="sans-serif" w:hAnsi="sans-serif"/>
                <w:color w:val="000000"/>
                <w:sz w:val="20"/>
              </w:rPr>
            </w:pPr>
            <w:r>
              <w:rPr>
                <w:rFonts w:ascii="sans-serif" w:hAnsi="sans-serif"/>
                <w:color w:val="000000"/>
                <w:sz w:val="20"/>
              </w:rPr>
              <w:t>)</w:t>
            </w:r>
          </w:p>
        </w:tc>
      </w:tr>
      <w:tr>
        <w:trPr/>
        <w:tc>
          <w:tcPr>
            <w:tcW w:w="420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sans-serif" w:hAnsi="sans-serif"/>
                <w:color w:val="000000"/>
                <w:sz w:val="20"/>
              </w:rPr>
            </w:pPr>
            <w:r>
              <w:rPr>
                <w:rFonts w:ascii="sans-serif" w:hAnsi="sans-serif"/>
                <w:color w:val="000000"/>
                <w:sz w:val="20"/>
              </w:rPr>
              <w:t>Net cash used in investing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(2,771</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(2,713</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(6,440</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(5,785</w:t>
            </w:r>
          </w:p>
        </w:tc>
        <w:tc>
          <w:tcPr>
            <w:tcW w:w="4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r>
      <w:tr>
        <w:trPr/>
        <w:tc>
          <w:tcPr>
            <w:tcW w:w="4204"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20"/>
              </w:rPr>
            </w:pPr>
            <w:r>
              <w:rPr>
                <w:rFonts w:ascii="sans-serif" w:hAnsi="sans-serif"/>
                <w:b/>
                <w:color w:val="000000"/>
                <w:sz w:val="20"/>
              </w:rPr>
              <w:t>Cash flows from financing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2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4204"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sans-serif" w:hAnsi="sans-serif"/>
                <w:color w:val="000000"/>
                <w:sz w:val="20"/>
              </w:rPr>
            </w:pPr>
            <w:r>
              <w:rPr>
                <w:rFonts w:ascii="sans-serif" w:hAnsi="sans-serif"/>
                <w:color w:val="000000"/>
                <w:sz w:val="20"/>
              </w:rPr>
              <w:t>Repayment of debt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(1,562</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(24,000</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(3,125</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(49,000</w:t>
            </w:r>
          </w:p>
        </w:tc>
        <w:tc>
          <w:tcPr>
            <w:tcW w:w="42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sans-serif" w:hAnsi="sans-serif"/>
                <w:color w:val="000000"/>
                <w:sz w:val="20"/>
              </w:rPr>
            </w:pPr>
            <w:r>
              <w:rPr>
                <w:rFonts w:ascii="sans-serif" w:hAnsi="sans-serif"/>
                <w:color w:val="000000"/>
                <w:sz w:val="20"/>
              </w:rPr>
              <w:t>)</w:t>
            </w:r>
          </w:p>
        </w:tc>
      </w:tr>
      <w:tr>
        <w:trPr/>
        <w:tc>
          <w:tcPr>
            <w:tcW w:w="4204"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sans-serif" w:hAnsi="sans-serif"/>
                <w:color w:val="000000"/>
                <w:sz w:val="20"/>
              </w:rPr>
            </w:pPr>
            <w:r>
              <w:rPr>
                <w:rFonts w:ascii="sans-serif" w:hAnsi="sans-serif"/>
                <w:color w:val="000000"/>
                <w:sz w:val="20"/>
              </w:rPr>
              <w:t>Repurchases of common stock</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(5,011</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42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4204"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sans-serif" w:hAnsi="sans-serif"/>
                <w:color w:val="000000"/>
                <w:sz w:val="20"/>
              </w:rPr>
            </w:pPr>
            <w:r>
              <w:rPr>
                <w:rFonts w:ascii="sans-serif" w:hAnsi="sans-serif"/>
                <w:color w:val="000000"/>
                <w:sz w:val="20"/>
              </w:rPr>
              <w:t>Proceeds from issuance of shares through employee equity incentive plans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4,456</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6,511</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3,441</w:t>
            </w:r>
          </w:p>
        </w:tc>
        <w:tc>
          <w:tcPr>
            <w:tcW w:w="42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4204"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sans-serif" w:hAnsi="sans-serif"/>
                <w:color w:val="000000"/>
                <w:sz w:val="20"/>
              </w:rPr>
            </w:pPr>
            <w:r>
              <w:rPr>
                <w:rFonts w:ascii="sans-serif" w:hAnsi="sans-serif"/>
                <w:color w:val="000000"/>
                <w:sz w:val="20"/>
              </w:rPr>
              <w:t>Payment of taxes related to net share settlement of equity awards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(162</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(590</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(792</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(980</w:t>
            </w:r>
          </w:p>
        </w:tc>
        <w:tc>
          <w:tcPr>
            <w:tcW w:w="42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sans-serif" w:hAnsi="sans-serif"/>
                <w:color w:val="000000"/>
                <w:sz w:val="20"/>
              </w:rPr>
            </w:pPr>
            <w:r>
              <w:rPr>
                <w:rFonts w:ascii="sans-serif" w:hAnsi="sans-serif"/>
                <w:color w:val="000000"/>
                <w:sz w:val="20"/>
              </w:rPr>
              <w:t>)</w:t>
            </w:r>
          </w:p>
        </w:tc>
      </w:tr>
      <w:tr>
        <w:trPr/>
        <w:tc>
          <w:tcPr>
            <w:tcW w:w="4204"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sans-serif" w:hAnsi="sans-serif"/>
                <w:color w:val="000000"/>
                <w:sz w:val="20"/>
              </w:rPr>
            </w:pPr>
            <w:r>
              <w:rPr>
                <w:rFonts w:ascii="sans-serif" w:hAnsi="sans-serif"/>
                <w:color w:val="000000"/>
                <w:sz w:val="20"/>
              </w:rPr>
              <w:t>Dividend paid to noncontrolling interest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(190</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(175</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(494</w:t>
            </w:r>
          </w:p>
        </w:tc>
        <w:tc>
          <w:tcPr>
            <w:tcW w:w="42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rFonts w:ascii="sans-serif" w:hAnsi="sans-serif"/>
                <w:color w:val="000000"/>
                <w:sz w:val="20"/>
              </w:rPr>
            </w:pPr>
            <w:r>
              <w:rPr>
                <w:rFonts w:ascii="sans-serif" w:hAnsi="sans-serif"/>
                <w:color w:val="000000"/>
                <w:sz w:val="20"/>
              </w:rPr>
              <w:t>)</w:t>
            </w:r>
          </w:p>
        </w:tc>
      </w:tr>
      <w:tr>
        <w:trPr/>
        <w:tc>
          <w:tcPr>
            <w:tcW w:w="420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sans-serif" w:hAnsi="sans-serif"/>
                <w:color w:val="000000"/>
                <w:sz w:val="20"/>
              </w:rPr>
            </w:pPr>
            <w:r>
              <w:rPr>
                <w:rFonts w:ascii="sans-serif" w:hAnsi="sans-serif"/>
                <w:color w:val="000000"/>
                <w:sz w:val="20"/>
              </w:rPr>
              <w:t>Net cash used in financing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2,732</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(24,779</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(2,592</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(47,033</w:t>
            </w:r>
          </w:p>
        </w:tc>
        <w:tc>
          <w:tcPr>
            <w:tcW w:w="4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r>
      <w:tr>
        <w:trPr/>
        <w:tc>
          <w:tcPr>
            <w:tcW w:w="4204"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Effect of exchange rate changes on cash</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(691</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2,219</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(511</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1,693</w:t>
            </w:r>
          </w:p>
        </w:tc>
        <w:tc>
          <w:tcPr>
            <w:tcW w:w="4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204"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Net increase (decrease) in cash and restricted cash</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74,108</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4,920</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95,023</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(2,182</w:t>
            </w:r>
          </w:p>
        </w:tc>
        <w:tc>
          <w:tcPr>
            <w:tcW w:w="42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r>
      <w:tr>
        <w:trPr/>
        <w:tc>
          <w:tcPr>
            <w:tcW w:w="4204"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Cash and restricted cash at the beginning of the period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119,748</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102,529</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98,833</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109,631</w:t>
            </w:r>
          </w:p>
        </w:tc>
        <w:tc>
          <w:tcPr>
            <w:tcW w:w="4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204"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Cash and restricted cash at the end of the period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88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193,856</w:t>
            </w:r>
          </w:p>
        </w:tc>
        <w:tc>
          <w:tcPr>
            <w:tcW w:w="1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88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107,449</w:t>
            </w:r>
          </w:p>
        </w:tc>
        <w:tc>
          <w:tcPr>
            <w:tcW w:w="1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88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193,856</w:t>
            </w:r>
          </w:p>
        </w:tc>
        <w:tc>
          <w:tcPr>
            <w:tcW w:w="1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88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107,449</w:t>
            </w:r>
          </w:p>
        </w:tc>
        <w:tc>
          <w:tcPr>
            <w:tcW w:w="4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sans-serif" w:hAnsi="sans-serif"/>
          <w:b/>
          <w:color w:val="000000"/>
          <w:sz w:val="22"/>
        </w:rPr>
      </w:pPr>
      <w:r>
        <w:rPr>
          <w:rFonts w:ascii="sans-serif" w:hAnsi="sans-serif"/>
          <w:b/>
          <w:color w:val="000000"/>
          <w:sz w:val="22"/>
        </w:rPr>
        <w:t>Corsair Gaming, Inc.</w:t>
      </w:r>
    </w:p>
    <w:p>
      <w:pPr>
        <w:pStyle w:val="TextBody"/>
        <w:bidi w:val="0"/>
        <w:jc w:val="center"/>
        <w:rPr>
          <w:rFonts w:ascii="sans-serif" w:hAnsi="sans-serif"/>
          <w:b/>
          <w:color w:val="000000"/>
          <w:sz w:val="22"/>
        </w:rPr>
      </w:pPr>
      <w:r>
        <w:rPr>
          <w:rFonts w:ascii="sans-serif" w:hAnsi="sans-serif"/>
          <w:b/>
          <w:color w:val="000000"/>
          <w:sz w:val="22"/>
        </w:rPr>
        <w:t>GAAP to Non-GAAP Reconciliations</w:t>
      </w:r>
    </w:p>
    <w:p>
      <w:pPr>
        <w:pStyle w:val="TextBody"/>
        <w:bidi w:val="0"/>
        <w:jc w:val="center"/>
        <w:rPr/>
      </w:pPr>
      <w:r>
        <w:rPr/>
        <w:t> </w:t>
      </w:r>
    </w:p>
    <w:p>
      <w:pPr>
        <w:pStyle w:val="TextBody"/>
        <w:bidi w:val="0"/>
        <w:jc w:val="center"/>
        <w:rPr>
          <w:rFonts w:ascii="sans-serif" w:hAnsi="sans-serif"/>
          <w:b/>
          <w:color w:val="000000"/>
          <w:sz w:val="22"/>
        </w:rPr>
      </w:pPr>
      <w:r>
        <w:rPr>
          <w:rFonts w:ascii="sans-serif" w:hAnsi="sans-serif"/>
          <w:b/>
          <w:color w:val="000000"/>
          <w:sz w:val="22"/>
        </w:rPr>
        <w:t>Non-GAAP Operating Income (Loss) Reconciliations</w:t>
      </w:r>
    </w:p>
    <w:p>
      <w:pPr>
        <w:pStyle w:val="TextBody"/>
        <w:bidi w:val="0"/>
        <w:jc w:val="center"/>
        <w:rPr>
          <w:rFonts w:ascii="sans-serif" w:hAnsi="sans-serif"/>
          <w:color w:val="000000"/>
          <w:sz w:val="20"/>
        </w:rPr>
      </w:pPr>
      <w:r>
        <w:rPr>
          <w:rFonts w:ascii="sans-serif" w:hAnsi="sans-serif"/>
          <w:color w:val="000000"/>
          <w:sz w:val="20"/>
        </w:rPr>
        <w:t>(Unaudited, in thousands, except percentages)</w:t>
      </w:r>
    </w:p>
    <w:p>
      <w:pPr>
        <w:pStyle w:val="TextBody"/>
        <w:bidi w:val="0"/>
        <w:jc w:val="center"/>
        <w:rPr/>
      </w:pPr>
      <w:r>
        <w:rPr/>
        <w:t> </w:t>
      </w:r>
    </w:p>
    <w:tbl>
      <w:tblPr>
        <w:tblW w:w="10205" w:type="dxa"/>
        <w:jc w:val="left"/>
        <w:tblInd w:w="0" w:type="dxa"/>
        <w:tblLayout w:type="fixed"/>
        <w:tblCellMar>
          <w:top w:w="28" w:type="dxa"/>
          <w:left w:w="28" w:type="dxa"/>
          <w:bottom w:w="28" w:type="dxa"/>
          <w:right w:w="28" w:type="dxa"/>
        </w:tblCellMar>
      </w:tblPr>
      <w:tblGrid>
        <w:gridCol w:w="4314"/>
        <w:gridCol w:w="146"/>
        <w:gridCol w:w="226"/>
        <w:gridCol w:w="766"/>
        <w:gridCol w:w="286"/>
        <w:gridCol w:w="146"/>
        <w:gridCol w:w="226"/>
        <w:gridCol w:w="841"/>
        <w:gridCol w:w="286"/>
        <w:gridCol w:w="146"/>
        <w:gridCol w:w="226"/>
        <w:gridCol w:w="766"/>
        <w:gridCol w:w="286"/>
        <w:gridCol w:w="146"/>
        <w:gridCol w:w="226"/>
        <w:gridCol w:w="841"/>
        <w:gridCol w:w="331"/>
      </w:tblGrid>
      <w:tr>
        <w:trPr/>
        <w:tc>
          <w:tcPr>
            <w:tcW w:w="431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r>
      <w:tr>
        <w:trPr/>
        <w:tc>
          <w:tcPr>
            <w:tcW w:w="43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9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Three Months Ended</w:t>
              <w:br/>
              <w:t>June 30,</w:t>
            </w:r>
          </w:p>
        </w:tc>
        <w:tc>
          <w:tcPr>
            <w:tcW w:w="2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9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Six Months Ended</w:t>
              <w:br/>
              <w:t>June 30,</w:t>
            </w:r>
          </w:p>
        </w:tc>
        <w:tc>
          <w:tcPr>
            <w:tcW w:w="3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3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2026</w:t>
            </w:r>
          </w:p>
        </w:tc>
        <w:tc>
          <w:tcPr>
            <w:tcW w:w="2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2025</w:t>
            </w:r>
          </w:p>
        </w:tc>
        <w:tc>
          <w:tcPr>
            <w:tcW w:w="2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2026</w:t>
            </w:r>
          </w:p>
        </w:tc>
        <w:tc>
          <w:tcPr>
            <w:tcW w:w="2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2025</w:t>
            </w:r>
          </w:p>
        </w:tc>
        <w:tc>
          <w:tcPr>
            <w:tcW w:w="3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3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314"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20"/>
              </w:rPr>
            </w:pPr>
            <w:r>
              <w:rPr>
                <w:rFonts w:ascii="sans-serif" w:hAnsi="sans-serif"/>
                <w:b/>
                <w:color w:val="000000"/>
                <w:sz w:val="20"/>
              </w:rPr>
              <w:t>Operating income (loss) - GAAP</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76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7,608</w:t>
            </w:r>
          </w:p>
        </w:tc>
        <w:tc>
          <w:tcPr>
            <w:tcW w:w="28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(16,923</w:t>
            </w:r>
          </w:p>
        </w:tc>
        <w:tc>
          <w:tcPr>
            <w:tcW w:w="28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76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21,404</w:t>
            </w:r>
          </w:p>
        </w:tc>
        <w:tc>
          <w:tcPr>
            <w:tcW w:w="28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(19,186</w:t>
            </w:r>
          </w:p>
        </w:tc>
        <w:tc>
          <w:tcPr>
            <w:tcW w:w="33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r>
      <w:tr>
        <w:trPr/>
        <w:tc>
          <w:tcPr>
            <w:tcW w:w="4314"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Amortization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8,815</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9,853</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18,621</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19,635</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314"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Stock-based compensation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5,935</w:t>
            </w:r>
          </w:p>
        </w:tc>
        <w:tc>
          <w:tcPr>
            <w:tcW w:w="28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9,335</w:t>
            </w:r>
          </w:p>
        </w:tc>
        <w:tc>
          <w:tcPr>
            <w:tcW w:w="28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12,629</w:t>
            </w:r>
          </w:p>
        </w:tc>
        <w:tc>
          <w:tcPr>
            <w:tcW w:w="28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18,657</w:t>
            </w:r>
          </w:p>
        </w:tc>
        <w:tc>
          <w:tcPr>
            <w:tcW w:w="33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314"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One-time costs related to legal and other matters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2,075</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1,993</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2,075</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1,993</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314"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Restructuring and other charges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219</w:t>
            </w:r>
          </w:p>
        </w:tc>
        <w:tc>
          <w:tcPr>
            <w:tcW w:w="28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772</w:t>
            </w:r>
          </w:p>
        </w:tc>
        <w:tc>
          <w:tcPr>
            <w:tcW w:w="28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1,799</w:t>
            </w:r>
          </w:p>
        </w:tc>
        <w:tc>
          <w:tcPr>
            <w:tcW w:w="28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1,867</w:t>
            </w:r>
          </w:p>
        </w:tc>
        <w:tc>
          <w:tcPr>
            <w:tcW w:w="33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314"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Acquisition and related integration costs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600</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1,515</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600</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3,700</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314"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Legal and due diligence costs related to strategic investments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150</w:t>
            </w:r>
          </w:p>
        </w:tc>
        <w:tc>
          <w:tcPr>
            <w:tcW w:w="28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8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150</w:t>
            </w:r>
          </w:p>
        </w:tc>
        <w:tc>
          <w:tcPr>
            <w:tcW w:w="28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3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314"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Acquisition accounting impact related to recognizing acquired inventory at fair value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98</w:t>
            </w:r>
          </w:p>
        </w:tc>
        <w:tc>
          <w:tcPr>
            <w:tcW w:w="2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613</w:t>
            </w:r>
          </w:p>
        </w:tc>
        <w:tc>
          <w:tcPr>
            <w:tcW w:w="3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314"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20"/>
              </w:rPr>
            </w:pPr>
            <w:r>
              <w:rPr>
                <w:rFonts w:ascii="sans-serif" w:hAnsi="sans-serif"/>
                <w:b/>
                <w:color w:val="000000"/>
                <w:sz w:val="20"/>
              </w:rPr>
              <w:t>Adjusted Operating Income - Non-GAAP</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7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25,402</w:t>
            </w:r>
          </w:p>
        </w:tc>
        <w:tc>
          <w:tcPr>
            <w:tcW w:w="28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8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6,643</w:t>
            </w:r>
          </w:p>
        </w:tc>
        <w:tc>
          <w:tcPr>
            <w:tcW w:w="28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7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57,278</w:t>
            </w:r>
          </w:p>
        </w:tc>
        <w:tc>
          <w:tcPr>
            <w:tcW w:w="28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8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27,279</w:t>
            </w:r>
          </w:p>
        </w:tc>
        <w:tc>
          <w:tcPr>
            <w:tcW w:w="3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3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314"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i/>
                <w:color w:val="000000"/>
                <w:sz w:val="20"/>
              </w:rPr>
            </w:pPr>
            <w:r>
              <w:rPr>
                <w:rFonts w:ascii="sans-serif" w:hAnsi="sans-serif"/>
                <w:i/>
                <w:color w:val="000000"/>
                <w:sz w:val="20"/>
              </w:rPr>
              <w:t>As a % of net revenue - GAAP</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i/>
                <w:color w:val="000000"/>
                <w:sz w:val="20"/>
              </w:rPr>
            </w:pPr>
            <w:r>
              <w:rPr>
                <w:rFonts w:ascii="sans-serif" w:hAnsi="sans-serif"/>
                <w:i/>
                <w:color w:val="000000"/>
                <w:sz w:val="20"/>
              </w:rPr>
              <w:t>2.4</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i/>
                <w:color w:val="000000"/>
                <w:sz w:val="20"/>
              </w:rPr>
            </w:pPr>
            <w:r>
              <w:rPr>
                <w:rFonts w:ascii="sans-serif" w:hAnsi="sans-serif"/>
                <w:i/>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i/>
                <w:color w:val="000000"/>
                <w:sz w:val="20"/>
              </w:rPr>
            </w:pPr>
            <w:r>
              <w:rPr>
                <w:rFonts w:ascii="sans-serif" w:hAnsi="sans-serif"/>
                <w:i/>
                <w:color w:val="000000"/>
                <w:sz w:val="20"/>
              </w:rPr>
              <w:t>-5.3</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i/>
                <w:color w:val="000000"/>
                <w:sz w:val="20"/>
              </w:rPr>
            </w:pPr>
            <w:r>
              <w:rPr>
                <w:rFonts w:ascii="sans-serif" w:hAnsi="sans-serif"/>
                <w:i/>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i/>
                <w:color w:val="000000"/>
                <w:sz w:val="20"/>
              </w:rPr>
            </w:pPr>
            <w:r>
              <w:rPr>
                <w:rFonts w:ascii="sans-serif" w:hAnsi="sans-serif"/>
                <w:i/>
                <w:color w:val="000000"/>
                <w:sz w:val="20"/>
              </w:rPr>
              <w:t>3.2</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i/>
                <w:color w:val="000000"/>
                <w:sz w:val="20"/>
              </w:rPr>
            </w:pPr>
            <w:r>
              <w:rPr>
                <w:rFonts w:ascii="sans-serif" w:hAnsi="sans-serif"/>
                <w:i/>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i/>
                <w:color w:val="000000"/>
                <w:sz w:val="20"/>
              </w:rPr>
            </w:pPr>
            <w:r>
              <w:rPr>
                <w:rFonts w:ascii="sans-serif" w:hAnsi="sans-serif"/>
                <w:i/>
                <w:color w:val="000000"/>
                <w:sz w:val="20"/>
              </w:rPr>
              <w:t>-2.8</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i/>
                <w:color w:val="000000"/>
                <w:sz w:val="20"/>
              </w:rPr>
            </w:pPr>
            <w:r>
              <w:rPr>
                <w:rFonts w:ascii="sans-serif" w:hAnsi="sans-serif"/>
                <w:i/>
                <w:color w:val="000000"/>
                <w:sz w:val="20"/>
              </w:rPr>
              <w:t>%</w:t>
            </w:r>
          </w:p>
        </w:tc>
      </w:tr>
      <w:tr>
        <w:trPr/>
        <w:tc>
          <w:tcPr>
            <w:tcW w:w="4314"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i/>
                <w:color w:val="000000"/>
                <w:sz w:val="20"/>
              </w:rPr>
            </w:pPr>
            <w:r>
              <w:rPr>
                <w:rFonts w:ascii="sans-serif" w:hAnsi="sans-serif"/>
                <w:i/>
                <w:color w:val="000000"/>
                <w:sz w:val="20"/>
              </w:rPr>
              <w:t>As a % of net revenue - Non-GAAP</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i/>
                <w:color w:val="000000"/>
                <w:sz w:val="20"/>
              </w:rPr>
            </w:pPr>
            <w:r>
              <w:rPr>
                <w:rFonts w:ascii="sans-serif" w:hAnsi="sans-serif"/>
                <w:i/>
                <w:color w:val="000000"/>
                <w:sz w:val="20"/>
              </w:rPr>
              <w:t>8.1</w:t>
            </w:r>
          </w:p>
        </w:tc>
        <w:tc>
          <w:tcPr>
            <w:tcW w:w="28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i/>
                <w:color w:val="000000"/>
                <w:sz w:val="20"/>
              </w:rPr>
            </w:pPr>
            <w:r>
              <w:rPr>
                <w:rFonts w:ascii="sans-serif" w:hAnsi="sans-serif"/>
                <w:i/>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i/>
                <w:color w:val="000000"/>
                <w:sz w:val="20"/>
              </w:rPr>
            </w:pPr>
            <w:r>
              <w:rPr>
                <w:rFonts w:ascii="sans-serif" w:hAnsi="sans-serif"/>
                <w:i/>
                <w:color w:val="000000"/>
                <w:sz w:val="20"/>
              </w:rPr>
              <w:t>2.1</w:t>
            </w:r>
          </w:p>
        </w:tc>
        <w:tc>
          <w:tcPr>
            <w:tcW w:w="28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i/>
                <w:color w:val="000000"/>
                <w:sz w:val="20"/>
              </w:rPr>
            </w:pPr>
            <w:r>
              <w:rPr>
                <w:rFonts w:ascii="sans-serif" w:hAnsi="sans-serif"/>
                <w:i/>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i/>
                <w:color w:val="000000"/>
                <w:sz w:val="20"/>
              </w:rPr>
            </w:pPr>
            <w:r>
              <w:rPr>
                <w:rFonts w:ascii="sans-serif" w:hAnsi="sans-serif"/>
                <w:i/>
                <w:color w:val="000000"/>
                <w:sz w:val="20"/>
              </w:rPr>
              <w:t>8.6</w:t>
            </w:r>
          </w:p>
        </w:tc>
        <w:tc>
          <w:tcPr>
            <w:tcW w:w="28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i/>
                <w:color w:val="000000"/>
                <w:sz w:val="20"/>
              </w:rPr>
            </w:pPr>
            <w:r>
              <w:rPr>
                <w:rFonts w:ascii="sans-serif" w:hAnsi="sans-serif"/>
                <w:i/>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i/>
                <w:color w:val="000000"/>
                <w:sz w:val="20"/>
              </w:rPr>
            </w:pPr>
            <w:r>
              <w:rPr>
                <w:rFonts w:ascii="sans-serif" w:hAnsi="sans-serif"/>
                <w:i/>
                <w:color w:val="000000"/>
                <w:sz w:val="20"/>
              </w:rPr>
              <w:t>4.0</w:t>
            </w:r>
          </w:p>
        </w:tc>
        <w:tc>
          <w:tcPr>
            <w:tcW w:w="33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i/>
                <w:color w:val="000000"/>
                <w:sz w:val="20"/>
              </w:rPr>
            </w:pPr>
            <w:r>
              <w:rPr>
                <w:rFonts w:ascii="sans-serif" w:hAnsi="sans-serif"/>
                <w:i/>
                <w:color w:val="000000"/>
                <w:sz w:val="20"/>
              </w:rPr>
              <w:t>%</w:t>
            </w:r>
          </w:p>
        </w:tc>
      </w:tr>
    </w:tbl>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sans-serif" w:hAnsi="sans-serif"/>
          <w:b/>
          <w:color w:val="000000"/>
          <w:sz w:val="22"/>
        </w:rPr>
      </w:pPr>
      <w:r>
        <w:rPr>
          <w:rFonts w:ascii="sans-serif" w:hAnsi="sans-serif"/>
          <w:b/>
          <w:color w:val="000000"/>
          <w:sz w:val="22"/>
        </w:rPr>
        <w:t>Corsair Gaming, Inc.</w:t>
      </w:r>
    </w:p>
    <w:p>
      <w:pPr>
        <w:pStyle w:val="TextBody"/>
        <w:bidi w:val="0"/>
        <w:jc w:val="center"/>
        <w:rPr>
          <w:rFonts w:ascii="sans-serif" w:hAnsi="sans-serif"/>
          <w:b/>
          <w:color w:val="000000"/>
          <w:sz w:val="22"/>
        </w:rPr>
      </w:pPr>
      <w:r>
        <w:rPr>
          <w:rFonts w:ascii="sans-serif" w:hAnsi="sans-serif"/>
          <w:b/>
          <w:color w:val="000000"/>
          <w:sz w:val="22"/>
        </w:rPr>
        <w:t>GAAP to Non-GAAP Reconciliations</w:t>
      </w:r>
    </w:p>
    <w:p>
      <w:pPr>
        <w:pStyle w:val="TextBody"/>
        <w:bidi w:val="0"/>
        <w:jc w:val="center"/>
        <w:rPr/>
      </w:pPr>
      <w:r>
        <w:rPr/>
        <w:t> </w:t>
      </w:r>
    </w:p>
    <w:p>
      <w:pPr>
        <w:pStyle w:val="TextBody"/>
        <w:bidi w:val="0"/>
        <w:jc w:val="center"/>
        <w:rPr>
          <w:rFonts w:ascii="sans-serif" w:hAnsi="sans-serif"/>
          <w:b/>
          <w:color w:val="000000"/>
          <w:sz w:val="22"/>
        </w:rPr>
      </w:pPr>
      <w:r>
        <w:rPr>
          <w:rFonts w:ascii="sans-serif" w:hAnsi="sans-serif"/>
          <w:b/>
          <w:color w:val="000000"/>
          <w:sz w:val="22"/>
        </w:rPr>
        <w:t>Non-GAAP Net Income (Loss) and Net Income (Loss) Per Share Reconciliations</w:t>
      </w:r>
    </w:p>
    <w:p>
      <w:pPr>
        <w:pStyle w:val="TextBody"/>
        <w:bidi w:val="0"/>
        <w:jc w:val="center"/>
        <w:rPr>
          <w:rFonts w:ascii="sans-serif" w:hAnsi="sans-serif"/>
          <w:color w:val="000000"/>
          <w:sz w:val="20"/>
        </w:rPr>
      </w:pPr>
      <w:r>
        <w:rPr>
          <w:rFonts w:ascii="sans-serif" w:hAnsi="sans-serif"/>
          <w:color w:val="000000"/>
          <w:sz w:val="20"/>
        </w:rPr>
        <w:t>(Unaudited, in thousands, except per share amounts)</w:t>
      </w:r>
    </w:p>
    <w:p>
      <w:pPr>
        <w:pStyle w:val="TextBody"/>
        <w:bidi w:val="0"/>
        <w:jc w:val="center"/>
        <w:rPr/>
      </w:pPr>
      <w:r>
        <w:rPr/>
        <w:t> </w:t>
      </w:r>
    </w:p>
    <w:tbl>
      <w:tblPr>
        <w:tblW w:w="10205" w:type="dxa"/>
        <w:jc w:val="left"/>
        <w:tblInd w:w="0" w:type="dxa"/>
        <w:tblLayout w:type="fixed"/>
        <w:tblCellMar>
          <w:top w:w="28" w:type="dxa"/>
          <w:left w:w="28" w:type="dxa"/>
          <w:bottom w:w="28" w:type="dxa"/>
          <w:right w:w="28" w:type="dxa"/>
        </w:tblCellMar>
      </w:tblPr>
      <w:tblGrid>
        <w:gridCol w:w="4204"/>
        <w:gridCol w:w="146"/>
        <w:gridCol w:w="226"/>
        <w:gridCol w:w="886"/>
        <w:gridCol w:w="181"/>
        <w:gridCol w:w="146"/>
        <w:gridCol w:w="226"/>
        <w:gridCol w:w="886"/>
        <w:gridCol w:w="181"/>
        <w:gridCol w:w="146"/>
        <w:gridCol w:w="226"/>
        <w:gridCol w:w="886"/>
        <w:gridCol w:w="181"/>
        <w:gridCol w:w="146"/>
        <w:gridCol w:w="226"/>
        <w:gridCol w:w="886"/>
        <w:gridCol w:w="426"/>
      </w:tblGrid>
      <w:tr>
        <w:trPr/>
        <w:tc>
          <w:tcPr>
            <w:tcW w:w="420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426" w:type="dxa"/>
            <w:tcBorders/>
            <w:vAlign w:val="center"/>
          </w:tcPr>
          <w:p>
            <w:pPr>
              <w:pStyle w:val="TableContents"/>
              <w:bidi w:val="0"/>
              <w:spacing w:before="0" w:after="283"/>
              <w:jc w:val="left"/>
              <w:rPr>
                <w:sz w:val="4"/>
                <w:szCs w:val="4"/>
              </w:rPr>
            </w:pPr>
            <w:r>
              <w:rPr>
                <w:sz w:val="4"/>
                <w:szCs w:val="4"/>
              </w:rPr>
            </w:r>
          </w:p>
        </w:tc>
      </w:tr>
      <w:tr>
        <w:trPr/>
        <w:tc>
          <w:tcPr>
            <w:tcW w:w="420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5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Three Months Ended</w:t>
              <w:br/>
              <w:t>June 30,</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5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Six Months Ended</w:t>
              <w:br/>
              <w:t>June 30,</w:t>
            </w:r>
          </w:p>
        </w:tc>
        <w:tc>
          <w:tcPr>
            <w:tcW w:w="4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20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2026</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2025</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2026</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2025</w:t>
            </w:r>
          </w:p>
        </w:tc>
        <w:tc>
          <w:tcPr>
            <w:tcW w:w="4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20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sans-serif" w:hAnsi="sans-serif"/>
                <w:color w:val="000000"/>
                <w:sz w:val="20"/>
              </w:rPr>
              <w:t>Net income (loss) attributable to common stockholders of Corsair Gaming, Inc.</w:t>
            </w:r>
            <w:r>
              <w:rPr>
                <w:rFonts w:ascii="Times New Roman" w:hAnsi="Times New Roman"/>
                <w:color w:val="000000"/>
                <w:sz w:val="20"/>
              </w:rPr>
              <w:t> </w:t>
            </w:r>
            <w:r>
              <w:rPr>
                <w:rFonts w:ascii="sans-serif" w:hAnsi="sans-serif"/>
                <w:color w:val="000000"/>
                <w:sz w:val="13"/>
              </w:rPr>
              <w:t>(1)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6,828</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(17,001</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18,692</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(27,068</w:t>
            </w:r>
          </w:p>
        </w:tc>
        <w:tc>
          <w:tcPr>
            <w:tcW w:w="42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r>
      <w:tr>
        <w:trPr/>
        <w:tc>
          <w:tcPr>
            <w:tcW w:w="4204"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Less: Change in redemption value of redeemable noncontrolling interest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(2,015</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3,861</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(2,935</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4,253</w:t>
            </w:r>
          </w:p>
        </w:tc>
        <w:tc>
          <w:tcPr>
            <w:tcW w:w="4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204"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Net income (loss) attributable to Corsair Gaming, Inc.</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8,843</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(20,862</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21,627</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(31,321</w:t>
            </w:r>
          </w:p>
        </w:tc>
        <w:tc>
          <w:tcPr>
            <w:tcW w:w="42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r>
      <w:tr>
        <w:trPr/>
        <w:tc>
          <w:tcPr>
            <w:tcW w:w="4204"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Add: Net income attributable to noncontrolling interest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306</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556</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579</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698</w:t>
            </w:r>
          </w:p>
        </w:tc>
        <w:tc>
          <w:tcPr>
            <w:tcW w:w="4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204"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20"/>
              </w:rPr>
            </w:pPr>
            <w:r>
              <w:rPr>
                <w:rFonts w:ascii="sans-serif" w:hAnsi="sans-serif"/>
                <w:b/>
                <w:color w:val="000000"/>
                <w:sz w:val="20"/>
              </w:rPr>
              <w:t>Net income (loss) - GAAP</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9,149</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(20,306</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22,206</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(30,623</w:t>
            </w:r>
          </w:p>
        </w:tc>
        <w:tc>
          <w:tcPr>
            <w:tcW w:w="42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r>
      <w:tr>
        <w:trPr/>
        <w:tc>
          <w:tcPr>
            <w:tcW w:w="4204"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20"/>
              </w:rPr>
            </w:pPr>
            <w:r>
              <w:rPr>
                <w:rFonts w:ascii="sans-serif" w:hAnsi="sans-serif"/>
                <w:b/>
                <w:color w:val="000000"/>
                <w:sz w:val="20"/>
              </w:rPr>
              <w:t>Adjustments: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2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4204"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sans-serif" w:hAnsi="sans-serif"/>
                <w:color w:val="000000"/>
                <w:sz w:val="20"/>
              </w:rPr>
            </w:pPr>
            <w:r>
              <w:rPr>
                <w:rFonts w:ascii="sans-serif" w:hAnsi="sans-serif"/>
                <w:color w:val="000000"/>
                <w:sz w:val="20"/>
              </w:rPr>
              <w:t>Amortization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8,815</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9,853</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18,621</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19,635</w:t>
            </w:r>
          </w:p>
        </w:tc>
        <w:tc>
          <w:tcPr>
            <w:tcW w:w="42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4204"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sans-serif" w:hAnsi="sans-serif"/>
                <w:color w:val="000000"/>
                <w:sz w:val="20"/>
              </w:rPr>
            </w:pPr>
            <w:r>
              <w:rPr>
                <w:rFonts w:ascii="sans-serif" w:hAnsi="sans-serif"/>
                <w:color w:val="000000"/>
                <w:sz w:val="20"/>
              </w:rPr>
              <w:t>Stock-based compensation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5,935</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9,335</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12,629</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18,657</w:t>
            </w:r>
          </w:p>
        </w:tc>
        <w:tc>
          <w:tcPr>
            <w:tcW w:w="42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4204"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sans-serif" w:hAnsi="sans-serif"/>
                <w:color w:val="000000"/>
                <w:sz w:val="20"/>
              </w:rPr>
            </w:pPr>
            <w:r>
              <w:rPr>
                <w:rFonts w:ascii="sans-serif" w:hAnsi="sans-serif"/>
                <w:color w:val="000000"/>
                <w:sz w:val="20"/>
              </w:rPr>
              <w:t>Restructuring and other charges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219</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772</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1,799</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1,867</w:t>
            </w:r>
          </w:p>
        </w:tc>
        <w:tc>
          <w:tcPr>
            <w:tcW w:w="42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4204"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sans-serif" w:hAnsi="sans-serif"/>
                <w:color w:val="000000"/>
                <w:sz w:val="20"/>
              </w:rPr>
            </w:pPr>
            <w:r>
              <w:rPr>
                <w:rFonts w:ascii="sans-serif" w:hAnsi="sans-serif"/>
                <w:color w:val="000000"/>
                <w:sz w:val="20"/>
              </w:rPr>
              <w:t>One-time costs related to legal and other matters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2,075</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1,993</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2,075</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1,993</w:t>
            </w:r>
          </w:p>
        </w:tc>
        <w:tc>
          <w:tcPr>
            <w:tcW w:w="42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4204"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sans-serif" w:hAnsi="sans-serif"/>
                <w:color w:val="000000"/>
                <w:sz w:val="20"/>
              </w:rPr>
            </w:pPr>
            <w:r>
              <w:rPr>
                <w:rFonts w:ascii="sans-serif" w:hAnsi="sans-serif"/>
                <w:color w:val="000000"/>
                <w:sz w:val="20"/>
              </w:rPr>
              <w:t>Acquisition and related integration costs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600</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1,515</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600</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3,700</w:t>
            </w:r>
          </w:p>
        </w:tc>
        <w:tc>
          <w:tcPr>
            <w:tcW w:w="42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4204"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sans-serif" w:hAnsi="sans-serif"/>
                <w:color w:val="000000"/>
                <w:sz w:val="20"/>
              </w:rPr>
            </w:pPr>
            <w:r>
              <w:rPr>
                <w:rFonts w:ascii="sans-serif" w:hAnsi="sans-serif"/>
                <w:color w:val="000000"/>
                <w:sz w:val="20"/>
              </w:rPr>
              <w:t>Legal and due diligence costs related to strategic investments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150</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150</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42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4204"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sans-serif" w:hAnsi="sans-serif"/>
                <w:color w:val="000000"/>
                <w:sz w:val="20"/>
              </w:rPr>
            </w:pPr>
            <w:r>
              <w:rPr>
                <w:rFonts w:ascii="sans-serif" w:hAnsi="sans-serif"/>
                <w:color w:val="000000"/>
                <w:sz w:val="20"/>
              </w:rPr>
              <w:t>Reversal of bargain purchase gain on business acquisition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2,581</w:t>
            </w:r>
          </w:p>
        </w:tc>
        <w:tc>
          <w:tcPr>
            <w:tcW w:w="42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4204"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sans-serif" w:hAnsi="sans-serif"/>
                <w:color w:val="000000"/>
                <w:sz w:val="20"/>
              </w:rPr>
            </w:pPr>
            <w:r>
              <w:rPr>
                <w:rFonts w:ascii="sans-serif" w:hAnsi="sans-serif"/>
                <w:color w:val="000000"/>
                <w:sz w:val="20"/>
              </w:rPr>
              <w:t>Acquisition accounting impact related to recognizing acquired inventory at fair value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98</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613</w:t>
            </w:r>
          </w:p>
        </w:tc>
        <w:tc>
          <w:tcPr>
            <w:tcW w:w="42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4204"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sans-serif" w:hAnsi="sans-serif"/>
                <w:color w:val="000000"/>
                <w:sz w:val="20"/>
              </w:rPr>
            </w:pPr>
            <w:r>
              <w:rPr>
                <w:rFonts w:ascii="sans-serif" w:hAnsi="sans-serif"/>
                <w:color w:val="000000"/>
                <w:sz w:val="20"/>
              </w:rPr>
              <w:t>Non-GAAP income tax adjustment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(1,978</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(1,966</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(3,961</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(4,810</w:t>
            </w:r>
          </w:p>
        </w:tc>
        <w:tc>
          <w:tcPr>
            <w:tcW w:w="426"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rFonts w:ascii="sans-serif" w:hAnsi="sans-serif"/>
                <w:color w:val="000000"/>
                <w:sz w:val="20"/>
              </w:rPr>
            </w:pPr>
            <w:r>
              <w:rPr>
                <w:rFonts w:ascii="sans-serif" w:hAnsi="sans-serif"/>
                <w:color w:val="000000"/>
                <w:sz w:val="20"/>
              </w:rPr>
              <w:t>)</w:t>
            </w:r>
          </w:p>
        </w:tc>
      </w:tr>
      <w:tr>
        <w:trPr/>
        <w:tc>
          <w:tcPr>
            <w:tcW w:w="420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sans-serif" w:hAnsi="sans-serif"/>
                <w:b/>
                <w:color w:val="000000"/>
                <w:sz w:val="20"/>
              </w:rPr>
            </w:pPr>
            <w:r>
              <w:rPr>
                <w:rFonts w:ascii="sans-serif" w:hAnsi="sans-serif"/>
                <w:b/>
                <w:color w:val="000000"/>
                <w:sz w:val="20"/>
              </w:rPr>
              <w:t>Adjusted net income - Non-GAAP</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88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24,965</w:t>
            </w:r>
          </w:p>
        </w:tc>
        <w:tc>
          <w:tcPr>
            <w:tcW w:w="1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88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1,294</w:t>
            </w:r>
          </w:p>
        </w:tc>
        <w:tc>
          <w:tcPr>
            <w:tcW w:w="1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88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54,119</w:t>
            </w:r>
          </w:p>
        </w:tc>
        <w:tc>
          <w:tcPr>
            <w:tcW w:w="1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88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13,613</w:t>
            </w:r>
          </w:p>
        </w:tc>
        <w:tc>
          <w:tcPr>
            <w:tcW w:w="4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20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204"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20"/>
              </w:rPr>
            </w:pPr>
            <w:r>
              <w:rPr>
                <w:rFonts w:ascii="sans-serif" w:hAnsi="sans-serif"/>
                <w:b/>
                <w:color w:val="000000"/>
                <w:sz w:val="20"/>
              </w:rPr>
              <w:t>Diluted net income (loss) per share: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204"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GAAP</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0.06</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(0.16</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0.17</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(0.26</w:t>
            </w:r>
          </w:p>
        </w:tc>
        <w:tc>
          <w:tcPr>
            <w:tcW w:w="42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r>
      <w:tr>
        <w:trPr/>
        <w:tc>
          <w:tcPr>
            <w:tcW w:w="4204"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Adjusted, Non-GAAP</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0.23</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0.01</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0.50</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0.13</w:t>
            </w:r>
          </w:p>
        </w:tc>
        <w:tc>
          <w:tcPr>
            <w:tcW w:w="4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20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204"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20"/>
              </w:rPr>
            </w:pPr>
            <w:r>
              <w:rPr>
                <w:rFonts w:ascii="sans-serif" w:hAnsi="sans-serif"/>
                <w:b/>
                <w:color w:val="000000"/>
                <w:sz w:val="20"/>
              </w:rPr>
              <w:t>Weighted-average common shares outstanding - Diluted: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204"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GAAP</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109,193</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105,864</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108,485</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105,554</w:t>
            </w:r>
          </w:p>
        </w:tc>
        <w:tc>
          <w:tcPr>
            <w:tcW w:w="4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204"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Adjusted, Non-GAAP</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109,193</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107,304</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108,485</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107,337</w:t>
            </w:r>
          </w:p>
        </w:tc>
        <w:tc>
          <w:tcPr>
            <w:tcW w:w="4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20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204"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(1) Numerator for calculating net income (loss) per share-GAAP</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sans-serif" w:hAnsi="sans-serif"/>
          <w:b/>
          <w:color w:val="000000"/>
          <w:sz w:val="22"/>
        </w:rPr>
      </w:pPr>
      <w:r>
        <w:rPr>
          <w:rFonts w:ascii="sans-serif" w:hAnsi="sans-serif"/>
          <w:b/>
          <w:color w:val="000000"/>
          <w:sz w:val="22"/>
        </w:rPr>
        <w:t>Corsair Gaming, Inc.</w:t>
      </w:r>
    </w:p>
    <w:p>
      <w:pPr>
        <w:pStyle w:val="TextBody"/>
        <w:bidi w:val="0"/>
        <w:jc w:val="center"/>
        <w:rPr>
          <w:rFonts w:ascii="sans-serif" w:hAnsi="sans-serif"/>
          <w:b/>
          <w:color w:val="000000"/>
          <w:sz w:val="22"/>
        </w:rPr>
      </w:pPr>
      <w:r>
        <w:rPr>
          <w:rFonts w:ascii="sans-serif" w:hAnsi="sans-serif"/>
          <w:b/>
          <w:color w:val="000000"/>
          <w:sz w:val="22"/>
        </w:rPr>
        <w:t>GAAP to Non-GAAP Reconciliations</w:t>
      </w:r>
    </w:p>
    <w:p>
      <w:pPr>
        <w:pStyle w:val="TextBody"/>
        <w:bidi w:val="0"/>
        <w:jc w:val="center"/>
        <w:rPr/>
      </w:pPr>
      <w:r>
        <w:rPr/>
        <w:t> </w:t>
      </w:r>
    </w:p>
    <w:p>
      <w:pPr>
        <w:pStyle w:val="TextBody"/>
        <w:bidi w:val="0"/>
        <w:jc w:val="center"/>
        <w:rPr>
          <w:rFonts w:ascii="sans-serif" w:hAnsi="sans-serif"/>
          <w:b/>
          <w:color w:val="000000"/>
          <w:sz w:val="22"/>
        </w:rPr>
      </w:pPr>
      <w:r>
        <w:rPr>
          <w:rFonts w:ascii="sans-serif" w:hAnsi="sans-serif"/>
          <w:b/>
          <w:color w:val="000000"/>
          <w:sz w:val="22"/>
        </w:rPr>
        <w:t>Adjusted EBITDA Reconciliations</w:t>
      </w:r>
    </w:p>
    <w:p>
      <w:pPr>
        <w:pStyle w:val="TextBody"/>
        <w:bidi w:val="0"/>
        <w:jc w:val="center"/>
        <w:rPr>
          <w:rFonts w:ascii="sans-serif" w:hAnsi="sans-serif"/>
          <w:color w:val="000000"/>
          <w:sz w:val="20"/>
        </w:rPr>
      </w:pPr>
      <w:r>
        <w:rPr>
          <w:rFonts w:ascii="sans-serif" w:hAnsi="sans-serif"/>
          <w:color w:val="000000"/>
          <w:sz w:val="20"/>
        </w:rPr>
        <w:t>(Unaudited, in thousands, except percentages)</w:t>
      </w:r>
    </w:p>
    <w:p>
      <w:pPr>
        <w:pStyle w:val="TextBody"/>
        <w:bidi w:val="0"/>
        <w:jc w:val="center"/>
        <w:rPr/>
      </w:pPr>
      <w:r>
        <w:rPr/>
        <w:t> </w:t>
      </w:r>
    </w:p>
    <w:tbl>
      <w:tblPr>
        <w:tblW w:w="10205" w:type="dxa"/>
        <w:jc w:val="left"/>
        <w:tblInd w:w="0" w:type="dxa"/>
        <w:tblLayout w:type="fixed"/>
        <w:tblCellMar>
          <w:top w:w="28" w:type="dxa"/>
          <w:left w:w="28" w:type="dxa"/>
          <w:bottom w:w="28" w:type="dxa"/>
          <w:right w:w="28" w:type="dxa"/>
        </w:tblCellMar>
      </w:tblPr>
      <w:tblGrid>
        <w:gridCol w:w="4314"/>
        <w:gridCol w:w="146"/>
        <w:gridCol w:w="226"/>
        <w:gridCol w:w="766"/>
        <w:gridCol w:w="286"/>
        <w:gridCol w:w="146"/>
        <w:gridCol w:w="226"/>
        <w:gridCol w:w="841"/>
        <w:gridCol w:w="286"/>
        <w:gridCol w:w="146"/>
        <w:gridCol w:w="226"/>
        <w:gridCol w:w="766"/>
        <w:gridCol w:w="286"/>
        <w:gridCol w:w="146"/>
        <w:gridCol w:w="226"/>
        <w:gridCol w:w="841"/>
        <w:gridCol w:w="331"/>
      </w:tblGrid>
      <w:tr>
        <w:trPr/>
        <w:tc>
          <w:tcPr>
            <w:tcW w:w="431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r>
      <w:tr>
        <w:trPr/>
        <w:tc>
          <w:tcPr>
            <w:tcW w:w="43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9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Three Months Ended</w:t>
              <w:br/>
              <w:t>June 30,</w:t>
            </w:r>
          </w:p>
        </w:tc>
        <w:tc>
          <w:tcPr>
            <w:tcW w:w="2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9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Six Months Ended</w:t>
              <w:br/>
              <w:t>June 30,</w:t>
            </w:r>
          </w:p>
        </w:tc>
        <w:tc>
          <w:tcPr>
            <w:tcW w:w="3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31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2026</w:t>
            </w:r>
          </w:p>
        </w:tc>
        <w:tc>
          <w:tcPr>
            <w:tcW w:w="2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2025</w:t>
            </w:r>
          </w:p>
        </w:tc>
        <w:tc>
          <w:tcPr>
            <w:tcW w:w="2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2026</w:t>
            </w:r>
          </w:p>
        </w:tc>
        <w:tc>
          <w:tcPr>
            <w:tcW w:w="2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2025</w:t>
            </w:r>
          </w:p>
        </w:tc>
        <w:tc>
          <w:tcPr>
            <w:tcW w:w="3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314"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20"/>
              </w:rPr>
            </w:pPr>
            <w:r>
              <w:rPr>
                <w:rFonts w:ascii="sans-serif" w:hAnsi="sans-serif"/>
                <w:b/>
                <w:color w:val="000000"/>
                <w:sz w:val="20"/>
              </w:rPr>
              <w:t>Net income (loss) - GAAP</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76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9,149</w:t>
            </w:r>
          </w:p>
        </w:tc>
        <w:tc>
          <w:tcPr>
            <w:tcW w:w="28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(20,306</w:t>
            </w:r>
          </w:p>
        </w:tc>
        <w:tc>
          <w:tcPr>
            <w:tcW w:w="28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76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22,206</w:t>
            </w:r>
          </w:p>
        </w:tc>
        <w:tc>
          <w:tcPr>
            <w:tcW w:w="28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(30,623</w:t>
            </w:r>
          </w:p>
        </w:tc>
        <w:tc>
          <w:tcPr>
            <w:tcW w:w="33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r>
      <w:tr>
        <w:trPr/>
        <w:tc>
          <w:tcPr>
            <w:tcW w:w="4314"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Amortization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8,815</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9,853</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18,621</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19,635</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314"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Stock-based compensation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5,935</w:t>
            </w:r>
          </w:p>
        </w:tc>
        <w:tc>
          <w:tcPr>
            <w:tcW w:w="28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9,335</w:t>
            </w:r>
          </w:p>
        </w:tc>
        <w:tc>
          <w:tcPr>
            <w:tcW w:w="28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12,629</w:t>
            </w:r>
          </w:p>
        </w:tc>
        <w:tc>
          <w:tcPr>
            <w:tcW w:w="28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18,657</w:t>
            </w:r>
          </w:p>
        </w:tc>
        <w:tc>
          <w:tcPr>
            <w:tcW w:w="33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314"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One-time costs related to legal and other matters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2,075</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1,993</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2,075</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1,993</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314"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Restructuring and other charges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219</w:t>
            </w:r>
          </w:p>
        </w:tc>
        <w:tc>
          <w:tcPr>
            <w:tcW w:w="28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772</w:t>
            </w:r>
          </w:p>
        </w:tc>
        <w:tc>
          <w:tcPr>
            <w:tcW w:w="28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1,799</w:t>
            </w:r>
          </w:p>
        </w:tc>
        <w:tc>
          <w:tcPr>
            <w:tcW w:w="28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1,867</w:t>
            </w:r>
          </w:p>
        </w:tc>
        <w:tc>
          <w:tcPr>
            <w:tcW w:w="33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314"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Acquisition and related integration costs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600</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1,515</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600</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3,700</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314"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Legal and due diligence costs related to strategic investments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150</w:t>
            </w:r>
          </w:p>
        </w:tc>
        <w:tc>
          <w:tcPr>
            <w:tcW w:w="28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8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150</w:t>
            </w:r>
          </w:p>
        </w:tc>
        <w:tc>
          <w:tcPr>
            <w:tcW w:w="28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3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314"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Acquisition accounting impact related to recognizing acquired inventory at fair value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98</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613</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314"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Depreciation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3,649</w:t>
            </w:r>
          </w:p>
        </w:tc>
        <w:tc>
          <w:tcPr>
            <w:tcW w:w="28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3,351</w:t>
            </w:r>
          </w:p>
        </w:tc>
        <w:tc>
          <w:tcPr>
            <w:tcW w:w="28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7,200</w:t>
            </w:r>
          </w:p>
        </w:tc>
        <w:tc>
          <w:tcPr>
            <w:tcW w:w="28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6,724</w:t>
            </w:r>
          </w:p>
        </w:tc>
        <w:tc>
          <w:tcPr>
            <w:tcW w:w="33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314"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Interest expense, net of interest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270</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1,896</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1,540</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3,942</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314"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Reversal of bargain purchase gain on business acquisition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8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8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8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2,581</w:t>
            </w:r>
          </w:p>
        </w:tc>
        <w:tc>
          <w:tcPr>
            <w:tcW w:w="33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314"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Income tax (benefit)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(30</w:t>
            </w:r>
          </w:p>
        </w:tc>
        <w:tc>
          <w:tcPr>
            <w:tcW w:w="2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(369</w:t>
            </w:r>
          </w:p>
        </w:tc>
        <w:tc>
          <w:tcPr>
            <w:tcW w:w="2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(187</w:t>
            </w:r>
          </w:p>
        </w:tc>
        <w:tc>
          <w:tcPr>
            <w:tcW w:w="2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1,692</w:t>
            </w:r>
          </w:p>
        </w:tc>
        <w:tc>
          <w:tcPr>
            <w:tcW w:w="3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314"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20"/>
              </w:rPr>
            </w:pPr>
            <w:r>
              <w:rPr>
                <w:rFonts w:ascii="sans-serif" w:hAnsi="sans-serif"/>
                <w:b/>
                <w:color w:val="000000"/>
                <w:sz w:val="20"/>
              </w:rPr>
              <w:t>Adjusted EBITDA - Non-GAAP</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7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30,832</w:t>
            </w:r>
          </w:p>
        </w:tc>
        <w:tc>
          <w:tcPr>
            <w:tcW w:w="28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8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8,138</w:t>
            </w:r>
          </w:p>
        </w:tc>
        <w:tc>
          <w:tcPr>
            <w:tcW w:w="28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7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66,633</w:t>
            </w:r>
          </w:p>
        </w:tc>
        <w:tc>
          <w:tcPr>
            <w:tcW w:w="28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8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30,781</w:t>
            </w:r>
          </w:p>
        </w:tc>
        <w:tc>
          <w:tcPr>
            <w:tcW w:w="3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3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314"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i/>
                <w:color w:val="000000"/>
                <w:sz w:val="20"/>
              </w:rPr>
            </w:pPr>
            <w:r>
              <w:rPr>
                <w:rFonts w:ascii="sans-serif" w:hAnsi="sans-serif"/>
                <w:i/>
                <w:color w:val="000000"/>
                <w:sz w:val="20"/>
              </w:rPr>
              <w:t>Adjusted EBITDA margin - Non-GAAP</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i/>
                <w:color w:val="000000"/>
                <w:sz w:val="20"/>
              </w:rPr>
            </w:pPr>
            <w:r>
              <w:rPr>
                <w:rFonts w:ascii="sans-serif" w:hAnsi="sans-serif"/>
                <w:i/>
                <w:color w:val="000000"/>
                <w:sz w:val="20"/>
              </w:rPr>
              <w:t>9.8</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i/>
                <w:color w:val="000000"/>
                <w:sz w:val="20"/>
              </w:rPr>
            </w:pPr>
            <w:r>
              <w:rPr>
                <w:rFonts w:ascii="sans-serif" w:hAnsi="sans-serif"/>
                <w:i/>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i/>
                <w:color w:val="000000"/>
                <w:sz w:val="20"/>
              </w:rPr>
            </w:pPr>
            <w:r>
              <w:rPr>
                <w:rFonts w:ascii="sans-serif" w:hAnsi="sans-serif"/>
                <w:i/>
                <w:color w:val="000000"/>
                <w:sz w:val="20"/>
              </w:rPr>
              <w:t>2.5</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i/>
                <w:color w:val="000000"/>
                <w:sz w:val="20"/>
              </w:rPr>
            </w:pPr>
            <w:r>
              <w:rPr>
                <w:rFonts w:ascii="sans-serif" w:hAnsi="sans-serif"/>
                <w:i/>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i/>
                <w:color w:val="000000"/>
                <w:sz w:val="20"/>
              </w:rPr>
            </w:pPr>
            <w:r>
              <w:rPr>
                <w:rFonts w:ascii="sans-serif" w:hAnsi="sans-serif"/>
                <w:i/>
                <w:color w:val="000000"/>
                <w:sz w:val="20"/>
              </w:rPr>
              <w:t>10.0</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i/>
                <w:color w:val="000000"/>
                <w:sz w:val="20"/>
              </w:rPr>
            </w:pPr>
            <w:r>
              <w:rPr>
                <w:rFonts w:ascii="sans-serif" w:hAnsi="sans-serif"/>
                <w:i/>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i/>
                <w:color w:val="000000"/>
                <w:sz w:val="20"/>
              </w:rPr>
            </w:pPr>
            <w:r>
              <w:rPr>
                <w:rFonts w:ascii="sans-serif" w:hAnsi="sans-serif"/>
                <w:i/>
                <w:color w:val="000000"/>
                <w:sz w:val="20"/>
              </w:rPr>
              <w:t>4.5</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i/>
                <w:color w:val="000000"/>
                <w:sz w:val="20"/>
              </w:rPr>
            </w:pPr>
            <w:r>
              <w:rPr>
                <w:rFonts w:ascii="sans-serif" w:hAnsi="sans-serif"/>
                <w:i/>
                <w:color w:val="000000"/>
                <w:sz w:val="20"/>
              </w:rPr>
              <w:t>%</w:t>
            </w:r>
          </w:p>
        </w:tc>
      </w:tr>
    </w:tbl>
    <w:p>
      <w:pPr>
        <w:pStyle w:val="TextBody"/>
        <w:bidi w:val="0"/>
        <w:jc w:val="both"/>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center"/>
        <w:rPr/>
      </w:pPr>
      <w:bookmarkStart w:id="4" w:name="crsr-ex99_2.htm"/>
      <w:bookmarkStart w:id="5" w:name="kscrsrex99_2"/>
      <w:bookmarkEnd w:id="4"/>
      <w:bookmarkEnd w:id="5"/>
      <w:r>
        <w:rPr/>
        <w:drawing>
          <wp:inline distT="0" distB="0" distL="0" distR="0">
            <wp:extent cx="9144000" cy="160686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9144000" cy="16068675"/>
                    </a:xfrm>
                    <a:prstGeom prst="rect">
                      <a:avLst/>
                    </a:prstGeom>
                  </pic:spPr>
                </pic:pic>
              </a:graphicData>
            </a:graphic>
          </wp:inline>
        </w:drawing>
      </w:r>
      <w:r>
        <w:br w:type="page"/>
      </w:r>
    </w:p>
    <w:p>
      <w:pPr>
        <w:pStyle w:val="TextBody"/>
        <w:bidi w:val="0"/>
        <w:jc w:val="left"/>
        <w:rPr>
          <w:color w:val="FFFFFF"/>
        </w:rPr>
      </w:pPr>
      <w:r>
        <w:rPr>
          <w:color w:val="FFFFFF"/>
        </w:rPr>
        <w:t> </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4"/>
                    <a:stretch>
                      <a:fillRect/>
                    </a:stretch>
                  </pic:blipFill>
                  <pic:spPr bwMode="auto">
                    <a:xfrm>
                      <a:off x="0" y="0"/>
                      <a:ext cx="9144000" cy="16068675"/>
                    </a:xfrm>
                    <a:prstGeom prst="rect">
                      <a:avLst/>
                    </a:prstGeom>
                  </pic:spPr>
                </pic:pic>
              </a:graphicData>
            </a:graphic>
          </wp:inline>
        </w:drawing>
      </w:r>
    </w:p>
    <w:p>
      <w:pPr>
        <w:pStyle w:val="TextBody"/>
        <w:bidi w:val="0"/>
        <w:jc w:val="left"/>
        <w:rPr>
          <w:color w:val="FFFFFF"/>
        </w:rPr>
      </w:pPr>
      <w:r>
        <w:rPr>
          <w:color w:val="FFFFFF"/>
        </w:rPr>
        <w:t> </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embed="rId5"/>
                    <a:stretch>
                      <a:fillRect/>
                    </a:stretch>
                  </pic:blipFill>
                  <pic:spPr bwMode="auto">
                    <a:xfrm>
                      <a:off x="0" y="0"/>
                      <a:ext cx="9144000" cy="16068675"/>
                    </a:xfrm>
                    <a:prstGeom prst="rect">
                      <a:avLst/>
                    </a:prstGeom>
                  </pic:spPr>
                </pic:pic>
              </a:graphicData>
            </a:graphic>
          </wp:inline>
        </w:drawing>
      </w:r>
    </w:p>
    <w:p>
      <w:pPr>
        <w:pStyle w:val="TextBody"/>
        <w:bidi w:val="0"/>
        <w:jc w:val="left"/>
        <w:rPr>
          <w:color w:val="FFFFFF"/>
        </w:rPr>
      </w:pPr>
      <w:r>
        <w:rPr>
          <w:color w:val="FFFFFF"/>
        </w:rPr>
        <w:t> </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embed="rId6"/>
                    <a:stretch>
                      <a:fillRect/>
                    </a:stretch>
                  </pic:blipFill>
                  <pic:spPr bwMode="auto">
                    <a:xfrm>
                      <a:off x="0" y="0"/>
                      <a:ext cx="9144000" cy="16068675"/>
                    </a:xfrm>
                    <a:prstGeom prst="rect">
                      <a:avLst/>
                    </a:prstGeom>
                  </pic:spPr>
                </pic:pic>
              </a:graphicData>
            </a:graphic>
          </wp:inline>
        </w:drawing>
      </w:r>
    </w:p>
    <w:p>
      <w:pPr>
        <w:pStyle w:val="TextBody"/>
        <w:bidi w:val="0"/>
        <w:jc w:val="left"/>
        <w:rPr>
          <w:color w:val="FFFFFF"/>
        </w:rPr>
      </w:pPr>
      <w:r>
        <w:rPr>
          <w:color w:val="FFFFFF"/>
        </w:rPr>
        <w:t> </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embed="rId7"/>
                    <a:stretch>
                      <a:fillRect/>
                    </a:stretch>
                  </pic:blipFill>
                  <pic:spPr bwMode="auto">
                    <a:xfrm>
                      <a:off x="0" y="0"/>
                      <a:ext cx="9144000" cy="16068675"/>
                    </a:xfrm>
                    <a:prstGeom prst="rect">
                      <a:avLst/>
                    </a:prstGeom>
                  </pic:spPr>
                </pic:pic>
              </a:graphicData>
            </a:graphic>
          </wp:inline>
        </w:drawing>
      </w:r>
    </w:p>
    <w:p>
      <w:pPr>
        <w:pStyle w:val="TextBody"/>
        <w:bidi w:val="0"/>
        <w:jc w:val="left"/>
        <w:rPr>
          <w:color w:val="FFFFFF"/>
        </w:rPr>
      </w:pPr>
      <w:r>
        <w:rPr>
          <w:color w:val="FFFFFF"/>
        </w:rPr>
        <w:t> </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embed="rId8"/>
                    <a:stretch>
                      <a:fillRect/>
                    </a:stretch>
                  </pic:blipFill>
                  <pic:spPr bwMode="auto">
                    <a:xfrm>
                      <a:off x="0" y="0"/>
                      <a:ext cx="9144000" cy="16068675"/>
                    </a:xfrm>
                    <a:prstGeom prst="rect">
                      <a:avLst/>
                    </a:prstGeom>
                  </pic:spPr>
                </pic:pic>
              </a:graphicData>
            </a:graphic>
          </wp:inline>
        </w:drawing>
      </w:r>
    </w:p>
    <w:p>
      <w:pPr>
        <w:pStyle w:val="TextBody"/>
        <w:bidi w:val="0"/>
        <w:jc w:val="left"/>
        <w:rPr>
          <w:color w:val="FFFFFF"/>
        </w:rPr>
      </w:pPr>
      <w:r>
        <w:rPr>
          <w:color w:val="FFFFFF"/>
        </w:rPr>
        <w:t> </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embed="rId9"/>
                    <a:stretch>
                      <a:fillRect/>
                    </a:stretch>
                  </pic:blipFill>
                  <pic:spPr bwMode="auto">
                    <a:xfrm>
                      <a:off x="0" y="0"/>
                      <a:ext cx="9144000" cy="16068675"/>
                    </a:xfrm>
                    <a:prstGeom prst="rect">
                      <a:avLst/>
                    </a:prstGeom>
                  </pic:spPr>
                </pic:pic>
              </a:graphicData>
            </a:graphic>
          </wp:inline>
        </w:drawing>
      </w:r>
    </w:p>
    <w:p>
      <w:pPr>
        <w:pStyle w:val="TextBody"/>
        <w:bidi w:val="0"/>
        <w:jc w:val="left"/>
        <w:rPr>
          <w:color w:val="FFFFFF"/>
        </w:rPr>
      </w:pPr>
      <w:r>
        <w:rPr>
          <w:color w:val="FFFFFF"/>
        </w:rPr>
        <w:t> </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embed="rId10"/>
                    <a:stretch>
                      <a:fillRect/>
                    </a:stretch>
                  </pic:blipFill>
                  <pic:spPr bwMode="auto">
                    <a:xfrm>
                      <a:off x="0" y="0"/>
                      <a:ext cx="9144000" cy="16068675"/>
                    </a:xfrm>
                    <a:prstGeom prst="rect">
                      <a:avLst/>
                    </a:prstGeom>
                  </pic:spPr>
                </pic:pic>
              </a:graphicData>
            </a:graphic>
          </wp:inline>
        </w:drawing>
      </w:r>
    </w:p>
    <w:p>
      <w:pPr>
        <w:pStyle w:val="TextBody"/>
        <w:bidi w:val="0"/>
        <w:jc w:val="left"/>
        <w:rPr>
          <w:color w:val="FFFFFF"/>
        </w:rPr>
      </w:pPr>
      <w:r>
        <w:rPr>
          <w:color w:val="FFFFFF"/>
        </w:rPr>
        <w:t> </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embed="rId11"/>
                    <a:stretch>
                      <a:fillRect/>
                    </a:stretch>
                  </pic:blipFill>
                  <pic:spPr bwMode="auto">
                    <a:xfrm>
                      <a:off x="0" y="0"/>
                      <a:ext cx="9144000" cy="16068675"/>
                    </a:xfrm>
                    <a:prstGeom prst="rect">
                      <a:avLst/>
                    </a:prstGeom>
                  </pic:spPr>
                </pic:pic>
              </a:graphicData>
            </a:graphic>
          </wp:inline>
        </w:drawing>
      </w:r>
    </w:p>
    <w:p>
      <w:pPr>
        <w:pStyle w:val="TextBody"/>
        <w:bidi w:val="0"/>
        <w:jc w:val="left"/>
        <w:rPr>
          <w:color w:val="FFFFFF"/>
        </w:rPr>
      </w:pPr>
      <w:r>
        <w:rPr>
          <w:color w:val="FFFFFF"/>
        </w:rPr>
        <w:t> </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embed="rId12"/>
                    <a:stretch>
                      <a:fillRect/>
                    </a:stretch>
                  </pic:blipFill>
                  <pic:spPr bwMode="auto">
                    <a:xfrm>
                      <a:off x="0" y="0"/>
                      <a:ext cx="9144000" cy="16068675"/>
                    </a:xfrm>
                    <a:prstGeom prst="rect">
                      <a:avLst/>
                    </a:prstGeom>
                  </pic:spPr>
                </pic:pic>
              </a:graphicData>
            </a:graphic>
          </wp:inline>
        </w:drawing>
      </w:r>
    </w:p>
    <w:p>
      <w:pPr>
        <w:pStyle w:val="TextBody"/>
        <w:bidi w:val="0"/>
        <w:jc w:val="left"/>
        <w:rPr>
          <w:color w:val="FFFFFF"/>
        </w:rPr>
      </w:pPr>
      <w:r>
        <w:rPr>
          <w:color w:val="FFFFFF"/>
        </w:rPr>
        <w:t> </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embed="rId13"/>
                    <a:stretch>
                      <a:fillRect/>
                    </a:stretch>
                  </pic:blipFill>
                  <pic:spPr bwMode="auto">
                    <a:xfrm>
                      <a:off x="0" y="0"/>
                      <a:ext cx="9144000" cy="16068675"/>
                    </a:xfrm>
                    <a:prstGeom prst="rect">
                      <a:avLst/>
                    </a:prstGeom>
                  </pic:spPr>
                </pic:pic>
              </a:graphicData>
            </a:graphic>
          </wp:inline>
        </w:drawing>
      </w:r>
    </w:p>
    <w:p>
      <w:pPr>
        <w:pStyle w:val="TextBody"/>
        <w:bidi w:val="0"/>
        <w:jc w:val="left"/>
        <w:rPr>
          <w:color w:val="FFFFFF"/>
        </w:rPr>
      </w:pPr>
      <w:r>
        <w:rPr>
          <w:color w:val="FFFFFF"/>
        </w:rPr>
        <w:t> </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embed="rId14"/>
                    <a:stretch>
                      <a:fillRect/>
                    </a:stretch>
                  </pic:blipFill>
                  <pic:spPr bwMode="auto">
                    <a:xfrm>
                      <a:off x="0" y="0"/>
                      <a:ext cx="9144000" cy="16068675"/>
                    </a:xfrm>
                    <a:prstGeom prst="rect">
                      <a:avLst/>
                    </a:prstGeom>
                  </pic:spPr>
                </pic:pic>
              </a:graphicData>
            </a:graphic>
          </wp:inline>
        </w:drawing>
      </w:r>
    </w:p>
    <w:p>
      <w:pPr>
        <w:pStyle w:val="TextBody"/>
        <w:bidi w:val="0"/>
        <w:jc w:val="left"/>
        <w:rPr>
          <w:color w:val="FFFFFF"/>
        </w:rPr>
      </w:pPr>
      <w:r>
        <w:rPr>
          <w:color w:val="FFFFFF"/>
        </w:rPr>
        <w:t> </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embed="rId15"/>
                    <a:stretch>
                      <a:fillRect/>
                    </a:stretch>
                  </pic:blipFill>
                  <pic:spPr bwMode="auto">
                    <a:xfrm>
                      <a:off x="0" y="0"/>
                      <a:ext cx="9144000" cy="16068675"/>
                    </a:xfrm>
                    <a:prstGeom prst="rect">
                      <a:avLst/>
                    </a:prstGeom>
                  </pic:spPr>
                </pic:pic>
              </a:graphicData>
            </a:graphic>
          </wp:inline>
        </w:drawing>
      </w:r>
    </w:p>
    <w:p>
      <w:pPr>
        <w:pStyle w:val="TextBody"/>
        <w:bidi w:val="0"/>
        <w:jc w:val="left"/>
        <w:rPr>
          <w:color w:val="FFFFFF"/>
        </w:rPr>
      </w:pPr>
      <w:r>
        <w:rPr>
          <w:color w:val="FFFFFF"/>
        </w:rPr>
        <w:t> </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embed="rId16"/>
                    <a:stretch>
                      <a:fillRect/>
                    </a:stretch>
                  </pic:blipFill>
                  <pic:spPr bwMode="auto">
                    <a:xfrm>
                      <a:off x="0" y="0"/>
                      <a:ext cx="9144000" cy="16068675"/>
                    </a:xfrm>
                    <a:prstGeom prst="rect">
                      <a:avLst/>
                    </a:prstGeom>
                  </pic:spPr>
                </pic:pic>
              </a:graphicData>
            </a:graphic>
          </wp:inline>
        </w:drawing>
      </w:r>
    </w:p>
    <w:p>
      <w:pPr>
        <w:pStyle w:val="TextBody"/>
        <w:bidi w:val="0"/>
        <w:jc w:val="left"/>
        <w:rPr>
          <w:color w:val="FFFFFF"/>
        </w:rPr>
      </w:pPr>
      <w:r>
        <w:rPr>
          <w:color w:val="FFFFFF"/>
        </w:rPr>
        <w:t> </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embed="rId17"/>
                    <a:stretch>
                      <a:fillRect/>
                    </a:stretch>
                  </pic:blipFill>
                  <pic:spPr bwMode="auto">
                    <a:xfrm>
                      <a:off x="0" y="0"/>
                      <a:ext cx="9144000" cy="16068675"/>
                    </a:xfrm>
                    <a:prstGeom prst="rect">
                      <a:avLst/>
                    </a:prstGeom>
                  </pic:spPr>
                </pic:pic>
              </a:graphicData>
            </a:graphic>
          </wp:inline>
        </w:drawing>
      </w:r>
    </w:p>
    <w:p>
      <w:pPr>
        <w:pStyle w:val="TextBody"/>
        <w:bidi w:val="0"/>
        <w:jc w:val="left"/>
        <w:rPr>
          <w:color w:val="FFFFFF"/>
        </w:rPr>
      </w:pPr>
      <w:r>
        <w:rPr>
          <w:color w:val="FFFFFF"/>
        </w:rPr>
        <w:t> </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embed="rId18"/>
                    <a:stretch>
                      <a:fillRect/>
                    </a:stretch>
                  </pic:blipFill>
                  <pic:spPr bwMode="auto">
                    <a:xfrm>
                      <a:off x="0" y="0"/>
                      <a:ext cx="9144000" cy="16068675"/>
                    </a:xfrm>
                    <a:prstGeom prst="rect">
                      <a:avLst/>
                    </a:prstGeom>
                  </pic:spPr>
                </pic:pic>
              </a:graphicData>
            </a:graphic>
          </wp:inline>
        </w:drawing>
      </w:r>
    </w:p>
    <w:p>
      <w:pPr>
        <w:pStyle w:val="TextBody"/>
        <w:bidi w:val="0"/>
        <w:jc w:val="left"/>
        <w:rPr>
          <w:color w:val="FFFFFF"/>
        </w:rPr>
      </w:pPr>
      <w:r>
        <w:rPr>
          <w:color w:val="FFFFFF"/>
        </w:rPr>
        <w:t> </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embed="rId19"/>
                    <a:stretch>
                      <a:fillRect/>
                    </a:stretch>
                  </pic:blipFill>
                  <pic:spPr bwMode="auto">
                    <a:xfrm>
                      <a:off x="0" y="0"/>
                      <a:ext cx="9144000" cy="16068675"/>
                    </a:xfrm>
                    <a:prstGeom prst="rect">
                      <a:avLst/>
                    </a:prstGeom>
                  </pic:spPr>
                </pic:pic>
              </a:graphicData>
            </a:graphic>
          </wp:inline>
        </w:drawing>
      </w:r>
    </w:p>
    <w:p>
      <w:pPr>
        <w:pStyle w:val="TextBody"/>
        <w:bidi w:val="0"/>
        <w:jc w:val="left"/>
        <w:rPr>
          <w:color w:val="FFFFFF"/>
        </w:rPr>
      </w:pPr>
      <w:r>
        <w:rPr>
          <w:color w:val="FFFFFF"/>
        </w:rPr>
        <w:t> </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19"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9" descr=""/>
                    <pic:cNvPicPr>
                      <a:picLocks noChangeAspect="1" noChangeArrowheads="1"/>
                    </pic:cNvPicPr>
                  </pic:nvPicPr>
                  <pic:blipFill>
                    <a:blip r:embed="rId20"/>
                    <a:stretch>
                      <a:fillRect/>
                    </a:stretch>
                  </pic:blipFill>
                  <pic:spPr bwMode="auto">
                    <a:xfrm>
                      <a:off x="0" y="0"/>
                      <a:ext cx="9144000" cy="16068675"/>
                    </a:xfrm>
                    <a:prstGeom prst="rect">
                      <a:avLst/>
                    </a:prstGeom>
                  </pic:spPr>
                </pic:pic>
              </a:graphicData>
            </a:graphic>
          </wp:inline>
        </w:drawing>
      </w:r>
    </w:p>
    <w:p>
      <w:pPr>
        <w:pStyle w:val="TextBody"/>
        <w:bidi w:val="0"/>
        <w:jc w:val="left"/>
        <w:rPr>
          <w:color w:val="FFFFFF"/>
        </w:rPr>
      </w:pPr>
      <w:r>
        <w:rPr>
          <w:color w:val="FFFFFF"/>
        </w:rPr>
        <w:t> </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20"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20" descr=""/>
                    <pic:cNvPicPr>
                      <a:picLocks noChangeAspect="1" noChangeArrowheads="1"/>
                    </pic:cNvPicPr>
                  </pic:nvPicPr>
                  <pic:blipFill>
                    <a:blip r:embed="rId21"/>
                    <a:stretch>
                      <a:fillRect/>
                    </a:stretch>
                  </pic:blipFill>
                  <pic:spPr bwMode="auto">
                    <a:xfrm>
                      <a:off x="0" y="0"/>
                      <a:ext cx="9144000" cy="16068675"/>
                    </a:xfrm>
                    <a:prstGeom prst="rect">
                      <a:avLst/>
                    </a:prstGeom>
                  </pic:spPr>
                </pic:pic>
              </a:graphicData>
            </a:graphic>
          </wp:inline>
        </w:drawing>
      </w:r>
    </w:p>
    <w:p>
      <w:pPr>
        <w:pStyle w:val="TextBody"/>
        <w:bidi w:val="0"/>
        <w:jc w:val="left"/>
        <w:rPr>
          <w:color w:val="FFFFFF"/>
        </w:rPr>
      </w:pPr>
      <w:r>
        <w:rPr>
          <w:color w:val="FFFFFF"/>
        </w:rPr>
        <w:t> </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21"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21" descr=""/>
                    <pic:cNvPicPr>
                      <a:picLocks noChangeAspect="1" noChangeArrowheads="1"/>
                    </pic:cNvPicPr>
                  </pic:nvPicPr>
                  <pic:blipFill>
                    <a:blip r:embed="rId22"/>
                    <a:stretch>
                      <a:fillRect/>
                    </a:stretch>
                  </pic:blipFill>
                  <pic:spPr bwMode="auto">
                    <a:xfrm>
                      <a:off x="0" y="0"/>
                      <a:ext cx="9144000" cy="16068675"/>
                    </a:xfrm>
                    <a:prstGeom prst="rect">
                      <a:avLst/>
                    </a:prstGeom>
                  </pic:spPr>
                </pic:pic>
              </a:graphicData>
            </a:graphic>
          </wp:inline>
        </w:drawing>
      </w:r>
    </w:p>
    <w:p>
      <w:pPr>
        <w:pStyle w:val="TextBody"/>
        <w:bidi w:val="0"/>
        <w:jc w:val="left"/>
        <w:rPr>
          <w:color w:val="FFFFFF"/>
        </w:rPr>
      </w:pPr>
      <w:r>
        <w:rPr>
          <w:color w:val="FFFFFF"/>
        </w:rPr>
        <w:t> </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22" name="Image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22" descr=""/>
                    <pic:cNvPicPr>
                      <a:picLocks noChangeAspect="1" noChangeArrowheads="1"/>
                    </pic:cNvPicPr>
                  </pic:nvPicPr>
                  <pic:blipFill>
                    <a:blip r:embed="rId23"/>
                    <a:stretch>
                      <a:fillRect/>
                    </a:stretch>
                  </pic:blipFill>
                  <pic:spPr bwMode="auto">
                    <a:xfrm>
                      <a:off x="0" y="0"/>
                      <a:ext cx="9144000" cy="16068675"/>
                    </a:xfrm>
                    <a:prstGeom prst="rect">
                      <a:avLst/>
                    </a:prstGeom>
                  </pic:spPr>
                </pic:pic>
              </a:graphicData>
            </a:graphic>
          </wp:inline>
        </w:drawing>
      </w:r>
    </w:p>
    <w:p>
      <w:pPr>
        <w:pStyle w:val="TextBody"/>
        <w:bidi w:val="0"/>
        <w:jc w:val="left"/>
        <w:rPr>
          <w:color w:val="FFFFFF"/>
        </w:rPr>
      </w:pPr>
      <w:r>
        <w:rPr>
          <w:color w:val="FFFFFF"/>
        </w:rPr>
        <w:t> </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23" name="Image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Image23" descr=""/>
                    <pic:cNvPicPr>
                      <a:picLocks noChangeAspect="1" noChangeArrowheads="1"/>
                    </pic:cNvPicPr>
                  </pic:nvPicPr>
                  <pic:blipFill>
                    <a:blip r:embed="rId24"/>
                    <a:stretch>
                      <a:fillRect/>
                    </a:stretch>
                  </pic:blipFill>
                  <pic:spPr bwMode="auto">
                    <a:xfrm>
                      <a:off x="0" y="0"/>
                      <a:ext cx="9144000" cy="16068675"/>
                    </a:xfrm>
                    <a:prstGeom prst="rect">
                      <a:avLst/>
                    </a:prstGeom>
                  </pic:spPr>
                </pic:pic>
              </a:graphicData>
            </a:graphic>
          </wp:inline>
        </w:drawing>
      </w:r>
    </w:p>
    <w:p>
      <w:pPr>
        <w:pStyle w:val="TextBody"/>
        <w:bidi w:val="0"/>
        <w:jc w:val="left"/>
        <w:rPr>
          <w:color w:val="FFFFFF"/>
        </w:rPr>
      </w:pPr>
      <w:r>
        <w:rPr>
          <w:color w:val="FFFFFF"/>
        </w:rPr>
        <w:t> </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24" name="Image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Image24" descr=""/>
                    <pic:cNvPicPr>
                      <a:picLocks noChangeAspect="1" noChangeArrowheads="1"/>
                    </pic:cNvPicPr>
                  </pic:nvPicPr>
                  <pic:blipFill>
                    <a:blip r:embed="rId25"/>
                    <a:stretch>
                      <a:fillRect/>
                    </a:stretch>
                  </pic:blipFill>
                  <pic:spPr bwMode="auto">
                    <a:xfrm>
                      <a:off x="0" y="0"/>
                      <a:ext cx="9144000" cy="16068675"/>
                    </a:xfrm>
                    <a:prstGeom prst="rect">
                      <a:avLst/>
                    </a:prstGeom>
                  </pic:spPr>
                </pic:pic>
              </a:graphicData>
            </a:graphic>
          </wp:inline>
        </w:drawing>
      </w:r>
    </w:p>
    <w:p>
      <w:pPr>
        <w:pStyle w:val="TextBody"/>
        <w:bidi w:val="0"/>
        <w:jc w:val="left"/>
        <w:rPr>
          <w:color w:val="FFFFFF"/>
        </w:rPr>
      </w:pPr>
      <w:r>
        <w:rPr>
          <w:color w:val="FFFFFF"/>
        </w:rPr>
        <w:t> </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25" name="Image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Image25" descr=""/>
                    <pic:cNvPicPr>
                      <a:picLocks noChangeAspect="1" noChangeArrowheads="1"/>
                    </pic:cNvPicPr>
                  </pic:nvPicPr>
                  <pic:blipFill>
                    <a:blip r:embed="rId26"/>
                    <a:stretch>
                      <a:fillRect/>
                    </a:stretch>
                  </pic:blipFill>
                  <pic:spPr bwMode="auto">
                    <a:xfrm>
                      <a:off x="0" y="0"/>
                      <a:ext cx="9144000" cy="16068675"/>
                    </a:xfrm>
                    <a:prstGeom prst="rect">
                      <a:avLst/>
                    </a:prstGeom>
                  </pic:spPr>
                </pic:pic>
              </a:graphicData>
            </a:graphic>
          </wp:inline>
        </w:drawing>
      </w:r>
    </w:p>
    <w:p>
      <w:pPr>
        <w:pStyle w:val="TextBody"/>
        <w:bidi w:val="0"/>
        <w:jc w:val="left"/>
        <w:rPr>
          <w:color w:val="FFFFFF"/>
        </w:rPr>
      </w:pPr>
      <w:r>
        <w:rPr>
          <w:color w:val="FFFFFF"/>
        </w:rPr>
        <w:t> </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26" name="Image2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Image26" descr=""/>
                    <pic:cNvPicPr>
                      <a:picLocks noChangeAspect="1" noChangeArrowheads="1"/>
                    </pic:cNvPicPr>
                  </pic:nvPicPr>
                  <pic:blipFill>
                    <a:blip r:embed="rId27"/>
                    <a:stretch>
                      <a:fillRect/>
                    </a:stretch>
                  </pic:blipFill>
                  <pic:spPr bwMode="auto">
                    <a:xfrm>
                      <a:off x="0" y="0"/>
                      <a:ext cx="9144000" cy="16068675"/>
                    </a:xfrm>
                    <a:prstGeom prst="rect">
                      <a:avLst/>
                    </a:prstGeom>
                  </pic:spPr>
                </pic:pic>
              </a:graphicData>
            </a:graphic>
          </wp:inline>
        </w:drawing>
      </w:r>
    </w:p>
    <w:p>
      <w:pPr>
        <w:pStyle w:val="TextBody"/>
        <w:bidi w:val="0"/>
        <w:jc w:val="left"/>
        <w:rPr>
          <w:color w:val="FFFFFF"/>
        </w:rPr>
      </w:pPr>
      <w:r>
        <w:rPr>
          <w:color w:val="FFFFFF"/>
        </w:rPr>
        <w:t> </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27" name="Image2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Image27" descr=""/>
                    <pic:cNvPicPr>
                      <a:picLocks noChangeAspect="1" noChangeArrowheads="1"/>
                    </pic:cNvPicPr>
                  </pic:nvPicPr>
                  <pic:blipFill>
                    <a:blip r:embed="rId28"/>
                    <a:stretch>
                      <a:fillRect/>
                    </a:stretch>
                  </pic:blipFill>
                  <pic:spPr bwMode="auto">
                    <a:xfrm>
                      <a:off x="0" y="0"/>
                      <a:ext cx="9144000" cy="16068675"/>
                    </a:xfrm>
                    <a:prstGeom prst="rect">
                      <a:avLst/>
                    </a:prstGeom>
                  </pic:spPr>
                </pic:pic>
              </a:graphicData>
            </a:graphic>
          </wp:inline>
        </w:drawing>
      </w:r>
    </w:p>
    <w:p>
      <w:pPr>
        <w:pStyle w:val="TextBody"/>
        <w:bidi w:val="0"/>
        <w:jc w:val="left"/>
        <w:rPr>
          <w:color w:val="FFFFFF"/>
        </w:rPr>
      </w:pPr>
      <w:r>
        <w:rPr>
          <w:color w:val="FFFFFF"/>
        </w:rPr>
        <w:t> </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28" name="Image2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Image28" descr=""/>
                    <pic:cNvPicPr>
                      <a:picLocks noChangeAspect="1" noChangeArrowheads="1"/>
                    </pic:cNvPicPr>
                  </pic:nvPicPr>
                  <pic:blipFill>
                    <a:blip r:embed="rId29"/>
                    <a:stretch>
                      <a:fillRect/>
                    </a:stretch>
                  </pic:blipFill>
                  <pic:spPr bwMode="auto">
                    <a:xfrm>
                      <a:off x="0" y="0"/>
                      <a:ext cx="9144000" cy="16068675"/>
                    </a:xfrm>
                    <a:prstGeom prst="rect">
                      <a:avLst/>
                    </a:prstGeom>
                  </pic:spPr>
                </pic:pic>
              </a:graphicData>
            </a:graphic>
          </wp:inline>
        </w:drawing>
      </w:r>
    </w:p>
    <w:p>
      <w:pPr>
        <w:pStyle w:val="TextBody"/>
        <w:bidi w:val="0"/>
        <w:jc w:val="left"/>
        <w:rPr>
          <w:color w:val="FFFFFF"/>
        </w:rPr>
      </w:pPr>
      <w:r>
        <w:rPr>
          <w:color w:val="FFFFFF"/>
        </w:rPr>
        <w:t> </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29" name="Image2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Image29" descr=""/>
                    <pic:cNvPicPr>
                      <a:picLocks noChangeAspect="1" noChangeArrowheads="1"/>
                    </pic:cNvPicPr>
                  </pic:nvPicPr>
                  <pic:blipFill>
                    <a:blip r:embed="rId30"/>
                    <a:stretch>
                      <a:fillRect/>
                    </a:stretch>
                  </pic:blipFill>
                  <pic:spPr bwMode="auto">
                    <a:xfrm>
                      <a:off x="0" y="0"/>
                      <a:ext cx="9144000" cy="16068675"/>
                    </a:xfrm>
                    <a:prstGeom prst="rect">
                      <a:avLst/>
                    </a:prstGeom>
                  </pic:spPr>
                </pic:pic>
              </a:graphicData>
            </a:graphic>
          </wp:inline>
        </w:drawing>
      </w:r>
    </w:p>
    <w:p>
      <w:pPr>
        <w:pStyle w:val="TextBody"/>
        <w:bidi w:val="0"/>
        <w:jc w:val="left"/>
        <w:rPr>
          <w:color w:val="FFFFFF"/>
        </w:rPr>
      </w:pPr>
      <w:r>
        <w:rPr>
          <w:color w:val="FFFFFF"/>
        </w:rPr>
        <w:t> </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30" name="Image3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Image30" descr=""/>
                    <pic:cNvPicPr>
                      <a:picLocks noChangeAspect="1" noChangeArrowheads="1"/>
                    </pic:cNvPicPr>
                  </pic:nvPicPr>
                  <pic:blipFill>
                    <a:blip r:embed="rId31"/>
                    <a:stretch>
                      <a:fillRect/>
                    </a:stretch>
                  </pic:blipFill>
                  <pic:spPr bwMode="auto">
                    <a:xfrm>
                      <a:off x="0" y="0"/>
                      <a:ext cx="9144000" cy="16068675"/>
                    </a:xfrm>
                    <a:prstGeom prst="rect">
                      <a:avLst/>
                    </a:prstGeom>
                  </pic:spPr>
                </pic:pic>
              </a:graphicData>
            </a:graphic>
          </wp:inline>
        </w:drawing>
      </w:r>
    </w:p>
    <w:p>
      <w:pPr>
        <w:pStyle w:val="TextBody"/>
        <w:bidi w:val="0"/>
        <w:jc w:val="left"/>
        <w:rPr>
          <w:color w:val="FFFFFF"/>
        </w:rPr>
      </w:pPr>
      <w:r>
        <w:rPr>
          <w:color w:val="FFFFFF"/>
        </w:rPr>
        <w:t> </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31" name="Image3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Image31" descr=""/>
                    <pic:cNvPicPr>
                      <a:picLocks noChangeAspect="1" noChangeArrowheads="1"/>
                    </pic:cNvPicPr>
                  </pic:nvPicPr>
                  <pic:blipFill>
                    <a:blip r:embed="rId32"/>
                    <a:stretch>
                      <a:fillRect/>
                    </a:stretch>
                  </pic:blipFill>
                  <pic:spPr bwMode="auto">
                    <a:xfrm>
                      <a:off x="0" y="0"/>
                      <a:ext cx="9144000" cy="16068675"/>
                    </a:xfrm>
                    <a:prstGeom prst="rect">
                      <a:avLst/>
                    </a:prstGeom>
                  </pic:spPr>
                </pic:pic>
              </a:graphicData>
            </a:graphic>
          </wp:inline>
        </w:drawing>
      </w:r>
    </w:p>
    <w:p>
      <w:pPr>
        <w:pStyle w:val="TextBody"/>
        <w:bidi w:val="0"/>
        <w:jc w:val="left"/>
        <w:rPr>
          <w:color w:val="FFFFFF"/>
        </w:rPr>
      </w:pPr>
      <w:r>
        <w:rPr>
          <w:color w:val="FFFFFF"/>
        </w:rPr>
        <w:t> </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32" name="Image3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Image32" descr=""/>
                    <pic:cNvPicPr>
                      <a:picLocks noChangeAspect="1" noChangeArrowheads="1"/>
                    </pic:cNvPicPr>
                  </pic:nvPicPr>
                  <pic:blipFill>
                    <a:blip r:embed="rId33"/>
                    <a:stretch>
                      <a:fillRect/>
                    </a:stretch>
                  </pic:blipFill>
                  <pic:spPr bwMode="auto">
                    <a:xfrm>
                      <a:off x="0" y="0"/>
                      <a:ext cx="9144000" cy="16068675"/>
                    </a:xfrm>
                    <a:prstGeom prst="rect">
                      <a:avLst/>
                    </a:prstGeom>
                  </pic:spPr>
                </pic:pic>
              </a:graphicData>
            </a:graphic>
          </wp:inline>
        </w:drawing>
      </w:r>
    </w:p>
    <w:p>
      <w:pPr>
        <w:pStyle w:val="TextBody"/>
        <w:bidi w:val="0"/>
        <w:jc w:val="left"/>
        <w:rPr>
          <w:color w:val="FFFFFF"/>
        </w:rPr>
      </w:pPr>
      <w:r>
        <w:rPr>
          <w:color w:val="FFFFFF"/>
        </w:rPr>
        <w:t> </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33" name="Image3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Image33" descr=""/>
                    <pic:cNvPicPr>
                      <a:picLocks noChangeAspect="1" noChangeArrowheads="1"/>
                    </pic:cNvPicPr>
                  </pic:nvPicPr>
                  <pic:blipFill>
                    <a:blip r:embed="rId34"/>
                    <a:stretch>
                      <a:fillRect/>
                    </a:stretch>
                  </pic:blipFill>
                  <pic:spPr bwMode="auto">
                    <a:xfrm>
                      <a:off x="0" y="0"/>
                      <a:ext cx="9144000" cy="16068675"/>
                    </a:xfrm>
                    <a:prstGeom prst="rect">
                      <a:avLst/>
                    </a:prstGeom>
                  </pic:spPr>
                </pic:pic>
              </a:graphicData>
            </a:graphic>
          </wp:inline>
        </w:drawing>
      </w:r>
    </w:p>
    <w:p>
      <w:pPr>
        <w:pStyle w:val="TextBody"/>
        <w:bidi w:val="0"/>
        <w:jc w:val="left"/>
        <w:rPr>
          <w:color w:val="FFFFFF"/>
        </w:rPr>
      </w:pPr>
      <w:r>
        <w:rPr>
          <w:color w:val="FFFFFF"/>
        </w:rPr>
        <w:t> </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34" name="Image3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Image34" descr=""/>
                    <pic:cNvPicPr>
                      <a:picLocks noChangeAspect="1" noChangeArrowheads="1"/>
                    </pic:cNvPicPr>
                  </pic:nvPicPr>
                  <pic:blipFill>
                    <a:blip r:embed="rId35"/>
                    <a:stretch>
                      <a:fillRect/>
                    </a:stretch>
                  </pic:blipFill>
                  <pic:spPr bwMode="auto">
                    <a:xfrm>
                      <a:off x="0" y="0"/>
                      <a:ext cx="9144000" cy="16068675"/>
                    </a:xfrm>
                    <a:prstGeom prst="rect">
                      <a:avLst/>
                    </a:prstGeom>
                  </pic:spPr>
                </pic:pic>
              </a:graphicData>
            </a:graphic>
          </wp:inline>
        </w:drawing>
      </w:r>
    </w:p>
    <w:p>
      <w:pPr>
        <w:pStyle w:val="TextBody"/>
        <w:bidi w:val="0"/>
        <w:jc w:val="left"/>
        <w:rPr>
          <w:color w:val="FFFFFF"/>
        </w:rPr>
      </w:pPr>
      <w:r>
        <w:rPr>
          <w:color w:val="FFFFFF"/>
        </w:rPr>
        <w:t> </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35" name="Image3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Image35" descr=""/>
                    <pic:cNvPicPr>
                      <a:picLocks noChangeAspect="1" noChangeArrowheads="1"/>
                    </pic:cNvPicPr>
                  </pic:nvPicPr>
                  <pic:blipFill>
                    <a:blip r:embed="rId36"/>
                    <a:stretch>
                      <a:fillRect/>
                    </a:stretch>
                  </pic:blipFill>
                  <pic:spPr bwMode="auto">
                    <a:xfrm>
                      <a:off x="0" y="0"/>
                      <a:ext cx="9144000" cy="16068675"/>
                    </a:xfrm>
                    <a:prstGeom prst="rect">
                      <a:avLst/>
                    </a:prstGeom>
                  </pic:spPr>
                </pic:pic>
              </a:graphicData>
            </a:graphic>
          </wp:inline>
        </w:drawing>
      </w:r>
    </w:p>
    <w:p>
      <w:pPr>
        <w:pStyle w:val="TextBody"/>
        <w:bidi w:val="0"/>
        <w:jc w:val="left"/>
        <w:rPr>
          <w:color w:val="FFFFFF"/>
        </w:rPr>
      </w:pPr>
      <w:r>
        <w:rPr>
          <w:color w:val="FFFFFF"/>
        </w:rPr>
        <w:t> </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36" name="Image3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 name="Image36" descr=""/>
                    <pic:cNvPicPr>
                      <a:picLocks noChangeAspect="1" noChangeArrowheads="1"/>
                    </pic:cNvPicPr>
                  </pic:nvPicPr>
                  <pic:blipFill>
                    <a:blip r:embed="rId37"/>
                    <a:stretch>
                      <a:fillRect/>
                    </a:stretch>
                  </pic:blipFill>
                  <pic:spPr bwMode="auto">
                    <a:xfrm>
                      <a:off x="0" y="0"/>
                      <a:ext cx="9144000" cy="16068675"/>
                    </a:xfrm>
                    <a:prstGeom prst="rect">
                      <a:avLst/>
                    </a:prstGeom>
                  </pic:spPr>
                </pic:pic>
              </a:graphicData>
            </a:graphic>
          </wp:inline>
        </w:drawing>
      </w:r>
    </w:p>
    <w:p>
      <w:pPr>
        <w:pStyle w:val="TextBody"/>
        <w:bidi w:val="0"/>
        <w:jc w:val="left"/>
        <w:rPr>
          <w:color w:val="FFFFFF"/>
        </w:rPr>
      </w:pPr>
      <w:r>
        <w:rPr>
          <w:color w:val="FFFFFF"/>
        </w:rPr>
        <w:t> </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37" name="Image3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 name="Image37" descr=""/>
                    <pic:cNvPicPr>
                      <a:picLocks noChangeAspect="1" noChangeArrowheads="1"/>
                    </pic:cNvPicPr>
                  </pic:nvPicPr>
                  <pic:blipFill>
                    <a:blip r:embed="rId38"/>
                    <a:stretch>
                      <a:fillRect/>
                    </a:stretch>
                  </pic:blipFill>
                  <pic:spPr bwMode="auto">
                    <a:xfrm>
                      <a:off x="0" y="0"/>
                      <a:ext cx="9144000" cy="16068675"/>
                    </a:xfrm>
                    <a:prstGeom prst="rect">
                      <a:avLst/>
                    </a:prstGeom>
                  </pic:spPr>
                </pic:pic>
              </a:graphicData>
            </a:graphic>
          </wp:inline>
        </w:drawing>
      </w:r>
    </w:p>
    <w:p>
      <w:pPr>
        <w:pStyle w:val="TextBody"/>
        <w:bidi w:val="0"/>
        <w:jc w:val="left"/>
        <w:rPr>
          <w:color w:val="FFFFFF"/>
        </w:rPr>
      </w:pPr>
      <w:r>
        <w:rPr>
          <w:color w:val="FFFFFF"/>
        </w:rPr>
        <w:t> </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38" name="Image3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 name="Image38" descr=""/>
                    <pic:cNvPicPr>
                      <a:picLocks noChangeAspect="1" noChangeArrowheads="1"/>
                    </pic:cNvPicPr>
                  </pic:nvPicPr>
                  <pic:blipFill>
                    <a:blip r:embed="rId39"/>
                    <a:stretch>
                      <a:fillRect/>
                    </a:stretch>
                  </pic:blipFill>
                  <pic:spPr bwMode="auto">
                    <a:xfrm>
                      <a:off x="0" y="0"/>
                      <a:ext cx="9144000" cy="16068675"/>
                    </a:xfrm>
                    <a:prstGeom prst="rect">
                      <a:avLst/>
                    </a:prstGeom>
                  </pic:spPr>
                </pic:pic>
              </a:graphicData>
            </a:graphic>
          </wp:inline>
        </w:drawing>
      </w:r>
    </w:p>
    <w:p>
      <w:pPr>
        <w:pStyle w:val="TextBody"/>
        <w:bidi w:val="0"/>
        <w:jc w:val="left"/>
        <w:rPr>
          <w:color w:val="FFFFFF"/>
        </w:rPr>
      </w:pPr>
      <w:r>
        <w:rPr>
          <w:color w:val="FFFFFF"/>
        </w:rPr>
        <w:t> </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39" name="Image3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 name="Image39" descr=""/>
                    <pic:cNvPicPr>
                      <a:picLocks noChangeAspect="1" noChangeArrowheads="1"/>
                    </pic:cNvPicPr>
                  </pic:nvPicPr>
                  <pic:blipFill>
                    <a:blip r:embed="rId40"/>
                    <a:stretch>
                      <a:fillRect/>
                    </a:stretch>
                  </pic:blipFill>
                  <pic:spPr bwMode="auto">
                    <a:xfrm>
                      <a:off x="0" y="0"/>
                      <a:ext cx="9144000" cy="16068675"/>
                    </a:xfrm>
                    <a:prstGeom prst="rect">
                      <a:avLst/>
                    </a:prstGeom>
                  </pic:spPr>
                </pic:pic>
              </a:graphicData>
            </a:graphic>
          </wp:inline>
        </w:drawing>
      </w:r>
    </w:p>
    <w:p>
      <w:pPr>
        <w:pStyle w:val="TextBody"/>
        <w:bidi w:val="0"/>
        <w:jc w:val="left"/>
        <w:rPr>
          <w:color w:val="FFFFFF"/>
        </w:rPr>
      </w:pPr>
      <w:r>
        <w:rPr>
          <w:color w:val="FFFFFF"/>
        </w:rPr>
        <w:t> </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40" name="Image4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Image40" descr=""/>
                    <pic:cNvPicPr>
                      <a:picLocks noChangeAspect="1" noChangeArrowheads="1"/>
                    </pic:cNvPicPr>
                  </pic:nvPicPr>
                  <pic:blipFill>
                    <a:blip r:embed="rId41"/>
                    <a:stretch>
                      <a:fillRect/>
                    </a:stretch>
                  </pic:blipFill>
                  <pic:spPr bwMode="auto">
                    <a:xfrm>
                      <a:off x="0" y="0"/>
                      <a:ext cx="9144000" cy="16068675"/>
                    </a:xfrm>
                    <a:prstGeom prst="rect">
                      <a:avLst/>
                    </a:prstGeom>
                  </pic:spPr>
                </pic:pic>
              </a:graphicData>
            </a:graphic>
          </wp:inline>
        </w:drawing>
      </w:r>
    </w:p>
    <w:p>
      <w:pPr>
        <w:pStyle w:val="TextBody"/>
        <w:bidi w:val="0"/>
        <w:jc w:val="left"/>
        <w:rPr>
          <w:color w:val="FFFFFF"/>
        </w:rPr>
      </w:pPr>
      <w:r>
        <w:rPr>
          <w:color w:val="FFFFFF"/>
        </w:rPr>
        <w:t> </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41" name="Image4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 name="Image41" descr=""/>
                    <pic:cNvPicPr>
                      <a:picLocks noChangeAspect="1" noChangeArrowheads="1"/>
                    </pic:cNvPicPr>
                  </pic:nvPicPr>
                  <pic:blipFill>
                    <a:blip r:embed="rId42"/>
                    <a:stretch>
                      <a:fillRect/>
                    </a:stretch>
                  </pic:blipFill>
                  <pic:spPr bwMode="auto">
                    <a:xfrm>
                      <a:off x="0" y="0"/>
                      <a:ext cx="9144000" cy="16068675"/>
                    </a:xfrm>
                    <a:prstGeom prst="rect">
                      <a:avLst/>
                    </a:prstGeom>
                  </pic:spPr>
                </pic:pic>
              </a:graphicData>
            </a:graphic>
          </wp:inline>
        </w:drawing>
      </w:r>
    </w:p>
    <w:p>
      <w:pPr>
        <w:pStyle w:val="TextBody"/>
        <w:bidi w:val="0"/>
        <w:jc w:val="left"/>
        <w:rPr>
          <w:color w:val="FFFFFF"/>
        </w:rPr>
      </w:pPr>
      <w:r>
        <w:rPr>
          <w:color w:val="FFFFFF"/>
        </w:rPr>
        <w:t> </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42" name="Image4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 name="Image42" descr=""/>
                    <pic:cNvPicPr>
                      <a:picLocks noChangeAspect="1" noChangeArrowheads="1"/>
                    </pic:cNvPicPr>
                  </pic:nvPicPr>
                  <pic:blipFill>
                    <a:blip r:embed="rId43"/>
                    <a:stretch>
                      <a:fillRect/>
                    </a:stretch>
                  </pic:blipFill>
                  <pic:spPr bwMode="auto">
                    <a:xfrm>
                      <a:off x="0" y="0"/>
                      <a:ext cx="9144000" cy="16068675"/>
                    </a:xfrm>
                    <a:prstGeom prst="rect">
                      <a:avLst/>
                    </a:prstGeom>
                  </pic:spPr>
                </pic:pic>
              </a:graphicData>
            </a:graphic>
          </wp:inline>
        </w:drawing>
      </w:r>
    </w:p>
    <w:p>
      <w:pPr>
        <w:pStyle w:val="TextBody"/>
        <w:bidi w:val="0"/>
        <w:jc w:val="left"/>
        <w:rPr>
          <w:color w:val="FFFFFF"/>
        </w:rPr>
      </w:pPr>
      <w:r>
        <w:rPr>
          <w:color w:val="FFFFFF"/>
        </w:rPr>
        <w:t> </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43" name="Image4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 name="Image43" descr=""/>
                    <pic:cNvPicPr>
                      <a:picLocks noChangeAspect="1" noChangeArrowheads="1"/>
                    </pic:cNvPicPr>
                  </pic:nvPicPr>
                  <pic:blipFill>
                    <a:blip r:embed="rId44"/>
                    <a:stretch>
                      <a:fillRect/>
                    </a:stretch>
                  </pic:blipFill>
                  <pic:spPr bwMode="auto">
                    <a:xfrm>
                      <a:off x="0" y="0"/>
                      <a:ext cx="9144000" cy="16068675"/>
                    </a:xfrm>
                    <a:prstGeom prst="rect">
                      <a:avLst/>
                    </a:prstGeom>
                  </pic:spPr>
                </pic:pic>
              </a:graphicData>
            </a:graphic>
          </wp:inline>
        </w:drawing>
      </w:r>
    </w:p>
    <w:p>
      <w:pPr>
        <w:pStyle w:val="TextBody"/>
        <w:bidi w:val="0"/>
        <w:jc w:val="left"/>
        <w:rPr>
          <w:color w:val="FFFFFF"/>
        </w:rPr>
      </w:pPr>
      <w:r>
        <w:rPr>
          <w:color w:val="FFFFFF"/>
        </w:rPr>
        <w:t> </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44" name="Image4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 name="Image44" descr=""/>
                    <pic:cNvPicPr>
                      <a:picLocks noChangeAspect="1" noChangeArrowheads="1"/>
                    </pic:cNvPicPr>
                  </pic:nvPicPr>
                  <pic:blipFill>
                    <a:blip r:embed="rId45"/>
                    <a:stretch>
                      <a:fillRect/>
                    </a:stretch>
                  </pic:blipFill>
                  <pic:spPr bwMode="auto">
                    <a:xfrm>
                      <a:off x="0" y="0"/>
                      <a:ext cx="9144000" cy="16068675"/>
                    </a:xfrm>
                    <a:prstGeom prst="rect">
                      <a:avLst/>
                    </a:prstGeom>
                  </pic:spPr>
                </pic:pic>
              </a:graphicData>
            </a:graphic>
          </wp:inline>
        </w:drawing>
      </w:r>
    </w:p>
    <w:p>
      <w:pPr>
        <w:pStyle w:val="TextBody"/>
        <w:bidi w:val="0"/>
        <w:jc w:val="left"/>
        <w:rPr>
          <w:color w:val="FFFFFF"/>
        </w:rPr>
      </w:pPr>
      <w:r>
        <w:rPr>
          <w:color w:val="FFFFFF"/>
        </w:rPr>
        <w:t> </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45" name="Image4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 name="Image45" descr=""/>
                    <pic:cNvPicPr>
                      <a:picLocks noChangeAspect="1" noChangeArrowheads="1"/>
                    </pic:cNvPicPr>
                  </pic:nvPicPr>
                  <pic:blipFill>
                    <a:blip r:embed="rId46"/>
                    <a:stretch>
                      <a:fillRect/>
                    </a:stretch>
                  </pic:blipFill>
                  <pic:spPr bwMode="auto">
                    <a:xfrm>
                      <a:off x="0" y="0"/>
                      <a:ext cx="9144000" cy="16068675"/>
                    </a:xfrm>
                    <a:prstGeom prst="rect">
                      <a:avLst/>
                    </a:prstGeom>
                  </pic:spPr>
                </pic:pic>
              </a:graphicData>
            </a:graphic>
          </wp:inline>
        </w:drawing>
      </w:r>
    </w:p>
    <w:p>
      <w:pPr>
        <w:pStyle w:val="TextBody"/>
        <w:bidi w:val="0"/>
        <w:jc w:val="left"/>
        <w:rPr>
          <w:color w:val="FFFFFF"/>
        </w:rPr>
      </w:pPr>
      <w:r>
        <w:rPr>
          <w:color w:val="FFFFFF"/>
        </w:rPr>
        <w:t> </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46" name="Image4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 name="Image46" descr=""/>
                    <pic:cNvPicPr>
                      <a:picLocks noChangeAspect="1" noChangeArrowheads="1"/>
                    </pic:cNvPicPr>
                  </pic:nvPicPr>
                  <pic:blipFill>
                    <a:blip r:embed="rId47"/>
                    <a:stretch>
                      <a:fillRect/>
                    </a:stretch>
                  </pic:blipFill>
                  <pic:spPr bwMode="auto">
                    <a:xfrm>
                      <a:off x="0" y="0"/>
                      <a:ext cx="9144000" cy="16068675"/>
                    </a:xfrm>
                    <a:prstGeom prst="rect">
                      <a:avLst/>
                    </a:prstGeom>
                  </pic:spPr>
                </pic:pic>
              </a:graphicData>
            </a:graphic>
          </wp:inline>
        </w:drawing>
      </w:r>
    </w:p>
    <w:p>
      <w:pPr>
        <w:pStyle w:val="TextBody"/>
        <w:bidi w:val="0"/>
        <w:jc w:val="left"/>
        <w:rPr>
          <w:color w:val="FFFFFF"/>
        </w:rPr>
      </w:pPr>
      <w:r>
        <w:rPr>
          <w:color w:val="FFFFFF"/>
        </w:rPr>
        <w:t> </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47" name="Image4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 name="Image47" descr=""/>
                    <pic:cNvPicPr>
                      <a:picLocks noChangeAspect="1" noChangeArrowheads="1"/>
                    </pic:cNvPicPr>
                  </pic:nvPicPr>
                  <pic:blipFill>
                    <a:blip r:embed="rId48"/>
                    <a:stretch>
                      <a:fillRect/>
                    </a:stretch>
                  </pic:blipFill>
                  <pic:spPr bwMode="auto">
                    <a:xfrm>
                      <a:off x="0" y="0"/>
                      <a:ext cx="9144000" cy="16068675"/>
                    </a:xfrm>
                    <a:prstGeom prst="rect">
                      <a:avLst/>
                    </a:prstGeom>
                  </pic:spPr>
                </pic:pic>
              </a:graphicData>
            </a:graphic>
          </wp:inline>
        </w:drawing>
      </w:r>
    </w:p>
    <w:p>
      <w:pPr>
        <w:pStyle w:val="TextBody"/>
        <w:bidi w:val="0"/>
        <w:jc w:val="left"/>
        <w:rPr>
          <w:color w:val="FFFFFF"/>
        </w:rPr>
      </w:pPr>
      <w:r>
        <w:rPr>
          <w:color w:val="FFFFFF"/>
        </w:rPr>
        <w:t> </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48" name="Image4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 name="Image48" descr=""/>
                    <pic:cNvPicPr>
                      <a:picLocks noChangeAspect="1" noChangeArrowheads="1"/>
                    </pic:cNvPicPr>
                  </pic:nvPicPr>
                  <pic:blipFill>
                    <a:blip r:embed="rId49"/>
                    <a:stretch>
                      <a:fillRect/>
                    </a:stretch>
                  </pic:blipFill>
                  <pic:spPr bwMode="auto">
                    <a:xfrm>
                      <a:off x="0" y="0"/>
                      <a:ext cx="9144000" cy="16068675"/>
                    </a:xfrm>
                    <a:prstGeom prst="rect">
                      <a:avLst/>
                    </a:prstGeom>
                  </pic:spPr>
                </pic:pic>
              </a:graphicData>
            </a:graphic>
          </wp:inline>
        </w:drawing>
      </w:r>
    </w:p>
    <w:p>
      <w:pPr>
        <w:pStyle w:val="TextBody"/>
        <w:bidi w:val="0"/>
        <w:jc w:val="left"/>
        <w:rPr>
          <w:color w:val="FFFFFF"/>
        </w:rPr>
      </w:pPr>
      <w:r>
        <w:rPr>
          <w:color w:val="FFFFFF"/>
        </w:rPr>
        <w:t> </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49" name="Image4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 name="Image49" descr=""/>
                    <pic:cNvPicPr>
                      <a:picLocks noChangeAspect="1" noChangeArrowheads="1"/>
                    </pic:cNvPicPr>
                  </pic:nvPicPr>
                  <pic:blipFill>
                    <a:blip r:embed="rId50"/>
                    <a:stretch>
                      <a:fillRect/>
                    </a:stretch>
                  </pic:blipFill>
                  <pic:spPr bwMode="auto">
                    <a:xfrm>
                      <a:off x="0" y="0"/>
                      <a:ext cx="9144000" cy="16068675"/>
                    </a:xfrm>
                    <a:prstGeom prst="rect">
                      <a:avLst/>
                    </a:prstGeom>
                  </pic:spPr>
                </pic:pic>
              </a:graphicData>
            </a:graphic>
          </wp:inline>
        </w:drawing>
      </w:r>
    </w:p>
    <w:p>
      <w:pPr>
        <w:pStyle w:val="TextBody"/>
        <w:bidi w:val="0"/>
        <w:jc w:val="left"/>
        <w:rPr>
          <w:color w:val="FFFFFF"/>
        </w:rPr>
      </w:pPr>
      <w:r>
        <w:rPr>
          <w:color w:val="FFFFFF"/>
        </w:rPr>
        <w:t> </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50" name="Image5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 name="Image50" descr=""/>
                    <pic:cNvPicPr>
                      <a:picLocks noChangeAspect="1" noChangeArrowheads="1"/>
                    </pic:cNvPicPr>
                  </pic:nvPicPr>
                  <pic:blipFill>
                    <a:blip r:embed="rId51"/>
                    <a:stretch>
                      <a:fillRect/>
                    </a:stretch>
                  </pic:blipFill>
                  <pic:spPr bwMode="auto">
                    <a:xfrm>
                      <a:off x="0" y="0"/>
                      <a:ext cx="9144000" cy="16068675"/>
                    </a:xfrm>
                    <a:prstGeom prst="rect">
                      <a:avLst/>
                    </a:prstGeom>
                  </pic:spPr>
                </pic:pic>
              </a:graphicData>
            </a:graphic>
          </wp:inline>
        </w:drawing>
      </w:r>
    </w:p>
    <w:p>
      <w:pPr>
        <w:pStyle w:val="TextBody"/>
        <w:bidi w:val="0"/>
        <w:jc w:val="left"/>
        <w:rPr>
          <w:color w:val="FFFFFF"/>
        </w:rPr>
      </w:pPr>
      <w:r>
        <w:rPr>
          <w:color w:val="FFFFFF"/>
        </w:rPr>
        <w:t> </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51" name="Image5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 name="Image51" descr=""/>
                    <pic:cNvPicPr>
                      <a:picLocks noChangeAspect="1" noChangeArrowheads="1"/>
                    </pic:cNvPicPr>
                  </pic:nvPicPr>
                  <pic:blipFill>
                    <a:blip r:embed="rId52"/>
                    <a:stretch>
                      <a:fillRect/>
                    </a:stretch>
                  </pic:blipFill>
                  <pic:spPr bwMode="auto">
                    <a:xfrm>
                      <a:off x="0" y="0"/>
                      <a:ext cx="9144000" cy="16068675"/>
                    </a:xfrm>
                    <a:prstGeom prst="rect">
                      <a:avLst/>
                    </a:prstGeom>
                  </pic:spPr>
                </pic:pic>
              </a:graphicData>
            </a:graphic>
          </wp:inline>
        </w:drawing>
      </w:r>
    </w:p>
    <w:p>
      <w:pPr>
        <w:pStyle w:val="TextBody"/>
        <w:bidi w:val="0"/>
        <w:jc w:val="left"/>
        <w:rPr>
          <w:color w:val="FFFFFF"/>
        </w:rPr>
      </w:pPr>
      <w:r>
        <w:rPr>
          <w:color w:val="FFFFFF"/>
        </w:rPr>
        <w:t> </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52" name="Image5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 name="Image52" descr=""/>
                    <pic:cNvPicPr>
                      <a:picLocks noChangeAspect="1" noChangeArrowheads="1"/>
                    </pic:cNvPicPr>
                  </pic:nvPicPr>
                  <pic:blipFill>
                    <a:blip r:embed="rId53"/>
                    <a:stretch>
                      <a:fillRect/>
                    </a:stretch>
                  </pic:blipFill>
                  <pic:spPr bwMode="auto">
                    <a:xfrm>
                      <a:off x="0" y="0"/>
                      <a:ext cx="9144000" cy="16068675"/>
                    </a:xfrm>
                    <a:prstGeom prst="rect">
                      <a:avLst/>
                    </a:prstGeom>
                  </pic:spPr>
                </pic:pic>
              </a:graphicData>
            </a:graphic>
          </wp:inline>
        </w:drawing>
      </w:r>
    </w:p>
    <w:p>
      <w:pPr>
        <w:pStyle w:val="TextBody"/>
        <w:bidi w:val="0"/>
        <w:spacing w:before="0" w:after="283"/>
        <w:jc w:val="left"/>
        <w:rPr>
          <w:color w:val="FFFFFF"/>
        </w:rPr>
      </w:pPr>
      <w:r>
        <w:rPr>
          <w:color w:val="FFFFFF"/>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 w:name="sans-serif">
    <w:altName w:val="Arial"/>
    <w:charset w:val="01"/>
    <w:family w:val="auto"/>
    <w:pitch w:val="default"/>
  </w:font>
  <w:font w:name="Arial">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2">
    <w:name w:val="Heading 2"/>
    <w:basedOn w:val="Heading"/>
    <w:next w:val="TextBody"/>
    <w:qFormat/>
    <w:pPr>
      <w:numPr>
        <w:ilvl w:val="0"/>
        <w:numId w:val="0"/>
      </w:numPr>
      <w:spacing w:before="200" w:after="120"/>
      <w:outlineLvl w:val="1"/>
    </w:pPr>
    <w:rPr>
      <w:rFonts w:ascii="Liberation Serif" w:hAnsi="Liberation Serif" w:eastAsia="Tahoma" w:cs="Noto Sans Devanagari"/>
      <w:b/>
      <w:bCs/>
      <w:sz w:val="36"/>
      <w:szCs w:val="36"/>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gif"/><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image" Target="media/image4.jpeg"/><Relationship Id="rId6" Type="http://schemas.openxmlformats.org/officeDocument/2006/relationships/image" Target="media/image5.jpeg"/><Relationship Id="rId7" Type="http://schemas.openxmlformats.org/officeDocument/2006/relationships/image" Target="media/image6.jpeg"/><Relationship Id="rId8" Type="http://schemas.openxmlformats.org/officeDocument/2006/relationships/image" Target="media/image7.jpeg"/><Relationship Id="rId9" Type="http://schemas.openxmlformats.org/officeDocument/2006/relationships/image" Target="media/image8.jpeg"/><Relationship Id="rId10" Type="http://schemas.openxmlformats.org/officeDocument/2006/relationships/image" Target="media/image9.jpeg"/><Relationship Id="rId11" Type="http://schemas.openxmlformats.org/officeDocument/2006/relationships/image" Target="media/image10.jpeg"/><Relationship Id="rId12" Type="http://schemas.openxmlformats.org/officeDocument/2006/relationships/image" Target="media/image11.jpeg"/><Relationship Id="rId13" Type="http://schemas.openxmlformats.org/officeDocument/2006/relationships/image" Target="media/image12.jpeg"/><Relationship Id="rId14" Type="http://schemas.openxmlformats.org/officeDocument/2006/relationships/image" Target="media/image13.jpeg"/><Relationship Id="rId15" Type="http://schemas.openxmlformats.org/officeDocument/2006/relationships/image" Target="media/image14.jpeg"/><Relationship Id="rId16" Type="http://schemas.openxmlformats.org/officeDocument/2006/relationships/image" Target="media/image15.jpeg"/><Relationship Id="rId17" Type="http://schemas.openxmlformats.org/officeDocument/2006/relationships/image" Target="media/image16.jpeg"/><Relationship Id="rId18" Type="http://schemas.openxmlformats.org/officeDocument/2006/relationships/image" Target="media/image17.jpeg"/><Relationship Id="rId19" Type="http://schemas.openxmlformats.org/officeDocument/2006/relationships/image" Target="media/image18.jpeg"/><Relationship Id="rId20" Type="http://schemas.openxmlformats.org/officeDocument/2006/relationships/image" Target="media/image19.jpeg"/><Relationship Id="rId21" Type="http://schemas.openxmlformats.org/officeDocument/2006/relationships/image" Target="media/image20.jpeg"/><Relationship Id="rId22" Type="http://schemas.openxmlformats.org/officeDocument/2006/relationships/image" Target="media/image21.jpeg"/><Relationship Id="rId23" Type="http://schemas.openxmlformats.org/officeDocument/2006/relationships/image" Target="media/image22.jpeg"/><Relationship Id="rId24" Type="http://schemas.openxmlformats.org/officeDocument/2006/relationships/image" Target="media/image23.jpeg"/><Relationship Id="rId25" Type="http://schemas.openxmlformats.org/officeDocument/2006/relationships/image" Target="media/image24.jpeg"/><Relationship Id="rId26" Type="http://schemas.openxmlformats.org/officeDocument/2006/relationships/image" Target="media/image25.jpeg"/><Relationship Id="rId27" Type="http://schemas.openxmlformats.org/officeDocument/2006/relationships/image" Target="media/image26.jpeg"/><Relationship Id="rId28" Type="http://schemas.openxmlformats.org/officeDocument/2006/relationships/image" Target="media/image27.jpeg"/><Relationship Id="rId29" Type="http://schemas.openxmlformats.org/officeDocument/2006/relationships/image" Target="media/image28.jpeg"/><Relationship Id="rId30" Type="http://schemas.openxmlformats.org/officeDocument/2006/relationships/image" Target="media/image29.jpeg"/><Relationship Id="rId31" Type="http://schemas.openxmlformats.org/officeDocument/2006/relationships/image" Target="media/image30.jpeg"/><Relationship Id="rId32" Type="http://schemas.openxmlformats.org/officeDocument/2006/relationships/image" Target="media/image31.jpeg"/><Relationship Id="rId33" Type="http://schemas.openxmlformats.org/officeDocument/2006/relationships/image" Target="media/image32.jpeg"/><Relationship Id="rId34" Type="http://schemas.openxmlformats.org/officeDocument/2006/relationships/image" Target="media/image33.jpeg"/><Relationship Id="rId35" Type="http://schemas.openxmlformats.org/officeDocument/2006/relationships/image" Target="media/image34.jpeg"/><Relationship Id="rId36" Type="http://schemas.openxmlformats.org/officeDocument/2006/relationships/image" Target="media/image35.jpeg"/><Relationship Id="rId37" Type="http://schemas.openxmlformats.org/officeDocument/2006/relationships/image" Target="media/image36.jpeg"/><Relationship Id="rId38" Type="http://schemas.openxmlformats.org/officeDocument/2006/relationships/image" Target="media/image37.jpeg"/><Relationship Id="rId39" Type="http://schemas.openxmlformats.org/officeDocument/2006/relationships/image" Target="media/image38.jpeg"/><Relationship Id="rId40" Type="http://schemas.openxmlformats.org/officeDocument/2006/relationships/image" Target="media/image39.jpeg"/><Relationship Id="rId41" Type="http://schemas.openxmlformats.org/officeDocument/2006/relationships/image" Target="media/image40.jpeg"/><Relationship Id="rId42" Type="http://schemas.openxmlformats.org/officeDocument/2006/relationships/image" Target="media/image41.jpeg"/><Relationship Id="rId43" Type="http://schemas.openxmlformats.org/officeDocument/2006/relationships/image" Target="media/image42.jpeg"/><Relationship Id="rId44" Type="http://schemas.openxmlformats.org/officeDocument/2006/relationships/image" Target="media/image43.jpeg"/><Relationship Id="rId45" Type="http://schemas.openxmlformats.org/officeDocument/2006/relationships/image" Target="media/image44.jpeg"/><Relationship Id="rId46" Type="http://schemas.openxmlformats.org/officeDocument/2006/relationships/image" Target="media/image45.jpeg"/><Relationship Id="rId47" Type="http://schemas.openxmlformats.org/officeDocument/2006/relationships/image" Target="media/image46.jpeg"/><Relationship Id="rId48" Type="http://schemas.openxmlformats.org/officeDocument/2006/relationships/image" Target="media/image47.jpeg"/><Relationship Id="rId49" Type="http://schemas.openxmlformats.org/officeDocument/2006/relationships/image" Target="media/image48.jpeg"/><Relationship Id="rId50" Type="http://schemas.openxmlformats.org/officeDocument/2006/relationships/image" Target="media/image49.jpeg"/><Relationship Id="rId51" Type="http://schemas.openxmlformats.org/officeDocument/2006/relationships/image" Target="media/image50.jpeg"/><Relationship Id="rId52" Type="http://schemas.openxmlformats.org/officeDocument/2006/relationships/image" Target="media/image51.jpeg"/><Relationship Id="rId53" Type="http://schemas.openxmlformats.org/officeDocument/2006/relationships/image" Target="media/image52.jpeg"/><Relationship Id="rId54" Type="http://schemas.openxmlformats.org/officeDocument/2006/relationships/fontTable" Target="fontTable.xml"/><Relationship Id="rId5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4</Pages>
  <Words>4987</Words>
  <Characters>28324</Characters>
  <CharactersWithSpaces>34184</CharactersWithSpaces>
  <Paragraphs>2919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