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95885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7" w:lineRule="exact"/>
        <w:rPr>
          <w:sz w:val="24"/>
          <w:szCs w:val="24"/>
          <w:color w:val="auto"/>
        </w:rPr>
      </w:pPr>
    </w:p>
    <w:p>
      <w:pPr>
        <w:ind w:left="3860" w:right="2540" w:hanging="3839"/>
        <w:spacing w:after="0" w:line="404" w:lineRule="auto"/>
        <w:tabs>
          <w:tab w:leader="none" w:pos="48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6" w:lineRule="exact"/>
        <w:rPr>
          <w:sz w:val="24"/>
          <w:szCs w:val="24"/>
          <w:color w:val="auto"/>
        </w:rPr>
      </w:pPr>
    </w:p>
    <w:p>
      <w:pPr>
        <w:ind w:left="3720" w:right="2520" w:hanging="3699"/>
        <w:spacing w:after="0" w:line="413" w:lineRule="auto"/>
        <w:tabs>
          <w:tab w:leader="none" w:pos="47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 to _________</w:t>
      </w:r>
    </w:p>
    <w:p>
      <w:pPr>
        <w:ind w:left="43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10" w:lineRule="exact"/>
        <w:rPr>
          <w:sz w:val="24"/>
          <w:szCs w:val="24"/>
          <w:color w:val="auto"/>
        </w:rPr>
      </w:pPr>
    </w:p>
    <w:p>
      <w:pPr>
        <w:jc w:val="center"/>
        <w:ind w:left="3820"/>
        <w:spacing w:after="0"/>
        <w:rPr>
          <w:sz w:val="20"/>
          <w:szCs w:val="20"/>
          <w:color w:val="auto"/>
        </w:rPr>
      </w:pPr>
      <w:r>
        <w:rPr>
          <w:rFonts w:ascii="Times New Roman" w:cs="Times New Roman" w:eastAsia="Times New Roman" w:hAnsi="Times New Roman"/>
          <w:sz w:val="39"/>
          <w:szCs w:val="39"/>
          <w:b w:val="1"/>
          <w:bCs w:val="1"/>
          <w:color w:val="auto"/>
        </w:rPr>
        <w:t>Corsair Gaming, Inc.</w:t>
      </w:r>
    </w:p>
    <w:p>
      <w:pPr>
        <w:spacing w:after="0" w:line="4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9"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3"/>
          <w:szCs w:val="13"/>
          <w:color w:val="auto"/>
        </w:rPr>
        <w:t>(State or Other Jurisdiction of</w:t>
      </w:r>
    </w:p>
    <w:p>
      <w:pPr>
        <w:ind w:left="204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82-2335306</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27" w:lineRule="exact"/>
        <w:rPr>
          <w:sz w:val="24"/>
          <w:szCs w:val="24"/>
          <w:color w:val="auto"/>
        </w:rPr>
      </w:pPr>
    </w:p>
    <w:p>
      <w:pPr>
        <w:sectPr>
          <w:pgSz w:w="11900" w:h="16838" w:orient="portrait"/>
          <w:cols w:equalWidth="0" w:num="2">
            <w:col w:w="7420" w:space="540"/>
            <w:col w:w="3280"/>
          </w:cols>
          <w:pgMar w:left="320" w:top="225"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18"/>
          <w:szCs w:val="18"/>
          <w:b w:val="1"/>
          <w:bCs w:val="1"/>
          <w:color w:val="auto"/>
        </w:rPr>
        <w:t>115 N. McCarthy Boulevard</w:t>
      </w:r>
    </w:p>
    <w:p>
      <w:pPr>
        <w:spacing w:after="0" w:line="4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Milpitas, CA 95035</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 and zip code)</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(510) 657-8747</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53340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w:t>
      </w:r>
    </w:p>
    <w:p>
      <w:pPr>
        <w:jc w:val="center"/>
        <w:spacing w:after="0"/>
        <w:rPr>
          <w:sz w:val="20"/>
          <w:szCs w:val="20"/>
          <w:color w:val="auto"/>
        </w:rPr>
      </w:pPr>
      <w:r>
        <w:rPr>
          <w:rFonts w:ascii="Times New Roman" w:cs="Times New Roman" w:eastAsia="Times New Roman" w:hAnsi="Times New Roman"/>
          <w:sz w:val="13"/>
          <w:szCs w:val="13"/>
          <w:color w:val="auto"/>
        </w:rPr>
        <w:t>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44450</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3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20" w:type="dxa"/>
            <w:vAlign w:val="bottom"/>
          </w:tcPr>
          <w:p>
            <w:pPr>
              <w:spacing w:after="0"/>
              <w:rPr>
                <w:sz w:val="14"/>
                <w:szCs w:val="1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 on which registered</w:t>
            </w:r>
          </w:p>
        </w:tc>
      </w:tr>
      <w:tr>
        <w:trPr>
          <w:trHeight w:val="205"/>
        </w:trPr>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CRSR</w:t>
            </w:r>
          </w:p>
        </w:tc>
        <w:tc>
          <w:tcPr>
            <w:tcW w:w="120" w:type="dxa"/>
            <w:vAlign w:val="bottom"/>
          </w:tcPr>
          <w:p>
            <w:pPr>
              <w:spacing w:after="0"/>
              <w:rPr>
                <w:sz w:val="17"/>
                <w:szCs w:val="17"/>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27" w:lineRule="exact"/>
        <w:rPr>
          <w:sz w:val="24"/>
          <w:szCs w:val="24"/>
          <w:color w:val="auto"/>
        </w:rPr>
      </w:pPr>
    </w:p>
    <w:p>
      <w:pPr>
        <w:ind w:right="2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60" w:firstLine="50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jc w:val="both"/>
        <w:ind w:right="80"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20"/>
        <w:spacing w:after="0" w:line="27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28, 2024, the registrant had 104,700,368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6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tcBorders>
              <w:bottom w:val="single" w:sz="8" w:color="0000FF"/>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FF"/>
                <w:w w:val="98"/>
              </w:rPr>
              <w:t>FINANCIAL INFORMATION</w:t>
            </w:r>
          </w:p>
        </w:tc>
        <w:tc>
          <w:tcPr>
            <w:tcW w:w="7040" w:type="dxa"/>
            <w:vAlign w:val="bottom"/>
            <w:gridSpan w:val="14"/>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9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3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9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5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4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8"/>
                <w:szCs w:val="18"/>
                <w:color w:val="auto"/>
              </w:rPr>
            </w:pPr>
          </w:p>
        </w:tc>
        <w:tc>
          <w:tcPr>
            <w:tcW w:w="6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38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4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and relate to matters such as our industry and the markets we operate in,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general economic conditions and supply chain issues. We believe that these factors include but are not limited to those described under the heading “Risk Factors” in Part I, Item 1A of our Annual Report on Form 10-K for the year ended December 31, 2023.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Q3 2024 Form 10-Q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36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0"/>
        </w:trPr>
        <w:tc>
          <w:tcPr>
            <w:tcW w:w="5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r>
      <w:tr>
        <w:trPr>
          <w:trHeight w:val="238"/>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304,199</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363,193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902,756</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1,042,589</w:t>
            </w:r>
          </w:p>
        </w:tc>
        <w:tc>
          <w:tcPr>
            <w:tcW w:w="100" w:type="dxa"/>
            <w:vAlign w:val="bottom"/>
            <w:shd w:val="clear" w:color="auto" w:fill="CFF0FC"/>
          </w:tcPr>
          <w:p>
            <w:pPr>
              <w:spacing w:after="0"/>
              <w:rPr>
                <w:sz w:val="21"/>
                <w:szCs w:val="21"/>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234,538</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273,840</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683,371</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100" w:type="dxa"/>
            <w:vAlign w:val="bottom"/>
          </w:tcPr>
          <w:p>
            <w:pPr>
              <w:spacing w:after="0"/>
              <w:rPr>
                <w:sz w:val="21"/>
                <w:szCs w:val="21"/>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69,661</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219,385</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257,589</w:t>
            </w:r>
          </w:p>
        </w:tc>
        <w:tc>
          <w:tcPr>
            <w:tcW w:w="100" w:type="dxa"/>
            <w:vAlign w:val="bottom"/>
            <w:shd w:val="clear" w:color="auto" w:fill="CFF0FC"/>
          </w:tcPr>
          <w:p>
            <w:pPr>
              <w:spacing w:after="0"/>
              <w:rPr>
                <w:sz w:val="20"/>
                <w:szCs w:val="20"/>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74,072</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224,677</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211,482</w:t>
            </w:r>
          </w:p>
        </w:tc>
        <w:tc>
          <w:tcPr>
            <w:tcW w:w="100" w:type="dxa"/>
            <w:vAlign w:val="bottom"/>
            <w:shd w:val="clear" w:color="auto" w:fill="CFF0FC"/>
          </w:tcPr>
          <w:p>
            <w:pPr>
              <w:spacing w:after="0"/>
              <w:rPr>
                <w:sz w:val="21"/>
                <w:szCs w:val="21"/>
                <w:color w:val="auto"/>
              </w:rPr>
            </w:pPr>
          </w:p>
        </w:tc>
      </w:tr>
      <w:tr>
        <w:trPr>
          <w:trHeight w:val="243"/>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50,585</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48,542</w:t>
            </w:r>
          </w:p>
        </w:tc>
        <w:tc>
          <w:tcPr>
            <w:tcW w:w="100" w:type="dxa"/>
            <w:vAlign w:val="bottom"/>
          </w:tcPr>
          <w:p>
            <w:pPr>
              <w:spacing w:after="0"/>
              <w:rPr>
                <w:sz w:val="21"/>
                <w:szCs w:val="21"/>
                <w:color w:val="auto"/>
              </w:rPr>
            </w:pPr>
          </w:p>
        </w:tc>
      </w:tr>
      <w:tr>
        <w:trPr>
          <w:trHeight w:val="236"/>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90,605</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90,111</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275,262</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(20,944 )</w:t>
            </w:r>
          </w:p>
        </w:tc>
        <w:tc>
          <w:tcPr>
            <w:tcW w:w="3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(758 )</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(55,877 )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(2,435 )</w:t>
            </w: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(3,011 )</w:t>
            </w:r>
          </w:p>
        </w:tc>
        <w:tc>
          <w:tcPr>
            <w:tcW w:w="3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(4,271 )</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(10,138 )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(13,069 )</w:t>
            </w:r>
          </w:p>
        </w:tc>
      </w:tr>
      <w:tr>
        <w:trPr>
          <w:trHeight w:val="24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shd w:val="clear" w:color="auto" w:fill="CFF0FC"/>
          </w:tcPr>
          <w:p>
            <w:pPr>
              <w:spacing w:after="0"/>
              <w:rPr>
                <w:sz w:val="21"/>
                <w:szCs w:val="21"/>
                <w:color w:val="auto"/>
              </w:rPr>
            </w:pPr>
          </w:p>
        </w:tc>
      </w:tr>
      <w:tr>
        <w:trPr>
          <w:trHeight w:val="243"/>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(910 )</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(1,887 )</w:t>
            </w:r>
          </w:p>
        </w:tc>
        <w:tc>
          <w:tcPr>
            <w:tcW w:w="3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(1,326 )</w:t>
            </w:r>
          </w:p>
        </w:tc>
      </w:tr>
      <w:tr>
        <w:trPr>
          <w:trHeight w:val="20"/>
        </w:trPr>
        <w:tc>
          <w:tcPr>
            <w:tcW w:w="5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(3,624 )</w:t>
            </w:r>
          </w:p>
        </w:tc>
        <w:tc>
          <w:tcPr>
            <w:tcW w:w="3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(2,225 )</w:t>
            </w: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(9,005 )</w:t>
            </w:r>
          </w:p>
        </w:tc>
        <w:tc>
          <w:tcPr>
            <w:tcW w:w="3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(9,201 )</w:t>
            </w:r>
          </w:p>
        </w:tc>
      </w:tr>
      <w:tr>
        <w:trPr>
          <w:trHeight w:val="20"/>
        </w:trPr>
        <w:tc>
          <w:tcPr>
            <w:tcW w:w="5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(24,568 )</w:t>
            </w:r>
          </w:p>
        </w:tc>
        <w:tc>
          <w:tcPr>
            <w:tcW w:w="3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(2,983 )</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(64,882 )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(11,636 )</w:t>
            </w:r>
          </w:p>
        </w:tc>
      </w:tr>
      <w:tr>
        <w:trPr>
          <w:trHeight w:val="24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(27,018 )</w:t>
            </w: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(21,240 )</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shd w:val="clear" w:color="auto" w:fill="CFF0FC"/>
          </w:tcPr>
          <w:p>
            <w:pPr>
              <w:spacing w:after="0"/>
              <w:rPr>
                <w:sz w:val="21"/>
                <w:szCs w:val="2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(51,586 )</w:t>
            </w:r>
          </w:p>
        </w:tc>
        <w:tc>
          <w:tcPr>
            <w:tcW w:w="3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(2,886 )</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(86,122 )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(8,613 )</w:t>
            </w:r>
          </w:p>
        </w:tc>
      </w:tr>
      <w:tr>
        <w:trPr>
          <w:trHeight w:val="247"/>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Corsair Gaming,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(51,708 )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(87,467 )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(9,571 )</w:t>
            </w: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5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1"/>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Calculation of net loss per share attributable to common stockholders of</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Corsair Gaming, Inc.:</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Corsair Gaming,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(51,708 )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(87,467 )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(9,571 )</w:t>
            </w:r>
          </w:p>
        </w:tc>
      </w:tr>
      <w:tr>
        <w:trPr>
          <w:trHeight w:val="24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(6,684 )</w:t>
            </w:r>
          </w:p>
        </w:tc>
        <w:tc>
          <w:tcPr>
            <w:tcW w:w="3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(13,044 )</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00" w:type="dxa"/>
            <w:vAlign w:val="bottom"/>
            <w:shd w:val="clear" w:color="auto" w:fill="CFF0FC"/>
          </w:tcPr>
          <w:p>
            <w:pPr>
              <w:spacing w:after="0"/>
              <w:rPr>
                <w:sz w:val="21"/>
                <w:szCs w:val="2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 of Corsair Gaming,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(58,392 )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(100,511 )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(3,036 )</w:t>
            </w: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5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1"/>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of Corsair Gaming,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(0.03 )</w:t>
            </w:r>
          </w:p>
        </w:tc>
      </w:tr>
      <w:tr>
        <w:trPr>
          <w:trHeight w:val="24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(0.56 )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(0.97 )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(0.03 )</w:t>
            </w: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104,397</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102,863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103,974</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102,288</w:t>
            </w:r>
          </w:p>
        </w:tc>
        <w:tc>
          <w:tcPr>
            <w:tcW w:w="100" w:type="dxa"/>
            <w:vAlign w:val="bottom"/>
            <w:shd w:val="clear" w:color="auto" w:fill="CFF0FC"/>
          </w:tcPr>
          <w:p>
            <w:pPr>
              <w:spacing w:after="0"/>
              <w:rPr>
                <w:sz w:val="21"/>
                <w:szCs w:val="21"/>
                <w:color w:val="auto"/>
              </w:rPr>
            </w:pPr>
          </w:p>
        </w:tc>
      </w:tr>
      <w:tr>
        <w:trPr>
          <w:trHeight w:val="234"/>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104,397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-3743960</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-3743960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-3743960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-3743960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-2802255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-2802255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-2802255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-2485390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-2485390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-2485390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-2168525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-2168525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-2168525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-2168525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-1312545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-1312545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-1312545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-1312545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36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25"/>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(51,586 )</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(2,886 )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(86,122 )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(8,613 )</w:t>
            </w:r>
          </w:p>
        </w:tc>
        <w:tc>
          <w:tcPr>
            <w:tcW w:w="0" w:type="dxa"/>
            <w:vAlign w:val="bottom"/>
          </w:tcPr>
          <w:p>
            <w:pPr>
              <w:spacing w:after="0"/>
              <w:rPr>
                <w:sz w:val="1"/>
                <w:szCs w:val="1"/>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net of tax benefit (expense) of</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$(65) and $102 for the three months ended September 30, 2024 and 2023,</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respectively, and $102 and $148 for the nine months ended September 30,</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(2,986 )</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foreign exchange gain (loss) from long-term intercompany loan,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of tax benefit (expense) of nil and nil for the three months ended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September 30, 2024 and 2023, respectively, and $160 and $(127) for the nine</w:t>
            </w:r>
          </w:p>
        </w:tc>
        <w:tc>
          <w:tcPr>
            <w:tcW w:w="2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(152 )</w:t>
            </w: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34"/>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months ended September 30, 2024 and 2023, respectively.</w:t>
            </w: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(47,443 )</w:t>
            </w:r>
          </w:p>
        </w:tc>
        <w:tc>
          <w:tcPr>
            <w:tcW w:w="4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(6,024 )</w:t>
            </w: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(83,627 )</w:t>
            </w:r>
          </w:p>
        </w:tc>
        <w:tc>
          <w:tcPr>
            <w:tcW w:w="3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(8,721 )</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loss attributable to Corsair Gaming, Inc.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(47,609 )</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(6,017 )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(84,688 )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(9,389 )</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7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7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58,911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175,620</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178,102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253,268</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240,172</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571,553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711,589</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357,520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354,705</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175,387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188,009</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65,836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1,202,666</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1,357,463</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maturing within one year, net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239,957</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158,301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418,487</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164,993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186,006</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17,395</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55,290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589,795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663,483</w:t>
            </w:r>
          </w:p>
        </w:tc>
        <w:tc>
          <w:tcPr>
            <w:tcW w:w="100" w:type="dxa"/>
            <w:vAlign w:val="bottom"/>
          </w:tcPr>
          <w:p>
            <w:pPr>
              <w:spacing w:after="0"/>
              <w:rPr>
                <w:sz w:val="20"/>
                <w:szCs w:val="20"/>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100" w:type="dxa"/>
            <w:vAlign w:val="bottom"/>
            <w:shd w:val="clear" w:color="auto" w:fill="CFF0FC"/>
          </w:tcPr>
          <w:p>
            <w:pPr>
              <w:spacing w:after="0"/>
              <w:rPr>
                <w:sz w:val="21"/>
                <w:szCs w:val="21"/>
                <w:color w:val="auto"/>
              </w:rPr>
            </w:pPr>
          </w:p>
        </w:tc>
      </w:tr>
      <w:tr>
        <w:trPr>
          <w:trHeight w:val="24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Permanent equity</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Corsair Gaming, Inc. stockholders’ equity:</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5,000 shares authorized, nil and nil shares issued and outstanding as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September 30, 2024 and December 31, 2023, respectively</w:t>
            </w:r>
          </w:p>
        </w:tc>
        <w:tc>
          <w:tcPr>
            <w:tcW w:w="2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300,000 shares authorized, 104,690 and 103,255 shares issued and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 respectively</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659,895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630,642</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 retained earnings</w:t>
            </w:r>
          </w:p>
        </w:tc>
        <w:tc>
          <w:tcPr>
            <w:tcW w:w="2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(60,101 )</w:t>
            </w: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40,410</w:t>
            </w:r>
          </w:p>
        </w:tc>
        <w:tc>
          <w:tcPr>
            <w:tcW w:w="100" w:type="dxa"/>
            <w:vAlign w:val="bottom"/>
            <w:shd w:val="clear" w:color="auto" w:fill="CFF0FC"/>
          </w:tcPr>
          <w:p>
            <w:pPr>
              <w:spacing w:after="0"/>
              <w:rPr>
                <w:sz w:val="21"/>
                <w:szCs w:val="21"/>
                <w:color w:val="auto"/>
              </w:rPr>
            </w:pPr>
          </w:p>
        </w:tc>
      </w:tr>
      <w:tr>
        <w:trPr>
          <w:trHeight w:val="243"/>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(1,320 )</w:t>
            </w:r>
          </w:p>
        </w:tc>
        <w:tc>
          <w:tcPr>
            <w:tcW w:w="18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(3,487 )</w:t>
            </w:r>
          </w:p>
        </w:tc>
      </w:tr>
      <w:tr>
        <w:trPr>
          <w:trHeight w:val="236"/>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Corsair Gaming, Inc. stockholders’ equity</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598,484</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667,575</w:t>
            </w:r>
          </w:p>
        </w:tc>
        <w:tc>
          <w:tcPr>
            <w:tcW w:w="100" w:type="dxa"/>
            <w:vAlign w:val="bottom"/>
            <w:shd w:val="clear" w:color="auto" w:fill="CFF0FC"/>
          </w:tcPr>
          <w:p>
            <w:pPr>
              <w:spacing w:after="0"/>
              <w:rPr>
                <w:sz w:val="20"/>
                <w:szCs w:val="20"/>
                <w:color w:val="auto"/>
              </w:rPr>
            </w:pPr>
          </w:p>
        </w:tc>
      </w:tr>
      <w:tr>
        <w:trPr>
          <w:trHeight w:val="243"/>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Nonredeemable noncontrolling interest</w:t>
            </w:r>
          </w:p>
        </w:tc>
        <w:tc>
          <w:tcPr>
            <w:tcW w:w="200" w:type="dxa"/>
            <w:vAlign w:val="bottom"/>
          </w:tcPr>
          <w:p>
            <w:pPr>
              <w:spacing w:after="0"/>
              <w:rPr>
                <w:sz w:val="21"/>
                <w:szCs w:val="21"/>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Pr>
          <w:p>
            <w:pPr>
              <w:spacing w:after="0"/>
              <w:rPr>
                <w:sz w:val="21"/>
                <w:szCs w:val="21"/>
                <w:color w:val="auto"/>
              </w:rPr>
            </w:pPr>
          </w:p>
        </w:tc>
      </w:tr>
      <w:tr>
        <w:trPr>
          <w:trHeight w:val="236"/>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permanent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598,484</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temporary equity and permanent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1,202,666</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1,357,463</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-5170805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-5170805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-4237990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-4237990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-3278505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-3278505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-2653665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-2653665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Q3 2024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10"/>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Corsair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Gaming,</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Nonredee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ed Other</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mable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136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140" w:type="dxa"/>
            <w:vAlign w:val="bottom"/>
          </w:tcPr>
          <w:p>
            <w:pPr>
              <w:spacing w:after="0"/>
              <w:rPr>
                <w:sz w:val="17"/>
                <w:szCs w:val="17"/>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Noncontrol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3520" w:type="dxa"/>
            <w:vAlign w:val="bottom"/>
          </w:tcPr>
          <w:p>
            <w:pPr>
              <w:spacing w:after="0"/>
              <w:rPr>
                <w:sz w:val="18"/>
                <w:szCs w:val="18"/>
                <w:color w:val="auto"/>
              </w:rPr>
            </w:pPr>
          </w:p>
        </w:tc>
        <w:tc>
          <w:tcPr>
            <w:tcW w:w="136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ted</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nsive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86"/>
              </w:rPr>
              <w:t>s’</w:t>
            </w:r>
          </w:p>
        </w:tc>
        <w:tc>
          <w:tcPr>
            <w:tcW w:w="12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ling</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Permanent</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Amoun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w:t>
            </w:r>
          </w:p>
        </w:tc>
        <w:tc>
          <w:tcPr>
            <w:tcW w:w="260" w:type="dxa"/>
            <w:vAlign w:val="bottom"/>
          </w:tcPr>
          <w:p>
            <w:pPr>
              <w:spacing w:after="0"/>
              <w:rPr>
                <w:sz w:val="19"/>
                <w:szCs w:val="19"/>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649,23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(1,709 )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(4,807 )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642,729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(51,708 )</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(51,708 )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(51,700 )</w:t>
            </w: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(4 )</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equity incentive plans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(147 )</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(147 )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(147 )</w:t>
            </w: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 in redemption value of redeemable</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(6,684 )</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(6,684 )</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(6,684 )</w:t>
            </w:r>
          </w:p>
        </w:tc>
        <w:tc>
          <w:tcPr>
            <w:tcW w:w="0" w:type="dxa"/>
            <w:vAlign w:val="bottom"/>
          </w:tcPr>
          <w:p>
            <w:pPr>
              <w:spacing w:after="0"/>
              <w:rPr>
                <w:sz w:val="1"/>
                <w:szCs w:val="1"/>
                <w:color w:val="auto"/>
              </w:rPr>
            </w:pPr>
          </w:p>
        </w:tc>
      </w:tr>
      <w:tr>
        <w:trPr>
          <w:trHeight w:val="202"/>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paid to nonredeemable noncontrolling</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(1,060 )</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(1,060 )</w:t>
            </w: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 of additional ownership interest</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(612 )</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(449 )</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Reclassification to temporary equity (refer to</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(8,528 )</w:t>
            </w:r>
          </w:p>
        </w:tc>
        <w:tc>
          <w:tcPr>
            <w:tcW w:w="140" w:type="dxa"/>
            <w:vAlign w:val="bottom"/>
          </w:tcPr>
          <w:p>
            <w:pPr>
              <w:spacing w:after="0"/>
              <w:rPr>
                <w:sz w:val="17"/>
                <w:szCs w:val="17"/>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(8,528 )</w:t>
            </w:r>
          </w:p>
        </w:tc>
        <w:tc>
          <w:tcPr>
            <w:tcW w:w="0" w:type="dxa"/>
            <w:vAlign w:val="bottom"/>
          </w:tcPr>
          <w:p>
            <w:pPr>
              <w:spacing w:after="0"/>
              <w:rPr>
                <w:sz w:val="1"/>
                <w:szCs w:val="1"/>
                <w:color w:val="auto"/>
              </w:rPr>
            </w:pPr>
          </w:p>
        </w:tc>
      </w:tr>
      <w:tr>
        <w:trPr>
          <w:trHeight w:val="21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 15)</w:t>
            </w: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104,69</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659,89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(60,101 )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(1,320 )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598,484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598,484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5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0"/>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Corsair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Gaming,</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Nonredee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ed Other</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mable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136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Noncontrol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3520" w:type="dxa"/>
            <w:vAlign w:val="bottom"/>
          </w:tcPr>
          <w:p>
            <w:pPr>
              <w:spacing w:after="0"/>
              <w:rPr>
                <w:sz w:val="18"/>
                <w:szCs w:val="18"/>
                <w:color w:val="auto"/>
              </w:rPr>
            </w:pPr>
          </w:p>
        </w:tc>
        <w:tc>
          <w:tcPr>
            <w:tcW w:w="136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nsive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86"/>
              </w:rPr>
              <w:t>s’</w:t>
            </w:r>
          </w:p>
        </w:tc>
        <w:tc>
          <w:tcPr>
            <w:tcW w:w="12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ling</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Permanent</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Amoun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w:t>
            </w:r>
          </w:p>
        </w:tc>
        <w:tc>
          <w:tcPr>
            <w:tcW w:w="260" w:type="dxa"/>
            <w:vAlign w:val="bottom"/>
          </w:tcPr>
          <w:p>
            <w:pPr>
              <w:spacing w:after="0"/>
              <w:rPr>
                <w:sz w:val="19"/>
                <w:szCs w:val="19"/>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614,67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37,266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(3,761 )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648,186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(3,079 )</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(3,079 )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(3,000 )</w:t>
            </w: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(2,938 )</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(2,938 )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(82 )</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(3,020 )</w:t>
            </w:r>
          </w:p>
        </w:tc>
        <w:tc>
          <w:tcPr>
            <w:tcW w:w="0" w:type="dxa"/>
            <w:vAlign w:val="bottom"/>
          </w:tcPr>
          <w:p>
            <w:pPr>
              <w:spacing w:after="0"/>
              <w:rPr>
                <w:sz w:val="1"/>
                <w:szCs w:val="1"/>
                <w:color w:val="auto"/>
              </w:rPr>
            </w:pPr>
          </w:p>
        </w:tc>
      </w:tr>
      <w:tr>
        <w:trPr>
          <w:trHeight w:val="202"/>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paid to nonredeemable noncontrolling</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(400 )</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(400 )</w:t>
            </w:r>
          </w:p>
        </w:tc>
        <w:tc>
          <w:tcPr>
            <w:tcW w:w="0" w:type="dxa"/>
            <w:vAlign w:val="bottom"/>
          </w:tcPr>
          <w:p>
            <w:pPr>
              <w:spacing w:after="0"/>
              <w:rPr>
                <w:sz w:val="1"/>
                <w:szCs w:val="1"/>
                <w:color w:val="auto"/>
              </w:rPr>
            </w:pPr>
          </w:p>
        </w:tc>
      </w:tr>
      <w:tr>
        <w:trPr>
          <w:trHeight w:val="212"/>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employee equity incentive plans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(31 )</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(531 )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(531 )</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(531 )</w:t>
            </w:r>
          </w:p>
        </w:tc>
        <w:tc>
          <w:tcPr>
            <w:tcW w:w="0" w:type="dxa"/>
            <w:vAlign w:val="bottom"/>
          </w:tcPr>
          <w:p>
            <w:pPr>
              <w:spacing w:after="0"/>
              <w:rPr>
                <w:sz w:val="1"/>
                <w:szCs w:val="1"/>
                <w:color w:val="auto"/>
              </w:rPr>
            </w:pPr>
          </w:p>
        </w:tc>
      </w:tr>
      <w:tr>
        <w:trPr>
          <w:trHeight w:val="236"/>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7,877</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2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102,96</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622,42</w:t>
            </w: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34,187</w:t>
            </w:r>
          </w:p>
        </w:tc>
        <w:tc>
          <w:tcPr>
            <w:tcW w:w="2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(6,699 )</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649,926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-3312795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-3295650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-3312795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-3295650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-3312795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-3295650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-3312795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-3295650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-3312795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-3295650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-3312795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-3295650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-3312795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-3295650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-3312795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-3295650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-307340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-307340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-307340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-307340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-307340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-307340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-307340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Q3 2024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10"/>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Corsair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Gaming,</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Nonredee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ed Other</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mable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120" w:type="dxa"/>
            <w:vAlign w:val="bottom"/>
          </w:tcPr>
          <w:p>
            <w:pPr>
              <w:spacing w:after="0"/>
              <w:rPr>
                <w:sz w:val="17"/>
                <w:szCs w:val="17"/>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Noncontrol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ted</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nsive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86"/>
              </w:rPr>
              <w:t>s’</w:t>
            </w:r>
          </w:p>
        </w:tc>
        <w:tc>
          <w:tcPr>
            <w:tcW w:w="12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ling</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Permanent</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Amoun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w:t>
            </w:r>
          </w:p>
        </w:tc>
        <w:tc>
          <w:tcPr>
            <w:tcW w:w="260" w:type="dxa"/>
            <w:vAlign w:val="bottom"/>
          </w:tcPr>
          <w:p>
            <w:pPr>
              <w:spacing w:after="0"/>
              <w:rPr>
                <w:sz w:val="19"/>
                <w:szCs w:val="19"/>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103,25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630,64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(3,487 )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667,575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(87,467 )</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(87,467 )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(86,960 )</w:t>
            </w:r>
          </w:p>
        </w:tc>
        <w:tc>
          <w:tcPr>
            <w:tcW w:w="0" w:type="dxa"/>
            <w:vAlign w:val="bottom"/>
          </w:tcPr>
          <w:p>
            <w:pPr>
              <w:spacing w:after="0"/>
              <w:rPr>
                <w:sz w:val="1"/>
                <w:szCs w:val="1"/>
                <w:color w:val="auto"/>
              </w:rPr>
            </w:pPr>
          </w:p>
        </w:tc>
      </w:tr>
      <w:tr>
        <w:trPr>
          <w:trHeight w:val="239"/>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(138 )</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employee equity incentive plans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(47 )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(562 )</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(562 )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(562 )</w:t>
            </w:r>
          </w:p>
        </w:tc>
        <w:tc>
          <w:tcPr>
            <w:tcW w:w="0" w:type="dxa"/>
            <w:vAlign w:val="bottom"/>
          </w:tcPr>
          <w:p>
            <w:pPr>
              <w:spacing w:after="0"/>
              <w:rPr>
                <w:sz w:val="1"/>
                <w:szCs w:val="1"/>
                <w:color w:val="auto"/>
              </w:rPr>
            </w:pPr>
          </w:p>
        </w:tc>
      </w:tr>
      <w:tr>
        <w:trPr>
          <w:trHeight w:val="220"/>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 in redemption value of redeemable</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(13,044 )</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(13,044 )</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(13,044 )</w:t>
            </w:r>
          </w:p>
        </w:tc>
        <w:tc>
          <w:tcPr>
            <w:tcW w:w="0" w:type="dxa"/>
            <w:vAlign w:val="bottom"/>
          </w:tcPr>
          <w:p>
            <w:pPr>
              <w:spacing w:after="0"/>
              <w:rPr>
                <w:sz w:val="1"/>
                <w:szCs w:val="1"/>
                <w:color w:val="auto"/>
              </w:rPr>
            </w:pPr>
          </w:p>
        </w:tc>
      </w:tr>
      <w:tr>
        <w:trPr>
          <w:trHeight w:val="202"/>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Dividend paid to nonredeemable noncontrolling</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(1,860 )</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(1,860 )</w:t>
            </w:r>
          </w:p>
        </w:tc>
        <w:tc>
          <w:tcPr>
            <w:tcW w:w="0" w:type="dxa"/>
            <w:vAlign w:val="bottom"/>
          </w:tcPr>
          <w:p>
            <w:pPr>
              <w:spacing w:after="0"/>
              <w:rPr>
                <w:sz w:val="1"/>
                <w:szCs w:val="1"/>
                <w:color w:val="auto"/>
              </w:rPr>
            </w:pPr>
          </w:p>
        </w:tc>
      </w:tr>
      <w:tr>
        <w:trPr>
          <w:trHeight w:val="249"/>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additional ownership interest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(612 )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(449 )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Reclassification to temporary equity (refer to</w:t>
            </w:r>
          </w:p>
        </w:tc>
        <w:tc>
          <w:tcPr>
            <w:tcW w:w="120" w:type="dxa"/>
            <w:vAlign w:val="bottom"/>
          </w:tcPr>
          <w:p>
            <w:pPr>
              <w:spacing w:after="0"/>
              <w:rPr>
                <w:sz w:val="17"/>
                <w:szCs w:val="17"/>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(8,528 )</w:t>
            </w:r>
          </w:p>
        </w:tc>
        <w:tc>
          <w:tcPr>
            <w:tcW w:w="140" w:type="dxa"/>
            <w:vAlign w:val="bottom"/>
          </w:tcPr>
          <w:p>
            <w:pPr>
              <w:spacing w:after="0"/>
              <w:rPr>
                <w:sz w:val="17"/>
                <w:szCs w:val="17"/>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(8,528 )</w:t>
            </w:r>
          </w:p>
        </w:tc>
        <w:tc>
          <w:tcPr>
            <w:tcW w:w="0" w:type="dxa"/>
            <w:vAlign w:val="bottom"/>
          </w:tcPr>
          <w:p>
            <w:pPr>
              <w:spacing w:after="0"/>
              <w:rPr>
                <w:sz w:val="1"/>
                <w:szCs w:val="1"/>
                <w:color w:val="auto"/>
              </w:rPr>
            </w:pPr>
          </w:p>
        </w:tc>
      </w:tr>
      <w:tr>
        <w:trPr>
          <w:trHeight w:val="213"/>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Note 15)</w:t>
            </w: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104,69</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659,89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(60,101 )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(1,320 )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598,484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598,484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0"/>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Corsair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Gaming,</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Nonredee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ed Other</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mable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Noncontrol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nsive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86"/>
              </w:rPr>
              <w:t>s’</w:t>
            </w:r>
          </w:p>
        </w:tc>
        <w:tc>
          <w:tcPr>
            <w:tcW w:w="12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ling</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Permanent</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Amoun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w:t>
            </w:r>
          </w:p>
        </w:tc>
        <w:tc>
          <w:tcPr>
            <w:tcW w:w="260" w:type="dxa"/>
            <w:vAlign w:val="bottom"/>
          </w:tcPr>
          <w:p>
            <w:pPr>
              <w:spacing w:after="0"/>
              <w:rPr>
                <w:sz w:val="19"/>
                <w:szCs w:val="19"/>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593,48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(6,881 )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623,838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(9,571 )</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(9,571 )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(9,179 )</w:t>
            </w:r>
          </w:p>
        </w:tc>
        <w:tc>
          <w:tcPr>
            <w:tcW w:w="0" w:type="dxa"/>
            <w:vAlign w:val="bottom"/>
          </w:tcPr>
          <w:p>
            <w:pPr>
              <w:spacing w:after="0"/>
              <w:rPr>
                <w:sz w:val="1"/>
                <w:szCs w:val="1"/>
                <w:color w:val="auto"/>
              </w:rPr>
            </w:pPr>
          </w:p>
        </w:tc>
      </w:tr>
      <w:tr>
        <w:trPr>
          <w:trHeight w:val="239"/>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(119 )</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 in redemption value of redeemable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Dividend paid to nonredeemable noncontrolling</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interests</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(400 )</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(400 )</w:t>
            </w:r>
          </w:p>
        </w:tc>
        <w:tc>
          <w:tcPr>
            <w:tcW w:w="0" w:type="dxa"/>
            <w:vAlign w:val="bottom"/>
          </w:tcPr>
          <w:p>
            <w:pPr>
              <w:spacing w:after="0"/>
              <w:rPr>
                <w:sz w:val="1"/>
                <w:szCs w:val="1"/>
                <w:color w:val="auto"/>
              </w:rPr>
            </w:pPr>
          </w:p>
        </w:tc>
      </w:tr>
      <w:tr>
        <w:trPr>
          <w:trHeight w:val="202"/>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employee equity incentive plans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(83 )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(1,318 )</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(1,318 )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(1,318 )</w:t>
            </w:r>
          </w:p>
        </w:tc>
        <w:tc>
          <w:tcPr>
            <w:tcW w:w="0" w:type="dxa"/>
            <w:vAlign w:val="bottom"/>
          </w:tcPr>
          <w:p>
            <w:pPr>
              <w:spacing w:after="0"/>
              <w:rPr>
                <w:sz w:val="1"/>
                <w:szCs w:val="1"/>
                <w:color w:val="auto"/>
              </w:rPr>
            </w:pPr>
          </w:p>
        </w:tc>
      </w:tr>
      <w:tr>
        <w:trPr>
          <w:trHeight w:val="226"/>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102,96</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622,42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34,187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(6,699 )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649,926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660,028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-3587115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-3569970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-3587115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-3569970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-3587115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-3569970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-3587115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-3569970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-3587115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-3569970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-3587115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-3569970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-3587115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-3569970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-3587115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-3569970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Corsair Gaming,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thousands)</w:t>
      </w:r>
    </w:p>
    <w:p>
      <w:pPr>
        <w:spacing w:after="0" w:line="224"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6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r>
      <w:tr>
        <w:trPr>
          <w:trHeight w:val="63"/>
        </w:trPr>
        <w:tc>
          <w:tcPr>
            <w:tcW w:w="7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(86,122 )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(8,613 )</w:t>
            </w:r>
          </w:p>
        </w:tc>
      </w:tr>
      <w:tr>
        <w:trPr>
          <w:trHeight w:val="247"/>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29,005</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(7,724 )</w:t>
            </w: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(18,070 )</w:t>
            </w: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(9,569 )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(35,452 )</w:t>
            </w:r>
          </w:p>
        </w:tc>
      </w:tr>
      <w:tr>
        <w:trPr>
          <w:trHeight w:val="238"/>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(4,551 )</w:t>
            </w: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(61,316 )</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38,287</w:t>
            </w:r>
          </w:p>
        </w:tc>
        <w:tc>
          <w:tcPr>
            <w:tcW w:w="100" w:type="dxa"/>
            <w:vAlign w:val="bottom"/>
            <w:shd w:val="clear" w:color="auto" w:fill="CFF0FC"/>
          </w:tcPr>
          <w:p>
            <w:pPr>
              <w:spacing w:after="0"/>
              <w:rPr>
                <w:sz w:val="21"/>
                <w:szCs w:val="21"/>
                <w:color w:val="auto"/>
              </w:rPr>
            </w:pPr>
          </w:p>
        </w:tc>
      </w:tr>
      <w:tr>
        <w:trPr>
          <w:trHeight w:val="243"/>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040" w:type="dxa"/>
            <w:vAlign w:val="bottom"/>
          </w:tcPr>
          <w:p>
            <w:pPr>
              <w:spacing w:after="0"/>
              <w:rPr>
                <w:sz w:val="21"/>
                <w:szCs w:val="21"/>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(13,901 )</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Pr>
          <w:p>
            <w:pPr>
              <w:spacing w:after="0"/>
              <w:rPr>
                <w:sz w:val="21"/>
                <w:szCs w:val="21"/>
                <w:color w:val="auto"/>
              </w:rPr>
            </w:pPr>
          </w:p>
        </w:tc>
      </w:tr>
      <w:tr>
        <w:trPr>
          <w:trHeight w:val="20"/>
        </w:trPr>
        <w:tc>
          <w:tcPr>
            <w:tcW w:w="7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(19,678 )</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100" w:type="dxa"/>
            <w:vAlign w:val="bottom"/>
            <w:shd w:val="clear" w:color="auto" w:fill="CFF0FC"/>
          </w:tcPr>
          <w:p>
            <w:pPr>
              <w:spacing w:after="0"/>
              <w:rPr>
                <w:sz w:val="20"/>
                <w:szCs w:val="20"/>
                <w:color w:val="auto"/>
              </w:rPr>
            </w:pPr>
          </w:p>
        </w:tc>
      </w:tr>
      <w:tr>
        <w:trPr>
          <w:trHeight w:val="234"/>
        </w:trPr>
        <w:tc>
          <w:tcPr>
            <w:tcW w:w="7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(43,131 )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(14,220 )</w:t>
            </w: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4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(8,351 )</w:t>
            </w: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(10,784 )</w:t>
            </w: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intangible asset</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price adjustment related to business acquisition</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46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280" w:type="dxa"/>
            <w:vAlign w:val="bottom"/>
            <w:tcBorders>
              <w:top w:val="single" w:sz="8" w:color="CFF0FC"/>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 of debt</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(21,250 )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(16,250 )</w:t>
            </w: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Borrowings from line of credit</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(21,500 )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additional ownership interest</w:t>
            </w:r>
          </w:p>
        </w:tc>
        <w:tc>
          <w:tcPr>
            <w:tcW w:w="104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(19,750 )</w:t>
            </w:r>
          </w:p>
        </w:tc>
        <w:tc>
          <w:tcPr>
            <w:tcW w:w="380" w:type="dxa"/>
            <w:vAlign w:val="bottom"/>
          </w:tcPr>
          <w:p>
            <w:pPr>
              <w:spacing w:after="0"/>
              <w:rPr>
                <w:sz w:val="20"/>
                <w:szCs w:val="20"/>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deferred and contingent consideration</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(4,942 )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(950 )</w:t>
            </w: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shares through employee equity incentive plans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taxes related to net share settlement of equity awards</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(562 )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(1,318 )</w:t>
            </w: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paid to noncontrolling interest</w:t>
            </w:r>
          </w:p>
        </w:tc>
        <w:tc>
          <w:tcPr>
            <w:tcW w:w="104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(5,222 )</w:t>
            </w: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(980 )</w:t>
            </w: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other offering costs</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(497 )</w:t>
            </w:r>
          </w:p>
        </w:tc>
      </w:tr>
      <w:tr>
        <w:trPr>
          <w:trHeight w:val="20"/>
        </w:trPr>
        <w:tc>
          <w:tcPr>
            <w:tcW w:w="74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(46,616 )</w:t>
            </w: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(13,205 )</w:t>
            </w:r>
          </w:p>
        </w:tc>
      </w:tr>
      <w:tr>
        <w:trPr>
          <w:trHeight w:val="20"/>
        </w:trPr>
        <w:tc>
          <w:tcPr>
            <w:tcW w:w="7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(123 )</w:t>
            </w:r>
          </w:p>
        </w:tc>
        <w:tc>
          <w:tcPr>
            <w:tcW w:w="3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0"/>
        </w:trPr>
        <w:tc>
          <w:tcPr>
            <w:tcW w:w="74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104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5"/>
              </w:rPr>
              <w:t>(116,958 )</w:t>
            </w: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(6,290 )</w:t>
            </w:r>
          </w:p>
        </w:tc>
      </w:tr>
      <w:tr>
        <w:trPr>
          <w:trHeight w:val="247"/>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restricted cash at the beginning of the period</w:t>
            </w:r>
          </w:p>
        </w:tc>
        <w:tc>
          <w:tcPr>
            <w:tcW w:w="10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178,564</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 at the end of the period</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61,606</w:t>
            </w:r>
          </w:p>
        </w:tc>
        <w:tc>
          <w:tcPr>
            <w:tcW w:w="28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147,770</w:t>
            </w:r>
          </w:p>
        </w:tc>
        <w:tc>
          <w:tcPr>
            <w:tcW w:w="100" w:type="dxa"/>
            <w:vAlign w:val="bottom"/>
          </w:tcPr>
          <w:p>
            <w:pPr>
              <w:spacing w:after="0"/>
              <w:rPr>
                <w:sz w:val="20"/>
                <w:szCs w:val="20"/>
                <w:color w:val="auto"/>
              </w:rPr>
            </w:pPr>
          </w:p>
        </w:tc>
      </w:tr>
      <w:tr>
        <w:trPr>
          <w:trHeight w:val="20"/>
        </w:trPr>
        <w:tc>
          <w:tcPr>
            <w:tcW w:w="7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shd w:val="clear" w:color="auto" w:fill="CFF0FC"/>
          </w:tcPr>
          <w:p>
            <w:pPr>
              <w:spacing w:after="0"/>
              <w:rPr>
                <w:sz w:val="21"/>
                <w:szCs w:val="21"/>
                <w:color w:val="auto"/>
              </w:rPr>
            </w:pPr>
          </w:p>
        </w:tc>
      </w:tr>
      <w:tr>
        <w:trPr>
          <w:trHeight w:val="24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Equipment purchased and unpaid at period end</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FF0FC"/>
          </w:tcPr>
          <w:p>
            <w:pPr>
              <w:spacing w:after="0"/>
              <w:rPr>
                <w:sz w:val="21"/>
                <w:szCs w:val="21"/>
                <w:color w:val="auto"/>
              </w:rPr>
            </w:pPr>
          </w:p>
        </w:tc>
      </w:tr>
      <w:tr>
        <w:trPr>
          <w:trHeight w:val="234"/>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-4241165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-4241165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-3474085</wp:posOffset>
            </wp:positionV>
            <wp:extent cx="93980" cy="196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-3474085</wp:posOffset>
            </wp:positionV>
            <wp:extent cx="93980"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-1749425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-1749425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-1423670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-1423670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-1106805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-1106805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Q3 2024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Corsair Gaming, Inc., a Delaware corporation, together with its subsidiaries (collectively, “Corsair” the “Company”, “we”, “us”, or “our”), is a global provider and innovator of high-performance products for gamers and digital creators, many of which build their own PCs using our components.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Corsair is organized into two reportable segments:</w:t>
      </w:r>
    </w:p>
    <w:p>
      <w:pPr>
        <w:spacing w:after="0" w:line="113" w:lineRule="exact"/>
        <w:rPr>
          <w:sz w:val="20"/>
          <w:szCs w:val="20"/>
          <w:color w:val="auto"/>
        </w:rPr>
      </w:pPr>
    </w:p>
    <w:p>
      <w:pPr>
        <w:ind w:left="1260" w:hanging="368"/>
        <w:spacing w:after="0" w:line="268" w:lineRule="auto"/>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streaming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includes capture cards, Stream Decks, microphones and audio interfaces, our Facecam streaming cameras, studio accessories, sim racing products, and gaming furniture, among others.</w:t>
      </w:r>
    </w:p>
    <w:p>
      <w:pPr>
        <w:spacing w:after="0" w:line="61" w:lineRule="exact"/>
        <w:rPr>
          <w:rFonts w:ascii="Times New Roman" w:cs="Times New Roman" w:eastAsia="Times New Roman" w:hAnsi="Times New Roman"/>
          <w:sz w:val="18"/>
          <w:szCs w:val="18"/>
          <w:color w:val="auto"/>
        </w:rPr>
      </w:pPr>
    </w:p>
    <w:p>
      <w:pPr>
        <w:ind w:left="1260" w:right="40" w:hanging="368"/>
        <w:spacing w:after="0" w:line="286" w:lineRule="auto"/>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DRAM modules, as well as high-end prebuilt and custom-built gaming PCs and laptops, and gaming monitors, among others.</w:t>
      </w:r>
    </w:p>
    <w:p>
      <w:pPr>
        <w:spacing w:after="0" w:line="15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Our interim condensed consolidated financial statements have been prepared in accordance with U.S. generally accepted accounting principles (“U.S. GAAP”) and applicable rules and regulations of the U.S. Securities and Exchange Commission (“SEC”) regarding interim financial reporting. The accounting policies we follow are set forth in Part II, Item 8, Note 2, “Significant Accounting Policies”, of the Notes to the Consolidated Financial Statements included in our Annual Report on Form 10K for the year ended December 31, 2023 which was filed with the SEC on February 27, 2024.</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consolidated financial statements should be read in conjunction with our consolidated financial statements and notes thereto for the year ended December 31, 2023, included in our Annual Report on Form 10-K.</w:t>
      </w:r>
    </w:p>
    <w:p>
      <w:pPr>
        <w:spacing w:after="0" w:line="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on the same basis as the audited consolidated financial statements, and in management’s opinion, include all adjustments, which consist of only normal recurring adjustments necessary for the fair statement of our condensed consolidated balance sheet as of September 30, 2024 and our results of operations for the three and nine months ended September 30, 2024 and 2023. The results for the three and nine months ended September 30, 2024 are not necessarily indicative of the results expected for the current fiscal year or any other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Corsair and its subsidiaries, after the elimination of intercompany accounts and transactions. We consolidate subsidiaries in which we have a controlling interest. For the consolidated subsidiaries in which we own less than 100% of the equity, our consolidated net comprehensive income (loss) is reduced by the portion attributable to the noncontrolling interest. The ownership interest of other investors is recorded as noncontrolling interest in the condensed consolidated balance sheets.</w:t>
      </w:r>
    </w:p>
    <w:p>
      <w:pPr>
        <w:spacing w:after="0" w:line="7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and deferred income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Q3 2024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tax. These estimates and assumptions are based on management’s best estimates and judgment. Management evaluates its estimates and assumptions on an ongoing basis using historical experience and other factors, including the potential impacts from events in the current economic and geopolitical environment. We adjust such estimates and assumptions when facts and circumstances dictate. The extent to which the current macroeconomic conditions and the development of the geopolitical unrest will impact our business going forward depends on numerous dynamic factors that we cannot reliably predict. Actual results could differ materially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 to Reportable Segment Disclosure. This ASU updates the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will be effective for annual periods beginning after December 15, 2023, and interim periods within fiscal years beginning after December 15, 2024, with early adoption permitted. Adoption of the ASU should be applied retrospectively to all prior periods presented in the financial statements. This ASU will result in additional required disclosures in our consolidated financial statements, when adopted. We are currently evaluating the provisions of this ASU and expect to adopt them for the year ended December 31, 2024.</w:t>
      </w:r>
    </w:p>
    <w:p>
      <w:pPr>
        <w:spacing w:after="0" w:line="7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ASU requires disaggregated information about a reporting entity's effective tax rate reconciliation as well as additional information on income tax paid. The ASU is effective on a prospective basis for annual periods beginning after December 15, 2024, with early adoption permitted. This ASU will result in additional required disclosures in our consolidated financial statements, when adopted. We are currently evaluating the provisions of this ASU and expect to adopt them for the year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are available in active markets for identical assets or liabilities as of the measurement date.</w:t>
      </w:r>
    </w:p>
    <w:p>
      <w:pPr>
        <w:spacing w:after="0" w:line="90" w:lineRule="exact"/>
        <w:rPr>
          <w:sz w:val="20"/>
          <w:szCs w:val="20"/>
          <w:color w:val="auto"/>
        </w:rPr>
      </w:pPr>
    </w:p>
    <w:p>
      <w:pPr>
        <w:jc w:val="both"/>
        <w:ind w:right="3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—Pricing inputs are other than quoted prices in active market, which are either directly or indirectly observable as of the report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24" w:lineRule="exact"/>
        <w:rPr>
          <w:sz w:val="20"/>
          <w:szCs w:val="20"/>
          <w:color w:val="auto"/>
        </w:rPr>
      </w:pPr>
    </w:p>
    <w:p>
      <w:pPr>
        <w:ind w:right="8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—Securities that have little to no pricing observability as of the report date. These securities are measured using management’s best estimate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fair value, where the inputs into the determination of fair value are not observable and require significant management judgment or estimation.</w:t>
      </w:r>
    </w:p>
    <w:p>
      <w:pPr>
        <w:spacing w:after="0" w:line="13" w:lineRule="exact"/>
        <w:rPr>
          <w:sz w:val="20"/>
          <w:szCs w:val="20"/>
          <w:color w:val="auto"/>
        </w:rPr>
      </w:pPr>
    </w:p>
    <w:p>
      <w:pPr>
        <w:ind w:right="420" w:firstLine="509"/>
        <w:spacing w:after="0" w:line="265" w:lineRule="auto"/>
        <w:rPr>
          <w:sz w:val="20"/>
          <w:szCs w:val="20"/>
          <w:color w:val="auto"/>
        </w:rPr>
      </w:pPr>
      <w:r>
        <w:rPr>
          <w:rFonts w:ascii="Times New Roman" w:cs="Times New Roman" w:eastAsia="Times New Roman" w:hAnsi="Times New Roman"/>
          <w:sz w:val="18"/>
          <w:szCs w:val="18"/>
          <w:color w:val="auto"/>
        </w:rPr>
        <w:t>Fair value accounting is applied to all financial assets and liabilities that are recognized or disclosed at fair value in our condensed consolidated financial statements on a recurring basis. Our financial instruments, including cash, restricted cash, accounts receivable, accounts payable, and other liabilities and accrued expenses approximate fair value due to their short-term maturities.</w:t>
      </w:r>
    </w:p>
    <w:p>
      <w:pPr>
        <w:spacing w:after="0" w:line="43"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Our financial assets and liabilities that were measured at fair value on a recurring basis consisted of foreign currency forward contracts and the fair values of these contracts, which were classified as Level 2 of the fair value hierarchy, were based on similar exchange traded derivatives and the related asset or liability. The balances of our financial assets and liabilities as of September 30, 2024 and December 31, 2023 were not material.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Financial Instruments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enter into derivative instruments such as foreign currency forward contracts, to minimize the short-term impact of foreign currency exchange rate fluctuations on certain foreign currency denominated assets and liabilities. The derivative instruments are recorded at fair value in prepaid expenses and other current assets or other liabilities and accrued expenses on the condensed consolidated balance sheets. We do not designate such instruments as hedges for accounting purposes; accordingly, changes in the value of these contracts are recognized in each reporting period in other (expense) income, net in the condensed consolidated statements of operations. We do not enter into derivative instruments for trading purposes.</w:t>
      </w:r>
    </w:p>
    <w:p>
      <w:pPr>
        <w:spacing w:after="0" w:line="74"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foreign currency forward contracts generally mature within two to four months. The notional principal amount of outstanding foreign exchange forward contracts was $19.5 million and $44.3 million as of September 30, 2024 and December 31,</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Q3 2024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2023, respectively. The net fair value gains (losses) recognized in other expense, net in relation to these derivative instruments was $(1.3) million and $0.8 million for the three months ended September 30, 2024 and 2023, respectively, and was $(0.7) million and $0.2 million for the nine months ended September 30, 2024 and 2023,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Fanatec Acquisition</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On September 13, 2024, one of our subsidiaries, Corsair GmbH (“GmbH”) executed an Asset Purchase Agreement (“APA”) to purchase the business (the “Fanatec Business”) of Endor AG (“Endor”), which includes certain assets and all the personnel of Endor, as well as the equity interests of certain of Endor’s subsidiaries. Endor AG is a German public entity that created the leading end-to-end premium Fanatec sim racing product line. The Fanatec sim racing product line, which fully complements our sim racing chassis, gaming PCs, gaming and streaming peripherals, and monitors, will expand our product offerings in these markets.</w:t>
      </w:r>
    </w:p>
    <w:p>
      <w:pPr>
        <w:spacing w:after="0" w:line="74"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Fanatec APA was consummated on September 19, 2024 (the “Fanatec Acquisition Date”) for a cash purchase consideration of approximately $43.7 million, net of $4.5 million of cash acquired.</w:t>
      </w:r>
    </w:p>
    <w:p>
      <w:pPr>
        <w:spacing w:after="0" w:line="5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Prior to the Fanatec acquisition, another of our subsidiaries, Corsair Components Ltd (“CCL”), entered into a Bridge Loan Agreement (“Bridge Loan”) in May 2024 and a Debtor-In-Possession Loan Agreement (“DIP Loan”) in September 2024 with Endor to provide short-term financing for Endor's operations in connection with our intent to acquire the Fanatec Business through a German restructuring process. Pursuant to the terms of the APA, the total principal and interest owed by Endor to CCL as of the Fanatec Acquisition Date for the Bridge Loan and DIP Loan of approximately $16.6 million, in aggregate, was set-off against the purchase price, and accordingly, on the Fanatec Acquisition Date, GmbH paid CCL $16.6 million cash to settle the Bridge Loan and DIP Loan (including interest of $0.6 million) on behalf of Endor. GmbH paid the remaining $31.6 million purchase consideration to Endor in cash on the Fanatec Acquisition Date.</w:t>
      </w:r>
    </w:p>
    <w:p>
      <w:pPr>
        <w:spacing w:after="0" w:line="79"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Because the Fanatec acquisition met the definition of a business, it has been accounted for as a business combination using the acquisition method of accounting. Fanatec’s results of operations are included in our condensed consolidated statements of operations with effect from September 19, 2024.</w:t>
      </w:r>
    </w:p>
    <w:p>
      <w:pPr>
        <w:spacing w:after="0" w:line="5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consideration to the estimated fair value of the assets acquired and liabilities assumed as of the Fanatec Acquisition Date. The primary areas of the purchase price allocation that are not yet finalized consist of income tax and indirect tax considerations and the validation of certain inventory values, accounts payables and accrued liabilities. We will continue to reflect measurement period adjustments to purchase price allocation, if any, in the period in which the adjustments are recognized. Final determination of the fair values may result in adjustments to the values presented in the following table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61"/>
        </w:trPr>
        <w:tc>
          <w:tcPr>
            <w:tcW w:w="7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5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(11,761 )</w:t>
            </w: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(6,298 )</w:t>
            </w:r>
          </w:p>
        </w:tc>
        <w:tc>
          <w:tcPr>
            <w:tcW w:w="0" w:type="dxa"/>
            <w:vAlign w:val="bottom"/>
          </w:tcPr>
          <w:p>
            <w:pPr>
              <w:spacing w:after="0"/>
              <w:rPr>
                <w:sz w:val="1"/>
                <w:szCs w:val="1"/>
                <w:color w:val="auto"/>
              </w:rPr>
            </w:pPr>
          </w:p>
        </w:tc>
      </w:tr>
      <w:tr>
        <w:trPr>
          <w:trHeight w:val="23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76"/>
        </w:trPr>
        <w:tc>
          <w:tcPr>
            <w:tcW w:w="7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consideration, net of cash acquired</w:t>
            </w:r>
          </w:p>
        </w:tc>
        <w:tc>
          <w:tcPr>
            <w:tcW w:w="2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vMerge w:val="restart"/>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4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87"/>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82"/>
        </w:trPr>
        <w:tc>
          <w:tcPr>
            <w:tcW w:w="75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7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technology</w:t>
            </w: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240" w:type="dxa"/>
            <w:vAlign w:val="bottom"/>
            <w:tcBorders>
              <w:bottom w:val="single" w:sz="8" w:color="CFF0FC"/>
            </w:tcBorders>
            <w:shd w:val="clear" w:color="auto" w:fill="CFF0FC"/>
          </w:tcPr>
          <w:p>
            <w:pPr>
              <w:spacing w:after="0"/>
              <w:rPr>
                <w:sz w:val="23"/>
                <w:szCs w:val="23"/>
                <w:color w:val="auto"/>
              </w:rPr>
            </w:pPr>
          </w:p>
        </w:tc>
        <w:tc>
          <w:tcPr>
            <w:tcW w:w="15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-1257935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fair value of the working capital related items, as well as the fair value of property and equipment approximated their book values at the Fanatec Acquisition Date. The fair value of the inventories was estimated by major category, at an estimate of net realizable value, which we believe approximates the price a market participant could achieve in a current sale. The difference between the fair value of the inventories and the book value recorded on the Fanatec Acquisition Date was $4.7 million, of which we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recognized $0.5 million in the condensed consolidated statements of operations for the three and nine months ended September 30, 2024, upon the sale of the acquired inventory.</w:t>
      </w:r>
    </w:p>
    <w:p>
      <w:pPr>
        <w:spacing w:after="0" w:line="5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The goodwill of $2.2 million represents the expansion of our market presence by utilizing Fanatec's strength and brand in the sim racing market. The goodwill is deductible for tax purposes and is assigned to our Peripherals reporting unit.</w:t>
      </w:r>
    </w:p>
    <w:p>
      <w:pPr>
        <w:spacing w:after="0" w:line="5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$15.1 million identifiable intangible assets acquired include trade name of $11.3 million and product technology of $3.8 million. The fair values of the identified intangible assets were estimated primarily using the income approach and were based on inputs that are not observable in the market which we consider to be Level 3 inputs. These intangible assets are being amortized over their estimated useful lives, ranging from 6 to 15 years, using the straight-line method of amortization. The identifiable intangible assets acquired are deductible for tax purposes.</w:t>
      </w:r>
    </w:p>
    <w:p>
      <w:pPr>
        <w:spacing w:after="0" w:line="74"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The acquisition-related costs incurred in the three and nine months ended September 30, 2024 was $1.3 million and $2.4 million, respectively, and these amounts are primarily reported within sales and general and administrative expenses in the condensed consolidated statements of operations.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19"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Pro forma information is not included because the effects of the Fanatec Acquisition were not material to our condensed consolidated statements of operations for the periods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Drop Acquisition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July 14, 2023 (the “Drop Acquisition Date”), we completed the acquisition of the assets and business of Massdrop Inc. (“Drop”), including the assumption of trade payables and certain accrued liabilities (the “Drop Acquisition”) for a cash purchase consideration of approximately $14.2 million, net of $0.6 million of cash acquired. On January 29, 2024, in connection with a joint release letter executed between us and Drop's seller, we received a refund of $1.0 million from escrow funds in relation to a purchase price adjustment for net working capital. With this refund, total purchase consideration, net of cash acquired, decreased to $13.2 million.</w:t>
      </w:r>
    </w:p>
    <w:p>
      <w:pPr>
        <w:spacing w:after="0" w:line="74"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Drop, a community-based e-commerce company was headquartered in San Francisco, California, and specialized in customized DIY keyboards and keycaps. We expect this acquisition to give Corsair a leading presence in the personalized keyboards market which is one of the fastest growing trends in the gaming peripherals space as well as allow us to offer specialized Corsair and Elgato products to the enthusiast community that Drop is engaged with. Drop’s results of operations are included in our condensed consolidated statements of operations with effect from July 14, 2023.</w:t>
      </w:r>
    </w:p>
    <w:p>
      <w:pPr>
        <w:spacing w:after="0" w:line="74" w:lineRule="exact"/>
        <w:rPr>
          <w:sz w:val="20"/>
          <w:szCs w:val="20"/>
          <w:color w:val="auto"/>
        </w:rPr>
      </w:pPr>
    </w:p>
    <w:p>
      <w:pPr>
        <w:jc w:val="both"/>
        <w:ind w:right="260" w:firstLine="509"/>
        <w:spacing w:after="0" w:line="257" w:lineRule="auto"/>
        <w:rPr>
          <w:sz w:val="20"/>
          <w:szCs w:val="20"/>
          <w:color w:val="auto"/>
        </w:rPr>
      </w:pPr>
      <w:r>
        <w:rPr>
          <w:rFonts w:ascii="Times New Roman" w:cs="Times New Roman" w:eastAsia="Times New Roman" w:hAnsi="Times New Roman"/>
          <w:sz w:val="18"/>
          <w:szCs w:val="18"/>
          <w:color w:val="auto"/>
        </w:rPr>
        <w:t>The Drop Acquisition was accounted for as a business combination under the acquisition method of accounting. The final allocation of the Drop Acquisition purchase consideration to the estimated fair value of the assets acquired and liabilities assumed, inclusive of immaterial measurement period adjustments,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61"/>
        </w:trPr>
        <w:tc>
          <w:tcPr>
            <w:tcW w:w="90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7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21"/>
                <w:szCs w:val="21"/>
                <w:color w:val="auto"/>
              </w:rPr>
            </w:pP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Pr>
          <w:p>
            <w:pPr>
              <w:spacing w:after="0"/>
              <w:rPr>
                <w:sz w:val="20"/>
                <w:szCs w:val="20"/>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4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FF0FC"/>
          </w:tcPr>
          <w:p>
            <w:pPr>
              <w:spacing w:after="0"/>
              <w:rPr>
                <w:sz w:val="21"/>
                <w:szCs w:val="21"/>
                <w:color w:val="auto"/>
              </w:rPr>
            </w:pP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4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100" w:type="dxa"/>
            <w:vAlign w:val="bottom"/>
            <w:shd w:val="clear" w:color="auto" w:fill="CFF0FC"/>
          </w:tcPr>
          <w:p>
            <w:pPr>
              <w:spacing w:after="0"/>
              <w:rPr>
                <w:sz w:val="21"/>
                <w:szCs w:val="21"/>
                <w:color w:val="auto"/>
              </w:rPr>
            </w:pP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Pr>
          <w:p>
            <w:pPr>
              <w:spacing w:after="0"/>
              <w:rPr>
                <w:sz w:val="20"/>
                <w:szCs w:val="20"/>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(7,064 )</w:t>
            </w: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4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(3,726 )</w:t>
            </w:r>
          </w:p>
        </w:tc>
      </w:tr>
      <w:tr>
        <w:trPr>
          <w:trHeight w:val="276"/>
        </w:trPr>
        <w:tc>
          <w:tcPr>
            <w:tcW w:w="9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consideration, net of cash acquired</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fair value of certain working capital related items, including accounts receivable, prepaid and other assets, accounts payable and accrued liabilities, as well as the fair value of property and equipment approximated their book values at the Drop Acquisition Date. The fair value of the inventories was estimated by major category, at net realizable value, which we believe approximates the price a market participant could achieve in a current sale. The difference between the fair value of the inventories and the book value recorded on the Drop Acquisition Date was $2.0 million, of which we recognized $0.1 million, $0.5 million and $1.5 million in cost of revenue in the condensed consolidated statements of operations for the three and nine months ended September 30, 2024 and for the year ended December 31, 2023, respectively, upon the sale of the acquired inventory.</w:t>
      </w:r>
    </w:p>
    <w:p>
      <w:pPr>
        <w:spacing w:after="0" w:line="78" w:lineRule="exact"/>
        <w:rPr>
          <w:sz w:val="20"/>
          <w:szCs w:val="20"/>
          <w:color w:val="auto"/>
        </w:rPr>
      </w:pPr>
    </w:p>
    <w:p>
      <w:pPr>
        <w:jc w:val="both"/>
        <w:ind w:right="280" w:firstLine="509"/>
        <w:spacing w:after="0" w:line="265" w:lineRule="auto"/>
        <w:rPr>
          <w:sz w:val="20"/>
          <w:szCs w:val="20"/>
          <w:color w:val="auto"/>
        </w:rPr>
      </w:pPr>
      <w:r>
        <w:rPr>
          <w:rFonts w:ascii="Times New Roman" w:cs="Times New Roman" w:eastAsia="Times New Roman" w:hAnsi="Times New Roman"/>
          <w:sz w:val="18"/>
          <w:szCs w:val="18"/>
          <w:color w:val="auto"/>
        </w:rPr>
        <w:t>The goodwill of $6.0 million represents the expansion of our market presence by utilizing Drop's strength in direct consumer reach as well as the ability to expand the customizable keyboard and keycap market. The goodwill is deductible for tax purposes and is assigned to our Peripherals reporting unit.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$9.2 million identifiable intangible assets acquired include developed technology of $5.2 million, trade name of $2.3 million and domain name of $1.7 million. The fair values of the identified intangible assets were estimated primarily using the income approach and were based on inputs that are not observable in the market which we consider to be Level 3 inputs. These intangible assets are being amortized over their estimated useful lives, ranging from 5 to 15 years, using the straight-line method of amortization. The identifiable intangible assets acquired are deductible for tax purposes.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acquisition-related costs incurred in the nine months ended September 30, 2024 and 2023 were not 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conduct our goodwill impairment analysis annually on October 1 or more frequently if changes in facts and circumstances indicate that it is more likely than not that the fair value of a reporting unit may be less than its carrying value.</w:t>
      </w:r>
    </w:p>
    <w:p>
      <w:pPr>
        <w:spacing w:after="0" w:line="5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Due to a change in business strategies, with effect from July 1, 2024, two of our existing reporting units (the Systems reporting unit and the Components reporting unit) within the Gaming Components and Systems segment were combined (refer to as the Component and Systems reporting unit) because they now satisfy the aggregation criteria under the applicable accounting guidance. Since the composition of our other reporting units, the Peripherals reporting unit and the Memory reporting unit did not change, the carrying value of the goodwill for the Component and Systems reporting was determined as the sum of the goodwill carrying value for the Components reporting unit and the Systems reporting unit as of July 1, 2024.</w:t>
      </w:r>
    </w:p>
    <w:p>
      <w:pPr>
        <w:spacing w:after="0" w:line="7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2024, the sustained decline in our stock price, combined with a reduction in our revenue forecasts, was considered a triggering event indicating that it was possible that the fair value of our reporting units could be less than their carrying amounts, including goodwill. As a result, we performed an interim quantitative goodwill impairment test as of September 30, 2024 using a combination of the income valuation approach and market approach methodologies. The determination of the fair value of the reporting units using the aforementioned methodologies requires significant estimates and assumptions, including but not limited to, discount rate, terminal growth rates, market multiple data from selected guideline companies, and management's internal forecasts. Management determined that the fair values of the reporting units were not less than their respective carrying amounts. As of September 30, 2024, the indicated fair value was in excess of carrying value for our Component and Systems, Peripherals, and Memory reporting units by approximately 23%, 35% and 194%, respectively.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by reportable segment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Gaming</w:t>
            </w:r>
          </w:p>
        </w:tc>
        <w:tc>
          <w:tcPr>
            <w:tcW w:w="340" w:type="dxa"/>
            <w:vAlign w:val="bottom"/>
          </w:tcPr>
          <w:p>
            <w:pPr>
              <w:spacing w:after="0"/>
              <w:rPr>
                <w:sz w:val="13"/>
                <w:szCs w:val="13"/>
                <w:color w:val="auto"/>
              </w:rPr>
            </w:pPr>
          </w:p>
        </w:tc>
        <w:tc>
          <w:tcPr>
            <w:tcW w:w="18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Gamer and</w:t>
            </w: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3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Creator</w:t>
            </w:r>
          </w:p>
        </w:tc>
        <w:tc>
          <w:tcPr>
            <w:tcW w:w="440" w:type="dxa"/>
            <w:vAlign w:val="bottom"/>
          </w:tcPr>
          <w:p>
            <w:pPr>
              <w:spacing w:after="0"/>
              <w:rPr>
                <w:sz w:val="12"/>
                <w:szCs w:val="12"/>
                <w:color w:val="auto"/>
              </w:rPr>
            </w:pPr>
          </w:p>
        </w:tc>
        <w:tc>
          <w:tcPr>
            <w:tcW w:w="154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40" w:type="dxa"/>
            <w:vAlign w:val="bottom"/>
          </w:tcPr>
          <w:p>
            <w:pPr>
              <w:spacing w:after="0"/>
              <w:rPr>
                <w:sz w:val="16"/>
                <w:szCs w:val="16"/>
                <w:color w:val="auto"/>
              </w:rPr>
            </w:pPr>
          </w:p>
        </w:tc>
        <w:tc>
          <w:tcPr>
            <w:tcW w:w="18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Peripherals</w:t>
            </w:r>
          </w:p>
        </w:tc>
        <w:tc>
          <w:tcPr>
            <w:tcW w:w="4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8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5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54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148,936</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205,769</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 from business acquisition</w:t>
            </w:r>
          </w:p>
        </w:tc>
        <w:tc>
          <w:tcPr>
            <w:tcW w:w="34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34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(28 )</w:t>
            </w:r>
          </w:p>
        </w:tc>
        <w:tc>
          <w:tcPr>
            <w:tcW w:w="4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3"/>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34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148,930</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208,590</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357,520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As a result of the goodwill triggering event described above, we also performed an interim impairment test for our indefinite-lived intangible asset and our finite-lived intangible assets as of September 30, 2024. The fair value of our indefinite-lived intangible assets was determined based on the relief from royalty method and the recoverability of our finite-lived intangible assets was determined based on the undiscounted cash flows method. No impairment resulted from these interim impairment tests.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is a summary of intangible assets, net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880" w:type="dxa"/>
            <w:vAlign w:val="bottom"/>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0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51,015</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218,464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155,288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63,176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218,453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portfolio</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Supplier relationships</w:t>
            </w: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finite-life intangibles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357,671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217,718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188,142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Indefinite life trade name</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393,105</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217,718</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175,387</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376,151</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188,142</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188,009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-658495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-658495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-658495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-658495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-658495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-24765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740" w:firstLine="509"/>
        <w:spacing w:after="0" w:line="281" w:lineRule="auto"/>
        <w:rPr>
          <w:sz w:val="20"/>
          <w:szCs w:val="20"/>
          <w:color w:val="auto"/>
        </w:rPr>
      </w:pPr>
      <w:r>
        <w:rPr>
          <w:rFonts w:ascii="Times New Roman" w:cs="Times New Roman" w:eastAsia="Times New Roman" w:hAnsi="Times New Roman"/>
          <w:sz w:val="18"/>
          <w:szCs w:val="18"/>
          <w:color w:val="auto"/>
        </w:rPr>
        <w:t>In the year when an identified intangible asset becomes fully amortized, the fully amortized balances from the gross asset and accumulated amortization amounts are removed from the table above.</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September 30, 2024 is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61"/>
        </w:trPr>
        <w:tc>
          <w:tcPr>
            <w:tcW w:w="7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00" w:type="dxa"/>
            <w:vAlign w:val="bottom"/>
            <w:shd w:val="clear" w:color="auto" w:fill="CFF0FC"/>
          </w:tcPr>
          <w:p>
            <w:pPr>
              <w:spacing w:after="0"/>
              <w:rPr>
                <w:sz w:val="21"/>
                <w:szCs w:val="21"/>
                <w:color w:val="auto"/>
              </w:rPr>
            </w:pP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39,283</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35,973</w:t>
            </w:r>
          </w:p>
        </w:tc>
        <w:tc>
          <w:tcPr>
            <w:tcW w:w="100" w:type="dxa"/>
            <w:vAlign w:val="bottom"/>
            <w:shd w:val="clear" w:color="auto" w:fill="CFF0FC"/>
          </w:tcPr>
          <w:p>
            <w:pPr>
              <w:spacing w:after="0"/>
              <w:rPr>
                <w:sz w:val="21"/>
                <w:szCs w:val="21"/>
                <w:color w:val="auto"/>
              </w:rPr>
            </w:pP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26,188</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shd w:val="clear" w:color="auto" w:fill="CFF0FC"/>
          </w:tcPr>
          <w:p>
            <w:pPr>
              <w:spacing w:after="0"/>
              <w:rPr>
                <w:sz w:val="21"/>
                <w:szCs w:val="21"/>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22,725</w:t>
            </w:r>
          </w:p>
        </w:tc>
        <w:tc>
          <w:tcPr>
            <w:tcW w:w="100" w:type="dxa"/>
            <w:vAlign w:val="bottom"/>
          </w:tcPr>
          <w:p>
            <w:pPr>
              <w:spacing w:after="0"/>
              <w:rPr>
                <w:sz w:val="21"/>
                <w:szCs w:val="21"/>
                <w:color w:val="auto"/>
              </w:rPr>
            </w:pPr>
          </w:p>
        </w:tc>
      </w:tr>
      <w:tr>
        <w:trPr>
          <w:trHeight w:val="276"/>
        </w:trPr>
        <w:tc>
          <w:tcPr>
            <w:tcW w:w="7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auto"/>
            </w:tcBorders>
            <w:shd w:val="clear" w:color="auto" w:fill="CFF0FC"/>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components of certain balance sheet amounts (in thousands):</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7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61"/>
        </w:trPr>
        <w:tc>
          <w:tcPr>
            <w:tcW w:w="7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58,911</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175,620</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cash—short term</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0"/>
                <w:szCs w:val="20"/>
                <w:color w:val="auto"/>
              </w:rPr>
            </w:pPr>
          </w:p>
        </w:tc>
      </w:tr>
      <w:tr>
        <w:trPr>
          <w:trHeight w:val="247"/>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cash—noncurrent</w:t>
            </w:r>
          </w:p>
        </w:tc>
        <w:tc>
          <w:tcPr>
            <w:tcW w:w="1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61,606</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178,564</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-1694815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83"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5"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5080</wp:posOffset>
            </wp:positionV>
            <wp:extent cx="10706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5080</wp:posOffset>
            </wp:positionV>
            <wp:extent cx="10617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9160" w:space="720"/>
            <w:col w:w="13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178,659</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254,433</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Factor</w:t>
            </w:r>
          </w:p>
        </w:tc>
        <w:tc>
          <w:tcPr>
            <w:tcW w:w="5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(557 )</w:t>
            </w:r>
          </w:p>
        </w:tc>
        <w:tc>
          <w:tcPr>
            <w:tcW w:w="5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(1,448 )</w:t>
            </w:r>
          </w:p>
        </w:tc>
      </w:tr>
      <w:tr>
        <w:trPr>
          <w:trHeight w:val="240"/>
        </w:trPr>
        <w:tc>
          <w:tcPr>
            <w:tcW w:w="7500" w:type="dxa"/>
            <w:vAlign w:val="bottom"/>
            <w:tcBorders>
              <w:top w:val="single" w:sz="8" w:color="CFF0FC"/>
            </w:tcBorders>
          </w:tcPr>
          <w:p>
            <w:pPr>
              <w:ind w:left="200"/>
              <w:spacing w:after="0" w:line="241" w:lineRule="exact"/>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24"/>
                <w:szCs w:val="24"/>
                <w:color w:val="auto"/>
                <w:vertAlign w:val="superscript"/>
              </w:rPr>
              <w:t>(1)</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178,102</w:t>
            </w:r>
          </w:p>
        </w:tc>
        <w:tc>
          <w:tcPr>
            <w:tcW w:w="28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253,268</w:t>
            </w:r>
          </w:p>
        </w:tc>
        <w:tc>
          <w:tcPr>
            <w:tcW w:w="100" w:type="dxa"/>
            <w:vAlign w:val="bottom"/>
            <w:tcBorders>
              <w:top w:val="single" w:sz="8" w:color="CFF0FC"/>
            </w:tcBorders>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ind w:left="900" w:right="640" w:hanging="383"/>
        <w:spacing w:after="0" w:line="281" w:lineRule="auto"/>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As of September 30, 2024, one customer represented 46.5% of our accounts receivable, net balance. As of December 31, 2023, two customers represented 42.9% and 18.5% of our accounts receivable, net balance,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74"/>
        </w:trPr>
        <w:tc>
          <w:tcPr>
            <w:tcW w:w="7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64,576</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227,799</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240,172</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Q3 2024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74"/>
        </w:trPr>
        <w:tc>
          <w:tcPr>
            <w:tcW w:w="7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19,789</w:t>
            </w: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software and office equipment</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Pr>
          <w:p>
            <w:pPr>
              <w:spacing w:after="0"/>
              <w:rPr>
                <w:sz w:val="20"/>
                <w:szCs w:val="20"/>
                <w:color w:val="auto"/>
              </w:rPr>
            </w:pPr>
          </w:p>
        </w:tc>
      </w:tr>
      <w:tr>
        <w:trPr>
          <w:trHeight w:val="240"/>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76,911</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67,865</w:t>
            </w:r>
          </w:p>
        </w:tc>
        <w:tc>
          <w:tcPr>
            <w:tcW w:w="100" w:type="dxa"/>
            <w:vAlign w:val="bottom"/>
            <w:shd w:val="clear" w:color="auto" w:fill="CFF0FC"/>
          </w:tcPr>
          <w:p>
            <w:pPr>
              <w:spacing w:after="0"/>
              <w:rPr>
                <w:sz w:val="20"/>
                <w:szCs w:val="20"/>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(44,786 )</w:t>
            </w:r>
          </w:p>
        </w:tc>
        <w:tc>
          <w:tcPr>
            <w:tcW w:w="26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(35,653 )</w:t>
            </w:r>
          </w:p>
        </w:tc>
      </w:tr>
      <w:tr>
        <w:trPr>
          <w:trHeight w:val="276"/>
        </w:trPr>
        <w:tc>
          <w:tcPr>
            <w:tcW w:w="7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32,125</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6"/>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74"/>
        </w:trPr>
        <w:tc>
          <w:tcPr>
            <w:tcW w:w="7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36,324</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65,836</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-1001395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-984250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83"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5"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5080</wp:posOffset>
            </wp:positionV>
            <wp:extent cx="10706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5080</wp:posOffset>
            </wp:positionV>
            <wp:extent cx="10617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9160" w:space="720"/>
            <w:col w:w="13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reserves for customer incentive programs</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35,503</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41,148</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reserves for sales returns</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33,394</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36,822</w:t>
            </w: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freight expenses</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13,553</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expense</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33,954</w:t>
            </w: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158,301</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166,340</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p>
      <w:pPr>
        <w:spacing w:after="0" w:line="83"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5"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5080</wp:posOffset>
            </wp:positionV>
            <wp:extent cx="10706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5080</wp:posOffset>
            </wp:positionV>
            <wp:extent cx="10617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9160" w:space="720"/>
            <w:col w:w="13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50,544</w:t>
            </w:r>
          </w:p>
        </w:tc>
        <w:tc>
          <w:tcPr>
            <w:tcW w:w="92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38,587</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2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20"/>
                <w:szCs w:val="20"/>
                <w:color w:val="auto"/>
              </w:rPr>
            </w:pPr>
          </w:p>
        </w:tc>
      </w:tr>
      <w:tr>
        <w:trPr>
          <w:trHeight w:val="276"/>
        </w:trPr>
        <w:tc>
          <w:tcPr>
            <w:tcW w:w="7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55,290</w:t>
            </w:r>
          </w:p>
        </w:tc>
        <w:tc>
          <w:tcPr>
            <w:tcW w:w="2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6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September 3, 2021, we refinanced the First Lien Credit and Guaranty Agreement with a new Credit Agreement (as amended, the “Credit Agreement”). The Credit Agreement provides for a $100.0 million five-year revolving credit facility (“Revolving Facility”) and a $250.0 million five-year term loan facility (“Term Loan”), with each 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 We prepaid $11.9 million and $34.1 million of the Term Loan principal in the nine months ended September 30, 2024 and in the year ended December 31, 2023, respectively.</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carrying value of our Term Loan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74"/>
        </w:trPr>
        <w:tc>
          <w:tcPr>
            <w:tcW w:w="7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(variable rate) due September 2026</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177,750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199,000</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and issuance cost, net of amortization</w:t>
            </w:r>
          </w:p>
        </w:tc>
        <w:tc>
          <w:tcPr>
            <w:tcW w:w="26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(534 )</w:t>
            </w:r>
          </w:p>
        </w:tc>
        <w:tc>
          <w:tcPr>
            <w:tcW w:w="26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(804 )</w:t>
            </w:r>
          </w:p>
        </w:tc>
      </w:tr>
      <w:tr>
        <w:trPr>
          <w:trHeight w:val="240"/>
        </w:trPr>
        <w:tc>
          <w:tcPr>
            <w:tcW w:w="7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177,216</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198,196</w:t>
            </w:r>
          </w:p>
        </w:tc>
        <w:tc>
          <w:tcPr>
            <w:tcW w:w="100" w:type="dxa"/>
            <w:vAlign w:val="bottom"/>
            <w:shd w:val="clear" w:color="auto" w:fill="CFF0FC"/>
          </w:tcPr>
          <w:p>
            <w:pPr>
              <w:spacing w:after="0"/>
              <w:rPr>
                <w:sz w:val="20"/>
                <w:szCs w:val="20"/>
                <w:color w:val="auto"/>
              </w:rPr>
            </w:pPr>
          </w:p>
        </w:tc>
      </w:tr>
      <w:tr>
        <w:trPr>
          <w:trHeight w:val="250"/>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debt maturing within one year, net</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00" w:type="dxa"/>
            <w:vAlign w:val="bottom"/>
          </w:tcPr>
          <w:p>
            <w:pPr>
              <w:spacing w:after="0"/>
              <w:rPr>
                <w:sz w:val="21"/>
                <w:szCs w:val="21"/>
                <w:color w:val="auto"/>
              </w:rPr>
            </w:pPr>
          </w:p>
        </w:tc>
      </w:tr>
      <w:tr>
        <w:trPr>
          <w:trHeight w:val="278"/>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164,993</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Q3 2024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As of September 30, 2024, the estimated fair value of the Term Loan, which we have classified as a Level 2 financial instrument, was approximately $177.6 million.</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and December 31, 2023, we had $100.0 million unused capacity under the Revolving Facility.</w:t>
      </w:r>
    </w:p>
    <w:p>
      <w:pPr>
        <w:spacing w:after="0" w:line="11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Credit Agreement has a variable rate structure. According to the provisions in the Third Amendment to the Credit Agreement (“Third Amendment”), beginning 2024, the Term Loan and the Revolving Facility carry interest at our election at either (a) Bloomberg Short-Term Bank Yield Index rate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Additionally, the commitment fees on the unused portion of the Revolving Facility ranges from 0.2% to 0.4% based on our total net leverage ratio.</w:t>
      </w:r>
    </w:p>
    <w:p>
      <w:pPr>
        <w:spacing w:after="0" w:line="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19, 2024, we entered into a Fourth Amendment (the “Fourth Amendment”) to the Credit Agreement, which provides for, among other things, (i) effectuates the transition of the underlying variable interest rate from the BSBY to a forward-looking interest rate based on the Secured Overnight Financing Rate (“SOFR”), with no change to the applicable margin percentage spread, but with the addition of a rate spread adjustment in the amount of 0.10% per annum, (ii) increases the letter of credit sublimit from $15 million to $65 million and (iii) the issuance of letters of credit denominated in Euro.</w:t>
      </w:r>
    </w:p>
    <w:p>
      <w:pPr>
        <w:spacing w:after="0" w:line="74"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The effective interest rate of our Term Loan, inclusive of the debt discount and debt issuance costs, was approximately 6.3% and 7.4% for the three months ended September 30, 2024 and 2023, respectively, and was approximately 7.0% and 7.3% for the nine months ended September 30, 2024 and 2023, respectively.</w:t>
      </w:r>
    </w:p>
    <w:p>
      <w:pPr>
        <w:spacing w:after="0" w:line="6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Credit Agreement contains covenants with which we must comply during the term of the agreement, which we believe are ordinary and standard for agreements of this nature, including the maintenance of a maximum Consolidated Total Net Leverage Ratio (“CTNL Ratio”) and a minimum Consolidated Interest Coverage Ratio (“CIC Ratio”) (as defined in the Credit Agreement). According to the provisions in the Third Amendment, beginning 2024, we are required to maintain a maximum CTNL Ratio of 3.00 to 1.00 and a minimum CIC ratio of 3.00 to 1.00, with the provision that the maximum CTNL Ratio can be temporarily increased to 3.50 to 1.00 upon the occurrence of a Qualified Acquisition (as defined in, and subject to the requirements of the Credit Agreement). As of September 30, 2024, we were not in default under the Credit Agreement.</w:t>
      </w:r>
    </w:p>
    <w:p>
      <w:pPr>
        <w:spacing w:after="0" w:line="78"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interest expense recognized for all periods presented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36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578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Contractual interest expense for revolving facility</w:t>
            </w: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06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The future principal payments under our total long-term debt as of September 30, 2024 are as follows (in thousands):</w:t>
            </w:r>
          </w:p>
        </w:tc>
        <w:tc>
          <w:tcPr>
            <w:tcW w:w="760" w:type="dxa"/>
            <w:vAlign w:val="bottom"/>
          </w:tcPr>
          <w:p>
            <w:pPr>
              <w:spacing w:after="0"/>
              <w:rPr>
                <w:sz w:val="24"/>
                <w:szCs w:val="24"/>
                <w:color w:val="auto"/>
              </w:rPr>
            </w:pP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5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7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840" w:type="dxa"/>
            <w:vAlign w:val="bottom"/>
            <w:tcBorders>
              <w:top w:val="single" w:sz="8" w:color="CFF0FC"/>
            </w:tcBorders>
          </w:tcPr>
          <w:p>
            <w:pPr>
              <w:spacing w:after="0"/>
              <w:rPr>
                <w:sz w:val="20"/>
                <w:szCs w:val="20"/>
                <w:color w:val="auto"/>
              </w:rPr>
            </w:pPr>
          </w:p>
        </w:tc>
        <w:tc>
          <w:tcPr>
            <w:tcW w:w="46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800" w:type="dxa"/>
            <w:vAlign w:val="bottom"/>
            <w:tcBorders>
              <w:top w:val="single" w:sz="8" w:color="CFF0FC"/>
            </w:tcBorders>
          </w:tcPr>
          <w:p>
            <w:pPr>
              <w:spacing w:after="0"/>
              <w:rPr>
                <w:sz w:val="20"/>
                <w:szCs w:val="20"/>
                <w:color w:val="auto"/>
              </w:rPr>
            </w:pPr>
          </w:p>
        </w:tc>
        <w:tc>
          <w:tcPr>
            <w:tcW w:w="44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177,750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-1515110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-1515110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-1515110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-1515110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our assurance-type warranty obligations were as follows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9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r>
      <w:tr>
        <w:trPr>
          <w:trHeight w:val="61"/>
        </w:trPr>
        <w:tc>
          <w:tcPr>
            <w:tcW w:w="6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the period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shd w:val="clear" w:color="auto" w:fill="CFF0FC"/>
          </w:tcPr>
          <w:p>
            <w:pPr>
              <w:spacing w:after="0"/>
              <w:rPr>
                <w:sz w:val="21"/>
                <w:szCs w:val="21"/>
                <w:color w:val="auto"/>
              </w:rPr>
            </w:pPr>
          </w:p>
        </w:tc>
      </w:tr>
      <w:tr>
        <w:trPr>
          <w:trHeight w:val="238"/>
        </w:trPr>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 assumed from business acquisition</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Warranty provision related to products shipped</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shd w:val="clear" w:color="auto" w:fill="CFF0FC"/>
          </w:tcPr>
          <w:p>
            <w:pPr>
              <w:spacing w:after="0"/>
              <w:rPr>
                <w:sz w:val="21"/>
                <w:szCs w:val="21"/>
                <w:color w:val="auto"/>
              </w:rPr>
            </w:pPr>
          </w:p>
        </w:tc>
      </w:tr>
      <w:tr>
        <w:trPr>
          <w:trHeight w:val="238"/>
        </w:trPr>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Deductions for warranty claims processed</w:t>
            </w:r>
          </w:p>
        </w:tc>
        <w:tc>
          <w:tcPr>
            <w:tcW w:w="2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(1,135 )</w:t>
            </w:r>
          </w:p>
        </w:tc>
        <w:tc>
          <w:tcPr>
            <w:tcW w:w="3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(1,514 )</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(4,408 )</w:t>
            </w:r>
          </w:p>
        </w:tc>
        <w:tc>
          <w:tcPr>
            <w:tcW w:w="3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(4,476 )</w:t>
            </w:r>
          </w:p>
        </w:tc>
      </w:tr>
      <w:tr>
        <w:trPr>
          <w:trHeight w:val="276"/>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-24765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-7620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21"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In the normal course of business, we enter into various purchase commitments for goods or services. Our long-term non-cancelable purchase commitments consist primarily of multi-year contractual arrangements relating to subscriptions for cloud computing hosting arrangements for applications used in R&amp;D. The total long-term non-cancelable purchase commitments as of September 30, 2024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61"/>
        </w:trPr>
        <w:tc>
          <w:tcPr>
            <w:tcW w:w="92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21"/>
                <w:szCs w:val="21"/>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9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04"/>
        </w:trPr>
        <w:tc>
          <w:tcPr>
            <w:tcW w:w="9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Our total non-cancelable long term purchase commitments outstanding as of December 31, 2023 was $1.5 million.</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There were no letters of credit outstanding as of September 30, 2024 and December 31, 2023. No amounts have been drawn upon the letters of credit for all periods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from time to time be involved in various claims and legal proceedings of a character normally incident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that existing claims or proceedings are not likely to have a material adverse effect on our financial position, or the outcome of these matters is currently not determinable. An unfavorable outcome to any legal matter, if material, could have an adverse effect on our operations or financial position, liquidity of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consolidated balance sheets, statements of operations, or statements of cash flows. We currently have directors’ and officers’ insurance.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Shelf-Registration Statement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July 22, 2022, we filed a shelf registration statement on Form S-3 with the SEC, which was declared effective August 1, 2022 (the “2022 Shelf Registration Statement”). The 2022 Shelf Registration Statement registered securities to be offered by us, in an amount up to $300.0 million, including common stock, preferred stock and warrants, through August 1, 2025. In addition, the 2022 Shelf Registration Statement registered 54,179,559 shares of common stock held by the selling securityholders named in the 2022 Shelf Registration Statement. We will not receive any of the proceeds from the sale of the shares registered by the selling securityholders.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$216.7 million remained available for issuance under the 2022 Shelf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Incentive Plans and Stock-Based Compensation</w:t>
      </w:r>
    </w:p>
    <w:p>
      <w:pPr>
        <w:spacing w:after="0" w:line="121"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As of September 30, 2024, we have two active equity incentive plans: the 2020 Equity Incentive Plan and the Employee Stock Purchase Plan (“ESPP”).</w:t>
      </w:r>
    </w:p>
    <w:p>
      <w:pPr>
        <w:spacing w:after="0" w:line="5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2024, we granted performance stock units (“PSU”) to certain senior members of our management team under the 2020 Equity Incentive Plan. The vesting of PSUs is conditional upon the achievement of certain internal financial targets for the year ended December 31, 2024 and these will vest over a three-year service period. The number of units issued can range from 0% to 200% of the target shares depending on the achievement of the financial targets. In the event such targets are achieved, one-third of the eligible PSUs would vest and the remaining two-thirds would thereafter vest evenly over the second and third years. In the event the minimum targets are not achieved, no PSUs would vest. The compensation expense associated with PSUs is recognized using the accelerated attribution method over the requisite service period, and it is based on the estimated number of shares that is considered probable of vesting. Adjustments to the compensation expense will be made in each reporting period based on changes in our estimate of the number of PSUs that are probable of vesting.</w:t>
      </w:r>
    </w:p>
    <w:p>
      <w:pPr>
        <w:spacing w:after="0" w:line="8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We measure and recognize compensation for all stock-based compensation awards, including stock options, stock purchase rights, restricted stock units (“RSU”) and PSU, based upon the grant-date fair value of those awards. The grant-date fair value of our stock options and stock purchase rights is estimated using a Black-Scholes-Merton option-pricing model. The fair value of our RSUs and PSUs are calculated based on the market value of our stock at the grant date.</w:t>
      </w:r>
    </w:p>
    <w:p>
      <w:pPr>
        <w:spacing w:after="0" w:line="74" w:lineRule="exact"/>
        <w:rPr>
          <w:sz w:val="20"/>
          <w:szCs w:val="20"/>
          <w:color w:val="auto"/>
        </w:rPr>
      </w:pPr>
    </w:p>
    <w:p>
      <w:pPr>
        <w:ind w:right="70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by line item in the condensed consolidated statements of operations (in thousands):</w:t>
      </w:r>
    </w:p>
    <w:tbl>
      <w:tblPr>
        <w:tblLayout w:type="fixed"/>
        <w:tblInd w:w="0" w:type="dxa"/>
        <w:tblCellMar>
          <w:top w:w="0" w:type="dxa"/>
          <w:left w:w="0" w:type="dxa"/>
          <w:bottom w:w="0" w:type="dxa"/>
          <w:right w:w="0" w:type="dxa"/>
        </w:tblCellMar>
      </w:tblPr>
      <w:tr>
        <w:trPr>
          <w:trHeight w:val="138"/>
        </w:trPr>
        <w:tc>
          <w:tcPr>
            <w:tcW w:w="5900" w:type="dxa"/>
            <w:vAlign w:val="bottom"/>
          </w:tcPr>
          <w:p>
            <w:pPr>
              <w:spacing w:after="0"/>
              <w:rPr>
                <w:sz w:val="12"/>
                <w:szCs w:val="12"/>
                <w:color w:val="auto"/>
              </w:rPr>
            </w:pPr>
          </w:p>
        </w:tc>
        <w:tc>
          <w:tcPr>
            <w:tcW w:w="2240" w:type="dxa"/>
            <w:vAlign w:val="bottom"/>
            <w:gridSpan w:val="4"/>
          </w:tcPr>
          <w:p>
            <w:pPr>
              <w:jc w:val="right"/>
              <w:ind w:right="240"/>
              <w:spacing w:after="0" w:line="13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gridSpan w:val="5"/>
          </w:tcPr>
          <w:p>
            <w:pPr>
              <w:ind w:left="320"/>
              <w:spacing w:after="0" w:line="13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9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61"/>
        </w:trPr>
        <w:tc>
          <w:tcPr>
            <w:tcW w:w="590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60" w:type="dxa"/>
            <w:vAlign w:val="bottom"/>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6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FF0FC"/>
          </w:tcPr>
          <w:p>
            <w:pPr>
              <w:spacing w:after="0"/>
              <w:rPr>
                <w:sz w:val="21"/>
                <w:szCs w:val="21"/>
                <w:color w:val="auto"/>
              </w:rPr>
            </w:pPr>
          </w:p>
        </w:tc>
      </w:tr>
      <w:tr>
        <w:trPr>
          <w:trHeight w:val="23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6,077</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00" w:type="dxa"/>
            <w:vAlign w:val="bottom"/>
          </w:tcPr>
          <w:p>
            <w:pPr>
              <w:spacing w:after="0"/>
              <w:rPr>
                <w:sz w:val="20"/>
                <w:szCs w:val="20"/>
                <w:color w:val="auto"/>
              </w:rPr>
            </w:pPr>
          </w:p>
        </w:tc>
      </w:tr>
      <w:tr>
        <w:trPr>
          <w:trHeight w:val="243"/>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7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5900" w:type="dxa"/>
            <w:vAlign w:val="bottom"/>
          </w:tcPr>
          <w:p>
            <w:pPr>
              <w:ind w:left="200"/>
              <w:spacing w:after="0" w:line="241" w:lineRule="exact"/>
              <w:rPr>
                <w:sz w:val="20"/>
                <w:szCs w:val="20"/>
                <w:color w:val="auto"/>
              </w:rPr>
            </w:pPr>
            <w:r>
              <w:rPr>
                <w:rFonts w:ascii="Times New Roman" w:cs="Times New Roman" w:eastAsia="Times New Roman" w:hAnsi="Times New Roman"/>
                <w:sz w:val="18"/>
                <w:szCs w:val="18"/>
                <w:color w:val="auto"/>
              </w:rPr>
              <w:t xml:space="preserve">Stock-based compensation expense, net of amounts capitalized </w:t>
            </w:r>
            <w:r>
              <w:rPr>
                <w:rFonts w:ascii="Times New Roman" w:cs="Times New Roman" w:eastAsia="Times New Roman" w:hAnsi="Times New Roman"/>
                <w:sz w:val="24"/>
                <w:szCs w:val="24"/>
                <w:color w:val="auto"/>
                <w:vertAlign w:val="superscript"/>
              </w:rPr>
              <w:t>(1)</w:t>
            </w:r>
          </w:p>
        </w:tc>
        <w:tc>
          <w:tcPr>
            <w:tcW w:w="76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7,424</w:t>
            </w: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23,125</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23,269</w:t>
            </w:r>
          </w:p>
        </w:tc>
        <w:tc>
          <w:tcPr>
            <w:tcW w:w="1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900" w:type="dxa"/>
            <w:vAlign w:val="bottom"/>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Excess income tax benefits (deficiencies) related to stock-based</w:t>
            </w:r>
          </w:p>
        </w:tc>
        <w:tc>
          <w:tcPr>
            <w:tcW w:w="7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8"/>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compensation expense</w:t>
            </w:r>
          </w:p>
        </w:tc>
        <w:tc>
          <w:tcPr>
            <w:tcW w:w="760" w:type="dxa"/>
            <w:vAlign w:val="bottom"/>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6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-478790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-478790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-478790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left="840" w:hanging="368"/>
        <w:spacing w:after="0"/>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Stock-based compensation expense capitalized were not material for each of the periods presented.</w:t>
      </w:r>
    </w:p>
    <w:p>
      <w:pPr>
        <w:spacing w:after="0" w:line="122"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summarizes by type of grant, the total unrecognized stock-based compensation expense and the remaining period over which such expense is expected to be recognized (in thousands, except number of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31"/>
        </w:trPr>
        <w:tc>
          <w:tcPr>
            <w:tcW w:w="7660" w:type="dxa"/>
            <w:vAlign w:val="bottom"/>
          </w:tcPr>
          <w:p>
            <w:pPr>
              <w:spacing w:after="0"/>
              <w:rPr>
                <w:sz w:val="11"/>
                <w:szCs w:val="11"/>
                <w:color w:val="auto"/>
              </w:rPr>
            </w:pPr>
          </w:p>
        </w:tc>
        <w:tc>
          <w:tcPr>
            <w:tcW w:w="15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260" w:type="dxa"/>
            <w:vAlign w:val="bottom"/>
          </w:tcPr>
          <w:p>
            <w:pPr>
              <w:spacing w:after="0"/>
              <w:rPr>
                <w:sz w:val="11"/>
                <w:szCs w:val="11"/>
                <w:color w:val="auto"/>
              </w:rPr>
            </w:pPr>
          </w:p>
        </w:tc>
        <w:tc>
          <w:tcPr>
            <w:tcW w:w="17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Remaining weighted</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period (In years)</w:t>
            </w:r>
          </w:p>
        </w:tc>
        <w:tc>
          <w:tcPr>
            <w:tcW w:w="0" w:type="dxa"/>
            <w:vAlign w:val="bottom"/>
          </w:tcPr>
          <w:p>
            <w:pPr>
              <w:spacing w:after="0"/>
              <w:rPr>
                <w:sz w:val="1"/>
                <w:szCs w:val="1"/>
                <w:color w:val="auto"/>
              </w:rPr>
            </w:pPr>
          </w:p>
        </w:tc>
      </w:tr>
      <w:tr>
        <w:trPr>
          <w:trHeight w:val="61"/>
        </w:trPr>
        <w:tc>
          <w:tcPr>
            <w:tcW w:w="7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8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26,676</w:t>
            </w:r>
          </w:p>
        </w:tc>
        <w:tc>
          <w:tcPr>
            <w:tcW w:w="200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7"/>
              </w:rPr>
              <w:t>2.6</w:t>
            </w: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26,974</w:t>
            </w:r>
          </w:p>
        </w:tc>
        <w:tc>
          <w:tcPr>
            <w:tcW w:w="20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7"/>
              </w:rPr>
              <w:t>2.7</w:t>
            </w: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PSUs </w:t>
            </w:r>
            <w:r>
              <w:rPr>
                <w:rFonts w:ascii="Times New Roman" w:cs="Times New Roman" w:eastAsia="Times New Roman" w:hAnsi="Times New Roman"/>
                <w:sz w:val="24"/>
                <w:szCs w:val="24"/>
                <w:color w:val="auto"/>
                <w:vertAlign w:val="superscript"/>
              </w:rPr>
              <w:t>(1)</w:t>
            </w: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5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72"/>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58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54,074</w:t>
            </w:r>
          </w:p>
        </w:tc>
        <w:tc>
          <w:tcPr>
            <w:tcW w:w="260" w:type="dxa"/>
            <w:vAlign w:val="bottom"/>
            <w:tcBorders>
              <w:bottom w:val="single" w:sz="8" w:color="CFF0FC"/>
            </w:tcBorders>
            <w:shd w:val="clear" w:color="auto" w:fill="CFF0FC"/>
          </w:tcPr>
          <w:p>
            <w:pPr>
              <w:spacing w:after="0"/>
              <w:rPr>
                <w:sz w:val="23"/>
                <w:szCs w:val="23"/>
                <w:color w:val="auto"/>
              </w:rPr>
            </w:pPr>
          </w:p>
        </w:tc>
        <w:tc>
          <w:tcPr>
            <w:tcW w:w="17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840" w:right="40" w:hanging="368"/>
        <w:spacing w:after="0" w:line="280"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As of September 30, 2024, we assessed the likelihood of achieving the financial targets for the PSUs and determined that it was not probable to be achieved. As such, no PSU stock-based compensation expense was recognized in the three months ended September 30, 2024, and there is no unrecognized stock-based compensation expense remaining as of September 30, 2024.</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loss per share (in thousands, except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61"/>
        </w:trPr>
        <w:tc>
          <w:tcPr>
            <w:tcW w:w="5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(51,586 )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(86,122 )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(8,613 )</w:t>
            </w:r>
          </w:p>
        </w:tc>
      </w:tr>
      <w:tr>
        <w:trPr>
          <w:trHeight w:val="247"/>
        </w:trPr>
        <w:tc>
          <w:tcPr>
            <w:tcW w:w="5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Corsair Gaming, Inc.</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(51,708 )</w:t>
            </w:r>
          </w:p>
        </w:tc>
        <w:tc>
          <w:tcPr>
            <w:tcW w:w="3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(3,079 )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(87,467 )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(9,571 )</w:t>
            </w:r>
          </w:p>
        </w:tc>
      </w:tr>
      <w:tr>
        <w:trPr>
          <w:trHeight w:val="247"/>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(6,684 )</w:t>
            </w:r>
          </w:p>
        </w:tc>
        <w:tc>
          <w:tcPr>
            <w:tcW w:w="3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(13,044 )</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00" w:type="dxa"/>
            <w:vAlign w:val="bottom"/>
            <w:shd w:val="clear" w:color="auto" w:fill="CFF0FC"/>
          </w:tcPr>
          <w:p>
            <w:pPr>
              <w:spacing w:after="0"/>
              <w:rPr>
                <w:sz w:val="21"/>
                <w:szCs w:val="2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 of Corsair Gaming,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(58,392 )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(100,511 )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(3,036 )</w:t>
            </w: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104,397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102,288</w:t>
            </w:r>
          </w:p>
        </w:tc>
        <w:tc>
          <w:tcPr>
            <w:tcW w:w="100" w:type="dxa"/>
            <w:vAlign w:val="bottom"/>
          </w:tcPr>
          <w:p>
            <w:pPr>
              <w:spacing w:after="0"/>
              <w:rPr>
                <w:sz w:val="20"/>
                <w:szCs w:val="20"/>
                <w:color w:val="auto"/>
              </w:rPr>
            </w:pPr>
          </w:p>
        </w:tc>
      </w:tr>
      <w:tr>
        <w:trPr>
          <w:trHeight w:val="243"/>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diluted weighted-average shares outstanding</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104,397</w:t>
            </w: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102,863</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103,974</w:t>
            </w:r>
          </w:p>
        </w:tc>
        <w:tc>
          <w:tcPr>
            <w:tcW w:w="2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102,288</w:t>
            </w:r>
          </w:p>
        </w:tc>
        <w:tc>
          <w:tcPr>
            <w:tcW w:w="100" w:type="dxa"/>
            <w:vAlign w:val="bottom"/>
            <w:tcBorders>
              <w:top w:val="single" w:sz="8" w:color="CFF0FC"/>
            </w:tcBorders>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of Corsair</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2"/>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Gaming, Inc.:</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(0.03 )</w:t>
            </w:r>
          </w:p>
        </w:tc>
      </w:tr>
      <w:tr>
        <w:trPr>
          <w:trHeight w:val="20"/>
        </w:trPr>
        <w:tc>
          <w:tcPr>
            <w:tcW w:w="5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(0.56 )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(0.97 )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(0.03 )</w:t>
            </w:r>
          </w:p>
        </w:tc>
      </w:tr>
      <w:tr>
        <w:trPr>
          <w:trHeight w:val="408"/>
        </w:trPr>
        <w:tc>
          <w:tcPr>
            <w:tcW w:w="5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Anti-dilutive potential common shares </w:t>
            </w:r>
            <w:r>
              <w:rPr>
                <w:rFonts w:ascii="Calibri" w:cs="Calibri" w:eastAsia="Calibri" w:hAnsi="Calibri"/>
                <w:sz w:val="26"/>
                <w:szCs w:val="26"/>
                <w:color w:val="auto"/>
                <w:vertAlign w:val="superscript"/>
              </w:rPr>
              <w:t>(1)</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2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13,553</w:t>
            </w:r>
          </w:p>
        </w:tc>
        <w:tc>
          <w:tcPr>
            <w:tcW w:w="2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-2229485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-2229485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-2229485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-2229485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-1912620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-1912620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-1912620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-1912620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-1261745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-1261745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-1261745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-1261745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-294005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-276860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-294005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-276860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-294005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-276860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-294005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-276860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left="900" w:hanging="518"/>
        <w:spacing w:after="0"/>
        <w:tabs>
          <w:tab w:leader="none" w:pos="90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Potential common share equivalents were not included in the calculation of diluted net loss per share as the effect would have been anti-dilutive.</w:t>
      </w:r>
    </w:p>
    <w:p>
      <w:pPr>
        <w:spacing w:after="0" w:line="22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presents our loss before income taxes, income tax benefit and effective income tax rates for all periods presented (in thousands, except percentages):</w:t>
      </w:r>
    </w:p>
    <w:tbl>
      <w:tblPr>
        <w:tblLayout w:type="fixed"/>
        <w:tblInd w:w="0" w:type="dxa"/>
        <w:tblCellMar>
          <w:top w:w="0" w:type="dxa"/>
          <w:left w:w="0" w:type="dxa"/>
          <w:bottom w:w="0" w:type="dxa"/>
          <w:right w:w="0" w:type="dxa"/>
        </w:tblCellMar>
      </w:tblPr>
      <w:tr>
        <w:trPr>
          <w:trHeight w:val="138"/>
        </w:trPr>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6"/>
          </w:tcPr>
          <w:p>
            <w:pPr>
              <w:jc w:val="right"/>
              <w:ind w:right="1120"/>
              <w:spacing w:after="0" w:line="13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20" w:type="dxa"/>
            <w:vAlign w:val="bottom"/>
            <w:gridSpan w:val="6"/>
          </w:tcPr>
          <w:p>
            <w:pPr>
              <w:jc w:val="right"/>
              <w:ind w:right="800"/>
              <w:spacing w:after="0" w:line="13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5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61"/>
        </w:trPr>
        <w:tc>
          <w:tcPr>
            <w:tcW w:w="5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(24,568 )   $</w:t>
            </w:r>
          </w:p>
        </w:tc>
        <w:tc>
          <w:tcPr>
            <w:tcW w:w="12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(2,983 )  $</w:t>
            </w:r>
          </w:p>
        </w:tc>
        <w:tc>
          <w:tcPr>
            <w:tcW w:w="14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(64,882 )  $</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(11,636 )</w:t>
            </w:r>
          </w:p>
        </w:tc>
        <w:tc>
          <w:tcPr>
            <w:tcW w:w="60" w:type="dxa"/>
            <w:vAlign w:val="bottom"/>
          </w:tcPr>
          <w:p>
            <w:pPr>
              <w:spacing w:after="0"/>
              <w:rPr>
                <w:sz w:val="21"/>
                <w:szCs w:val="21"/>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(27,018 )</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(21,240 )</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(110.0 )%</w:t>
            </w:r>
          </w:p>
        </w:tc>
        <w:tc>
          <w:tcPr>
            <w:tcW w:w="3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(32.7 )%</w:t>
            </w:r>
          </w:p>
        </w:tc>
        <w:tc>
          <w:tcPr>
            <w:tcW w:w="3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changes in management’s assessment of matters such as the ability to realize deferred tax assets, and changes in tax laws.</w:t>
      </w:r>
    </w:p>
    <w:p>
      <w:pPr>
        <w:spacing w:after="0" w:line="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assess our deferred tax assets and liabilities to determine if it is more likely than not they will be realized; if not, a valuation allowance is required to be recorded. During the three months ended September 30, 2024, we have reached a cumulative loss position over the previous three years, and with consideration of other negative evidence, we concluded that U.S. federal and state deferred tax assets are not more likely than not to be realizable. As a result of the foregoing, a full valuation allowance was recorded in the current quarter. The deferred tax liability related to indefinite-lived assets was excluded from sources of future taxable income, as the timing of its reversal cannot be predicted due to the nature of its indefinite life.</w:t>
      </w:r>
    </w:p>
    <w:p>
      <w:pPr>
        <w:spacing w:after="0" w:line="74"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Our effective tax rates were tax expense of (110.0)% and tax benefit of 3.3% for the three months ended September 30, 2024 and 2023, respectively. The change in our effective rate in the three-month period was primarily due to an income tax provision of $28.0 million for valuation allowance recorded against our U.S. federal and state deferred tax assets, partially offset by a tax benefit recognized for the transfer of customer relationship intangible asset from Hong Kong to United Kingdom as a result of our global tax restructuring initiative completed on July 1, 2024.</w:t>
      </w:r>
    </w:p>
    <w:p>
      <w:pPr>
        <w:spacing w:after="0" w:line="74"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Our effective tax rates were tax expense of (32.7)% and tax benefit of 26.0% for the nine months ended September 30, 2024 and 2023, respectively. The change in our effective rate in the nine-month period was primarily due to a change in the mix of income and losses in the various tax jurisdictions in which we operate, an income tax provision of $28.0 million for valuation allowance recorded</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Corsair Gaming, Inc. | Q3 2024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against our U.S. federal and state deferred tax assets, partially offset by a tax benefit recognized for the transfer of customer relationship intangible asset from Hong Kong to United Kingdom as a result of our global tax restructuring initiative completed on July 1, 2024.</w:t>
      </w:r>
    </w:p>
    <w:p>
      <w:pPr>
        <w:spacing w:after="0" w:line="55"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Unrecognized tax benefits were $3.8 million as of September 30, 2024 and $3.5 million as of December 31, 2023, respectively, and if recognized, would favorably affect the effective income tax rate in future periods.</w:t>
      </w:r>
    </w:p>
    <w:p>
      <w:pPr>
        <w:spacing w:after="0" w:line="5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that was supported by over 130 countries worldwide. The EU effective dates are January 1, 2024, and January 1, 2025, for different aspects of the directive. A significant number of other countries are expected to also implement similar legislation, including United Kingdom which approved the legislation on July 11, 2023 with a full effective date of January 1, 2024. We have evaluated the potential impact from the OECD Pillar Two rules and determined that there is no impact to our financial position for the year 2024.</w:t>
      </w:r>
    </w:p>
    <w:p>
      <w:pPr>
        <w:spacing w:after="0" w:line="182" w:lineRule="exact"/>
        <w:rPr>
          <w:sz w:val="20"/>
          <w:szCs w:val="20"/>
          <w:color w:val="auto"/>
        </w:rPr>
      </w:pPr>
    </w:p>
    <w:p>
      <w:pPr>
        <w:ind w:left="520" w:right="8040" w:hanging="512"/>
        <w:spacing w:after="0" w:line="397" w:lineRule="auto"/>
        <w:tabs>
          <w:tab w:leader="none" w:pos="281"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Segment and Geographic Information </w:t>
      </w:r>
      <w:r>
        <w:rPr>
          <w:rFonts w:ascii="Times New Roman" w:cs="Times New Roman" w:eastAsia="Times New Roman" w:hAnsi="Times New Roman"/>
          <w:sz w:val="17"/>
          <w:szCs w:val="17"/>
          <w:color w:val="auto"/>
        </w:rPr>
        <w:t>We have two reportable segments:</w:t>
      </w:r>
    </w:p>
    <w:p>
      <w:pPr>
        <w:ind w:left="1260" w:right="20" w:hanging="368"/>
        <w:spacing w:after="0" w:line="268" w:lineRule="auto"/>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streaming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includes capture cards, Stream Decks, microphones and audio interfaces, our Facecam streaming cameras, studio accessories, sim racing products, and gaming furniture, among others.</w:t>
      </w:r>
    </w:p>
    <w:p>
      <w:pPr>
        <w:spacing w:after="0" w:line="61" w:lineRule="exact"/>
        <w:rPr>
          <w:rFonts w:ascii="Times New Roman" w:cs="Times New Roman" w:eastAsia="Times New Roman" w:hAnsi="Times New Roman"/>
          <w:sz w:val="18"/>
          <w:szCs w:val="18"/>
          <w:color w:val="auto"/>
        </w:rPr>
      </w:pPr>
    </w:p>
    <w:p>
      <w:pPr>
        <w:ind w:left="1260" w:right="60" w:hanging="368"/>
        <w:spacing w:after="0" w:line="286" w:lineRule="auto"/>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DRAM modules, as well as high-end prebuilt and custom-built gaming PCs and laptops, and gaming monitors, among others.</w:t>
      </w:r>
    </w:p>
    <w:p>
      <w:pPr>
        <w:spacing w:after="0" w:line="50"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The segments are defined as those operations our CODM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financial information for each reportable segment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61"/>
        </w:trPr>
        <w:tc>
          <w:tcPr>
            <w:tcW w:w="5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3"/>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2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101,966</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303,168</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258,053</w:t>
            </w:r>
          </w:p>
        </w:tc>
        <w:tc>
          <w:tcPr>
            <w:tcW w:w="100" w:type="dxa"/>
            <w:vAlign w:val="bottom"/>
          </w:tcPr>
          <w:p>
            <w:pPr>
              <w:spacing w:after="0"/>
              <w:rPr>
                <w:sz w:val="20"/>
                <w:szCs w:val="20"/>
                <w:color w:val="auto"/>
              </w:rPr>
            </w:pPr>
          </w:p>
        </w:tc>
      </w:tr>
      <w:tr>
        <w:trPr>
          <w:trHeight w:val="243"/>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202,233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272,837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599,588</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784,536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304,199</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363,193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902,756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1,042,589</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39,032</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118,374</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82,085</w:t>
            </w:r>
          </w:p>
        </w:tc>
        <w:tc>
          <w:tcPr>
            <w:tcW w:w="100" w:type="dxa"/>
            <w:vAlign w:val="bottom"/>
          </w:tcPr>
          <w:p>
            <w:pPr>
              <w:spacing w:after="0"/>
              <w:rPr>
                <w:sz w:val="20"/>
                <w:szCs w:val="20"/>
                <w:color w:val="auto"/>
              </w:rPr>
            </w:pPr>
          </w:p>
        </w:tc>
      </w:tr>
      <w:tr>
        <w:trPr>
          <w:trHeight w:val="243"/>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30,629</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101,011</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69,661</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219,385</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257,589</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-992505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-992505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-992505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-187960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-187960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-187960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CODM manages assets on a total company basis, not by operating segments; therefore, asset information and capital expenditures by operating segments are not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net revenue by geographic region based on the location of the customer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61"/>
        </w:trPr>
        <w:tc>
          <w:tcPr>
            <w:tcW w:w="5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3"/>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2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156,110</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181,218</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477,485</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536,143</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Europe and Middle East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116,783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132,641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318,872</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351,212</w:t>
            </w:r>
          </w:p>
        </w:tc>
        <w:tc>
          <w:tcPr>
            <w:tcW w:w="100" w:type="dxa"/>
            <w:vAlign w:val="bottom"/>
            <w:shd w:val="clear" w:color="auto" w:fill="CFF0FC"/>
          </w:tcPr>
          <w:p>
            <w:pPr>
              <w:spacing w:after="0"/>
              <w:rPr>
                <w:sz w:val="21"/>
                <w:szCs w:val="21"/>
                <w:color w:val="auto"/>
              </w:rPr>
            </w:pPr>
          </w:p>
        </w:tc>
      </w:tr>
      <w:tr>
        <w:trPr>
          <w:trHeight w:val="26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49,334</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106,399</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155,234</w:t>
            </w:r>
          </w:p>
        </w:tc>
        <w:tc>
          <w:tcPr>
            <w:tcW w:w="100" w:type="dxa"/>
            <w:vAlign w:val="bottom"/>
          </w:tcPr>
          <w:p>
            <w:pPr>
              <w:spacing w:after="0"/>
              <w:rPr>
                <w:sz w:val="22"/>
                <w:szCs w:val="22"/>
                <w:color w:val="auto"/>
              </w:rPr>
            </w:pPr>
          </w:p>
        </w:tc>
      </w:tr>
      <w:tr>
        <w:trPr>
          <w:trHeight w:val="265"/>
        </w:trPr>
        <w:tc>
          <w:tcPr>
            <w:tcW w:w="584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tcBorders>
              <w:top w:val="single" w:sz="8" w:color="CFF0FC"/>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304,199</w:t>
            </w:r>
          </w:p>
        </w:tc>
        <w:tc>
          <w:tcPr>
            <w:tcW w:w="240" w:type="dxa"/>
            <w:vAlign w:val="bottom"/>
            <w:tcBorders>
              <w:top w:val="single" w:sz="8" w:color="CFF0FC"/>
              <w:bottom w:val="single" w:sz="8" w:color="CFF0FC"/>
            </w:tcBorders>
            <w:shd w:val="clear" w:color="auto" w:fill="CFF0FC"/>
          </w:tcPr>
          <w:p>
            <w:pPr>
              <w:spacing w:after="0"/>
              <w:rPr>
                <w:sz w:val="23"/>
                <w:szCs w:val="23"/>
                <w:color w:val="auto"/>
              </w:rPr>
            </w:pPr>
          </w:p>
        </w:tc>
        <w:tc>
          <w:tcPr>
            <w:tcW w:w="360" w:type="dxa"/>
            <w:vAlign w:val="bottom"/>
            <w:tcBorders>
              <w:top w:val="single" w:sz="8" w:color="CFF0FC"/>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363,193</w:t>
            </w:r>
          </w:p>
        </w:tc>
        <w:tc>
          <w:tcPr>
            <w:tcW w:w="240" w:type="dxa"/>
            <w:vAlign w:val="bottom"/>
            <w:tcBorders>
              <w:top w:val="single" w:sz="8" w:color="CFF0FC"/>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902,756</w:t>
            </w:r>
          </w:p>
        </w:tc>
        <w:tc>
          <w:tcPr>
            <w:tcW w:w="220" w:type="dxa"/>
            <w:vAlign w:val="bottom"/>
            <w:tcBorders>
              <w:top w:val="single" w:sz="8" w:color="CFF0FC"/>
              <w:bottom w:val="single" w:sz="8" w:color="CFF0FC"/>
            </w:tcBorders>
            <w:shd w:val="clear" w:color="auto" w:fill="CFF0FC"/>
          </w:tcPr>
          <w:p>
            <w:pPr>
              <w:spacing w:after="0"/>
              <w:rPr>
                <w:sz w:val="23"/>
                <w:szCs w:val="23"/>
                <w:color w:val="auto"/>
              </w:rPr>
            </w:pPr>
          </w:p>
        </w:tc>
        <w:tc>
          <w:tcPr>
            <w:tcW w:w="360" w:type="dxa"/>
            <w:vAlign w:val="bottom"/>
            <w:tcBorders>
              <w:top w:val="single" w:sz="8" w:color="CFF0FC"/>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1,042,589</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-24765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-187960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Q3 2024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Revenues from sales to customers in the United States represented 54.8% and 42.9% for the three months ended September 30, 2024 and 2023, respectively, and represented 53.7% and 45.0% for the nine months ended September 30, 2024 and 2023, respectively. No other single country represented 10% or more of total net revenue during these periods.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 table sets forth the customers that individually comprised 10% or more of our total net revenue for the periods presented: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28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57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3"/>
        </w:trPr>
        <w:tc>
          <w:tcPr>
            <w:tcW w:w="5700" w:type="dxa"/>
            <w:vAlign w:val="bottom"/>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9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35.0 %</w:t>
            </w:r>
          </w:p>
        </w:tc>
        <w:tc>
          <w:tcPr>
            <w:tcW w:w="82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31.6 %</w:t>
            </w:r>
          </w:p>
        </w:tc>
        <w:tc>
          <w:tcPr>
            <w:tcW w:w="780" w:type="dxa"/>
            <w:vAlign w:val="bottom"/>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31.5 %</w:t>
            </w:r>
          </w:p>
        </w:tc>
        <w:tc>
          <w:tcPr>
            <w:tcW w:w="7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4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10.1 %</w:t>
            </w:r>
          </w:p>
        </w:tc>
        <w:tc>
          <w:tcPr>
            <w:tcW w:w="7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left="660" w:hanging="143"/>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represents less than 10% of our total net revenue in the period presented.</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 ("RNCI")</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RNCI, included in temporary equity on our condensed consolidated balance sheet, of $14.4 million and $15.9 million as of September 30, 2024 and December 31, 2023, represented 19% and 29% interest in Elgato iDisplay Holdings LTD. and its related companies (together “iDisplay”), respectively, that were not acquired by Corsair. In addition, we have nonredeemable noncontrolling interest (“Non-RNCI”) in iDisplay recorded at carrying value which do not have redemption features and are classified within permanent equity in our condensed consolidated balance sheet of $10.5 million as of December 31, 2024, representing 20% interest in iDisplay not acquired by Corsair. We do not have any Non-RNCI outstanding at September 30, 2024.</w:t>
      </w:r>
    </w:p>
    <w:p>
      <w:pPr>
        <w:spacing w:after="0" w:line="74"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RNCI that is redeemable and not solely within our control is classified within temporary equity in our condensed consolidated balance sheet. RNCI is measured at the greater of the redemption value, or the carrying value before giving effect to the redemption feature. The redemption value is calculated based on the formula stipulated in the Shareholders Agreement between the iDisplay Seller and Corsair and including the amounts for dividends not currently declared or paid, for which the payment is not solely within our control. The redemption value is remeasured each quarter and changes in the value are recognized immediately. Any resulting change in the value of the redeemable noncontrolling interest is recognized through retained earnings and this adjustment also impacts the net income or loss attributable to common stockholders of Corsair Gaming, Inc used in the net income (loss) per share calculation.</w:t>
      </w:r>
    </w:p>
    <w:p>
      <w:pPr>
        <w:spacing w:after="0" w:line="79" w:lineRule="exact"/>
        <w:rPr>
          <w:sz w:val="20"/>
          <w:szCs w:val="20"/>
          <w:color w:val="auto"/>
        </w:rPr>
      </w:pPr>
    </w:p>
    <w:p>
      <w:pPr>
        <w:jc w:val="both"/>
        <w:ind w:right="280" w:firstLine="509"/>
        <w:spacing w:after="0" w:line="288" w:lineRule="auto"/>
        <w:rPr>
          <w:sz w:val="20"/>
          <w:szCs w:val="20"/>
          <w:color w:val="auto"/>
        </w:rPr>
      </w:pPr>
      <w:r>
        <w:rPr>
          <w:rFonts w:ascii="Times New Roman" w:cs="Times New Roman" w:eastAsia="Times New Roman" w:hAnsi="Times New Roman"/>
          <w:sz w:val="17"/>
          <w:szCs w:val="17"/>
          <w:color w:val="auto"/>
        </w:rPr>
        <w:t>On January 1, 2022, we acquired a 51% controlling interest in iDisplay and entered into a Shareholders Agreement (the “SHA”) with the iDisplay Seller which provided a put option to the iDisplay Seller to sell and a call option for us to purchase up to 29% of the remaining interests in iDisplay. The exercise price of the put and call option under the SHA is based on certain prescribed multiples of iDisplay’s historical TTM EBITDA less any debt.</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Corsair and the iDisplay Seller did not exercise their call or put option under the SHA, but instead on July 1, 2024 (the “Execution Date”), Corsair entered into a Share Purchase Amendment Agreement (the “SPAA”) with the iDisplay Seller to purchase an additional 30% ownership stake in iDisplay for a cash consideration of $19.8 million (the “Additional Purchase Transaction”). The closing conditions of the SPAA were completed on July 8, 2024 (the “Closing Date”) along with our payment of the cash consideration. As a result, our total ownership stake in iDisplay increased from 51% to 81%, and correspondingly, iDisplay Seller's ownership interest in iDisplay decreased from 49% to 19%.</w:t>
      </w:r>
    </w:p>
    <w:p>
      <w:pPr>
        <w:spacing w:after="0" w:line="7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SPAA also replaced the call option and put option in the SHA with new options. Under the SPAA, a put option (the “Put Option”) was provided to the iDisplay Seller to sell up to 19% of the remaining ownership interest in iDisplay to Corsair within one year after the fifth anniversary date of the Execution Date, and a call option (the “Call Option”) was provided to Corsair to purchase up to 19% of the remaining ownership interest in iDisplay at any time after the second anniversary of the Execution Date. The exercise price of the Put Option and Call Option remain the same as the terms defined in the SHA. In addition, if the founder of iDisplay ceases to serve as the manager of iDisplay, voluntarily or with cause, we are entitled to an irrevocable call option to purchase up to 19% ownership interest in iDisplay at any time during the five years after the Execution Date and the exercise price is based on a prescribed multiple of TTM EBITDA.</w:t>
      </w:r>
    </w:p>
    <w:p>
      <w:pPr>
        <w:spacing w:after="0" w:line="79"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According to the applicable accounting guidance, purchase of noncontrolling interest that does not result in a change in control of the subsidiary is accounted for as equity transaction. Since we continue to maintain control of iDisplay after the Additional Purchase Transaction, the net deficit of $1.6 million, net of tax impact, between the consideration paid for the additional 30%</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Corsair Gaming, Inc. | Q3 2024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ownership stake and its carrying value as of the Closing Date was recognized as an adjustment to our additional paid-in capital in the three months ended September 30, 2024.</w:t>
      </w:r>
    </w:p>
    <w:p>
      <w:pPr>
        <w:spacing w:after="0" w:line="55"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Additionally, according to the SPAA, the remaining 19% interest in iDisplay not acquired by Corsair is subject to redemption by the iDisplay Seller through the Put Option. Since the redemption is not solely within our control, the carrying value of the remaining 19% interest in iDisplay is classified as temporary equity in our condensed consolidated balance sheet effective from the Closing Date.</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RNCI for the periods presented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4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0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74"/>
        </w:trPr>
        <w:tc>
          <w:tcPr>
            <w:tcW w:w="6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21,667</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21,367</w:t>
            </w:r>
          </w:p>
        </w:tc>
        <w:tc>
          <w:tcPr>
            <w:tcW w:w="100" w:type="dxa"/>
            <w:vAlign w:val="bottom"/>
            <w:shd w:val="clear" w:color="auto" w:fill="CFF0FC"/>
          </w:tcPr>
          <w:p>
            <w:pPr>
              <w:spacing w:after="0"/>
              <w:rPr>
                <w:sz w:val="21"/>
                <w:szCs w:val="21"/>
                <w:color w:val="auto"/>
              </w:rPr>
            </w:pPr>
          </w:p>
        </w:tc>
      </w:tr>
      <w:tr>
        <w:trPr>
          <w:trHeight w:val="238"/>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of net income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0"/>
                <w:szCs w:val="20"/>
                <w:color w:val="auto"/>
              </w:rPr>
            </w:pPr>
          </w:p>
        </w:tc>
      </w:tr>
      <w:tr>
        <w:trPr>
          <w:trHeight w:val="247"/>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of other comprehensive income (loss)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(118 )</w:t>
            </w: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(171 )</w:t>
            </w:r>
          </w:p>
        </w:tc>
      </w:tr>
      <w:tr>
        <w:trPr>
          <w:trHeight w:val="238"/>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paid</w:t>
            </w: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(2,202 )</w:t>
            </w:r>
          </w:p>
        </w:tc>
        <w:tc>
          <w:tcPr>
            <w:tcW w:w="3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(580 )</w:t>
            </w: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(580 )</w:t>
            </w:r>
          </w:p>
        </w:tc>
      </w:tr>
      <w:tr>
        <w:trPr>
          <w:trHeight w:val="247"/>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redemption value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(6,535 )</w:t>
            </w:r>
          </w:p>
        </w:tc>
      </w:tr>
      <w:tr>
        <w:trPr>
          <w:trHeight w:val="238"/>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additional ownership interest</w:t>
            </w: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(20,452 )</w:t>
            </w:r>
          </w:p>
        </w:tc>
        <w:tc>
          <w:tcPr>
            <w:tcW w:w="3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(20,452 )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080" w:type="dxa"/>
            <w:vAlign w:val="bottom"/>
            <w:shd w:val="clear" w:color="auto" w:fill="CFF0FC"/>
          </w:tcPr>
          <w:p>
            <w:pPr>
              <w:ind w:left="120"/>
              <w:spacing w:after="0" w:line="247"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14,387</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14,387</w:t>
            </w: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100" w:type="dxa"/>
            <w:vAlign w:val="bottom"/>
            <w:tcBorders>
              <w:top w:val="single" w:sz="8" w:color="CFF0FC"/>
            </w:tcBorders>
          </w:tcPr>
          <w:p>
            <w:pPr>
              <w:spacing w:after="0"/>
              <w:rPr>
                <w:sz w:val="20"/>
                <w:szCs w:val="20"/>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4628515</wp:posOffset>
            </wp:positionH>
            <wp:positionV relativeFrom="paragraph">
              <wp:posOffset>-187960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-187960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-187960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760" w:right="160" w:hanging="378"/>
        <w:spacing w:after="0" w:line="297" w:lineRule="auto"/>
        <w:tabs>
          <w:tab w:leader="none" w:pos="7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This amount represents the reclassification of 19% ownership of iDisplay from noncontrolling interest (presented within permanent equity) to RNCI (presented within temporary equity), effective on the Closing Date of the Additional Purchase Transaction as further described above.</w:t>
      </w:r>
    </w:p>
    <w:p>
      <w:pPr>
        <w:spacing w:after="0" w:line="156"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have a management services agreement with our majority owner in which the majority owner provides management, consulting and advisory services to us. Such services are provided without charge, other than for the reimbursement of travel and out-of-pocket expense as set forth in the management services agreement. Total travel and out-of-pocket expenses incurred were $215 thousand and $54 thousand for the three months ended September 30, 2024 and 2023, respectively. Total travel and out-of-pocket expenses incurred were $232 thousand and $99 thousand for the nine months ended September 30, 2024 and 2023, respectively. The amount owed to the majority owner for such expenses was $121 thousand and $35 thousand as of September 30, 2024 and December 31, 2023,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consolidated financial statements and the related notes included elsewhere in this Quarterly Report on Form 10-Q as well as in conjunction with the Risk Factors set forth in Part I, Item 1A of our Annual Report on Form 10-K for the year ended December 31, 2023, as filed with the United States Securities and Exchange Commission (“SEC”) on February 27, 2024. The following discussion contains forward-looking statements based upon current expectations that involve risks and uncertainties. Our actual results could differ materially from those anticipated in these forward-looking statements as a result of many factors, including but not limited to those discussed under the heading “Risk Factors” in Part I, Item 1A of our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and innovator of high-performance products for gamers and digital creators, such as streamers, Vloggers and broadcasters, many of which build their own PCs using our components. Our industry-leading gaming products help digital athletes, from casual gamers to committed professionals, perform at their peak across PC or console platforms, and our streaming products enable creators to produce studio-quality content to share with friends or to broadcast to millions of fans. Our PC components products offer our customers multiple options to build their customized gaming and workstation desktop PCs. Our solution is the most complete suite of products that address the most critical components for both game performance and streaming. Our product offering is enhanced by our two proprietary software platforms: iCUE for gamers and the Elgato streaming suite for content creators, including our Stream Deck control software, which provide unified, intuitive performance, and aesthetic control and customization across their respective product families. We also offer digital services to enhance the customer experience by integrating esports, Elgato's marketplace, customer care and extended warranty into our product offerings.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group our products into two categories (operating segments):</w:t>
      </w:r>
    </w:p>
    <w:p>
      <w:pPr>
        <w:spacing w:after="0" w:line="113" w:lineRule="exact"/>
        <w:rPr>
          <w:sz w:val="20"/>
          <w:szCs w:val="20"/>
          <w:color w:val="auto"/>
        </w:rPr>
      </w:pPr>
    </w:p>
    <w:p>
      <w:pPr>
        <w:ind w:left="1260" w:right="20" w:hanging="368"/>
        <w:spacing w:after="0" w:line="268"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Gamer and Creator Peripherals. </w:t>
      </w:r>
      <w:r>
        <w:rPr>
          <w:rFonts w:ascii="Times New Roman" w:cs="Times New Roman" w:eastAsia="Times New Roman" w:hAnsi="Times New Roman"/>
          <w:sz w:val="18"/>
          <w:szCs w:val="18"/>
          <w:color w:val="auto"/>
        </w:rPr>
        <w:t>Includes our high-performance gaming keyboards, mice, headsets, controllers, and streaming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includes capture cards, Stream Decks, microphones and audio interfaces, our Facecam streaming cameras, studio accessories, sim racing products and gaming furniture, among others.</w:t>
      </w:r>
    </w:p>
    <w:p>
      <w:pPr>
        <w:spacing w:after="0" w:line="61" w:lineRule="exact"/>
        <w:rPr>
          <w:rFonts w:ascii="Times New Roman" w:cs="Times New Roman" w:eastAsia="Times New Roman" w:hAnsi="Times New Roman"/>
          <w:sz w:val="18"/>
          <w:szCs w:val="18"/>
          <w:color w:val="auto"/>
        </w:rPr>
      </w:pPr>
    </w:p>
    <w:p>
      <w:pPr>
        <w:jc w:val="both"/>
        <w:ind w:left="1260" w:hanging="368"/>
        <w:spacing w:after="0" w:line="268"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Gaming Components and Systems. </w:t>
      </w:r>
      <w:r>
        <w:rPr>
          <w:rFonts w:ascii="Times New Roman" w:cs="Times New Roman" w:eastAsia="Times New Roman" w:hAnsi="Times New Roman"/>
          <w:sz w:val="18"/>
          <w:szCs w:val="18"/>
          <w:color w:val="auto"/>
        </w:rPr>
        <w:t>Includes our high-performance power supply units, or PSUs, cooling solutions, computer cases,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DRAM modules, as well as high-end prebuilt and custom-built gaming PCs and laptops, sim racing products and gaming monitors, among others.</w:t>
      </w:r>
    </w:p>
    <w:p>
      <w:pPr>
        <w:spacing w:after="0" w:line="66"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On September 19, 2024, we completed the acquisition of the Fanatec Business for a purchase consideration of $43.7 million. Refer to Note 5, “Business Combinations-Fanatec Acquisition” for more information on this transaction. The Fanatec sim racing product line, which fully complements our sim racing chassis, gaming PCs, gaming and streaming peripherals, and monitors, will expand our product offerings in these markets. Fanatec’s results of operations are included in our condensed consolidated statements of operations with effect from September 19,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21" w:lineRule="exact"/>
        <w:rPr>
          <w:sz w:val="20"/>
          <w:szCs w:val="20"/>
          <w:color w:val="auto"/>
        </w:rPr>
      </w:pPr>
    </w:p>
    <w:p>
      <w:pPr>
        <w:jc w:val="both"/>
        <w:ind w:right="220" w:firstLine="509"/>
        <w:spacing w:after="0" w:line="265" w:lineRule="auto"/>
        <w:rPr>
          <w:sz w:val="20"/>
          <w:szCs w:val="20"/>
          <w:color w:val="auto"/>
        </w:rPr>
      </w:pPr>
      <w:r>
        <w:rPr>
          <w:rFonts w:ascii="Times New Roman" w:cs="Times New Roman" w:eastAsia="Times New Roman" w:hAnsi="Times New Roman"/>
          <w:sz w:val="18"/>
          <w:szCs w:val="18"/>
          <w:color w:val="auto"/>
        </w:rPr>
        <w:t>Our net revenue was $304.2 million and $363.2 million for the three months ended September 30, 2024, and 2023, respectively. Our gross margin was 22.9% and 24.6% for the three months ended September 30, 2024 and 2023, respectively. We had a net loss of $51.6 million and $2.9 million for the three months ended September 30, 2024 and 2023, respectively.</w:t>
      </w:r>
    </w:p>
    <w:p>
      <w:pPr>
        <w:spacing w:after="0" w:line="69"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As of September 30, 2024, we had cash and restricted cash, in the aggregate of $61.6 million and the principal balance outstanding on our Term Loan was $177.8 million. Cash used in operations was $19.7 million for the nine months ended September 30, 2024, and cash provided by operations was $32.1 million for the nine months ended September 30,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numerous factors, including those discussed under the heading “Risk Factors” in Part I, Item 1A of our Annual Report on Form 10-K for the year ended December 31, 2023 and those described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Conditions</w:t>
      </w:r>
    </w:p>
    <w:p>
      <w:pPr>
        <w:spacing w:after="0" w:line="121"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Our business and financial performance depend significantly on worldwide economic conditions. We continue to face global macroeconomic challenges including the ongoing effects of geopolitical conflicts, such as the ongoing war between Russia and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Ukraine, the ongoing conflict in Gaza, including the heightened tensions in the Red Sea, and any potential conflicts between China and Taiwan, supply chain constraints, uncertainty in key financial markets and the risk of a recession, inflationary trends, volatility in exchange rates and evolving dynamics in the global trade environment. We also experience seasonality in the sale of our products, which may be affected by general economic conditions. The extent of the impact of macroeconomic conditions and geopolitical tensions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spacing w:after="0" w:line="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fluctuations in foreign currency exchange rates. As a result of our foreign sales and operations, we have revenue, payroll and other operating expenses denominated in foreign currencies, in particular the Chinese Yuan, Euro and British Pound. Unfavorable movement in the exchange rate between the U.S. dollar and the currencies we conduct sales or operate in may negatively impact our financial results. While the foreign currency fluctuations did not have a material impact to our operating results for the nine months ending September 30, 2024, there can be no assurance that future foreign currency fluctuations will not have a material impact to our operating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Industry Trends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results of operations and financial condition are impacted by industry trends in the gaming market, including:</w:t>
      </w:r>
    </w:p>
    <w:p>
      <w:pPr>
        <w:spacing w:after="0" w:line="115" w:lineRule="exact"/>
        <w:rPr>
          <w:sz w:val="20"/>
          <w:szCs w:val="20"/>
          <w:color w:val="auto"/>
        </w:rPr>
      </w:pPr>
    </w:p>
    <w:p>
      <w:pPr>
        <w:ind w:left="1260" w:hanging="368"/>
        <w:spacing w:after="0" w:line="269"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Increasing gaming engagement. </w:t>
      </w:r>
      <w:r>
        <w:rPr>
          <w:rFonts w:ascii="Times New Roman" w:cs="Times New Roman" w:eastAsia="Times New Roman" w:hAnsi="Times New Roman"/>
          <w:sz w:val="17"/>
          <w:szCs w:val="17"/>
          <w:color w:val="auto"/>
        </w:rPr>
        <w:t>We believe that gaming’s increasing time share of global entertainment consumption will drive continued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growth in spending on both games and gaming products. Gaming continues to become increasingly social, as streaming viewership becomes more widely adopted along with increasing numbers of content creators. More members of the younger generation are gamers and spend more time on gaming related activities than older generations. We believe these trends will over time bring more gamers and creators to purchase dedicated hardware and help grow the market for peripheral products. The growth of these markets will not be linear, as these markets are impacted by macro-economic and consumer confidence conditions, amongst other conditions. Our Gaming Components and Systems segment makes components used for self-built PCs and full gaming systems. The self-built PC market is heavily influenced by the timing of release of new game titles and next-gen CPUs and GPUs, as discussed in the bullet below. As for the peripherals market, during the first nine months of 2024, our Gamer and Creator Peripherals segment benefited from a slight improvement in the peripherals market compared to the same period last year. We were also able to increase our sales in this segment through expanding our product offerings by adding new products such as our teleprompter offerings, new PC controllers and mobile controllers, and several new keyboards. We expect this trend in peripheral market improvement and expansion to continue into late 2024 and in 2025.</w:t>
      </w:r>
    </w:p>
    <w:p>
      <w:pPr>
        <w:spacing w:after="0" w:line="67" w:lineRule="exact"/>
        <w:rPr>
          <w:rFonts w:ascii="Times New Roman" w:cs="Times New Roman" w:eastAsia="Times New Roman" w:hAnsi="Times New Roman"/>
          <w:sz w:val="17"/>
          <w:szCs w:val="17"/>
          <w:color w:val="auto"/>
        </w:rPr>
      </w:pPr>
    </w:p>
    <w:p>
      <w:pPr>
        <w:ind w:left="1260" w:right="20" w:hanging="368"/>
        <w:spacing w:after="0" w:line="252"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Introduction of new high-performance computing hardware and sophisticated games</w:t>
      </w:r>
      <w:r>
        <w:rPr>
          <w:rFonts w:ascii="Times New Roman" w:cs="Times New Roman" w:eastAsia="Times New Roman" w:hAnsi="Times New Roman"/>
          <w:sz w:val="18"/>
          <w:szCs w:val="18"/>
          <w:color w:val="auto"/>
        </w:rPr>
        <w:t>. We believe that the introduction of more powerful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CPUs and GPUs that place increased demands on other system components, such as memory, power supply or cooling, has a significant effect on increasing the demand for our products. In addition, we believe that the introduction and success of games with sophisticated graphics that place increasing demands on system processing speed and capacity and therefore require more powerful CPUs or GPUs,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 During 2023, we experienced overall demand increase for our gaming components and systems products primarily driven by the self-built PC market expansion from the increase in availability in late 2022 of new and reasonably priced GPUs and CPUs as well as the release of new game titles. In 2024, we are mid-cycle for new GPU platforms, and as a result, we do not expect a similar increase in demand driven by these new GPU platforms and some highly anticipated game title releases until the next substantial GPU launch which is now expected in early 2025. The slowdown in the self-built PC market activity in the first nine months of 2024, led to a decrease in demand for our products in the Gaming Components and Systems segment in the nine months ended September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Customer Concentration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operate a global sales network that consists primarily of retailers (including e-retailers), as well as distributors we use to access certain retailers. Further, a limited number of retailers and distributors represent a significant portion of our net revenue, with e-retailer Amazon accounting for 31.5% and 29.2% of our net revenue for the nine months ended September 30, 2024 and 2023, respectively, and sales to our ten largest customers accounting for approximately 53.4% and 54.9% of our net revenue for the nine months ended September 30, 2024 and 2023, respectively. Our customers, including Amazon, typically do not enter into long-term agreements to purchase our products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e-retailers such as Amazon process our packages more efficiently. Further, given our global operations, a significant percentage of our expenses relate to shipping costs. Our ability to effectively optimize these shipping costs, for example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Q3 2024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utilizing expensive shipping options such as air freight for smaller packages and more urgent deliveries and more cost-efficient options, such as ground or ocean freight, for other shipments, has an impact on our expenses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New Product Introductions</w:t>
      </w:r>
    </w:p>
    <w:p>
      <w:pPr>
        <w:spacing w:after="0" w:line="121" w:lineRule="exact"/>
        <w:rPr>
          <w:sz w:val="20"/>
          <w:szCs w:val="20"/>
          <w:color w:val="auto"/>
        </w:rPr>
      </w:pPr>
    </w:p>
    <w:p>
      <w:pPr>
        <w:ind w:right="100" w:firstLine="509"/>
        <w:spacing w:after="0" w:line="276" w:lineRule="auto"/>
        <w:rPr>
          <w:sz w:val="20"/>
          <w:szCs w:val="20"/>
          <w:color w:val="auto"/>
        </w:rPr>
      </w:pPr>
      <w:r>
        <w:rPr>
          <w:rFonts w:ascii="Times New Roman" w:cs="Times New Roman" w:eastAsia="Times New Roman" w:hAnsi="Times New Roman"/>
          <w:sz w:val="17"/>
          <w:szCs w:val="17"/>
          <w:color w:val="auto"/>
        </w:rPr>
        <w:t>Gamers demand new technology and product features, and we expect our ability to accurately anticipate and meet these demands will be one of the main drivers for any future sales growth and market share expansion. We have continued to enter new markets both through acquisitions, for example the sim racing market from the Fanatec Acquisition, and through extending our product lines. We launched 108 and 65 new products in 2023 and in the nine months ended September 30, 2024, respectively. While we intend to continue to develop and release new products, there can be no assurance that our new product introductions will have a favorable impact on our operating results or that customers will choose our new products over those of our competitors.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Seasonal Sales Trends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experienced and expect to continue to experience seasonal fluctuations in sales due to the buying patterns of our customers and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quarters due to seasonal sales such as “Black Friday” and “Cyber Monday” as well as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may be further impacted in the future, by macroeconomic factors, increasing supply constraints, GPU shortages, and shifts in customer behavior. For example, our revenue seasonality for the third quarter of 2024 was negatively impacted due to a lower demand for our products in the Gaming Components and Systems segment which was primarily attributable to the push out of the launch of new, reasonably priced GPUs and CPUs, as well as the release of new game titles to early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Product Mix</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Gamer and Creator Peripherals segment has a higher gross margin than our Gaming Components and Systems segment. 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Fluctuations in Integrated Circuits Pricing</w:t>
      </w:r>
    </w:p>
    <w:p>
      <w:pPr>
        <w:spacing w:after="0" w:line="12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Integrated circuits, or ICs, account for most of the cost of producing our high-performance 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We generate materially all of our net revenue from the sale of gamer and creator peripherals and gaming components and systems to retailers, including e-retailers, gamers and distributors worldwide. Our revenue is recognized net of allowances for returns, discounts, sales incentives and any taxes collected from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Cost of revenue consists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 and certain allocated costs related to facilities and information technology, or IT, and personnel-related expenses and other operating expenses related to supply chain logistics.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Corsair Gaming, Inc. | Q3 2024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expenses consist of sales, general and administrative expenses and product development expenses.</w:t>
      </w:r>
    </w:p>
    <w:p>
      <w:pPr>
        <w:spacing w:after="0" w:line="11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Sales, general and administrative. </w:t>
      </w:r>
      <w:r>
        <w:rPr>
          <w:rFonts w:ascii="Times New Roman" w:cs="Times New Roman" w:eastAsia="Times New Roman" w:hAnsi="Times New Roman"/>
          <w:sz w:val="18"/>
          <w:szCs w:val="18"/>
          <w:color w:val="auto"/>
        </w:rPr>
        <w:t>Sales, general and administrative, or SG&amp;A, expenses represent the largest component of our operating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personnel-related cost and allocated overhead costs. General and administrative costs consist primarily of personnel-related expenses for our finance, legal, human resources, IT and administrative personnel, as well as the costs of professional services related to these functions and allocated overhead costs.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costs are generally expensed as incurred. Product development costs consist primarily of the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design and testing of new products and improvements to existing products. These costs relate primarily to compensation of personnel and consultants involved with product design, definition, compatibility testing and qualification, as well as depreciation costs of equipment used, prototype material costs and allocated overhead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Interest expense consists of interest associated with our debt financing arrangements, including our revolving line of credit, and amortization of debt issuance costs and debt discounts.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Interest income consists of interest earned on interest-bearing bank deposits and interest-bearing Bridge Loan, net of amortization of Bridge Loan origination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Other expense, net consists primarily of our foreign currency exchange gains and losses relating to transactions and remeasurement of asset and liability balances denominated in foreign currencies, and net fair value gains and losses from our foreign currency forward contracts.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74" w:lineRule="exact"/>
        <w:rPr>
          <w:sz w:val="20"/>
          <w:szCs w:val="20"/>
          <w:color w:val="auto"/>
        </w:rPr>
      </w:pPr>
    </w:p>
    <w:p>
      <w:pPr>
        <w:ind w:firstLine="509"/>
        <w:spacing w:after="0" w:line="288"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w:t>
      </w:r>
    </w:p>
    <w:p>
      <w:pPr>
        <w:spacing w:after="0" w:line="121"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Net income attributable to noncontrolling interest represents the share of the net income of subsidiaries in which we own less than 100% of the equity attributable to the ownership interest that we did not acquire.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Q3 2024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tables set forth the components of our condensed consolidated statements of operations, in dollars (thousands) and as a percentage of total net revenue, for each of the periods presented.</w:t>
      </w:r>
    </w:p>
    <w:tbl>
      <w:tblPr>
        <w:tblLayout w:type="fixed"/>
        <w:tblInd w:w="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gridSpan w:val="5"/>
          </w:tcPr>
          <w:p>
            <w:pPr>
              <w:jc w:val="right"/>
              <w:ind w:right="1040"/>
              <w:spacing w:after="0" w:line="13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2"/>
                <w:szCs w:val="12"/>
                <w:color w:val="auto"/>
              </w:rPr>
            </w:pPr>
          </w:p>
        </w:tc>
        <w:tc>
          <w:tcPr>
            <w:tcW w:w="2660" w:type="dxa"/>
            <w:vAlign w:val="bottom"/>
            <w:gridSpan w:val="5"/>
          </w:tcPr>
          <w:p>
            <w:pPr>
              <w:jc w:val="right"/>
              <w:ind w:right="900"/>
              <w:spacing w:after="0" w:line="13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61"/>
        </w:trPr>
        <w:tc>
          <w:tcPr>
            <w:tcW w:w="5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51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304,199</w:t>
            </w: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363,193</w:t>
            </w:r>
          </w:p>
        </w:tc>
        <w:tc>
          <w:tcPr>
            <w:tcW w:w="24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902,756</w:t>
            </w:r>
          </w:p>
        </w:tc>
        <w:tc>
          <w:tcPr>
            <w:tcW w:w="24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1,042,589</w:t>
            </w:r>
          </w:p>
        </w:tc>
        <w:tc>
          <w:tcPr>
            <w:tcW w:w="100" w:type="dxa"/>
            <w:vAlign w:val="bottom"/>
            <w:shd w:val="clear" w:color="auto" w:fill="CFF0FC"/>
          </w:tcPr>
          <w:p>
            <w:pPr>
              <w:spacing w:after="0"/>
              <w:rPr>
                <w:sz w:val="21"/>
                <w:szCs w:val="2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234,538</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273,840</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683,371</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100" w:type="dxa"/>
            <w:vAlign w:val="bottom"/>
          </w:tcPr>
          <w:p>
            <w:pPr>
              <w:spacing w:after="0"/>
              <w:rPr>
                <w:sz w:val="21"/>
                <w:szCs w:val="21"/>
                <w:color w:val="auto"/>
              </w:rPr>
            </w:pPr>
          </w:p>
        </w:tc>
      </w:tr>
      <w:tr>
        <w:trPr>
          <w:trHeight w:val="236"/>
        </w:trPr>
        <w:tc>
          <w:tcPr>
            <w:tcW w:w="51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20"/>
                <w:szCs w:val="20"/>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69,661</w:t>
            </w:r>
          </w:p>
        </w:tc>
        <w:tc>
          <w:tcPr>
            <w:tcW w:w="260" w:type="dxa"/>
            <w:vAlign w:val="bottom"/>
            <w:tcBorders>
              <w:right w:val="single" w:sz="8" w:color="CFF0FC"/>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24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219,385</w:t>
            </w:r>
          </w:p>
        </w:tc>
        <w:tc>
          <w:tcPr>
            <w:tcW w:w="240" w:type="dxa"/>
            <w:vAlign w:val="bottom"/>
            <w:tcBorders>
              <w:right w:val="single" w:sz="8" w:color="CFF0FC"/>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257,589</w:t>
            </w: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80" w:type="dxa"/>
            <w:vAlign w:val="bottom"/>
            <w:shd w:val="clear" w:color="auto" w:fill="CFF0FC"/>
          </w:tcPr>
          <w:p>
            <w:pPr>
              <w:spacing w:after="0"/>
              <w:rPr>
                <w:sz w:val="21"/>
                <w:szCs w:val="21"/>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74,072</w:t>
            </w: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24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224,677</w:t>
            </w:r>
          </w:p>
        </w:tc>
        <w:tc>
          <w:tcPr>
            <w:tcW w:w="24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211,482</w:t>
            </w:r>
          </w:p>
        </w:tc>
        <w:tc>
          <w:tcPr>
            <w:tcW w:w="100" w:type="dxa"/>
            <w:vAlign w:val="bottom"/>
            <w:shd w:val="clear" w:color="auto" w:fill="CFF0FC"/>
          </w:tcPr>
          <w:p>
            <w:pPr>
              <w:spacing w:after="0"/>
              <w:rPr>
                <w:sz w:val="21"/>
                <w:szCs w:val="21"/>
                <w:color w:val="auto"/>
              </w:rPr>
            </w:pPr>
          </w:p>
        </w:tc>
      </w:tr>
      <w:tr>
        <w:trPr>
          <w:trHeight w:val="24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50,585</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48,542</w:t>
            </w:r>
          </w:p>
        </w:tc>
        <w:tc>
          <w:tcPr>
            <w:tcW w:w="100" w:type="dxa"/>
            <w:vAlign w:val="bottom"/>
          </w:tcPr>
          <w:p>
            <w:pPr>
              <w:spacing w:after="0"/>
              <w:rPr>
                <w:sz w:val="21"/>
                <w:szCs w:val="21"/>
                <w:color w:val="auto"/>
              </w:rPr>
            </w:pPr>
          </w:p>
        </w:tc>
      </w:tr>
      <w:tr>
        <w:trPr>
          <w:trHeight w:val="236"/>
        </w:trPr>
        <w:tc>
          <w:tcPr>
            <w:tcW w:w="51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FF0FC"/>
          </w:tcPr>
          <w:p>
            <w:pPr>
              <w:spacing w:after="0"/>
              <w:rPr>
                <w:sz w:val="20"/>
                <w:szCs w:val="20"/>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90,605</w:t>
            </w:r>
          </w:p>
        </w:tc>
        <w:tc>
          <w:tcPr>
            <w:tcW w:w="260" w:type="dxa"/>
            <w:vAlign w:val="bottom"/>
            <w:tcBorders>
              <w:right w:val="single" w:sz="8" w:color="CFF0FC"/>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90,111</w:t>
            </w:r>
          </w:p>
        </w:tc>
        <w:tc>
          <w:tcPr>
            <w:tcW w:w="24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275,262</w:t>
            </w:r>
          </w:p>
        </w:tc>
        <w:tc>
          <w:tcPr>
            <w:tcW w:w="240" w:type="dxa"/>
            <w:vAlign w:val="bottom"/>
            <w:tcBorders>
              <w:right w:val="single" w:sz="8" w:color="CFF0FC"/>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260,024</w:t>
            </w:r>
          </w:p>
        </w:tc>
        <w:tc>
          <w:tcPr>
            <w:tcW w:w="100" w:type="dxa"/>
            <w:vAlign w:val="bottom"/>
            <w:shd w:val="clear" w:color="auto" w:fill="CFF0FC"/>
          </w:tcPr>
          <w:p>
            <w:pPr>
              <w:spacing w:after="0"/>
              <w:rPr>
                <w:sz w:val="20"/>
                <w:szCs w:val="20"/>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(20,944 )</w:t>
            </w:r>
          </w:p>
        </w:tc>
        <w:tc>
          <w:tcPr>
            <w:tcW w:w="3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(758 )</w:t>
            </w: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(55,877 )</w:t>
            </w:r>
          </w:p>
        </w:tc>
        <w:tc>
          <w:tcPr>
            <w:tcW w:w="4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(2,435 )</w:t>
            </w:r>
          </w:p>
        </w:tc>
      </w:tr>
      <w:tr>
        <w:trPr>
          <w:trHeight w:val="247"/>
        </w:trPr>
        <w:tc>
          <w:tcPr>
            <w:tcW w:w="51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shd w:val="clear" w:color="auto" w:fill="CFF0FC"/>
          </w:tcPr>
          <w:p>
            <w:pPr>
              <w:spacing w:after="0"/>
              <w:rPr>
                <w:sz w:val="21"/>
                <w:szCs w:val="21"/>
                <w:color w:val="auto"/>
              </w:rPr>
            </w:pPr>
          </w:p>
        </w:tc>
        <w:tc>
          <w:tcPr>
            <w:tcW w:w="1040" w:type="dxa"/>
            <w:vAlign w:val="bottom"/>
            <w:tcBorders>
              <w:right w:val="single" w:sz="8" w:color="CFF0FC"/>
            </w:tcBorders>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(3,011 )</w:t>
            </w:r>
          </w:p>
        </w:tc>
        <w:tc>
          <w:tcPr>
            <w:tcW w:w="3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(4,271 )</w:t>
            </w: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(10,138 )</w:t>
            </w:r>
          </w:p>
        </w:tc>
        <w:tc>
          <w:tcPr>
            <w:tcW w:w="4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(13,069 )</w:t>
            </w:r>
          </w:p>
        </w:tc>
      </w:tr>
      <w:tr>
        <w:trPr>
          <w:trHeight w:val="247"/>
        </w:trPr>
        <w:tc>
          <w:tcPr>
            <w:tcW w:w="51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21"/>
                <w:szCs w:val="21"/>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Borders>
              <w:right w:val="single" w:sz="8" w:color="CFF0FC"/>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40" w:type="dxa"/>
            <w:vAlign w:val="bottom"/>
            <w:tcBorders>
              <w:right w:val="single" w:sz="8" w:color="CFF0FC"/>
            </w:tcBorders>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shd w:val="clear" w:color="auto" w:fill="CFF0FC"/>
          </w:tcPr>
          <w:p>
            <w:pPr>
              <w:spacing w:after="0"/>
              <w:rPr>
                <w:sz w:val="21"/>
                <w:szCs w:val="21"/>
                <w:color w:val="auto"/>
              </w:rPr>
            </w:pPr>
          </w:p>
        </w:tc>
      </w:tr>
      <w:tr>
        <w:trPr>
          <w:trHeight w:val="24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(910 )</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(1,887 )</w:t>
            </w:r>
          </w:p>
        </w:tc>
        <w:tc>
          <w:tcPr>
            <w:tcW w:w="46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(1,326 )</w:t>
            </w:r>
          </w:p>
        </w:tc>
      </w:tr>
      <w:tr>
        <w:trPr>
          <w:trHeight w:val="20"/>
        </w:trPr>
        <w:tc>
          <w:tcPr>
            <w:tcW w:w="5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1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shd w:val="clear" w:color="auto" w:fill="CFF0FC"/>
          </w:tcPr>
          <w:p>
            <w:pPr>
              <w:spacing w:after="0"/>
              <w:rPr>
                <w:sz w:val="20"/>
                <w:szCs w:val="20"/>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(3,624 )</w:t>
            </w:r>
          </w:p>
        </w:tc>
        <w:tc>
          <w:tcPr>
            <w:tcW w:w="38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(2,225 )</w:t>
            </w:r>
          </w:p>
        </w:tc>
        <w:tc>
          <w:tcPr>
            <w:tcW w:w="28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(9,005 )</w:t>
            </w:r>
          </w:p>
        </w:tc>
        <w:tc>
          <w:tcPr>
            <w:tcW w:w="4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(9,201 )</w:t>
            </w:r>
          </w:p>
        </w:tc>
      </w:tr>
      <w:tr>
        <w:trPr>
          <w:trHeight w:val="20"/>
        </w:trPr>
        <w:tc>
          <w:tcPr>
            <w:tcW w:w="51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(24,568 )</w:t>
            </w:r>
          </w:p>
        </w:tc>
        <w:tc>
          <w:tcPr>
            <w:tcW w:w="3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(2,983 )</w:t>
            </w: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(64,882 )</w:t>
            </w:r>
          </w:p>
        </w:tc>
        <w:tc>
          <w:tcPr>
            <w:tcW w:w="4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(11,636 )</w:t>
            </w:r>
          </w:p>
        </w:tc>
      </w:tr>
      <w:tr>
        <w:trPr>
          <w:trHeight w:val="247"/>
        </w:trPr>
        <w:tc>
          <w:tcPr>
            <w:tcW w:w="51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shd w:val="clear" w:color="auto" w:fill="CFF0FC"/>
          </w:tcPr>
          <w:p>
            <w:pPr>
              <w:spacing w:after="0"/>
              <w:rPr>
                <w:sz w:val="21"/>
                <w:szCs w:val="21"/>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(27,018 )</w:t>
            </w:r>
          </w:p>
        </w:tc>
        <w:tc>
          <w:tcPr>
            <w:tcW w:w="38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(21,240 )</w:t>
            </w:r>
          </w:p>
        </w:tc>
        <w:tc>
          <w:tcPr>
            <w:tcW w:w="4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shd w:val="clear" w:color="auto" w:fill="CFF0FC"/>
          </w:tcPr>
          <w:p>
            <w:pPr>
              <w:spacing w:after="0"/>
              <w:rPr>
                <w:sz w:val="21"/>
                <w:szCs w:val="21"/>
                <w:color w:val="auto"/>
              </w:rPr>
            </w:pPr>
          </w:p>
        </w:tc>
      </w:tr>
      <w:tr>
        <w:trPr>
          <w:trHeight w:val="20"/>
        </w:trPr>
        <w:tc>
          <w:tcPr>
            <w:tcW w:w="51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(51,586 )</w:t>
            </w:r>
          </w:p>
        </w:tc>
        <w:tc>
          <w:tcPr>
            <w:tcW w:w="3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(2,886 )</w:t>
            </w: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(86,122 )</w:t>
            </w:r>
          </w:p>
        </w:tc>
        <w:tc>
          <w:tcPr>
            <w:tcW w:w="4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(8,613 )</w:t>
            </w:r>
          </w:p>
        </w:tc>
      </w:tr>
      <w:tr>
        <w:trPr>
          <w:trHeight w:val="247"/>
        </w:trPr>
        <w:tc>
          <w:tcPr>
            <w:tcW w:w="518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Corsair Gaming, Inc.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(51,708 )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(87,467 )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(9,571 )</w:t>
            </w:r>
          </w:p>
        </w:tc>
      </w:tr>
      <w:tr>
        <w:trPr>
          <w:trHeight w:val="20"/>
        </w:trPr>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3"/>
        </w:trPr>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-1326515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-1326515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-1326515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-1009650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-1009650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-1009650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-692785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-692785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-692785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40"/>
          </w:cols>
          <w:pgMar w:left="320" w:top="117" w:right="239" w:bottom="533" w:gutter="0" w:footer="0" w:header="0"/>
        </w:sectPr>
      </w:pP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Sales, general and administrative</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Product development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loss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 income:</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49" w:lineRule="exact"/>
        <w:rPr>
          <w:sz w:val="20"/>
          <w:szCs w:val="20"/>
          <w:color w:val="auto"/>
        </w:rPr>
      </w:pPr>
    </w:p>
    <w:p>
      <w:pPr>
        <w:ind w:left="120" w:right="320"/>
        <w:spacing w:after="0" w:line="359" w:lineRule="auto"/>
        <w:rPr>
          <w:sz w:val="20"/>
          <w:szCs w:val="20"/>
          <w:color w:val="auto"/>
        </w:rPr>
      </w:pPr>
      <w:r>
        <w:rPr>
          <w:rFonts w:ascii="Times New Roman" w:cs="Times New Roman" w:eastAsia="Times New Roman" w:hAnsi="Times New Roman"/>
          <w:sz w:val="18"/>
          <w:szCs w:val="18"/>
          <w:color w:val="auto"/>
        </w:rPr>
        <w:t>Less: Net income attributable to noncontrolling interest Net loss attributable to Corsair Gaming, Inc.</w:t>
      </w:r>
    </w:p>
    <w:p>
      <w:pPr>
        <w:spacing w:after="0" w:line="105" w:lineRule="exact"/>
        <w:rPr>
          <w:sz w:val="20"/>
          <w:szCs w:val="20"/>
          <w:color w:val="auto"/>
        </w:rPr>
      </w:pPr>
    </w:p>
    <w:p>
      <w:pPr>
        <w:ind w:right="1540"/>
        <w:spacing w:after="0" w:line="411" w:lineRule="auto"/>
        <w:rPr>
          <w:sz w:val="20"/>
          <w:szCs w:val="20"/>
          <w:color w:val="auto"/>
        </w:rPr>
      </w:pPr>
      <w:r>
        <w:rPr>
          <w:rFonts w:ascii="Times New Roman" w:cs="Times New Roman" w:eastAsia="Times New Roman" w:hAnsi="Times New Roman"/>
          <w:sz w:val="18"/>
          <w:szCs w:val="18"/>
          <w:b w:val="1"/>
          <w:bCs w:val="1"/>
          <w:color w:val="auto"/>
        </w:rPr>
        <w:t xml:space="preserve">Components of Results of Operations </w:t>
      </w:r>
      <w:r>
        <w:rPr>
          <w:rFonts w:ascii="Times New Roman" w:cs="Times New Roman" w:eastAsia="Times New Roman" w:hAnsi="Times New Roman"/>
          <w:sz w:val="18"/>
          <w:szCs w:val="18"/>
          <w:b w:val="1"/>
          <w:bCs w:val="1"/>
          <w:i w:val="1"/>
          <w:iCs w:val="1"/>
          <w:color w:val="auto"/>
        </w:rPr>
        <w:t>Net Revenue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tcPr>
          <w:p>
            <w:pPr>
              <w:spacing w:after="0"/>
              <w:rPr>
                <w:sz w:val="21"/>
                <w:szCs w:val="21"/>
                <w:color w:val="auto"/>
              </w:rPr>
            </w:pPr>
          </w:p>
        </w:tc>
      </w:tr>
      <w:tr>
        <w:trPr>
          <w:trHeight w:val="234"/>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20"/>
                <w:szCs w:val="20"/>
                <w:color w:val="auto"/>
              </w:rPr>
            </w:pPr>
          </w:p>
        </w:tc>
      </w:tr>
      <w:tr>
        <w:trPr>
          <w:trHeight w:val="481"/>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24"/>
                <w:szCs w:val="24"/>
                <w:color w:val="auto"/>
              </w:rPr>
            </w:pPr>
          </w:p>
        </w:tc>
      </w:tr>
      <w:tr>
        <w:trPr>
          <w:trHeight w:val="250"/>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1"/>
                <w:szCs w:val="21"/>
                <w:color w:val="auto"/>
              </w:rPr>
            </w:pPr>
          </w:p>
        </w:tc>
      </w:tr>
      <w:tr>
        <w:trPr>
          <w:trHeight w:val="238"/>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Pr>
          <w:p>
            <w:pPr>
              <w:spacing w:after="0"/>
              <w:rPr>
                <w:sz w:val="20"/>
                <w:szCs w:val="20"/>
                <w:color w:val="auto"/>
              </w:rPr>
            </w:pPr>
          </w:p>
        </w:tc>
      </w:tr>
      <w:tr>
        <w:trPr>
          <w:trHeight w:val="232"/>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81"/>
        </w:trPr>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(1.0 )</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(1.2 )</w:t>
            </w:r>
          </w:p>
        </w:tc>
        <w:tc>
          <w:tcPr>
            <w:tcW w:w="460" w:type="dxa"/>
            <w:vAlign w:val="bottom"/>
          </w:tcPr>
          <w:p>
            <w:pPr>
              <w:spacing w:after="0"/>
              <w:rPr>
                <w:sz w:val="24"/>
                <w:szCs w:val="24"/>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(1.1 )</w:t>
            </w: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r>
      <w:tr>
        <w:trPr>
          <w:trHeight w:val="250"/>
        </w:trPr>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(0.3 )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(0.2 )</w:t>
            </w: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r>
      <w:tr>
        <w:trPr>
          <w:trHeight w:val="238"/>
        </w:trPr>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(8.9 )</w:t>
            </w:r>
          </w:p>
        </w:tc>
        <w:tc>
          <w:tcPr>
            <w:tcW w:w="20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1"/>
                <w:szCs w:val="21"/>
                <w:color w:val="auto"/>
              </w:rPr>
            </w:pPr>
          </w:p>
        </w:tc>
      </w:tr>
      <w:tr>
        <w:trPr>
          <w:trHeight w:val="234"/>
        </w:trPr>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1"/>
                <w:szCs w:val="21"/>
                <w:color w:val="auto"/>
              </w:rPr>
            </w:pPr>
          </w:p>
        </w:tc>
      </w:tr>
      <w:tr>
        <w:trPr>
          <w:trHeight w:val="238"/>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-2859405</wp:posOffset>
            </wp:positionV>
            <wp:extent cx="713232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-2542540</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-2233930</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-1600835</wp:posOffset>
            </wp:positionV>
            <wp:extent cx="713232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-1292225</wp:posOffset>
            </wp:positionV>
            <wp:extent cx="713232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-1917065</wp:posOffset>
            </wp:positionV>
            <wp:extent cx="7132320" cy="162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-975360</wp:posOffset>
            </wp:positionV>
            <wp:extent cx="7132320" cy="162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-658495</wp:posOffset>
            </wp:positionV>
            <wp:extent cx="7132320" cy="162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-341630</wp:posOffset>
            </wp:positionV>
            <wp:extent cx="7132320" cy="162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80" w:type="dxa"/>
            <w:vAlign w:val="bottom"/>
            <w:gridSpan w:val="3"/>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40" w:type="dxa"/>
            <w:vAlign w:val="bottom"/>
            <w:gridSpan w:val="3"/>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2080" w:type="dxa"/>
            <w:vAlign w:val="bottom"/>
            <w:tcBorders>
              <w:bottom w:val="single" w:sz="8" w:color="auto"/>
            </w:tcBorders>
            <w:gridSpan w:val="3"/>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3"/>
        </w:trPr>
        <w:tc>
          <w:tcPr>
            <w:tcW w:w="13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05"/>
        </w:trPr>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-635</wp:posOffset>
            </wp:positionV>
            <wp:extent cx="713232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420" w:space="720"/>
            <w:col w:w="6200"/>
          </w:cols>
          <w:pgMar w:left="320" w:top="117" w:right="239" w:bottom="533" w:gutter="0" w:footer="0" w:header="0"/>
          <w:type w:val="continuous"/>
        </w:sectPr>
      </w:pPr>
    </w:p>
    <w:p>
      <w:pPr>
        <w:ind w:left="20"/>
        <w:spacing w:after="0"/>
        <w:tabs>
          <w:tab w:leader="none" w:pos="5160" w:val="left"/>
          <w:tab w:leader="none" w:pos="5880" w:val="left"/>
          <w:tab w:leader="none" w:pos="6760" w:val="left"/>
          <w:tab w:leader="none" w:pos="7440" w:val="left"/>
          <w:tab w:leader="none" w:pos="8300" w:val="left"/>
          <w:tab w:leader="none" w:pos="8980" w:val="left"/>
          <w:tab w:leader="none" w:pos="9840" w:val="left"/>
          <w:tab w:leader="none" w:pos="10380" w:val="left"/>
        </w:tabs>
        <w:rPr>
          <w:sz w:val="20"/>
          <w:szCs w:val="20"/>
          <w:color w:val="auto"/>
        </w:rPr>
      </w:pPr>
      <w:r>
        <w:rPr>
          <w:rFonts w:ascii="Times New Roman" w:cs="Times New Roman" w:eastAsia="Times New Roman" w:hAnsi="Times New Roman"/>
          <w:sz w:val="18"/>
          <w:szCs w:val="18"/>
          <w:color w:val="auto"/>
        </w:rPr>
        <w:t>Net revenue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304,199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363,193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902,756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1,042,589</w:t>
      </w:r>
    </w:p>
    <w:p>
      <w:pPr>
        <w:spacing w:after="0" w:line="124"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Net revenue decreased by 16.2% and 13.4% for the three and nine months ended September 30, 2024, respectively, as compared to the same periods last year.</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Corsair Gaming, Inc. | Q3 2024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7" w:right="239" w:bottom="533"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The decrease in net revenue in the three-month period was due to a 25.9% decrease in sales for our Gaming Components and Systems segment, which was partially offset by a 12.8% increase in sales for our Gamer and Creator Peripherals segment.</w:t>
      </w:r>
    </w:p>
    <w:p>
      <w:pPr>
        <w:spacing w:after="0" w:line="55"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The decrease in net revenue in the nine-month period was due to a 23.6% decrease in sales for our Gaming Components and Systems segment, which was partially offset by a 17.5% increase in sales for our Gamer and Creator Peripherals segment.</w:t>
      </w:r>
    </w:p>
    <w:p>
      <w:pPr>
        <w:spacing w:after="0" w:line="55"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For further discussions specific to our Gaming Components and Systems and Gamer and Creator Peripherals segments, refer to “Segment Results” section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4"/>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69,661</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219,385</w:t>
            </w: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257,589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22.9 %</w:t>
            </w:r>
          </w:p>
        </w:tc>
        <w:tc>
          <w:tcPr>
            <w:tcW w:w="5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24.6 %</w:t>
            </w:r>
          </w:p>
        </w:tc>
        <w:tc>
          <w:tcPr>
            <w:tcW w:w="3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24.3 %</w:t>
            </w:r>
          </w:p>
        </w:tc>
        <w:tc>
          <w:tcPr>
            <w:tcW w:w="5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24.7 %</w:t>
            </w:r>
          </w:p>
        </w:tc>
      </w:tr>
    </w:tbl>
    <w:p>
      <w:pPr>
        <w:spacing w:after="0" w:line="98"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Gross margin decreased by 1.7% for the three months ended September 30, 2024, as compared to the same period last year. Higher spending on promotional activities as a proportion of net revenue resulted in a 1.8% decrease in gross margin, while higher product costs from suppliers and factory underutilization accounted for 1.7% of the decrease. These decreases were partially offset by an increase of 1.7% in gross margin from an improved product mix shift with more sales in the Gamer and Creator Peripherals segment.</w:t>
      </w:r>
    </w:p>
    <w:p>
      <w:pPr>
        <w:spacing w:after="0" w:line="74"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Gross margin decreased by 0.4% for the nine months ended September 30, 2024, as compared to the same period last year. Higher spending on promotional activities as a proportion of net revenue accounted for 1.3% of the decrease, and higher inventory reserves accounted for 0.7% of the decrease. These decreases were partially offset by an increase of 1.5% in gross margin from an improved product mix shift with more sales in the Gamer and Creator Peripherals segment.</w:t>
      </w:r>
    </w:p>
    <w:p>
      <w:pPr>
        <w:spacing w:after="0" w:line="74" w:lineRule="exact"/>
        <w:rPr>
          <w:sz w:val="20"/>
          <w:szCs w:val="20"/>
          <w:color w:val="auto"/>
        </w:rPr>
      </w:pPr>
    </w:p>
    <w:p>
      <w:pPr>
        <w:ind w:right="620" w:firstLine="509"/>
        <w:spacing w:after="0" w:line="281" w:lineRule="auto"/>
        <w:rPr>
          <w:sz w:val="20"/>
          <w:szCs w:val="20"/>
          <w:color w:val="auto"/>
        </w:rPr>
      </w:pPr>
      <w:r>
        <w:rPr>
          <w:rFonts w:ascii="Times New Roman" w:cs="Times New Roman" w:eastAsia="Times New Roman" w:hAnsi="Times New Roman"/>
          <w:sz w:val="18"/>
          <w:szCs w:val="18"/>
          <w:color w:val="auto"/>
        </w:rPr>
        <w:t>For further discussions specific to our Gaming Components and Systems and Gamer and Creator Peripherals segments, refer to the “Segment Results” section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 (SG&amp;A)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3"/>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9"/>
                <w:szCs w:val="19"/>
                <w:color w:val="auto"/>
              </w:rPr>
            </w:pPr>
          </w:p>
        </w:tc>
      </w:tr>
      <w:tr>
        <w:trPr>
          <w:trHeight w:val="304"/>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74,072</w:t>
            </w:r>
          </w:p>
        </w:tc>
        <w:tc>
          <w:tcPr>
            <w:tcW w:w="7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224,677</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211,482</w:t>
            </w:r>
          </w:p>
        </w:tc>
        <w:tc>
          <w:tcPr>
            <w:tcW w:w="10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SG&amp;A expenses remained relatively consistent for the three months ended September 30, 2024 as compared to the same period last year with a $1.5 million increase in distribution costs and a $0.5 million increase in professional fees being largely offset by lower bonus payments and marketing spend.</w:t>
      </w:r>
    </w:p>
    <w:p>
      <w:pPr>
        <w:spacing w:after="0" w:line="31"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SG&amp;A expenses increased by $13.2 million, or 6.2%, for the nine months ended September 30, 2024 as compared to the same period last year primarily due to a $8.4 million increase in legal expense, which were mainly attributable to a one-time settlement and the Fanatec Acquisition, as well as a $3.7 million increase in distribution costs, which was largely attributable to rationalization costs for distribution hubs, as well as increased freight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9"/>
                <w:szCs w:val="19"/>
                <w:color w:val="auto"/>
              </w:rPr>
            </w:pPr>
          </w:p>
        </w:tc>
      </w:tr>
      <w:tr>
        <w:trPr>
          <w:trHeight w:val="304"/>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7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50,585</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48,542</w:t>
            </w:r>
          </w:p>
        </w:tc>
        <w:tc>
          <w:tcPr>
            <w:tcW w:w="10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development expenses remained relatively consistent for the three months ended September 30, 2024 as compared to the same period last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98"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Product development expenses increased by $2.0 million, or 4.2%, for the nine months ended September 30, 2024 as compared to the same period last year primarily due to a $1.7 million increase in personnel-related costs resulting from increase in headcount.</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Corsair Gaming, Inc. | Q3 2024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Income (Expense), Net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9"/>
                <w:szCs w:val="19"/>
                <w:color w:val="auto"/>
              </w:rPr>
            </w:pPr>
          </w:p>
        </w:tc>
      </w:tr>
      <w:tr>
        <w:trPr>
          <w:trHeight w:val="304"/>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(3,011 )   $</w:t>
            </w:r>
          </w:p>
        </w:tc>
        <w:tc>
          <w:tcPr>
            <w:tcW w:w="14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(4,271 )  $</w:t>
            </w:r>
          </w:p>
        </w:tc>
        <w:tc>
          <w:tcPr>
            <w:tcW w:w="16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(10,138 )  $</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(13,069 )</w:t>
            </w: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(910 )</w:t>
            </w:r>
          </w:p>
        </w:tc>
        <w:tc>
          <w:tcPr>
            <w:tcW w:w="5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(1,887 )</w:t>
            </w:r>
          </w:p>
        </w:tc>
        <w:tc>
          <w:tcPr>
            <w:tcW w:w="5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(1,326 )</w:t>
            </w:r>
          </w:p>
        </w:tc>
      </w:tr>
    </w:tbl>
    <w:p>
      <w:pPr>
        <w:spacing w:after="0" w:line="90"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Interest expense decreased by 29.5% and 22.4% for the three and nine months ended September 30, 2024, respectively, as compared to the same periods last year. The decrease was primarily due to lower principal balance on our Term Loan combined with lower interest rates on our Term Loan in the three and nine months ended September 30, 2024.</w:t>
      </w:r>
    </w:p>
    <w:p>
      <w:pPr>
        <w:spacing w:after="0" w:line="69"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Interest income decreased by 83.0% and 41.9% for the three and nine months ended September 30, 2024 and 2023, respectively, as compared to the same periods last year primarily due to lower cash balance in our interest-bearing account.</w:t>
      </w:r>
    </w:p>
    <w:p>
      <w:pPr>
        <w:spacing w:after="0" w:line="55"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Other expense,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4"/>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gridSpan w:val="7"/>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(24,568 )   $</w:t>
            </w:r>
          </w:p>
        </w:tc>
        <w:tc>
          <w:tcPr>
            <w:tcW w:w="13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(2,983 )  $</w:t>
            </w:r>
          </w:p>
        </w:tc>
        <w:tc>
          <w:tcPr>
            <w:tcW w:w="17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(64,882 )  $</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(11,636 )</w:t>
            </w:r>
          </w:p>
        </w:tc>
        <w:tc>
          <w:tcPr>
            <w:tcW w:w="60" w:type="dxa"/>
            <w:vAlign w:val="bottom"/>
          </w:tcPr>
          <w:p>
            <w:pPr>
              <w:spacing w:after="0"/>
              <w:rPr>
                <w:sz w:val="21"/>
                <w:szCs w:val="2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(27,018 )</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(21,240 )</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(110.0 )%</w:t>
            </w:r>
          </w:p>
        </w:tc>
        <w:tc>
          <w:tcPr>
            <w:tcW w:w="5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3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(32.7 )%</w:t>
            </w:r>
          </w:p>
        </w:tc>
        <w:tc>
          <w:tcPr>
            <w:tcW w:w="5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changes in management’s assessment of matters such as the ability to realize deferred tax assets, and changes in tax laws.</w:t>
      </w:r>
    </w:p>
    <w:p>
      <w:pPr>
        <w:spacing w:after="0" w:line="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assess our deferred tax assets and liabilities to determine if it is more likely than not they will be realized; if not, a valuation allowance is required to be recorded. During the three months ended September 30, 2024, we have reached a cumulative loss position over the previous three years, and with consideration of other negative evidence, we concluded that U.S. federal and state deferred tax assets are not more likely than not to be realizable. As a result of the foregoing, a full valuation allowance was recorded in the current quarter. The deferred tax liability related to indefinite-lived assets was excluded from sources of future taxable income, as the timing of its reversal cannot be predicted due to the nature of its indefinite life.</w:t>
      </w:r>
    </w:p>
    <w:p>
      <w:pPr>
        <w:spacing w:after="0" w:line="74"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Our effective tax rates were tax expense of (110.0)% and tax benefit of 3.3% for the three months ended September 30, 2024 and 2023, respectively. The change in our effective rate in the three-month period was primarily due to an income tax provision of $28.0 million for valuation allowance recorded against our U.S. federal and state deferred tax assets, partially offset by a tax benefit recognized for the transfer of customer relationship intangible asset from Hong Kong to United Kingdom as a result of our global tax restructuring initiative completed on July 1, 2024.</w:t>
      </w:r>
    </w:p>
    <w:p>
      <w:pPr>
        <w:spacing w:after="0" w:line="7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effective tax rates were tax expense of (32.7)% and tax benefit of 26.0% for the nine months ended September 30, 2024 and 2023, respectively. The change in our effective rate in the nine-month period was primarily due to a change in the mix of income and losses in the various tax jurisdictions in which we operate, an income tax provision of $28.0 million for valuation allowance recorded against our U.S. federal and state deferred tax assets, partially offset by a tax benefit recognized for the transfer of customer relationship intangible asset from Hong Kong to United Kingdom as a result of our global tax restructuring initiative completed on July 1, 2024.</w:t>
      </w:r>
    </w:p>
    <w:p>
      <w:pPr>
        <w:spacing w:after="0" w:line="7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that was supported by over 130 countries worldwide. The EU effective dates are January 1, 2024, and January 1, 2025, for different aspects of the directive. A significant number of other countries are expected to also implement similar legislation, including United Kingdom which approved the legislation on July 11, 2023 with a full effective date of January 1, 2024. We have evaluated the potential impact from the OECD Pillar Two rules and determined that there is no impact to our financial position for the year of 2024.</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Corsair Gaming, Inc. | Q3 2024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Net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net revenue by segment expressed both in dollars (thousands) and as a percentage of net 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9"/>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Gamer and Creator Peripherals Segment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101,966</w:t>
            </w:r>
          </w:p>
        </w:tc>
        <w:tc>
          <w:tcPr>
            <w:tcW w:w="24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33.5 %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90,356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24.9 %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303,168</w:t>
            </w:r>
          </w:p>
        </w:tc>
        <w:tc>
          <w:tcPr>
            <w:tcW w:w="220" w:type="dxa"/>
            <w:vAlign w:val="bottom"/>
          </w:tcPr>
          <w:p>
            <w:pPr>
              <w:spacing w:after="0"/>
              <w:rPr>
                <w:sz w:val="24"/>
                <w:szCs w:val="24"/>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33.6 %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258,053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24.8 %</w:t>
            </w: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Gaming Components and Systems Segment</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Memory Products</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96,979</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131,713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303,640</w:t>
            </w: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371,931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Component Products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105,254</w:t>
            </w: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141,124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295,948</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412,605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37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202,233</w:t>
            </w:r>
          </w:p>
        </w:tc>
        <w:tc>
          <w:tcPr>
            <w:tcW w:w="2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272,837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599,588</w:t>
            </w:r>
          </w:p>
        </w:tc>
        <w:tc>
          <w:tcPr>
            <w:tcW w:w="2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784,536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Net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304,199</w:t>
            </w:r>
          </w:p>
        </w:tc>
        <w:tc>
          <w:tcPr>
            <w:tcW w:w="2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100.0 %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902,756</w:t>
            </w:r>
          </w:p>
        </w:tc>
        <w:tc>
          <w:tcPr>
            <w:tcW w:w="22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100.0 %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1,042,589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45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-179070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-179070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-179070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-179070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-179070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-179070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-179070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Net revenue of the Gamer and Creator Peripherals segment increased by 12.8% and 17.5% for the three and nine months ended September 30, 2024, respectively, as compared to the same periods last year. The increase was primarily driven by the success of recent new product launches, increased demand for most of the products in this segment and the inclusion of post-acquisition revenues from our July 2023 acquisition of Drop, a community-based e-commerce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Net revenue of the Gaming Components and Systems segment decreased 25.9% and 23.6% for three and nine months ended September 30, 2024, respectively, as compared to the same periods last year. The demand for our products in this segment is largely driven by the activity in the self-built PC market, which is heavily influenced by the launch of new, reasonably priced GPUs and CPUs, as well as the release of new game titles. However, in 2024, we are mid-cycle for new GPU platforms, resulting in a relatively flat-to-low market trajectory for the self-built PC market since the beginning of the year. This has led to a greater than anticipated decrease in demand for our products in this segment during both the three- and nine-month periods. Additionally, we experienced a downward adjustment in inventory levels at our channel partners during the three- and nine-month periods compared to an increase in channel inventory levels during the same periods last year, contributing to the lower net revenues for those periods.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Gross Profit and Gross Margin</w:t>
      </w:r>
    </w:p>
    <w:p>
      <w:pPr>
        <w:spacing w:after="0" w:line="12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sets forth our gross profit expressed in dollars (thousands) and gross margin (which we define as gross profit as a percentage of net revenue) by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9"/>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Gamer and Creator Peripherals Segment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39,032</w:t>
            </w:r>
          </w:p>
        </w:tc>
        <w:tc>
          <w:tcPr>
            <w:tcW w:w="400" w:type="dxa"/>
            <w:vAlign w:val="bottom"/>
          </w:tcPr>
          <w:p>
            <w:pPr>
              <w:spacing w:after="0"/>
              <w:rPr>
                <w:sz w:val="24"/>
                <w:szCs w:val="24"/>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38.3 %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29,928</w:t>
            </w:r>
          </w:p>
        </w:tc>
        <w:tc>
          <w:tcPr>
            <w:tcW w:w="420" w:type="dxa"/>
            <w:vAlign w:val="bottom"/>
          </w:tcPr>
          <w:p>
            <w:pPr>
              <w:spacing w:after="0"/>
              <w:rPr>
                <w:sz w:val="24"/>
                <w:szCs w:val="24"/>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33.1 %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118,374</w:t>
            </w:r>
          </w:p>
        </w:tc>
        <w:tc>
          <w:tcPr>
            <w:tcW w:w="380" w:type="dxa"/>
            <w:vAlign w:val="bottom"/>
          </w:tcPr>
          <w:p>
            <w:pPr>
              <w:spacing w:after="0"/>
              <w:rPr>
                <w:sz w:val="24"/>
                <w:szCs w:val="24"/>
                <w:color w:val="auto"/>
              </w:rPr>
            </w:pPr>
          </w:p>
        </w:tc>
        <w:tc>
          <w:tcPr>
            <w:tcW w:w="8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39.0 %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82,085</w:t>
            </w:r>
          </w:p>
        </w:tc>
        <w:tc>
          <w:tcPr>
            <w:tcW w:w="440" w:type="dxa"/>
            <w:vAlign w:val="bottom"/>
          </w:tcPr>
          <w:p>
            <w:pPr>
              <w:spacing w:after="0"/>
              <w:rPr>
                <w:sz w:val="24"/>
                <w:szCs w:val="24"/>
                <w:color w:val="auto"/>
              </w:rPr>
            </w:pP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w w:val="92"/>
              </w:rPr>
              <w:t>31.8 %</w:t>
            </w: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Gaming Components and Systems Segment</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Memory Products</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10,409</w:t>
            </w:r>
          </w:p>
        </w:tc>
        <w:tc>
          <w:tcPr>
            <w:tcW w:w="400" w:type="dxa"/>
            <w:vAlign w:val="bottom"/>
            <w:shd w:val="clear" w:color="auto" w:fill="CFF0FC"/>
          </w:tcPr>
          <w:p>
            <w:pPr>
              <w:spacing w:after="0"/>
              <w:rPr>
                <w:sz w:val="20"/>
                <w:szCs w:val="20"/>
                <w:color w:val="auto"/>
              </w:rPr>
            </w:pPr>
          </w:p>
        </w:tc>
        <w:tc>
          <w:tcPr>
            <w:tcW w:w="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10.7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21,074</w:t>
            </w:r>
          </w:p>
        </w:tc>
        <w:tc>
          <w:tcPr>
            <w:tcW w:w="420" w:type="dxa"/>
            <w:vAlign w:val="bottom"/>
            <w:shd w:val="clear" w:color="auto" w:fill="CFF0FC"/>
          </w:tcPr>
          <w:p>
            <w:pPr>
              <w:spacing w:after="0"/>
              <w:rPr>
                <w:sz w:val="20"/>
                <w:szCs w:val="20"/>
                <w:color w:val="auto"/>
              </w:rPr>
            </w:pPr>
          </w:p>
        </w:tc>
        <w:tc>
          <w:tcPr>
            <w:tcW w:w="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16.0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37,889</w:t>
            </w:r>
          </w:p>
        </w:tc>
        <w:tc>
          <w:tcPr>
            <w:tcW w:w="380" w:type="dxa"/>
            <w:vAlign w:val="bottom"/>
            <w:shd w:val="clear" w:color="auto" w:fill="CFF0FC"/>
          </w:tcPr>
          <w:p>
            <w:pPr>
              <w:spacing w:after="0"/>
              <w:rPr>
                <w:sz w:val="20"/>
                <w:szCs w:val="20"/>
                <w:color w:val="auto"/>
              </w:rPr>
            </w:pPr>
          </w:p>
        </w:tc>
        <w:tc>
          <w:tcPr>
            <w:tcW w:w="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12.5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57,780</w:t>
            </w:r>
          </w:p>
        </w:tc>
        <w:tc>
          <w:tcPr>
            <w:tcW w:w="440" w:type="dxa"/>
            <w:vAlign w:val="bottom"/>
            <w:shd w:val="clear" w:color="auto" w:fill="CFF0FC"/>
          </w:tcPr>
          <w:p>
            <w:pPr>
              <w:spacing w:after="0"/>
              <w:rPr>
                <w:sz w:val="20"/>
                <w:szCs w:val="20"/>
                <w:color w:val="auto"/>
              </w:rPr>
            </w:pPr>
          </w:p>
        </w:tc>
        <w:tc>
          <w:tcPr>
            <w:tcW w:w="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15.5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Component Products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20,220</w:t>
            </w:r>
          </w:p>
        </w:tc>
        <w:tc>
          <w:tcPr>
            <w:tcW w:w="400" w:type="dxa"/>
            <w:vAlign w:val="bottom"/>
          </w:tcPr>
          <w:p>
            <w:pPr>
              <w:spacing w:after="0"/>
              <w:rPr>
                <w:sz w:val="19"/>
                <w:szCs w:val="19"/>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19.2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38,351</w:t>
            </w:r>
          </w:p>
        </w:tc>
        <w:tc>
          <w:tcPr>
            <w:tcW w:w="420" w:type="dxa"/>
            <w:vAlign w:val="bottom"/>
          </w:tcPr>
          <w:p>
            <w:pPr>
              <w:spacing w:after="0"/>
              <w:rPr>
                <w:sz w:val="19"/>
                <w:szCs w:val="19"/>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27.2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63,122</w:t>
            </w:r>
          </w:p>
        </w:tc>
        <w:tc>
          <w:tcPr>
            <w:tcW w:w="380" w:type="dxa"/>
            <w:vAlign w:val="bottom"/>
          </w:tcPr>
          <w:p>
            <w:pPr>
              <w:spacing w:after="0"/>
              <w:rPr>
                <w:sz w:val="19"/>
                <w:szCs w:val="19"/>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21.3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117,724</w:t>
            </w:r>
          </w:p>
        </w:tc>
        <w:tc>
          <w:tcPr>
            <w:tcW w:w="440" w:type="dxa"/>
            <w:vAlign w:val="bottom"/>
          </w:tcPr>
          <w:p>
            <w:pPr>
              <w:spacing w:after="0"/>
              <w:rPr>
                <w:sz w:val="19"/>
                <w:szCs w:val="19"/>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28.5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30,629</w:t>
            </w:r>
          </w:p>
        </w:tc>
        <w:tc>
          <w:tcPr>
            <w:tcW w:w="4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15.1</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59,425</w:t>
            </w:r>
          </w:p>
        </w:tc>
        <w:tc>
          <w:tcPr>
            <w:tcW w:w="4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21.8</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101,011</w:t>
            </w:r>
          </w:p>
        </w:tc>
        <w:tc>
          <w:tcPr>
            <w:tcW w:w="3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w w:val="99"/>
              </w:rPr>
              <w:t>16.8</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175,504</w:t>
            </w:r>
          </w:p>
        </w:tc>
        <w:tc>
          <w:tcPr>
            <w:tcW w:w="4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22.4</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3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Gross Profit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69,661</w:t>
            </w:r>
          </w:p>
        </w:tc>
        <w:tc>
          <w:tcPr>
            <w:tcW w:w="400" w:type="dxa"/>
            <w:vAlign w:val="bottom"/>
          </w:tcPr>
          <w:p>
            <w:pPr>
              <w:spacing w:after="0"/>
              <w:rPr>
                <w:sz w:val="19"/>
                <w:szCs w:val="19"/>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22.9 %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89,353</w:t>
            </w:r>
          </w:p>
        </w:tc>
        <w:tc>
          <w:tcPr>
            <w:tcW w:w="420" w:type="dxa"/>
            <w:vAlign w:val="bottom"/>
          </w:tcPr>
          <w:p>
            <w:pPr>
              <w:spacing w:after="0"/>
              <w:rPr>
                <w:sz w:val="19"/>
                <w:szCs w:val="19"/>
                <w:color w:val="auto"/>
              </w:rPr>
            </w:pPr>
          </w:p>
        </w:tc>
        <w:tc>
          <w:tcPr>
            <w:tcW w:w="820" w:type="dxa"/>
            <w:vAlign w:val="bottom"/>
            <w:gridSpan w:val="3"/>
          </w:tcPr>
          <w:p>
            <w:pPr>
              <w:ind w:left="140"/>
              <w:spacing w:after="0" w:line="226" w:lineRule="exact"/>
              <w:rPr>
                <w:sz w:val="20"/>
                <w:szCs w:val="20"/>
                <w:color w:val="auto"/>
              </w:rPr>
            </w:pPr>
            <w:r>
              <w:rPr>
                <w:rFonts w:ascii="Times New Roman" w:cs="Times New Roman" w:eastAsia="Times New Roman" w:hAnsi="Times New Roman"/>
                <w:sz w:val="14"/>
                <w:szCs w:val="14"/>
                <w:color w:val="auto"/>
              </w:rPr>
              <w:t xml:space="preserve">24.6 % </w:t>
            </w:r>
            <w:r>
              <w:rPr>
                <w:rFonts w:ascii="Times New Roman" w:cs="Times New Roman" w:eastAsia="Times New Roman" w:hAnsi="Times New Roman"/>
                <w:sz w:val="26"/>
                <w:szCs w:val="26"/>
                <w:color w:val="auto"/>
                <w:vertAlign w:val="super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219,385</w:t>
            </w:r>
          </w:p>
        </w:tc>
        <w:tc>
          <w:tcPr>
            <w:tcW w:w="380" w:type="dxa"/>
            <w:vAlign w:val="bottom"/>
          </w:tcPr>
          <w:p>
            <w:pPr>
              <w:spacing w:after="0"/>
              <w:rPr>
                <w:sz w:val="19"/>
                <w:szCs w:val="19"/>
                <w:color w:val="auto"/>
              </w:rPr>
            </w:pPr>
          </w:p>
        </w:tc>
        <w:tc>
          <w:tcPr>
            <w:tcW w:w="860" w:type="dxa"/>
            <w:vAlign w:val="bottom"/>
            <w:gridSpan w:val="3"/>
          </w:tcPr>
          <w:p>
            <w:pPr>
              <w:ind w:left="180"/>
              <w:spacing w:after="0" w:line="226" w:lineRule="exact"/>
              <w:rPr>
                <w:sz w:val="20"/>
                <w:szCs w:val="20"/>
                <w:color w:val="auto"/>
              </w:rPr>
            </w:pPr>
            <w:r>
              <w:rPr>
                <w:rFonts w:ascii="Times New Roman" w:cs="Times New Roman" w:eastAsia="Times New Roman" w:hAnsi="Times New Roman"/>
                <w:sz w:val="14"/>
                <w:szCs w:val="14"/>
                <w:color w:val="auto"/>
              </w:rPr>
              <w:t xml:space="preserve">24.3 % </w:t>
            </w:r>
            <w:r>
              <w:rPr>
                <w:rFonts w:ascii="Times New Roman" w:cs="Times New Roman" w:eastAsia="Times New Roman" w:hAnsi="Times New Roman"/>
                <w:sz w:val="26"/>
                <w:szCs w:val="26"/>
                <w:color w:val="auto"/>
                <w:vertAlign w:val="super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257,589</w:t>
            </w:r>
          </w:p>
        </w:tc>
        <w:tc>
          <w:tcPr>
            <w:tcW w:w="440" w:type="dxa"/>
            <w:vAlign w:val="bottom"/>
          </w:tcPr>
          <w:p>
            <w:pPr>
              <w:spacing w:after="0"/>
              <w:rPr>
                <w:sz w:val="19"/>
                <w:szCs w:val="19"/>
                <w:color w:val="auto"/>
              </w:rPr>
            </w:pP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w w:val="92"/>
              </w:rPr>
              <w:t>24.7 %</w:t>
            </w:r>
          </w:p>
        </w:tc>
      </w:tr>
      <w:tr>
        <w:trPr>
          <w:trHeight w:val="20"/>
        </w:trPr>
        <w:tc>
          <w:tcPr>
            <w:tcW w:w="3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454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-179070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-179070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-179070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-179070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gross margin of the Gamer and Creator Peripherals segment increased by 5.2% for the three months ended September 30, 2024 as compared to the same period last year. The increase was primarily attributable to a 4.2% increase from a more favorable product mix within this segment and lower product costs from suppliers and successful launches of new products with higher average margins, and a 2.2% increase due to lower costs to process inventory returns in the three months ended September 30, 2024. These increases were partially offset by a 1.0% decrease due to higher spending on promotional activities as a proportion of net revenue.</w:t>
      </w:r>
    </w:p>
    <w:p>
      <w:pPr>
        <w:spacing w:after="0" w:line="74"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The gross margin of the Gamer and Creator Peripherals segment increased by 7.2% for the nine months ended September 30, 2024 as compared to the same period last year. The increase was primarily attributable to a 4.7% increase from a more favorable product mix within this segment and lower product costs from suppliers and successful launches of new products with higher average margins, a 2.3% increase from lower inventory reserve, and a 1.1% increase due to lower costs to process inventory returns. These increases were partially offset by a 0.9% decrease due to higher air freight costs.</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Corsair Gaming, Inc. | Q3 2024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7"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gross margin of the Gaming Components and Systems segment decreased by 6.7% for the three months ended September 30, 2024 as compared to the same period last year. The decrease was primarily attributable to a 2.3% decrease from an unfavorable product mix within this segment and pricing pressures from market competition, a 2.2% decrease from increased promotional activities as a proportion of net revenue, and a 2.2% decrease from higher inventory reserves.</w:t>
      </w:r>
    </w:p>
    <w:p>
      <w:pPr>
        <w:spacing w:after="0" w:line="74"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gross margin of the Gaming Components and Systems segment decreased by 5.6% for the nine months ended September 30, 2024 as compared to the same period last year. The decrease was primarily attributable to a 2.5% decrease from an unfavorable product mix within this segment and pricing pressures from market competition, a 1.9% decrease from increased promotional activities as a proportion of net revenue, and a 1.5% decrease from factory underutilization and higher inventory reserves.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We have financed our operations and acquisitions through cash from operations, and when applicable, through debt facilities and issuance of equity securities. As of September 30, 2024, our principal sources of liquidity were cash and restricted cash, in aggregate of $61.6 million, and our borrowing capacity under the Revolving Facility (as defined below) of $100.0 million.</w:t>
      </w:r>
    </w:p>
    <w:p>
      <w:pPr>
        <w:spacing w:after="0" w:line="69"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We have a shelf-registration statement on Form S-3 on file with the SEC, which allows us to offer securities, including common stock, preferred stock and warrants, through August 1, 2025. As of September 30, 2024, $216.7 million remained available for issuance under the shelf-registration statement.</w:t>
      </w:r>
    </w:p>
    <w:p>
      <w:pPr>
        <w:spacing w:after="0" w:line="69"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Our principal uses of cash generally include purchases of inventory, payroll and other operating expenses related to the development and marketing of our products, capital expenditure, repayments of debt and related interest, income tax payments, future investments in business and technology, and selective mergers and acquisitions.</w:t>
      </w:r>
    </w:p>
    <w:p>
      <w:pPr>
        <w:spacing w:after="0" w:line="6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believe that the anticipated cash flows from operations based on our current business outlook, combined with our current levels of cash balances at September 30, 2024, supplemented with the borrowing capacity under our Revolving Facility, if and as needed,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5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61"/>
        </w:trPr>
        <w:tc>
          <w:tcPr>
            <w:tcW w:w="75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(19,678 )</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(50,541 )</w:t>
            </w:r>
          </w:p>
        </w:tc>
        <w:tc>
          <w:tcPr>
            <w:tcW w:w="10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(25,004 )</w:t>
            </w:r>
          </w:p>
        </w:tc>
      </w:tr>
      <w:tr>
        <w:trPr>
          <w:trHeight w:val="234"/>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0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(46,616 )</w:t>
            </w:r>
          </w:p>
        </w:tc>
        <w:tc>
          <w:tcPr>
            <w:tcW w:w="10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(13,205 )</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$19.7 million and consisted of a net loss of $86.1 million and a net cash outflow of $10.3 million from changes in our net operating assets and liabilities, offset partially by non-cash adjustments of $76.8 million. The net cash outflow from changes in our net operating assets and liabilities was primarily related to a decrease in accounts payable due to timing of payments and a decrease in other liabilities and accrued expenses mainly due to a reduction in the accruals needed for sales returns and customer incentives with lower revenues, and lower bonus, as well as an increase in inventories as we ramp up for year-end sales. These net cash outflows were partially offset by a decrease in accounts receivable from lower revenue. The non-cash adjustments primarily consisted of amortization of intangibles, depreciation and stock-based compensation expense, as well as changes in deferred income taxes.</w:t>
      </w:r>
    </w:p>
    <w:p>
      <w:pPr>
        <w:spacing w:after="0" w:line="7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2023 was $32.1 million and consisted of non-cash adjustments of $56.0 million, offset partially by a net loss of $8.6 million and a net cash outflow of $15.4 million from changes in our net operating assets and liabilities. The non-cash adjustments primarily consisted of amortization, depreciation and stock-based compensation expense, which were partially offset by changes in deferred income taxes. The net cash outflow from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changes in our net operating assets and liabilities was primarily related to an increase in accounts receivable from timing of receipts and an increase in inventories due to higher purchases. These net cash outflows were partially offset by an increase in accounts payable.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was $50.5 million for the nine months ended September 30, 2024 and primarily consisted of $43.1 million cash used for the Fanatec Acquisition (refer to Note 5, “Business Combinations” for more information on the Fanatec Acquisition), $8.4 million of capital expenditure, partially offset by $1.0 million cash received from escrow for the purchase price adjustment related to the Drop Acquisition.</w:t>
      </w:r>
    </w:p>
    <w:p>
      <w:pPr>
        <w:spacing w:after="0" w:line="69"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was $25.0 million for the nine months ended September 30, 2023 and consisted of $14.2 million cash used for the Drop Acquisition and $10.8 million of capital expenditure primarily for equipment and software.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was $46.6 million for the nine months ended September 30, 2024 and primarily consisted of $21.3 million repayment of debt, $19.8 million purchase of additional ownership interest in iDisplay (refer to Note 15, "Redeemable Noncontrolling Interest" for more information on the additional ownership interest purchase), $4.9 million settlement of deferred consideration related to a prior business acquisition in 2019, $5.2 million payment of dividends to noncontrolling interest, and $0.6 million payment of taxes related to net share settlement of equity awards, partially offset by $5.1 million proceeds received from the issuance of shares through the employee equity incentive plans. During the nine months ended September 30, 2024, we borrowed $21.5 million from our Revolving Facility to fund our operations and the full amount was repaid within the same period.</w:t>
      </w:r>
    </w:p>
    <w:p>
      <w:pPr>
        <w:spacing w:after="0" w:line="78"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Cash used in financing activities was $13.2 million for the nine months ended September 30, 2023 and primarily consisted of $16.3 million repayment of debt, $1.3 million payment of taxes related to net share settlement of equity awards, as well as $1.0 million payment of dividends to noncontrolling interest, which were partially offset by $6.8 million proceeds received from the issuance of shares through the employee equity incentive plans. We did not borrow from our Revolving Facility for the nine months ended September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September 3, 2021, we refinanced the First Lien Credit and Guaranty Agreement with a new Credit Agreement (as amended, the “Credit Agreement”). The Credit Agreement provides for a total commitment of $350.0 million, consisting of a $100.0 million revolving credit facility (the “Revolving Facility”) and a $250.0 million term loan facility (the “Term Loan”). 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 We prepaid $11.9 million and $34.1 million of the Term Loan principal in the nine months ended September 30, 2024 and in the year ended December 31, 2023, respectively. As of September 30, 2024, the total principal outstanding of the Term Loan was $177.8 million and the available and uncommitted capacity under the Revolving Facility was $100 million.</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Credit Agreement has a variable rate structure. According to the provisions in the Third Amendment to the Credit Agreement (“Third Amendment”), beginning 2024, the Term Loan and the Revolving Facility carry interest at our election at either (a) Bloomberg Short-Term Bank Yield Index rate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Additionally, the commitment fees on the unused portion of the Revolving Facility ranges from 0.2% to 0.4% based on our total net leverage ratio.</w:t>
      </w:r>
    </w:p>
    <w:p>
      <w:pPr>
        <w:spacing w:after="0" w:line="7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On August 19, 2024, we entered into a Fourth Amendment (the “Fourth Amendment”) to the Credit Agreement, which provides for, among other things, (i) effectuates the transition of the underlying variable interest rate from the BSBY to a forward-looking interest rate based on the Secured Overnight Financing Rate (“SOFR”), with no change to the applicable margin percentage spread, but with the addition of a rate spread adjustment in the amount of 0.10% per annum, (ii) increases the letter of credit sublimit from $15 million to $65 million and (iii) the issuance of letters of credit denominated in Euro.</w:t>
      </w:r>
    </w:p>
    <w:p>
      <w:pPr>
        <w:spacing w:after="0" w:line="7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 contains covenants with which we must comply during the term of the agreement, which we believe are ordinary and standard for agreements of this nature, including the maintenance of a maximum Consolidated Total Net Leverage Ratio (“CTNL Ratio”) and a minimum Consolidated Interest Coverage Ratio (“CIC Ratio”) (as defined in the Credit Agreement). According to the provisions in the Third Amendment, beginning 2024, we are required to maintain a maximum CTNL Ratio of 3.00 to 1.00 and a minimum CIC ratio of 3.00 to 1.00, with the provision that the maximum CTNL Ratio can be temporarily increased to 3.50 to 1.00</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Corsair Gaming, Inc. | Q3 2024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upon the occurrence of a Qualified Acquisition (as defined in, and subject to the requirements of the Credit Agreement). As of September 30, 2024, we were not in default under the Credit Agreement.</w:t>
      </w:r>
    </w:p>
    <w:p>
      <w:pPr>
        <w:spacing w:after="0" w:line="55"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Cash and Other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contractual cash and other obligations as of September 30, 2024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355"/>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5"/>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7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61"/>
        </w:trPr>
        <w:tc>
          <w:tcPr>
            <w:tcW w:w="476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Debt principal and interest payments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193,636</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21,672</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171,964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Inventory-related purchase obligations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4"/>
                <w:szCs w:val="24"/>
                <w:color w:val="auto"/>
                <w:vertAlign w:val="superscript"/>
              </w:rPr>
              <w:t>(3)</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77,176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purchase obligations </w:t>
            </w:r>
            <w:r>
              <w:rPr>
                <w:rFonts w:ascii="Times New Roman" w:cs="Times New Roman" w:eastAsia="Times New Roman" w:hAnsi="Times New Roman"/>
                <w:sz w:val="24"/>
                <w:szCs w:val="24"/>
                <w:color w:val="auto"/>
                <w:vertAlign w:val="superscript"/>
              </w:rPr>
              <w:t>(4)</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336,648</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103,567</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194,441</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-24765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-7620</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840" w:right="80" w:hanging="368"/>
        <w:spacing w:after="0" w:line="294" w:lineRule="auto"/>
        <w:tabs>
          <w:tab w:leader="none" w:pos="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Amounts represent the principal cash payments as of September 30, 2024 of our Term Loan based on the repayment schedule according to the Credit Agreement and the expected interest payments associated with the Term Loan. See Note 8, “Debt” to our condensed consolidated financial statements for more information.</w:t>
      </w:r>
    </w:p>
    <w:p>
      <w:pPr>
        <w:spacing w:after="0" w:line="196" w:lineRule="exact"/>
        <w:rPr>
          <w:rFonts w:ascii="Times New Roman" w:cs="Times New Roman" w:eastAsia="Times New Roman" w:hAnsi="Times New Roman"/>
          <w:sz w:val="14"/>
          <w:szCs w:val="14"/>
          <w:color w:val="auto"/>
        </w:rPr>
      </w:pPr>
    </w:p>
    <w:p>
      <w:pPr>
        <w:ind w:left="840" w:hanging="368"/>
        <w:spacing w:after="0"/>
        <w:tabs>
          <w:tab w:leader="none" w:pos="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Amounts represent an estimate of purchase obligations related to inventory.</w:t>
      </w:r>
    </w:p>
    <w:p>
      <w:pPr>
        <w:spacing w:after="0" w:line="45" w:lineRule="exact"/>
        <w:rPr>
          <w:rFonts w:ascii="Times New Roman" w:cs="Times New Roman" w:eastAsia="Times New Roman" w:hAnsi="Times New Roman"/>
          <w:sz w:val="14"/>
          <w:szCs w:val="14"/>
          <w:color w:val="auto"/>
        </w:rPr>
      </w:pPr>
    </w:p>
    <w:p>
      <w:pPr>
        <w:ind w:left="840" w:hanging="368"/>
        <w:spacing w:after="0"/>
        <w:tabs>
          <w:tab w:leader="none" w:pos="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Amounts represent contractual obligations from our operating leases for offices and warehouse spaces.</w:t>
      </w:r>
    </w:p>
    <w:p>
      <w:pPr>
        <w:spacing w:after="0" w:line="58" w:lineRule="exact"/>
        <w:rPr>
          <w:rFonts w:ascii="Times New Roman" w:cs="Times New Roman" w:eastAsia="Times New Roman" w:hAnsi="Times New Roman"/>
          <w:sz w:val="14"/>
          <w:szCs w:val="14"/>
          <w:color w:val="auto"/>
        </w:rPr>
      </w:pPr>
    </w:p>
    <w:p>
      <w:pPr>
        <w:ind w:left="840" w:hanging="368"/>
        <w:spacing w:after="0"/>
        <w:tabs>
          <w:tab w:leader="none" w:pos="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Amounts represent non-cancelable obligations related to capital expenditures, software licenses, marketing and other activities.</w:t>
      </w:r>
    </w:p>
    <w:p>
      <w:pPr>
        <w:spacing w:after="0" w:line="122" w:lineRule="exact"/>
        <w:rPr>
          <w:sz w:val="20"/>
          <w:szCs w:val="20"/>
          <w:color w:val="auto"/>
        </w:rPr>
      </w:pPr>
    </w:p>
    <w:p>
      <w:pPr>
        <w:ind w:right="460" w:firstLine="509"/>
        <w:spacing w:after="0" w:line="265" w:lineRule="auto"/>
        <w:rPr>
          <w:sz w:val="20"/>
          <w:szCs w:val="20"/>
          <w:color w:val="auto"/>
        </w:rPr>
      </w:pPr>
      <w:r>
        <w:rPr>
          <w:rFonts w:ascii="Times New Roman" w:cs="Times New Roman" w:eastAsia="Times New Roman" w:hAnsi="Times New Roman"/>
          <w:sz w:val="18"/>
          <w:szCs w:val="18"/>
          <w:color w:val="auto"/>
        </w:rPr>
        <w:t>As of September 30, 2024, we had $4.5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condensed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condensed consolidated financial statements, as well as the reported amounts of revenue and expenses during the reporting periods. Our estimates are based on our historical experience and on various other factors that we believe to be applicable and evaluate them on an ongoing basis to ensure they remain reasonable under current conditions. Actual results may differ significantly from those estimates, which could have a material impact on our business, results of operations, and financial condition.</w:t>
      </w:r>
    </w:p>
    <w:p>
      <w:pPr>
        <w:spacing w:after="0" w:line="81"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nine months ended September 30, 2024 as compared to the critical accounting policies and estimates described in our Management’s Discussion and Analysis of Financial Condition and Results of Operations included in our Annual Report on Form 10-K for the year ended December 31, 2023 filed with the SEC on February 27,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860" w:firstLine="509"/>
        <w:spacing w:after="0" w:line="281" w:lineRule="auto"/>
        <w:rPr>
          <w:sz w:val="20"/>
          <w:szCs w:val="20"/>
          <w:color w:val="auto"/>
        </w:rPr>
      </w:pPr>
      <w:r>
        <w:rPr>
          <w:rFonts w:ascii="Times New Roman" w:cs="Times New Roman" w:eastAsia="Times New Roman" w:hAnsi="Times New Roman"/>
          <w:sz w:val="18"/>
          <w:szCs w:val="18"/>
          <w:color w:val="auto"/>
        </w:rPr>
        <w:t>Refer to Note 2 to the condensed consolidated financial statements included in this Quarterly Report on Form 10-Q for recent accounting pronouncements adopted and to be adopted.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As of September 30, 2024, we had cash and restricted cash of $61.6 million, which consisted primarily of bank deposits. Our cash is held for working capital purposes.</w:t>
      </w:r>
    </w:p>
    <w:p>
      <w:pPr>
        <w:spacing w:after="0" w:line="5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2024, under the Credit Agreement, we had $177.8 million Term Loan outstanding (face value), and the Term Loan bears variable market rates, primarily SOFR, effective from September 2024. See Note 8, “Debt - Credit Agreement” to our condensed consolidated financial statements for additional information on the Credit Agreement. A significant change in these market rates may adversely affect our operating results. As of September 30, 2024, a hypothetical 100 basis point change in interest rates would result in a change to annual interest expense by approximately $1.7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Approximately 20.2% of our net revenue for the nine months ended September 30, 2024 was denominated in foreign currencies, primarily Euro, and to a lesser extent, the British Pound.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two to four months, and we do not enter into foreign currency forward contracts for trading purposes. The outstanding notional principal amount was $19.5 million and $44.3 million as of September 30, 2024 and December 31, 2023, respectively. The gains or losses on these contracts are recognized in earnings based on the changes in fair value of the foreign currency forward contracts.</w:t>
      </w:r>
    </w:p>
    <w:p>
      <w:pPr>
        <w:spacing w:after="0" w:line="74"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impact of changes in foreign currency rates, including the gains or (losses) on the forward currency contracts, recognized in other expense, net was $(1.9) million and $(1.5) million for the nine months ended September 30, 2024 and 2023, respectively. A hypothetical ten percent change in exchange rates between foreign currencies and the U.S. dollar would increase or decrease our gains or losses on foreign currency exchange of approximately $3.1 million in our condensed consolidated financial statements for the nine months ended September 30, 2024.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Q3 2024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w:t>
      </w:r>
    </w:p>
    <w:p>
      <w:pPr>
        <w:spacing w:after="0" w:line="5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September 30, 2024,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700" w:firstLine="509"/>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2024 that have materially affected, or are reasonably likely to materially affect, our internal control over financial reporting.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Q3 2024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disclosed under the heading “Risk Factors” in Part I, Item 1A of our Annual Report on Form 10-K for the year ended December 31, 2023 the risk factors that materially affect our business, financial condition or results of operations. There have been no material changes from the risk factors previously disclosed. You should carefully consider the risk factors set forth in our Annual Report on Form 10-K for the year ended December 31, 2023 and the other information set forth elsewhere in this Quarterly Report on Form 10-Q. The risks that we describe in our public filings are not the only risks we may face. Additional risks and uncertainties not currently known to us or that we currently deem to be immaterial also may materially adversely effect on our business, financial condition and/or future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hanging="24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6"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6" w:lineRule="exact"/>
        <w:rPr>
          <w:rFonts w:ascii="Times New Roman" w:cs="Times New Roman" w:eastAsia="Times New Roman" w:hAnsi="Times New Roman"/>
          <w:sz w:val="18"/>
          <w:szCs w:val="18"/>
          <w:color w:val="auto"/>
        </w:rPr>
      </w:pPr>
    </w:p>
    <w:p>
      <w:pPr>
        <w:ind w:right="220" w:firstLine="517"/>
        <w:spacing w:after="0" w:line="265" w:lineRule="auto"/>
        <w:tabs>
          <w:tab w:leader="none" w:pos="7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directors or officers (as defined in Rule 16a-1 under the Exchange Act) adopted, modified or terminated a Rule 10b5-1 trading arrangement or non-Rule 10b5-1 trading arrangement during the three months ended September 30, 2024, as such terms are defined under Item 408(a) of Regulation S-K.</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Q3 2024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10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920" w:type="dxa"/>
            <w:vAlign w:val="bottom"/>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40" w:type="dxa"/>
            <w:vAlign w:val="bottom"/>
            <w:gridSpan w:val="9"/>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780" w:type="dxa"/>
            <w:vAlign w:val="bottom"/>
          </w:tcPr>
          <w:p>
            <w:pPr>
              <w:jc w:val="center"/>
              <w:ind w:left="134"/>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9"/>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780" w:type="dxa"/>
            <w:vAlign w:val="bottom"/>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36"/>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3.1</w:t>
            </w:r>
          </w:p>
        </w:tc>
        <w:tc>
          <w:tcPr>
            <w:tcW w:w="5940" w:type="dxa"/>
            <w:vAlign w:val="bottom"/>
            <w:gridSpan w:val="13"/>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Second Amended and Restated Certificate of Incorporation.</w:t>
              </w:r>
            </w:hyperlink>
          </w:p>
        </w:tc>
        <w:tc>
          <w:tcPr>
            <w:tcW w:w="9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restart"/>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3.2</w:t>
            </w:r>
          </w:p>
        </w:tc>
        <w:tc>
          <w:tcPr>
            <w:tcW w:w="5940" w:type="dxa"/>
            <w:vAlign w:val="bottom"/>
            <w:gridSpan w:val="13"/>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Amended and Restated Bylaws.</w:t>
              </w:r>
            </w:hyperlink>
          </w:p>
        </w:tc>
        <w:tc>
          <w:tcPr>
            <w:tcW w:w="980" w:type="dxa"/>
            <w:vAlign w:val="bottom"/>
            <w:vMerge w:val="continue"/>
          </w:tcPr>
          <w:p>
            <w:pPr>
              <w:spacing w:after="0"/>
              <w:rPr>
                <w:sz w:val="24"/>
                <w:szCs w:val="24"/>
                <w:color w:val="auto"/>
              </w:rPr>
            </w:pP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4.1</w:t>
            </w:r>
          </w:p>
        </w:tc>
        <w:tc>
          <w:tcPr>
            <w:tcW w:w="5940" w:type="dxa"/>
            <w:vAlign w:val="bottom"/>
            <w:gridSpan w:val="13"/>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Form of common stock certificate of Registrant.</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09/18/2020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4.2</w:t>
            </w:r>
          </w:p>
        </w:tc>
        <w:tc>
          <w:tcPr>
            <w:tcW w:w="5940" w:type="dxa"/>
            <w:vAlign w:val="bottom"/>
            <w:gridSpan w:val="13"/>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Investor Rights Agreement, by and between Corsair Gaming, Inc. and Corsair</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11/10/2020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3"/>
          </w:tcPr>
          <w:p>
            <w:pPr>
              <w:spacing w:after="0" w:line="195"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Group (Cayman), LP.</w:t>
              </w:r>
            </w:hyperlink>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4.3</w:t>
            </w:r>
          </w:p>
        </w:tc>
        <w:tc>
          <w:tcPr>
            <w:tcW w:w="5940" w:type="dxa"/>
            <w:vAlign w:val="bottom"/>
            <w:gridSpan w:val="13"/>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Description of Corsair’s Securities Registered Pursuant to Section 12 of the</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03/11/2021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3"/>
          </w:tcPr>
          <w:p>
            <w:pPr>
              <w:spacing w:after="0" w:line="195"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Securities Exchange Act of 1934.</w:t>
              </w:r>
            </w:hyperlink>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4.4</w:t>
            </w:r>
          </w:p>
        </w:tc>
        <w:tc>
          <w:tcPr>
            <w:tcW w:w="5940" w:type="dxa"/>
            <w:vAlign w:val="bottom"/>
            <w:gridSpan w:val="13"/>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Registration Rights Agreement, by and between Corsair Gaming, Inc. and Corsair</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3"/>
          </w:tcPr>
          <w:p>
            <w:pPr>
              <w:spacing w:after="0" w:line="195"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Group (Cayman), LP.</w:t>
              </w:r>
            </w:hyperlink>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10.1</w:t>
            </w:r>
          </w:p>
        </w:tc>
        <w:tc>
          <w:tcPr>
            <w:tcW w:w="5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Fourth Amendment, dated as of August 19, 2024, to Credit Agreement, dated as</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of September 3, 2021, by and among Corsair Gaming, Inc., as borrower, and</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certain of its subsidiaries, as guarantors, the lender parties named therein, and</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Bank of America, N.A. as administrative agent.</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6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31.1</w:t>
            </w:r>
          </w:p>
        </w:tc>
        <w:tc>
          <w:tcPr>
            <w:tcW w:w="5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under Securities Exchange Act Rule</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780" w:type="dxa"/>
            <w:vAlign w:val="bottom"/>
            <w:tcBorders>
              <w:top w:val="single" w:sz="8" w:color="0000FF"/>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w:t>
            </w:r>
          </w:p>
        </w:tc>
        <w:tc>
          <w:tcPr>
            <w:tcW w:w="1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31.2</w:t>
            </w:r>
          </w:p>
        </w:tc>
        <w:tc>
          <w:tcPr>
            <w:tcW w:w="5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under Securities Exchange Act Rule</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780" w:type="dxa"/>
            <w:vAlign w:val="bottom"/>
            <w:tcBorders>
              <w:top w:val="single" w:sz="8" w:color="0000FF"/>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w:t>
            </w:r>
          </w:p>
        </w:tc>
        <w:tc>
          <w:tcPr>
            <w:tcW w:w="1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480" w:type="dxa"/>
            <w:vAlign w:val="bottom"/>
            <w:tcBorders>
              <w:left w:val="single" w:sz="8" w:color="0000EE"/>
            </w:tcBorders>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8"/>
              </w:rPr>
              <w:t>32.1*</w:t>
            </w:r>
          </w:p>
        </w:tc>
        <w:tc>
          <w:tcPr>
            <w:tcW w:w="5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520" w:type="dxa"/>
            <w:vAlign w:val="bottom"/>
            <w:tcBorders>
              <w:top w:val="single" w:sz="8" w:color="0000FF"/>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pursuant to 18 U.S.C. 1350 and Securities Exchange Act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14(b).</w:t>
            </w:r>
          </w:p>
        </w:tc>
        <w:tc>
          <w:tcPr>
            <w:tcW w:w="42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5260" w:type="dxa"/>
            <w:vAlign w:val="bottom"/>
            <w:tcBorders>
              <w:right w:val="single" w:sz="8" w:color="0000EE"/>
            </w:tcBorders>
            <w:gridSpan w:val="7"/>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9"/>
              </w:rPr>
              <w:t>101.INS</w:t>
            </w:r>
          </w:p>
        </w:tc>
        <w:tc>
          <w:tcPr>
            <w:tcW w:w="5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9"/>
              </w:rPr>
              <w:t>101.SCH</w:t>
            </w:r>
          </w:p>
        </w:tc>
        <w:tc>
          <w:tcPr>
            <w:tcW w:w="5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With Embedded Linkbase Documents</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9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6"/>
              </w:rPr>
              <w:t>104</w:t>
            </w:r>
          </w:p>
        </w:tc>
        <w:tc>
          <w:tcPr>
            <w:tcW w:w="5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80" w:right="60" w:hanging="288"/>
        <w:spacing w:after="0" w:line="264"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Corsair Gaming, Inc. | Q3 2024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Corsair Gaming, Inc.</w:t>
      </w:r>
    </w:p>
    <w:p>
      <w:pPr>
        <w:sectPr>
          <w:pgSz w:w="11900" w:h="16838" w:orient="portrait"/>
          <w:cols w:equalWidth="0" w:num="1">
            <w:col w:w="10900"/>
          </w:cols>
          <w:pgMar w:left="320" w:top="117" w:right="67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November 6,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G.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33020</wp:posOffset>
            </wp:positionV>
            <wp:extent cx="33134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4980" w:space="720"/>
            <w:col w:w="1460" w:space="720"/>
            <w:col w:w="3020"/>
          </w:cols>
          <w:pgMar w:left="320" w:top="117" w:right="679" w:bottom="1440" w:gutter="0" w:footer="0" w:header="0"/>
          <w:type w:val="continuous"/>
        </w:sectPr>
      </w:pPr>
    </w:p>
    <w:p>
      <w:pPr>
        <w:ind w:left="7980"/>
        <w:spacing w:after="0"/>
        <w:rPr>
          <w:sz w:val="20"/>
          <w:szCs w:val="20"/>
          <w:color w:val="auto"/>
        </w:rPr>
      </w:pPr>
      <w:r>
        <w:rPr>
          <w:rFonts w:ascii="Times New Roman" w:cs="Times New Roman" w:eastAsia="Times New Roman" w:hAnsi="Times New Roman"/>
          <w:sz w:val="18"/>
          <w:szCs w:val="18"/>
          <w:color w:val="auto"/>
        </w:rPr>
        <w:t>Michael G. Potter</w:t>
      </w:r>
    </w:p>
    <w:p>
      <w:pPr>
        <w:spacing w:after="0" w:line="2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Corsair Gaming, Inc. | Q3 2024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type w:val="continuous"/>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FOURTH AMENDMENT</w:t>
      </w:r>
    </w:p>
    <w:p>
      <w:pPr>
        <w:spacing w:after="0" w:line="22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THIS FOURTH AMENDMENT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August 19, 2024 to the Credit Agreement referenced below is by and among CORSAIR GAMING,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party hereto, the Lenders party hereto and BANK OF AMERICA, N.A., as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2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WHEREAS, credit facilities have been extended to the Borrower pursuant to that certain Credit Agreement (as amended, modified, supplemented and extended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dated as of September 3, 2021, among the Borrower, the Guarantors party thereto, the Lenders party thereto and the Administrative Agent;</w:t>
      </w:r>
    </w:p>
    <w:p>
      <w:pPr>
        <w:spacing w:after="0" w:line="190"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WHEREAS, the Borrower has requested certain modifications to the Credit Agreement, and the Administrative Agent and the Lenders have agreed to make such requested modifications on the terms and conditions set forth herein.</w:t>
      </w:r>
    </w:p>
    <w:p>
      <w:pPr>
        <w:spacing w:after="0" w:line="174"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4" w:lineRule="exact"/>
        <w:rPr>
          <w:sz w:val="20"/>
          <w:szCs w:val="20"/>
          <w:color w:val="auto"/>
        </w:rPr>
      </w:pPr>
    </w:p>
    <w:p>
      <w:pPr>
        <w:ind w:firstLine="757"/>
        <w:spacing w:after="0" w:line="268" w:lineRule="auto"/>
        <w:tabs>
          <w:tab w:leader="none" w:pos="114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herein but not otherwise defined herein shall have the meanings provided to such terms in the Credit Agreement.</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Credit Agreement</w:t>
      </w:r>
      <w:r>
        <w:rPr>
          <w:rFonts w:ascii="Times New Roman" w:cs="Times New Roman" w:eastAsia="Times New Roman" w:hAnsi="Times New Roman"/>
          <w:sz w:val="20"/>
          <w:szCs w:val="20"/>
          <w:color w:val="auto"/>
        </w:rPr>
        <w:t>.</w:t>
      </w:r>
    </w:p>
    <w:p>
      <w:pPr>
        <w:spacing w:after="0" w:line="228"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other than the Schedules and Exhibits thereto, is hereby amended to delete the stricken text (indicated textually in the same manner as the following example: stricken text) and to add the double-underline text (indicated textually in the same manner as the following example: </w:t>
      </w:r>
      <w:r>
        <w:rPr>
          <w:rFonts w:ascii="Times New Roman" w:cs="Times New Roman" w:eastAsia="Times New Roman" w:hAnsi="Times New Roman"/>
          <w:sz w:val="20"/>
          <w:szCs w:val="20"/>
          <w:u w:val="single" w:color="auto"/>
          <w:color w:val="auto"/>
        </w:rPr>
        <w:t>double-underlined text</w:t>
      </w:r>
      <w:r>
        <w:rPr>
          <w:rFonts w:ascii="Times New Roman" w:cs="Times New Roman" w:eastAsia="Times New Roman" w:hAnsi="Times New Roman"/>
          <w:sz w:val="20"/>
          <w:szCs w:val="20"/>
          <w:color w:val="auto"/>
        </w:rPr>
        <w:t xml:space="preserve">) as set forth in the Credit Agreement attached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w:t>
      </w:r>
    </w:p>
    <w:p>
      <w:pPr>
        <w:spacing w:after="0" w:line="191"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2048"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Loan bearing interest at the BSBY Rate (as defined immediately prior to the effectiveness of this Amendment) outstanding immediately prior to the effectiveness of this Amendment (each, an “</w:t>
      </w:r>
      <w:r>
        <w:rPr>
          <w:rFonts w:ascii="Times New Roman" w:cs="Times New Roman" w:eastAsia="Times New Roman" w:hAnsi="Times New Roman"/>
          <w:sz w:val="20"/>
          <w:szCs w:val="20"/>
          <w:u w:val="single" w:color="auto"/>
          <w:color w:val="auto"/>
        </w:rPr>
        <w:t>Existing BSBY Loan</w:t>
      </w:r>
      <w:r>
        <w:rPr>
          <w:rFonts w:ascii="Times New Roman" w:cs="Times New Roman" w:eastAsia="Times New Roman" w:hAnsi="Times New Roman"/>
          <w:sz w:val="20"/>
          <w:szCs w:val="20"/>
          <w:color w:val="auto"/>
        </w:rPr>
        <w:t>”), such Loan shall continue to bear interest at the 1-month BSBY Rate in accordance with the BSBY Rate-related provisions and all other provisions of the Credit Agreement applicable to such Loan (without giving effect to any of the amendments effected hereby) (collectively, the “</w:t>
      </w:r>
      <w:r>
        <w:rPr>
          <w:rFonts w:ascii="Times New Roman" w:cs="Times New Roman" w:eastAsia="Times New Roman" w:hAnsi="Times New Roman"/>
          <w:sz w:val="20"/>
          <w:szCs w:val="20"/>
          <w:u w:val="single" w:color="auto"/>
          <w:color w:val="auto"/>
        </w:rPr>
        <w:t>BSBY Provisions</w:t>
      </w:r>
      <w:r>
        <w:rPr>
          <w:rFonts w:ascii="Times New Roman" w:cs="Times New Roman" w:eastAsia="Times New Roman" w:hAnsi="Times New Roman"/>
          <w:sz w:val="20"/>
          <w:szCs w:val="20"/>
          <w:color w:val="auto"/>
        </w:rPr>
        <w:t>”) until the end of the current Interest Period applicable to such Loan, at which such time such Loan (to the extent still outstanding at such time) shall be automatically converted to a 1-month Term SOFR Loan (any such conversion, a “</w:t>
      </w:r>
      <w:r>
        <w:rPr>
          <w:rFonts w:ascii="Times New Roman" w:cs="Times New Roman" w:eastAsia="Times New Roman" w:hAnsi="Times New Roman"/>
          <w:sz w:val="20"/>
          <w:szCs w:val="20"/>
          <w:u w:val="single" w:color="auto"/>
          <w:color w:val="auto"/>
        </w:rPr>
        <w:t>Specified Conversion</w:t>
      </w:r>
      <w:r>
        <w:rPr>
          <w:rFonts w:ascii="Times New Roman" w:cs="Times New Roman" w:eastAsia="Times New Roman" w:hAnsi="Times New Roman"/>
          <w:sz w:val="20"/>
          <w:szCs w:val="20"/>
          <w:color w:val="auto"/>
        </w:rPr>
        <w:t xml:space="preserve">”). Notwithstanding the effectiveness of this Amendment, the BSBY Provisions applicable to such Existing BSBY Loans are incorporated into the Credit Agreement,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until effectiveness of the Specified Conversion in respect of all Existing BSBY Loans, and the parties hereto hereby agree that such provisions shall continue to apply to such Existing BSBY Loans until effectiveness of the Specified Conversion in respect of each thereof. Notwithstanding the foregoing, each Lender hereby waives any notice requirements under Sections 2.02 of the Credit Agreement (as in effect immediately prior to the effectiveness of this Amendment) in connection with any Specified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0" w:name="page41"/>
    <w:bookmarkEnd w:id="40"/>
    <w:p>
      <w:pPr>
        <w:ind w:left="1160" w:hanging="403"/>
        <w:spacing w:after="0"/>
        <w:tabs>
          <w:tab w:leader="none" w:pos="11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Precedent</w:t>
      </w:r>
      <w:r>
        <w:rPr>
          <w:rFonts w:ascii="Times New Roman" w:cs="Times New Roman" w:eastAsia="Times New Roman" w:hAnsi="Times New Roman"/>
          <w:sz w:val="19"/>
          <w:szCs w:val="19"/>
          <w:color w:val="auto"/>
        </w:rPr>
        <w:t>. This Amendment shall be effective on the first date each of the following conditions precedent has been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satisfied:</w:t>
      </w:r>
    </w:p>
    <w:p>
      <w:pPr>
        <w:spacing w:after="0" w:line="206" w:lineRule="exact"/>
        <w:rPr>
          <w:sz w:val="20"/>
          <w:szCs w:val="20"/>
          <w:color w:val="auto"/>
        </w:rPr>
      </w:pPr>
    </w:p>
    <w:p>
      <w:pPr>
        <w:ind w:left="760" w:firstLine="745"/>
        <w:spacing w:after="0" w:line="268" w:lineRule="auto"/>
        <w:tabs>
          <w:tab w:leader="none" w:pos="2048"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counterparts of this Amendment duly executed by the Borrower, the Guarantors, the Required Lenders and the Administrative Agent; and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reasonable and documented out-of-pocket expenses of the Administrative Agent (including reasonable and documented fees and expenses of counsel to the Administrative Agent in respect of this Amendment) required to be paid on the date hereof to the extent invoiced in writing to the Borrower at least two (2) Business Days prior to the date hereof.</w:t>
      </w:r>
    </w:p>
    <w:p>
      <w:pPr>
        <w:spacing w:after="0" w:line="191" w:lineRule="exact"/>
        <w:rPr>
          <w:rFonts w:ascii="Times New Roman" w:cs="Times New Roman" w:eastAsia="Times New Roman" w:hAnsi="Times New Roman"/>
          <w:sz w:val="20"/>
          <w:szCs w:val="20"/>
          <w:color w:val="auto"/>
        </w:rPr>
      </w:pPr>
    </w:p>
    <w:p>
      <w:pPr>
        <w:jc w:val="both"/>
        <w:ind w:firstLine="757"/>
        <w:spacing w:after="0" w:line="253" w:lineRule="auto"/>
        <w:tabs>
          <w:tab w:leader="none" w:pos="115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is a “Loan Document”</w:t>
      </w:r>
      <w:r>
        <w:rPr>
          <w:rFonts w:ascii="Times New Roman" w:cs="Times New Roman" w:eastAsia="Times New Roman" w:hAnsi="Times New Roman"/>
          <w:sz w:val="20"/>
          <w:szCs w:val="20"/>
          <w:color w:val="auto"/>
        </w:rPr>
        <w:t>. This Amendment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Amendment.</w:t>
      </w:r>
    </w:p>
    <w:p>
      <w:pPr>
        <w:spacing w:after="0" w:line="189"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No Default</w:t>
      </w:r>
      <w:r>
        <w:rPr>
          <w:rFonts w:ascii="Times New Roman" w:cs="Times New Roman" w:eastAsia="Times New Roman" w:hAnsi="Times New Roman"/>
          <w:sz w:val="20"/>
          <w:szCs w:val="20"/>
          <w:color w:val="auto"/>
        </w:rPr>
        <w:t>. Each Loan Party represents and warrants to the Administrative Agent and each Lender that, on and as of the date hereof, immediately after giving effect to this Amendment, () the representations and warranties of each Loan Party set forth in the Loan Documents to which it is a party are true and correct in all material respects (and in all respects if any such representation or warranty is already qualified by materiality) on and as of the date hereof,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 no Default exists.</w:t>
      </w:r>
    </w:p>
    <w:p>
      <w:pPr>
        <w:spacing w:after="0" w:line="195" w:lineRule="exact"/>
        <w:rPr>
          <w:rFonts w:ascii="Times New Roman" w:cs="Times New Roman" w:eastAsia="Times New Roman" w:hAnsi="Times New Roman"/>
          <w:sz w:val="20"/>
          <w:szCs w:val="20"/>
          <w:color w:val="auto"/>
        </w:rPr>
      </w:pPr>
    </w:p>
    <w:p>
      <w:pPr>
        <w:jc w:val="both"/>
        <w:ind w:firstLine="757"/>
        <w:spacing w:after="0" w:line="249" w:lineRule="auto"/>
        <w:tabs>
          <w:tab w:leader="none" w:pos="117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of Obligations</w:t>
      </w:r>
      <w:r>
        <w:rPr>
          <w:rFonts w:ascii="Times New Roman" w:cs="Times New Roman" w:eastAsia="Times New Roman" w:hAnsi="Times New Roman"/>
          <w:sz w:val="20"/>
          <w:szCs w:val="20"/>
          <w:color w:val="auto"/>
        </w:rPr>
        <w:t>. Each Loan Party () acknowledges and consents to all of the terms and conditions of this Amendment, () affirms all of its obligations under the Loan Documents (in the case of the Credit Agreement, as amended hereby), and () agrees that, except as expressly set forth herein, this Amendment and all documents, agreements and instruments executed in connection with this Amendment do not operate to reduce or discharge such Loan Party’s obligations under the Loan Documents.</w:t>
      </w:r>
    </w:p>
    <w:p>
      <w:pPr>
        <w:spacing w:after="0" w:line="191" w:lineRule="exact"/>
        <w:rPr>
          <w:rFonts w:ascii="Times New Roman" w:cs="Times New Roman" w:eastAsia="Times New Roman" w:hAnsi="Times New Roman"/>
          <w:sz w:val="20"/>
          <w:szCs w:val="20"/>
          <w:color w:val="auto"/>
        </w:rPr>
      </w:pPr>
    </w:p>
    <w:p>
      <w:pPr>
        <w:jc w:val="both"/>
        <w:ind w:firstLine="757"/>
        <w:spacing w:after="0" w:line="249" w:lineRule="auto"/>
        <w:tabs>
          <w:tab w:leader="none" w:pos="115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of Security Interests</w:t>
      </w:r>
      <w:r>
        <w:rPr>
          <w:rFonts w:ascii="Times New Roman" w:cs="Times New Roman" w:eastAsia="Times New Roman" w:hAnsi="Times New Roman"/>
          <w:sz w:val="20"/>
          <w:szCs w:val="20"/>
          <w:color w:val="auto"/>
        </w:rPr>
        <w:t>. Each Loan Party () affirms that each of the Liens granted in or pursuant to the Loan Documents are valid and subsisting, and () agrees that this Amendment and all documents, agreements and instruments executed in connection with this Amendment do not in any manner impair or otherwise adversely affect any of the Liens granted in or pursuant to the Loan Documents.</w:t>
      </w:r>
    </w:p>
    <w:p>
      <w:pPr>
        <w:spacing w:after="0" w:line="191" w:lineRule="exact"/>
        <w:rPr>
          <w:rFonts w:ascii="Times New Roman" w:cs="Times New Roman" w:eastAsia="Times New Roman" w:hAnsi="Times New Roman"/>
          <w:sz w:val="20"/>
          <w:szCs w:val="20"/>
          <w:color w:val="auto"/>
        </w:rPr>
      </w:pPr>
    </w:p>
    <w:p>
      <w:pPr>
        <w:ind w:firstLine="757"/>
        <w:spacing w:after="0" w:line="268" w:lineRule="auto"/>
        <w:tabs>
          <w:tab w:leader="none" w:pos="115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Changes</w:t>
      </w:r>
      <w:r>
        <w:rPr>
          <w:rFonts w:ascii="Times New Roman" w:cs="Times New Roman" w:eastAsia="Times New Roman" w:hAnsi="Times New Roman"/>
          <w:sz w:val="20"/>
          <w:szCs w:val="20"/>
          <w:color w:val="auto"/>
        </w:rPr>
        <w:t>. Except as modified hereby, all of the terms and provisions of the Loan Documents shall remain in full force and effect.</w:t>
      </w:r>
    </w:p>
    <w:p>
      <w:pPr>
        <w:spacing w:after="0" w:line="174" w:lineRule="exact"/>
        <w:rPr>
          <w:rFonts w:ascii="Times New Roman" w:cs="Times New Roman" w:eastAsia="Times New Roman" w:hAnsi="Times New Roman"/>
          <w:sz w:val="20"/>
          <w:szCs w:val="20"/>
          <w:color w:val="auto"/>
        </w:rPr>
      </w:pPr>
    </w:p>
    <w:p>
      <w:pPr>
        <w:jc w:val="both"/>
        <w:ind w:firstLine="757"/>
        <w:spacing w:after="0" w:line="244" w:lineRule="auto"/>
        <w:tabs>
          <w:tab w:leader="none" w:pos="118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Delivery</w:t>
      </w:r>
      <w:r>
        <w:rPr>
          <w:rFonts w:ascii="Times New Roman" w:cs="Times New Roman" w:eastAsia="Times New Roman" w:hAnsi="Times New Roman"/>
          <w:sz w:val="20"/>
          <w:szCs w:val="20"/>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or any certificate delivered hereunder, by fax transmission or e-mail transmission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“pdf” or “tif”) shall be effective as delivery of a manually executed counterpart of this Amendment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1" w:name="page42"/>
    <w:bookmarkEnd w:id="41"/>
    <w:p>
      <w:pPr>
        <w:ind w:left="-20" w:firstLine="757"/>
        <w:spacing w:after="0" w:line="268" w:lineRule="auto"/>
        <w:tabs>
          <w:tab w:leader="none" w:pos="113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deemed to be a contract made under, and for all purposes shall be construed in accordance with, the laws of the State of New York.</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617855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1" w:right="339"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20"/>
          <w:szCs w:val="20"/>
          <w:color w:val="auto"/>
        </w:rPr>
        <w:t>Each of the parties hereto has caused a counterpart of this Amendment to be duly executed and delivered as of the date first above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0"/>
          <w:szCs w:val="20"/>
          <w:b w:val="1"/>
          <w:bCs w:val="1"/>
          <w:u w:val="single" w:color="auto"/>
          <w:color w:val="auto"/>
        </w:rPr>
        <w:t>BORROWER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CORSAIR GAMING, INC.</w:t>
      </w: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Michael G. Potter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Michael G. Potter</w:t>
      </w:r>
    </w:p>
    <w:p>
      <w:pPr>
        <w:ind w:left="56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0"/>
          <w:szCs w:val="20"/>
          <w:b w:val="1"/>
          <w:bCs w:val="1"/>
          <w:u w:val="single" w:color="auto"/>
          <w:color w:val="auto"/>
        </w:rPr>
        <w:t>GUARANTORS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CORSAIR MEMORY, INC.</w:t>
      </w: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Michael G. Potter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Michael G. Potter</w:t>
      </w:r>
    </w:p>
    <w:p>
      <w:pPr>
        <w:ind w:left="56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ORIGIN PC, LLC</w:t>
      </w: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Andrew J. Paul</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Andrew J. Paul</w:t>
      </w:r>
    </w:p>
    <w:p>
      <w:pPr>
        <w:ind w:left="564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SCUF GAMING INTERNATIONAL LLC</w:t>
      </w: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Michael G. Potter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Michael G. Potter</w:t>
      </w:r>
    </w:p>
    <w:p>
      <w:pPr>
        <w:ind w:left="56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CONTINUE]</w:t>
      </w: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CORSAIR GAMING, INC.</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FOURTH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3" w:name="page44"/>
    <w:bookmarkEnd w:id="43"/>
    <w:p>
      <w:pPr>
        <w:ind w:left="452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Jason Eshler</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Jason Eshler</w:t>
      </w:r>
    </w:p>
    <w:p>
      <w:pPr>
        <w:ind w:left="4520"/>
        <w:spacing w:after="0"/>
        <w:rPr>
          <w:sz w:val="20"/>
          <w:szCs w:val="20"/>
          <w:color w:val="auto"/>
        </w:rPr>
      </w:pPr>
      <w:r>
        <w:rPr>
          <w:rFonts w:ascii="Times New Roman" w:cs="Times New Roman" w:eastAsia="Times New Roman" w:hAnsi="Times New Roman"/>
          <w:sz w:val="20"/>
          <w:szCs w:val="20"/>
          <w:color w:val="auto"/>
        </w:rPr>
        <w:t>Title: SVP</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CORSAIR GAMING, INC.</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FOURTH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462915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21" w:right="339" w:bottom="1440" w:gutter="0" w:footer="0" w:header="0"/>
        </w:sectPr>
      </w:pPr>
    </w:p>
    <w:bookmarkStart w:id="44" w:name="page45"/>
    <w:bookmarkEnd w:id="44"/>
    <w:p>
      <w:pPr>
        <w:ind w:left="452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as a Lender, L/C Issuer and Swingline Lender</w:t>
      </w: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Jason Eshler</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Jason Eshler</w:t>
      </w:r>
    </w:p>
    <w:p>
      <w:pPr>
        <w:ind w:left="4520"/>
        <w:spacing w:after="0"/>
        <w:rPr>
          <w:sz w:val="20"/>
          <w:szCs w:val="20"/>
          <w:color w:val="auto"/>
        </w:rPr>
      </w:pPr>
      <w:r>
        <w:rPr>
          <w:rFonts w:ascii="Times New Roman" w:cs="Times New Roman" w:eastAsia="Times New Roman" w:hAnsi="Times New Roman"/>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CORSAIR GAMING, INC.</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FOURTH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462915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21"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ANNEX A</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Amended Credit Agreement.</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891540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1" w:right="1440" w:bottom="1440" w:gutter="0" w:footer="0" w:header="0"/>
        </w:sectPr>
      </w:pPr>
    </w:p>
    <w:bookmarkStart w:id="46" w:name="page47"/>
    <w:bookmarkEnd w:id="46"/>
    <w:p>
      <w:pPr>
        <w:jc w:val="right"/>
        <w:ind w:left="4220"/>
        <w:spacing w:after="0" w:line="253" w:lineRule="auto"/>
        <w:rPr>
          <w:sz w:val="20"/>
          <w:szCs w:val="20"/>
          <w:color w:val="auto"/>
        </w:rPr>
      </w:pPr>
      <w:r>
        <w:rPr>
          <w:rFonts w:ascii="Times New Roman" w:cs="Times New Roman" w:eastAsia="Times New Roman" w:hAnsi="Times New Roman"/>
          <w:sz w:val="20"/>
          <w:szCs w:val="20"/>
          <w:color w:val="FF0000"/>
          <w:strike w:val="1"/>
        </w:rPr>
        <w:t>ANNEX A TO FIRST AMENDMENT TO CREDIT AGREEMENT (as amended through Second Amendment, dated as of September 29, 2022 and Third Amendment, dated as of November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280670</wp:posOffset>
            </wp:positionV>
            <wp:extent cx="713232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 September 3, 2021</w:t>
      </w:r>
    </w:p>
    <w:p>
      <w:pPr>
        <w:spacing w:after="0" w:line="2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2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CORSAIR GAMING, INC.</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8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THE SUBSIDIARIES OF THE BORROWER PARTY HERETO</w:t>
      </w:r>
      <w:r>
        <w:rPr>
          <w:rFonts w:ascii="Times New Roman" w:cs="Times New Roman" w:eastAsia="Times New Roman" w:hAnsi="Times New Roman"/>
          <w:sz w:val="19"/>
          <w:szCs w:val="19"/>
          <w:color w:val="auto"/>
        </w:rPr>
        <w:t>,</w:t>
      </w:r>
    </w:p>
    <w:p>
      <w:pPr>
        <w:spacing w:after="0" w:line="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the Guarantors,</w:t>
      </w:r>
    </w:p>
    <w:p>
      <w:pPr>
        <w:spacing w:after="0" w:line="18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Administrative Agent, Swingline Lender and</w:t>
      </w:r>
    </w:p>
    <w:p>
      <w:pPr>
        <w:jc w:val="center"/>
        <w:ind w:right="1100"/>
        <w:spacing w:after="0"/>
        <w:rPr>
          <w:sz w:val="20"/>
          <w:szCs w:val="20"/>
          <w:color w:val="auto"/>
        </w:rPr>
      </w:pPr>
      <w:r>
        <w:rPr>
          <w:rFonts w:ascii="Times New Roman" w:cs="Times New Roman" w:eastAsia="Times New Roman" w:hAnsi="Times New Roman"/>
          <w:sz w:val="20"/>
          <w:szCs w:val="20"/>
          <w:color w:val="auto"/>
        </w:rPr>
        <w:t>L/C Issuer,</w:t>
      </w:r>
    </w:p>
    <w:p>
      <w:pPr>
        <w:spacing w:after="0" w:line="1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2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THE LENDERS PARTY HERETO</w:t>
      </w:r>
    </w:p>
    <w:p>
      <w:pPr>
        <w:spacing w:after="0" w:line="2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BOFA SECURITIES, INC.,</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359410</wp:posOffset>
            </wp:positionV>
            <wp:extent cx="713232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1545590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44"/>
        </w:trPr>
        <w:tc>
          <w:tcPr>
            <w:tcW w:w="1420" w:type="dxa"/>
            <w:vAlign w:val="bottom"/>
          </w:tcPr>
          <w:p>
            <w:pPr>
              <w:spacing w:after="0"/>
              <w:rPr>
                <w:sz w:val="21"/>
                <w:szCs w:val="21"/>
                <w:color w:val="auto"/>
              </w:rPr>
            </w:pPr>
          </w:p>
        </w:tc>
        <w:tc>
          <w:tcPr>
            <w:tcW w:w="9200" w:type="dxa"/>
            <w:vAlign w:val="bottom"/>
          </w:tcPr>
          <w:p>
            <w:pPr>
              <w:ind w:left="3120"/>
              <w:spacing w:after="0"/>
              <w:rPr>
                <w:sz w:val="20"/>
                <w:szCs w:val="20"/>
                <w:color w:val="auto"/>
              </w:rPr>
            </w:pPr>
            <w:r>
              <w:rPr>
                <w:rFonts w:ascii="Times New Roman" w:cs="Times New Roman" w:eastAsia="Times New Roman" w:hAnsi="Times New Roman"/>
                <w:sz w:val="19"/>
                <w:szCs w:val="19"/>
                <w:color w:val="auto"/>
              </w:rPr>
              <w:t>TABLE OF CONTENTS</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i w:val="1"/>
                <w:iCs w:val="1"/>
                <w:color w:val="auto"/>
                <w:w w:val="97"/>
              </w:rPr>
              <w:t>Page</w:t>
            </w:r>
          </w:p>
        </w:tc>
        <w:tc>
          <w:tcPr>
            <w:tcW w:w="0" w:type="dxa"/>
            <w:vAlign w:val="bottom"/>
          </w:tcPr>
          <w:p>
            <w:pPr>
              <w:spacing w:after="0"/>
              <w:rPr>
                <w:sz w:val="1"/>
                <w:szCs w:val="1"/>
                <w:color w:val="auto"/>
              </w:rPr>
            </w:pPr>
          </w:p>
        </w:tc>
      </w:tr>
      <w:tr>
        <w:trPr>
          <w:trHeight w:val="192"/>
        </w:trPr>
        <w:tc>
          <w:tcPr>
            <w:tcW w:w="1420" w:type="dxa"/>
            <w:vAlign w:val="bottom"/>
          </w:tcPr>
          <w:p>
            <w:pPr>
              <w:spacing w:after="0"/>
              <w:rPr>
                <w:sz w:val="16"/>
                <w:szCs w:val="16"/>
                <w:color w:val="auto"/>
              </w:rPr>
            </w:pPr>
          </w:p>
        </w:tc>
        <w:tc>
          <w:tcPr>
            <w:tcW w:w="92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6"/>
        </w:trPr>
        <w:tc>
          <w:tcPr>
            <w:tcW w:w="10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I DEFINITIONS AND ACCOUNTING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1.01</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Defined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1.02</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Other Interpretive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1.03</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Accounting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1.04</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Rounding.</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1.05</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Times of Day.</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1.06</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Letter of Credit Amounts.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1.07</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UCC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244"/>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1.08</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Rates.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484"/>
        </w:trPr>
        <w:tc>
          <w:tcPr>
            <w:tcW w:w="10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II COMMITMENTS AND CREDIT EXTENSIONS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2.01</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Loans.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2.02</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Borrowings, Conversions and Continuations of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2.03</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Letters of Credit.</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2.04</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Swingline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2.05</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Prepayments.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2.06</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Termination or Reduction of Commitments.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2.07</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Repayment of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2.08</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Interest and Default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2.09</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Fees.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2.10</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Computation of Interest and Fees; Retroactive Adjustments of Applicable Rate.</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2.11</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Evidence of Debt.</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2.12</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Payments Generally; Administrative Agent’s Clawback.</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2.13</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Sharing of Payment by Lenders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2.14</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Cash Collateral.</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0" w:type="dxa"/>
            <w:vAlign w:val="bottom"/>
          </w:tcPr>
          <w:p>
            <w:pPr>
              <w:spacing w:after="0"/>
              <w:rPr>
                <w:sz w:val="1"/>
                <w:szCs w:val="1"/>
                <w:color w:val="auto"/>
              </w:rPr>
            </w:pPr>
          </w:p>
        </w:tc>
      </w:tr>
      <w:tr>
        <w:trPr>
          <w:trHeight w:val="244"/>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2.15</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Defaulting Lenders.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w:t>
            </w:r>
          </w:p>
        </w:tc>
        <w:tc>
          <w:tcPr>
            <w:tcW w:w="0" w:type="dxa"/>
            <w:vAlign w:val="bottom"/>
          </w:tcPr>
          <w:p>
            <w:pPr>
              <w:spacing w:after="0"/>
              <w:rPr>
                <w:sz w:val="1"/>
                <w:szCs w:val="1"/>
                <w:color w:val="auto"/>
              </w:rPr>
            </w:pPr>
          </w:p>
        </w:tc>
      </w:tr>
      <w:tr>
        <w:trPr>
          <w:trHeight w:val="484"/>
        </w:trPr>
        <w:tc>
          <w:tcPr>
            <w:tcW w:w="10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III TAXES, YIELD PROTECTION AND ILLEGALITY</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3.01</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Taxes.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3.02</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Illegality.</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3.03</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Inability to Determine Rates.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3.04</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Increased Costs; Reserves on Eurodollar Rate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3.05</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Compensation for Losses.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3.06</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Mitigation Obligations; Replacement of Lenders.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c>
          <w:tcPr>
            <w:tcW w:w="0" w:type="dxa"/>
            <w:vAlign w:val="bottom"/>
          </w:tcPr>
          <w:p>
            <w:pPr>
              <w:spacing w:after="0"/>
              <w:rPr>
                <w:sz w:val="1"/>
                <w:szCs w:val="1"/>
                <w:color w:val="auto"/>
              </w:rPr>
            </w:pPr>
          </w:p>
        </w:tc>
      </w:tr>
      <w:tr>
        <w:trPr>
          <w:trHeight w:val="244"/>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3.07</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Survival.</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c>
          <w:tcPr>
            <w:tcW w:w="0" w:type="dxa"/>
            <w:vAlign w:val="bottom"/>
          </w:tcPr>
          <w:p>
            <w:pPr>
              <w:spacing w:after="0"/>
              <w:rPr>
                <w:sz w:val="1"/>
                <w:szCs w:val="1"/>
                <w:color w:val="auto"/>
              </w:rPr>
            </w:pPr>
          </w:p>
        </w:tc>
      </w:tr>
      <w:tr>
        <w:trPr>
          <w:trHeight w:val="484"/>
        </w:trPr>
        <w:tc>
          <w:tcPr>
            <w:tcW w:w="10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IV CONDITIONS PRECEDENT TO CREDIT EXTENSIONS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4.01</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Conditions of Initial Credit Extension.</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0" w:type="dxa"/>
            <w:vAlign w:val="bottom"/>
          </w:tcPr>
          <w:p>
            <w:pPr>
              <w:spacing w:after="0"/>
              <w:rPr>
                <w:sz w:val="1"/>
                <w:szCs w:val="1"/>
                <w:color w:val="auto"/>
              </w:rPr>
            </w:pPr>
          </w:p>
        </w:tc>
      </w:tr>
      <w:tr>
        <w:trPr>
          <w:trHeight w:val="244"/>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4.02</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Conditions to all Credit Extensions.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c>
          <w:tcPr>
            <w:tcW w:w="0" w:type="dxa"/>
            <w:vAlign w:val="bottom"/>
          </w:tcPr>
          <w:p>
            <w:pPr>
              <w:spacing w:after="0"/>
              <w:rPr>
                <w:sz w:val="1"/>
                <w:szCs w:val="1"/>
                <w:color w:val="auto"/>
              </w:rPr>
            </w:pPr>
          </w:p>
        </w:tc>
      </w:tr>
      <w:tr>
        <w:trPr>
          <w:trHeight w:val="484"/>
        </w:trPr>
        <w:tc>
          <w:tcPr>
            <w:tcW w:w="106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V REPRESENTATIONS AND WARRANTIES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5.01</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Existence, Qualification and Power.</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5.02</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Authorization; No Contravention.</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5.03</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Governmental Authorization; Other Consents.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5.04</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Binding Effect.</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5.05</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Financial Statements; No Material Adverse Effect.</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5.06</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Litigation.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5.07</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No Default.</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5.08</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Ownership of Property</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c>
          <w:tcPr>
            <w:tcW w:w="0" w:type="dxa"/>
            <w:vAlign w:val="bottom"/>
          </w:tcPr>
          <w:p>
            <w:pPr>
              <w:spacing w:after="0"/>
              <w:rPr>
                <w:sz w:val="1"/>
                <w:szCs w:val="1"/>
                <w:color w:val="auto"/>
              </w:rPr>
            </w:pPr>
          </w:p>
        </w:tc>
      </w:tr>
      <w:tr>
        <w:trPr>
          <w:trHeight w:val="244"/>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5.09</w:t>
            </w:r>
          </w:p>
        </w:tc>
        <w:tc>
          <w:tcPr>
            <w:tcW w:w="92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Environmental Compliance.</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621030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408" w:right="4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5.10</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Insurance.</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5.11</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5.12</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ERISA Compliance.</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5.13</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Margin Regulations; Investment Company Act.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5.14</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Disclosure.</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5.15</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Compliance with Laws.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5.16</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Solvency.</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5.17</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Sanctions Concerns and Anti-Corruption Laws.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5.18</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Subsidiaries; Equity Interests; Loan Parties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5.19</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Collateral Representations.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5.20</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Affected Financial Institutions.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5.21</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Covered Entities.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c>
          <w:tcPr>
            <w:tcW w:w="0" w:type="dxa"/>
            <w:vAlign w:val="bottom"/>
          </w:tcPr>
          <w:p>
            <w:pPr>
              <w:spacing w:after="0"/>
              <w:rPr>
                <w:sz w:val="1"/>
                <w:szCs w:val="1"/>
                <w:color w:val="auto"/>
              </w:rPr>
            </w:pPr>
          </w:p>
        </w:tc>
      </w:tr>
      <w:tr>
        <w:trPr>
          <w:trHeight w:val="244"/>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5.22</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Beneficial Ownership Certification.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c>
          <w:tcPr>
            <w:tcW w:w="0" w:type="dxa"/>
            <w:vAlign w:val="bottom"/>
          </w:tcPr>
          <w:p>
            <w:pPr>
              <w:spacing w:after="0"/>
              <w:rPr>
                <w:sz w:val="1"/>
                <w:szCs w:val="1"/>
                <w:color w:val="auto"/>
              </w:rPr>
            </w:pPr>
          </w:p>
        </w:tc>
      </w:tr>
      <w:tr>
        <w:trPr>
          <w:trHeight w:val="484"/>
        </w:trPr>
        <w:tc>
          <w:tcPr>
            <w:tcW w:w="10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VI AFFIRMATIVE COVENANTS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6.01</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6.02</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Certificates; 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6.03</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Notices.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6.04</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Payment of Obligations.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6.05</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Preservation of Existence, Etc.</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6.06</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Maintenance of Properties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6.07</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Maintenance of Insurance.</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6.08</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Compliance with Laws.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6.09</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Books and Records.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6.10</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Inspection Rights.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6.11</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Use of Proceeds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6.12</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Covenant to Guarantee Obligations.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6.13</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Covenant to Give Security.</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6.14</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Anti-Corruption Laws; Sanctions.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6.15</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Further Assurances.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c>
          <w:tcPr>
            <w:tcW w:w="0" w:type="dxa"/>
            <w:vAlign w:val="bottom"/>
          </w:tcPr>
          <w:p>
            <w:pPr>
              <w:spacing w:after="0"/>
              <w:rPr>
                <w:sz w:val="1"/>
                <w:szCs w:val="1"/>
                <w:color w:val="auto"/>
              </w:rPr>
            </w:pPr>
          </w:p>
        </w:tc>
      </w:tr>
      <w:tr>
        <w:trPr>
          <w:trHeight w:val="244"/>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6.16</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Post-Closing Covenant.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c>
          <w:tcPr>
            <w:tcW w:w="0" w:type="dxa"/>
            <w:vAlign w:val="bottom"/>
          </w:tcPr>
          <w:p>
            <w:pPr>
              <w:spacing w:after="0"/>
              <w:rPr>
                <w:sz w:val="1"/>
                <w:szCs w:val="1"/>
                <w:color w:val="auto"/>
              </w:rPr>
            </w:pPr>
          </w:p>
        </w:tc>
      </w:tr>
      <w:tr>
        <w:trPr>
          <w:trHeight w:val="484"/>
        </w:trPr>
        <w:tc>
          <w:tcPr>
            <w:tcW w:w="10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VII NEGATIVE COVENANTS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7.01</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Liens.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7.02</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Indebtedness.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7.03</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Investments.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7.04</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Fundamental Changes.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7.05</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Dispositions.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7.06</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Restricted Payments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7.07</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Change in Nature of Business.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7.08</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Transactions with Affiliates.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7.09</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Burdensome Agreements.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7.10</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Use of Proceeds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7.11</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Financial Covenants.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w:t>
            </w:r>
          </w:p>
        </w:tc>
        <w:tc>
          <w:tcPr>
            <w:tcW w:w="0" w:type="dxa"/>
            <w:vAlign w:val="bottom"/>
          </w:tcPr>
          <w:p>
            <w:pPr>
              <w:spacing w:after="0"/>
              <w:rPr>
                <w:sz w:val="1"/>
                <w:szCs w:val="1"/>
                <w:color w:val="auto"/>
              </w:rPr>
            </w:pPr>
          </w:p>
        </w:tc>
      </w:tr>
      <w:tr>
        <w:trPr>
          <w:trHeight w:val="216"/>
        </w:trPr>
        <w:tc>
          <w:tcPr>
            <w:tcW w:w="1420" w:type="dxa"/>
            <w:vAlign w:val="bottom"/>
            <w:vMerge w:val="restart"/>
          </w:tcPr>
          <w:p>
            <w:pPr>
              <w:jc w:val="right"/>
              <w:ind w:right="206"/>
              <w:spacing w:after="0"/>
              <w:rPr>
                <w:sz w:val="20"/>
                <w:szCs w:val="20"/>
                <w:color w:val="auto"/>
              </w:rPr>
            </w:pPr>
            <w:r>
              <w:rPr>
                <w:rFonts w:ascii="Times New Roman" w:cs="Times New Roman" w:eastAsia="Times New Roman" w:hAnsi="Times New Roman"/>
                <w:sz w:val="19"/>
                <w:szCs w:val="19"/>
                <w:color w:val="auto"/>
              </w:rPr>
              <w:t>7.12</w:t>
            </w:r>
          </w:p>
        </w:tc>
        <w:tc>
          <w:tcPr>
            <w:tcW w:w="8880" w:type="dxa"/>
            <w:vAlign w:val="bottom"/>
          </w:tcPr>
          <w:p>
            <w:pPr>
              <w:ind w:left="280"/>
              <w:spacing w:after="0" w:line="216" w:lineRule="exact"/>
              <w:rPr>
                <w:sz w:val="20"/>
                <w:szCs w:val="20"/>
                <w:color w:val="auto"/>
              </w:rPr>
            </w:pPr>
            <w:r>
              <w:rPr>
                <w:rFonts w:ascii="Times New Roman" w:cs="Times New Roman" w:eastAsia="Times New Roman" w:hAnsi="Times New Roman"/>
                <w:sz w:val="19"/>
                <w:szCs w:val="19"/>
                <w:color w:val="auto"/>
              </w:rPr>
              <w:t>Amendments of Organization Documents; Fiscal Year; Legal Name, State of Formation; Form of Entity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117</w:t>
            </w:r>
          </w:p>
        </w:tc>
        <w:tc>
          <w:tcPr>
            <w:tcW w:w="0" w:type="dxa"/>
            <w:vAlign w:val="bottom"/>
          </w:tcPr>
          <w:p>
            <w:pPr>
              <w:spacing w:after="0"/>
              <w:rPr>
                <w:sz w:val="1"/>
                <w:szCs w:val="1"/>
                <w:color w:val="auto"/>
              </w:rPr>
            </w:pPr>
          </w:p>
        </w:tc>
      </w:tr>
      <w:tr>
        <w:trPr>
          <w:trHeight w:val="136"/>
        </w:trPr>
        <w:tc>
          <w:tcPr>
            <w:tcW w:w="1420" w:type="dxa"/>
            <w:vAlign w:val="bottom"/>
            <w:vMerge w:val="continue"/>
          </w:tcPr>
          <w:p>
            <w:pPr>
              <w:spacing w:after="0"/>
              <w:rPr>
                <w:sz w:val="11"/>
                <w:szCs w:val="11"/>
                <w:color w:val="auto"/>
              </w:rPr>
            </w:pPr>
          </w:p>
        </w:tc>
        <w:tc>
          <w:tcPr>
            <w:tcW w:w="8880" w:type="dxa"/>
            <w:vAlign w:val="bottom"/>
            <w:vMerge w:val="restart"/>
          </w:tcPr>
          <w:p>
            <w:pPr>
              <w:ind w:left="280"/>
              <w:spacing w:after="0"/>
              <w:rPr>
                <w:sz w:val="20"/>
                <w:szCs w:val="20"/>
                <w:color w:val="auto"/>
              </w:rPr>
            </w:pPr>
            <w:r>
              <w:rPr>
                <w:rFonts w:ascii="Times New Roman" w:cs="Times New Roman" w:eastAsia="Times New Roman" w:hAnsi="Times New Roman"/>
                <w:sz w:val="19"/>
                <w:szCs w:val="19"/>
                <w:color w:val="auto"/>
              </w:rPr>
              <w:t>Accounting Changes.</w:t>
            </w: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420" w:type="dxa"/>
            <w:vAlign w:val="bottom"/>
          </w:tcPr>
          <w:p>
            <w:pPr>
              <w:spacing w:after="0"/>
              <w:rPr>
                <w:sz w:val="9"/>
                <w:szCs w:val="9"/>
                <w:color w:val="auto"/>
              </w:rPr>
            </w:pPr>
          </w:p>
        </w:tc>
        <w:tc>
          <w:tcPr>
            <w:tcW w:w="88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7.13</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Prepayments, Etc. of Indebtedness.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7.14</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Sale and Leaseback Transactions.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243"/>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7.15</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Sanctions.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244"/>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7.16</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Anti-Corruption Laws.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w:t>
            </w:r>
          </w:p>
        </w:tc>
        <w:tc>
          <w:tcPr>
            <w:tcW w:w="0" w:type="dxa"/>
            <w:vAlign w:val="bottom"/>
          </w:tcPr>
          <w:p>
            <w:pPr>
              <w:spacing w:after="0"/>
              <w:rPr>
                <w:sz w:val="1"/>
                <w:szCs w:val="1"/>
                <w:color w:val="auto"/>
              </w:rPr>
            </w:pPr>
          </w:p>
        </w:tc>
      </w:tr>
      <w:tr>
        <w:trPr>
          <w:trHeight w:val="484"/>
        </w:trPr>
        <w:tc>
          <w:tcPr>
            <w:tcW w:w="103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VIII EVENTS OF DEFAULT AND REMEDIES</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w:t>
            </w:r>
          </w:p>
        </w:tc>
        <w:tc>
          <w:tcPr>
            <w:tcW w:w="0" w:type="dxa"/>
            <w:vAlign w:val="bottom"/>
          </w:tcPr>
          <w:p>
            <w:pPr>
              <w:spacing w:after="0"/>
              <w:rPr>
                <w:sz w:val="1"/>
                <w:szCs w:val="1"/>
                <w:color w:val="auto"/>
              </w:rPr>
            </w:pPr>
          </w:p>
        </w:tc>
      </w:tr>
      <w:tr>
        <w:trPr>
          <w:trHeight w:val="244"/>
        </w:trPr>
        <w:tc>
          <w:tcPr>
            <w:tcW w:w="14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8.01</w:t>
            </w:r>
          </w:p>
        </w:tc>
        <w:tc>
          <w:tcPr>
            <w:tcW w:w="88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Events of Default.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621030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421" w:right="4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8.02</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Remedies upon Event of Default.</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w:t>
            </w:r>
          </w:p>
        </w:tc>
      </w:tr>
      <w:tr>
        <w:trPr>
          <w:trHeight w:val="244"/>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8.03</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Application of Funds.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w:t>
            </w:r>
          </w:p>
        </w:tc>
      </w:tr>
      <w:tr>
        <w:trPr>
          <w:trHeight w:val="484"/>
        </w:trPr>
        <w:tc>
          <w:tcPr>
            <w:tcW w:w="9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IX ADMINISTRATIVE AGENT</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9.01</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Appointment and Authority.</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9.02</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Rights as a Lender.</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9.03</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Exculpatory Provisions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9.04</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Reliance by Administrative Agent.</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9.05</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Delegation of Duties.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9.06</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Resignation of Administrative Agent.</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9.07</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Non-Reliance on Administrative Agent, the Arranger and the Other Lenders.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9.08</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No Other Duties, Etc.</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9.09</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Administrative Agent May File Proofs of Claim; Credit Bidding</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9.10</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Collateral and Guaranty Matters.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9.11</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Secured Cash Management Agreements and Secured Hedge Agreements.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w:t>
            </w:r>
          </w:p>
        </w:tc>
      </w:tr>
      <w:tr>
        <w:trPr>
          <w:trHeight w:val="244"/>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9.12</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Certain ERISA Matters.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w:t>
            </w:r>
          </w:p>
        </w:tc>
      </w:tr>
      <w:tr>
        <w:trPr>
          <w:trHeight w:val="484"/>
        </w:trPr>
        <w:tc>
          <w:tcPr>
            <w:tcW w:w="9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X CONTINUING GUARANTY</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10.01</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Guaranty.</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10.02</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Rights of Lenders.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10.03</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Certain Waivers.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10.04</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Obligations Independent.</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10.05</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Subrogation.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10.06</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Termination; Reinstatement.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10.07</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Stay of Acceleration.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10.08</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Condition of Borrower.</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10.09</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Appointment of Borrower.</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10.10</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Right of Contribution.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w:t>
            </w:r>
          </w:p>
        </w:tc>
      </w:tr>
      <w:tr>
        <w:trPr>
          <w:trHeight w:val="244"/>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10.11</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Keepwell.</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w:t>
            </w:r>
          </w:p>
        </w:tc>
      </w:tr>
      <w:tr>
        <w:trPr>
          <w:trHeight w:val="484"/>
        </w:trPr>
        <w:tc>
          <w:tcPr>
            <w:tcW w:w="9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Article XI MISCELLANEOUS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11.01</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Amendments, Etc.</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11.02</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Notices; Effectiveness; Electronic Communications.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11.03</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No Waiver; Cumulative Remedies; Enforcement.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11.04</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Expenses; Indemnity; Damage Waiver.</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11.05</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Payments Set Aside.</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11.06</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Successors and Assigns.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11.07</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Treatment of Certain Information; Confidentiality.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11.08</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Right of Setoff.</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11.09</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Interest Rate Limitation.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11.10</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Counterparts; Integration; Effectiveness.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11.11</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Survival of Representations and Warranties.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151</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11.12</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Severability.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151</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11.13</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Replacement of Lenders.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151</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11.14</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Governing Law; Jurisdiction; Etc.</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11.15</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Waiver of Jury Trial.</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153</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11.16</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Subordination.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11.17</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No Advisory or Fiduciary Responsibility.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11.18</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Electronic Execution; Electronic Records.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11.19</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USA Patriot Act Notice.</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11.20</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Acknowledgement and Consent to Bail-In of Affected Financial Institutions.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w:t>
            </w:r>
          </w:p>
        </w:tc>
      </w:tr>
      <w:tr>
        <w:trPr>
          <w:trHeight w:val="243"/>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11.21</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Acknowledgement Regarding Any Supported QFCs.</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w:t>
            </w:r>
          </w:p>
        </w:tc>
      </w:tr>
      <w:tr>
        <w:trPr>
          <w:trHeight w:val="244"/>
        </w:trPr>
        <w:tc>
          <w:tcPr>
            <w:tcW w:w="146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11.22</w:t>
            </w:r>
          </w:p>
        </w:tc>
        <w:tc>
          <w:tcPr>
            <w:tcW w:w="76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ENTIRE AGREEMENT.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w:t>
            </w: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621030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421" w:right="439" w:bottom="1440" w:gutter="0" w:footer="0" w:header="0"/>
        </w:sectPr>
      </w:pPr>
    </w:p>
    <w:bookmarkStart w:id="50" w:name="page51"/>
    <w:bookmarkEnd w:id="50"/>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PREPARED SCHEDULES</w:t>
      </w:r>
    </w:p>
    <w:p>
      <w:pPr>
        <w:sectPr>
          <w:pgSz w:w="11900" w:h="16838" w:orient="portrait"/>
          <w:cols w:equalWidth="0" w:num="1">
            <w:col w:w="10039"/>
          </w:cols>
          <w:pgMar w:left="420" w:top="1440" w:right="1440" w:bottom="1440" w:gutter="0" w:footer="0" w:header="0"/>
        </w:sectPr>
      </w:pPr>
    </w:p>
    <w:p>
      <w:pPr>
        <w:spacing w:after="0" w:line="305" w:lineRule="exact"/>
        <w:rPr>
          <w:sz w:val="20"/>
          <w:szCs w:val="20"/>
          <w:color w:val="auto"/>
        </w:rPr>
      </w:pPr>
    </w:p>
    <w:p>
      <w:pPr>
        <w:ind w:left="280" w:right="120"/>
        <w:spacing w:after="0" w:line="334" w:lineRule="auto"/>
        <w:rPr>
          <w:sz w:val="20"/>
          <w:szCs w:val="20"/>
          <w:color w:val="auto"/>
        </w:rPr>
      </w:pPr>
      <w:r>
        <w:rPr>
          <w:rFonts w:ascii="Times New Roman" w:cs="Times New Roman" w:eastAsia="Times New Roman" w:hAnsi="Times New Roman"/>
          <w:sz w:val="18"/>
          <w:szCs w:val="18"/>
          <w:color w:val="auto"/>
        </w:rPr>
        <w:t>Schedule 5.18(a) Schedule 5.18(b) Schedule 5.19(b) Schedule 5.19(c) Schedule 7.01 Schedule 7.02 Schedule 7.03 Schedule 7.08</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Joint Ventures, Partnerships and Other Equity Investments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Loan Parties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Intellectual Property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Real Properties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Existing Liens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Existing Indebtedness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Existing Investments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Existing Affiliate Transactions</w:t>
      </w:r>
    </w:p>
    <w:p>
      <w:pPr>
        <w:spacing w:after="0" w:line="303" w:lineRule="exact"/>
        <w:rPr>
          <w:sz w:val="20"/>
          <w:szCs w:val="20"/>
          <w:color w:val="auto"/>
        </w:rPr>
      </w:pPr>
    </w:p>
    <w:p>
      <w:pPr>
        <w:sectPr>
          <w:pgSz w:w="11900" w:h="16838" w:orient="portrait"/>
          <w:cols w:equalWidth="0" w:num="2">
            <w:col w:w="1680" w:space="720"/>
            <w:col w:w="7639"/>
          </w:cols>
          <w:pgMar w:left="420" w:top="1440" w:right="1440"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PREPARED SCHEDULES</w:t>
      </w:r>
    </w:p>
    <w:p>
      <w:pPr>
        <w:sectPr>
          <w:pgSz w:w="11900" w:h="16838" w:orient="portrait"/>
          <w:cols w:equalWidth="0" w:num="1">
            <w:col w:w="10039"/>
          </w:cols>
          <w:pgMar w:left="420" w:top="1440" w:right="1440" w:bottom="1440" w:gutter="0" w:footer="0" w:header="0"/>
          <w:type w:val="continuous"/>
        </w:sectPr>
      </w:pPr>
    </w:p>
    <w:p>
      <w:pPr>
        <w:spacing w:after="0" w:line="305" w:lineRule="exact"/>
        <w:rPr>
          <w:sz w:val="20"/>
          <w:szCs w:val="20"/>
          <w:color w:val="auto"/>
        </w:rPr>
      </w:pPr>
    </w:p>
    <w:p>
      <w:pPr>
        <w:ind w:left="280" w:right="120"/>
        <w:spacing w:after="0" w:line="336" w:lineRule="auto"/>
        <w:rPr>
          <w:sz w:val="20"/>
          <w:szCs w:val="20"/>
          <w:color w:val="auto"/>
        </w:rPr>
      </w:pPr>
      <w:r>
        <w:rPr>
          <w:rFonts w:ascii="Times New Roman" w:cs="Times New Roman" w:eastAsia="Times New Roman" w:hAnsi="Times New Roman"/>
          <w:sz w:val="18"/>
          <w:szCs w:val="18"/>
          <w:color w:val="auto"/>
        </w:rPr>
        <w:t>Schedule 1.01(a) Schedule 1.01(b) Schedule 1.01(c) Schedule 2.01 Schedule 2.03 Schedule 6.16</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Certain Addresses for Notices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Commitments and Applicable Percentages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Mortgaged Property Support Documents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Swingline Commitments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Letter of Credit Commitments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Post-Closing Schedule</w:t>
      </w:r>
    </w:p>
    <w:p>
      <w:pPr>
        <w:spacing w:after="0" w:line="304" w:lineRule="exact"/>
        <w:rPr>
          <w:sz w:val="20"/>
          <w:szCs w:val="20"/>
          <w:color w:val="auto"/>
        </w:rPr>
      </w:pPr>
    </w:p>
    <w:p>
      <w:pPr>
        <w:sectPr>
          <w:pgSz w:w="11900" w:h="16838" w:orient="portrait"/>
          <w:cols w:equalWidth="0" w:num="2">
            <w:col w:w="1680" w:space="720"/>
            <w:col w:w="7639"/>
          </w:cols>
          <w:pgMar w:left="420" w:top="1440" w:right="1440"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0039"/>
          </w:cols>
          <w:pgMar w:left="420" w:top="1440" w:right="1440" w:bottom="1440" w:gutter="0" w:footer="0" w:header="0"/>
          <w:type w:val="continuous"/>
        </w:sectPr>
      </w:pPr>
    </w:p>
    <w:p>
      <w:pPr>
        <w:spacing w:after="0" w:line="3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A</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B</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C</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D</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E</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F</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G</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H</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I</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J</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K</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L</w:t>
      </w:r>
    </w:p>
    <w:p>
      <w:pPr>
        <w:spacing w:after="0" w:line="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Exhibit M</w:t>
      </w:r>
    </w:p>
    <w:p>
      <w:pPr>
        <w:spacing w:after="0" w:line="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Exhibit N</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Administrative Questionnaire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Assignment and Assumption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Compliance Certificate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Incremental Term Note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[Reserved]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Joinder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Loan Notice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Revolving Note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Secured Party Designation Notice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Swingline Loan Notice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Term Note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Forms of U.S. Tax Compliance Certificates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[Reserved]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Notice of Loan Prepayment</w:t>
      </w:r>
    </w:p>
    <w:p>
      <w:pPr>
        <w:spacing w:after="0" w:line="200" w:lineRule="exact"/>
        <w:rPr>
          <w:sz w:val="20"/>
          <w:szCs w:val="20"/>
          <w:color w:val="auto"/>
        </w:rPr>
      </w:pPr>
    </w:p>
    <w:p>
      <w:pPr>
        <w:sectPr>
          <w:pgSz w:w="11900" w:h="16838" w:orient="portrait"/>
          <w:cols w:equalWidth="0" w:num="2">
            <w:col w:w="1680" w:space="720"/>
            <w:col w:w="7639"/>
          </w:cols>
          <w:pgMar w:left="420" w:top="1440" w:right="1440" w:bottom="1440" w:gutter="0" w:footer="0" w:header="0"/>
          <w:type w:val="continuous"/>
        </w:sectPr>
      </w:pPr>
    </w:p>
    <w:p>
      <w:pPr>
        <w:spacing w:after="0" w:line="27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628015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xml:space="preserve"> is entered into as of September 3, 2021 among Corsair Gaming, Inc., a Delaware corporation (the “</w:t>
      </w:r>
      <w:r>
        <w:rPr>
          <w:rFonts w:ascii="Times New Roman" w:cs="Times New Roman" w:eastAsia="Times New Roman" w:hAnsi="Times New Roman"/>
          <w:sz w:val="20"/>
          <w:szCs w:val="20"/>
          <w:b w:val="1"/>
          <w:bCs w:val="1"/>
          <w:i w:val="1"/>
          <w:iCs w:val="1"/>
          <w:u w:val="single" w:color="auto"/>
          <w:color w:val="auto"/>
        </w:rPr>
        <w:t>Borrower</w:t>
      </w:r>
      <w:r>
        <w:rPr>
          <w:rFonts w:ascii="Times New Roman" w:cs="Times New Roman" w:eastAsia="Times New Roman" w:hAnsi="Times New Roman"/>
          <w:sz w:val="20"/>
          <w:szCs w:val="20"/>
          <w:color w:val="auto"/>
        </w:rPr>
        <w:t>”), the Guarantors (defined herein), the Lenders (defined herein), and BANK OF AMERICA, N.A., as Administrative Agent, Swingline Lender and L/C Issuer.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STATEMENTS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Loan Parties (as hereinafter defined) have requested that the Lenders, the Swingline Lender and the L/C Issuer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make loans and other financial accommodations to the Loan Parties in a principal amount of up to $350,000,000.</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Lenders, the Swingline Lender and the L/C Issuer have agreed to make such loans and other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accommodations to the Loan Parties on the terms and subject to the conditions set forth herein.</w:t>
      </w:r>
    </w:p>
    <w:p>
      <w:pPr>
        <w:spacing w:after="0" w:line="153"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agreements herein contained, the parties hereto covenant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as follows:</w:t>
      </w:r>
    </w:p>
    <w:p>
      <w:pPr>
        <w:spacing w:after="0" w:line="15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 AND ACCOUNTING TERMS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1.01 </w:t>
      </w:r>
      <w:r>
        <w:rPr>
          <w:rFonts w:ascii="Times New Roman" w:cs="Times New Roman" w:eastAsia="Times New Roman" w:hAnsi="Times New Roman"/>
          <w:sz w:val="20"/>
          <w:szCs w:val="20"/>
          <w:b w:val="1"/>
          <w:bCs w:val="1"/>
          <w:u w:val="single" w:color="auto"/>
          <w:color w:val="auto"/>
        </w:rPr>
        <w:t>Defined Terms.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211"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Acquisition</w:t>
      </w:r>
      <w:r>
        <w:rPr>
          <w:rFonts w:ascii="Times New Roman" w:cs="Times New Roman" w:eastAsia="Times New Roman" w:hAnsi="Times New Roman"/>
          <w:sz w:val="20"/>
          <w:szCs w:val="20"/>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83" w:lineRule="exact"/>
        <w:rPr>
          <w:sz w:val="20"/>
          <w:szCs w:val="20"/>
          <w:color w:val="auto"/>
        </w:rPr>
      </w:pPr>
    </w:p>
    <w:p>
      <w:pPr>
        <w:jc w:val="both"/>
        <w:ind w:firstLine="101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Additional Secured Obligations</w:t>
      </w:r>
      <w:r>
        <w:rPr>
          <w:rFonts w:ascii="Times New Roman" w:cs="Times New Roman" w:eastAsia="Times New Roman" w:hAnsi="Times New Roman"/>
          <w:sz w:val="20"/>
          <w:szCs w:val="20"/>
          <w:color w:val="auto"/>
        </w:rPr>
        <w:t xml:space="preserve">” means (a) all obligations arising under Secured Cash Management Agreements and Secured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Additional Secured Obligations of a Guarantor shall exclude any Excluded Swap Obligations with respect to such Guarantor.</w:t>
      </w:r>
    </w:p>
    <w:p>
      <w:pPr>
        <w:spacing w:after="0" w:line="184"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Administrative Agent</w:t>
      </w:r>
      <w:r>
        <w:rPr>
          <w:rFonts w:ascii="Times New Roman" w:cs="Times New Roman" w:eastAsia="Times New Roman" w:hAnsi="Times New Roman"/>
          <w:sz w:val="20"/>
          <w:szCs w:val="20"/>
          <w:color w:val="auto"/>
        </w:rPr>
        <w:t>” means Bank of America in its capacity as administrative agent under any of the Loan Documents, or any successor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2" w:name="page53"/>
    <w:bookmarkEnd w:id="52"/>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Administrative Agent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 Office</w:t>
      </w:r>
      <w:r>
        <w:rPr>
          <w:rFonts w:ascii="Times New Roman" w:cs="Times New Roman" w:eastAsia="Times New Roman" w:hAnsi="Times New Roman"/>
          <w:sz w:val="20"/>
          <w:szCs w:val="20"/>
          <w:color w:val="auto"/>
        </w:rPr>
        <w:t xml:space="preserve">” means the Administrative Agent’s address and, as appropriate, account as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1.01(a</w:t>
      </w:r>
      <w:r>
        <w:rPr>
          <w:rFonts w:ascii="Times New Roman" w:cs="Times New Roman" w:eastAsia="Times New Roman" w:hAnsi="Times New Roman"/>
          <w:sz w:val="20"/>
          <w:szCs w:val="20"/>
          <w:color w:val="auto"/>
        </w:rPr>
        <w:t>), or such other address or account as the Administrative Agent may from time to time notify the Borrower and the Lenders.</w:t>
      </w:r>
    </w:p>
    <w:p>
      <w:pPr>
        <w:spacing w:after="0" w:line="15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Administrative Questionnaire</w:t>
      </w:r>
      <w:r>
        <w:rPr>
          <w:rFonts w:ascii="Times New Roman" w:cs="Times New Roman" w:eastAsia="Times New Roman" w:hAnsi="Times New Roman"/>
          <w:sz w:val="20"/>
          <w:szCs w:val="20"/>
          <w:color w:val="auto"/>
        </w:rPr>
        <w:t xml:space="preserve">” means an Administrative Questionnaire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approved by the Administrative Agent.</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Affected Financial Institution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 any EEA Financial Institution or (b) any UK Financial Institution.</w:t>
      </w:r>
    </w:p>
    <w:p>
      <w:pPr>
        <w:spacing w:after="0" w:line="215"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Agreement</w:t>
      </w:r>
      <w:r>
        <w:rPr>
          <w:rFonts w:ascii="Times New Roman" w:cs="Times New Roman" w:eastAsia="Times New Roman" w:hAnsi="Times New Roman"/>
          <w:sz w:val="20"/>
          <w:szCs w:val="20"/>
          <w:color w:val="auto"/>
        </w:rPr>
        <w:t>” means this Credit Agreement, including all schedules, exhibits and annexes hereto.</w:t>
      </w:r>
    </w:p>
    <w:p>
      <w:pPr>
        <w:spacing w:after="0" w:line="215"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All-in-Yield</w:t>
      </w:r>
      <w:r>
        <w:rPr>
          <w:rFonts w:ascii="Times New Roman" w:cs="Times New Roman" w:eastAsia="Times New Roman" w:hAnsi="Times New Roman"/>
          <w:sz w:val="20"/>
          <w:szCs w:val="20"/>
          <w:color w:val="auto"/>
        </w:rPr>
        <w:t>" means as to any Indebtedness the yield to maturity thereof, whether in the form of interest rate margin, original issue discount, upfront fees, any interest rate floors or similar devices, or otherwise, in each case payable generally to Lenders making such Loans, but excluding any arrangement, structuring, underwriting or other fees payable in connection therewith that are not generally shared with the relevant Lenders and customary consent fees paid generally to consenting Lenders.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Alternative Currency</w:t>
      </w:r>
      <w:r>
        <w:rPr>
          <w:rFonts w:ascii="Times New Roman" w:cs="Times New Roman" w:eastAsia="Times New Roman" w:hAnsi="Times New Roman"/>
          <w:sz w:val="20"/>
          <w:szCs w:val="20"/>
          <w:u w:val="single" w:color="auto"/>
          <w:color w:val="0000FF"/>
        </w:rPr>
        <w:t>” means Euros.</w:t>
      </w:r>
    </w:p>
    <w:p>
      <w:pPr>
        <w:spacing w:after="0" w:line="215" w:lineRule="exact"/>
        <w:rPr>
          <w:sz w:val="20"/>
          <w:szCs w:val="20"/>
          <w:color w:val="auto"/>
        </w:rPr>
      </w:pPr>
    </w:p>
    <w:p>
      <w:pPr>
        <w:jc w:val="both"/>
        <w:ind w:firstLine="1018"/>
        <w:spacing w:after="0" w:line="244"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Alternative Currency Equivalent</w:t>
      </w:r>
      <w:r>
        <w:rPr>
          <w:rFonts w:ascii="Times New Roman" w:cs="Times New Roman" w:eastAsia="Times New Roman" w:hAnsi="Times New Roman"/>
          <w:sz w:val="20"/>
          <w:szCs w:val="20"/>
          <w:u w:val="single" w:color="auto"/>
          <w:color w:val="0000FF"/>
        </w:rPr>
        <w:t>” means, at any time, with respect to any amount denominated in Dollars, the equivalent amount thereof in the applicable Alternative Currency as determined by the Administrative Agent or the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provided, however, that if no such rate is available, the “Alternative Currency Equivalent” shall be reasonably determined by the Administrative Agent or the L/C Issuer, as applicable, using any method of determination that it deems reasonably appropriate).</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Applicable Law</w:t>
      </w:r>
      <w:r>
        <w:rPr>
          <w:rFonts w:ascii="Times New Roman" w:cs="Times New Roman" w:eastAsia="Times New Roman" w:hAnsi="Times New Roman"/>
          <w:sz w:val="20"/>
          <w:szCs w:val="20"/>
          <w:color w:val="auto"/>
        </w:rPr>
        <w:t>” means, as to any Person, all applicable Laws binding upon such Person or to which such a Person is subject.</w:t>
      </w:r>
    </w:p>
    <w:p>
      <w:pPr>
        <w:spacing w:after="0" w:line="215"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Applicable Percentage</w:t>
      </w:r>
      <w:r>
        <w:rPr>
          <w:rFonts w:ascii="Times New Roman" w:cs="Times New Roman" w:eastAsia="Times New Roman" w:hAnsi="Times New Roman"/>
          <w:sz w:val="20"/>
          <w:szCs w:val="20"/>
          <w:color w:val="auto"/>
        </w:rPr>
        <w:t xml:space="preserve">” means (a) in respect of the Term Facility, with respect to any Term Lender at any time, the percentage (carried out to the ninth decimal place) of the Term Facility represented by (i) on or prior to the Closing Date, such Term Lender’s Term Commitment at such time and (ii) thereafter, the outstanding principal amount of such Term Lender’s Term Loans at such time, (b)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(c) in respect of an Incremental Term Facility, with respect to any Incremental Term Lender under such Incremental Term Facility at any time, the percentage (carried out to the ninth decimal place) of such Incremental Term Facility represented by the outstanding principal amount of such Incremental Term Lender’s Incremental Term Loan advanced under such Incremental Term Facility at such time. If the Commitment of all of the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3" w:name="page54"/>
    <w:bookmarkEnd w:id="53"/>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Revolving Lenders to make Revolving Loans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the Revolving Commitments have expired, then the Applicable Percentage of each Revolving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Applicable Percentage of each Lender in respect of each Facility is set forth opposite the name of such Lender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xml:space="preserve">) or in the Assignment and Assumption pursuant to which such Lender becomes a party hereto or in any documentation executed by such Lender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as applicable.</w:t>
      </w:r>
    </w:p>
    <w:p>
      <w:pPr>
        <w:spacing w:after="0" w:line="180"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Applicable Rate</w:t>
      </w:r>
      <w:r>
        <w:rPr>
          <w:rFonts w:ascii="Times New Roman" w:cs="Times New Roman" w:eastAsia="Times New Roman" w:hAnsi="Times New Roman"/>
          <w:sz w:val="20"/>
          <w:szCs w:val="20"/>
          <w:color w:val="auto"/>
        </w:rPr>
        <w:t xml:space="preserve">” means, for any day, the rate per annum set forth below opposite the applicable Level then in effect (based on the Consolidated Total Net Leverage Ratio), it being understood that the Applicable Rate with respect to (a) Incremental Term Loans advanced under any Incremental Term Facility, the percentage(s) per annum set forth in the Incremental Term Facility Agreement executed and delivered in connection with the establishment of such Incremental Term Facility, (b) Revolving Loans that are Base Rate Loans shall be the percentage set forth under the column “Revolving Loans” and “Base Rate”, (c) Revolving Loans that are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shall be the percentage set forth under the column “Revolving Loans” and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&amp; Letter of Credit Fee”, (d) that portion of the Term Loan comprised of Base Rate Loans shall be the percentage set forth under the column “Term Loan” and “Base Rate”, (e) that portion of the Term Loan comprised of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shall be the percentage set forth under the column “Term Loan” and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&amp; Letter of Credit Fee”, (f) the Letter of Credit Fee shall be the percentage set forth under the column “Revolving Loans” and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&amp; Letter of Credit Fee”, and (g) the Commitment Fee shall be the percentage set forth under the column “Commitment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122555</wp:posOffset>
            </wp:positionV>
            <wp:extent cx="1194435" cy="7359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1194435" cy="735965"/>
                    </a:xfrm>
                    <a:prstGeom prst="rect">
                      <a:avLst/>
                    </a:prstGeom>
                    <a:noFill/>
                  </pic:spPr>
                </pic:pic>
              </a:graphicData>
            </a:graphic>
          </wp:anchor>
        </w:drawing>
      </w:r>
    </w:p>
    <w:p>
      <w:pPr>
        <w:spacing w:after="0" w:line="173" w:lineRule="exact"/>
        <w:rPr>
          <w:sz w:val="20"/>
          <w:szCs w:val="20"/>
          <w:color w:val="auto"/>
        </w:rPr>
      </w:pPr>
    </w:p>
    <w:tbl>
      <w:tblPr>
        <w:tblLayout w:type="fixed"/>
        <w:tblInd w:w="630" w:type="dxa"/>
        <w:tblCellMar>
          <w:top w:w="0" w:type="dxa"/>
          <w:left w:w="0" w:type="dxa"/>
          <w:bottom w:w="0" w:type="dxa"/>
          <w:right w:w="0" w:type="dxa"/>
        </w:tblCellMar>
      </w:tblPr>
      <w:tr>
        <w:trPr>
          <w:trHeight w:val="256"/>
        </w:trPr>
        <w:tc>
          <w:tcPr>
            <w:tcW w:w="1020" w:type="dxa"/>
            <w:vAlign w:val="bottom"/>
            <w:tcBorders>
              <w:top w:val="single" w:sz="8" w:color="auto"/>
              <w:left w:val="single" w:sz="8" w:color="F2F2F2"/>
              <w:right w:val="single" w:sz="8" w:color="auto"/>
            </w:tcBorders>
            <w:shd w:val="clear" w:color="auto" w:fill="F2F2F2"/>
          </w:tcPr>
          <w:p>
            <w:pPr>
              <w:spacing w:after="0"/>
              <w:rPr>
                <w:sz w:val="22"/>
                <w:szCs w:val="22"/>
                <w:color w:val="auto"/>
              </w:rPr>
            </w:pPr>
          </w:p>
        </w:tc>
        <w:tc>
          <w:tcPr>
            <w:tcW w:w="340" w:type="dxa"/>
            <w:vAlign w:val="bottom"/>
            <w:tcBorders>
              <w:top w:val="single" w:sz="8" w:color="auto"/>
            </w:tcBorders>
            <w:shd w:val="clear" w:color="auto" w:fill="F2F2F2"/>
          </w:tcPr>
          <w:p>
            <w:pPr>
              <w:spacing w:after="0"/>
              <w:rPr>
                <w:sz w:val="22"/>
                <w:szCs w:val="22"/>
                <w:color w:val="auto"/>
              </w:rPr>
            </w:pPr>
          </w:p>
        </w:tc>
        <w:tc>
          <w:tcPr>
            <w:tcW w:w="120" w:type="dxa"/>
            <w:vAlign w:val="bottom"/>
            <w:tcBorders>
              <w:top w:val="single" w:sz="8" w:color="auto"/>
            </w:tcBorders>
            <w:shd w:val="clear" w:color="auto" w:fill="F2F2F2"/>
          </w:tcPr>
          <w:p>
            <w:pPr>
              <w:spacing w:after="0"/>
              <w:rPr>
                <w:sz w:val="22"/>
                <w:szCs w:val="22"/>
                <w:color w:val="auto"/>
              </w:rPr>
            </w:pPr>
          </w:p>
        </w:tc>
        <w:tc>
          <w:tcPr>
            <w:tcW w:w="1280" w:type="dxa"/>
            <w:vAlign w:val="bottom"/>
            <w:tcBorders>
              <w:top w:val="single" w:sz="8" w:color="auto"/>
              <w:right w:val="single" w:sz="8" w:color="auto"/>
            </w:tcBorders>
            <w:shd w:val="clear" w:color="auto" w:fill="F2F2F2"/>
          </w:tcPr>
          <w:p>
            <w:pPr>
              <w:spacing w:after="0"/>
              <w:rPr>
                <w:sz w:val="22"/>
                <w:szCs w:val="22"/>
                <w:color w:val="auto"/>
              </w:rPr>
            </w:pPr>
          </w:p>
        </w:tc>
        <w:tc>
          <w:tcPr>
            <w:tcW w:w="380" w:type="dxa"/>
            <w:vAlign w:val="bottom"/>
            <w:tcBorders>
              <w:top w:val="single" w:sz="8" w:color="auto"/>
            </w:tcBorders>
            <w:shd w:val="clear" w:color="auto" w:fill="F2F2F2"/>
          </w:tcPr>
          <w:p>
            <w:pPr>
              <w:spacing w:after="0"/>
              <w:rPr>
                <w:sz w:val="22"/>
                <w:szCs w:val="22"/>
                <w:color w:val="auto"/>
              </w:rPr>
            </w:pPr>
          </w:p>
        </w:tc>
        <w:tc>
          <w:tcPr>
            <w:tcW w:w="940" w:type="dxa"/>
            <w:vAlign w:val="bottom"/>
            <w:tcBorders>
              <w:top w:val="single" w:sz="8" w:color="auto"/>
              <w:right w:val="single" w:sz="8" w:color="F2F2F2"/>
            </w:tcBorders>
            <w:shd w:val="clear" w:color="auto" w:fill="F2F2F2"/>
          </w:tcPr>
          <w:p>
            <w:pPr>
              <w:spacing w:after="0"/>
              <w:rPr>
                <w:sz w:val="20"/>
                <w:szCs w:val="20"/>
                <w:color w:val="auto"/>
              </w:rPr>
            </w:pPr>
            <w:r>
              <w:rPr>
                <w:rFonts w:ascii="Times New Roman" w:cs="Times New Roman" w:eastAsia="Times New Roman" w:hAnsi="Times New Roman"/>
                <w:sz w:val="20"/>
                <w:szCs w:val="20"/>
                <w:color w:val="FF0000"/>
                <w:strike w:val="1"/>
                <w:w w:val="95"/>
              </w:rPr>
              <w:t>BSBY Rate</w:t>
            </w:r>
          </w:p>
        </w:tc>
        <w:tc>
          <w:tcPr>
            <w:tcW w:w="1360" w:type="dxa"/>
            <w:vAlign w:val="bottom"/>
            <w:tcBorders>
              <w:top w:val="single" w:sz="8" w:color="auto"/>
              <w:right w:val="single" w:sz="8" w:color="auto"/>
            </w:tcBorders>
            <w:gridSpan w:val="2"/>
            <w:shd w:val="clear" w:color="auto" w:fill="F2F2F2"/>
          </w:tcPr>
          <w:p>
            <w:pPr>
              <w:spacing w:after="0"/>
              <w:rPr>
                <w:sz w:val="20"/>
                <w:szCs w:val="20"/>
                <w:color w:val="auto"/>
              </w:rPr>
            </w:pPr>
            <w:r>
              <w:rPr>
                <w:rFonts w:ascii="Times New Roman" w:cs="Times New Roman" w:eastAsia="Times New Roman" w:hAnsi="Times New Roman"/>
                <w:sz w:val="20"/>
                <w:szCs w:val="20"/>
                <w:color w:val="0000FF"/>
              </w:rPr>
              <w:t>Term SOFR</w:t>
            </w:r>
          </w:p>
        </w:tc>
        <w:tc>
          <w:tcPr>
            <w:tcW w:w="2700" w:type="dxa"/>
            <w:vAlign w:val="bottom"/>
            <w:tcBorders>
              <w:top w:val="single" w:sz="8" w:color="auto"/>
              <w:right w:val="single" w:sz="8" w:color="auto"/>
            </w:tcBorders>
            <w:gridSpan w:val="2"/>
            <w:vMerge w:val="restart"/>
            <w:shd w:val="clear" w:color="auto" w:fill="F2F2F2"/>
          </w:tcPr>
          <w:p>
            <w:pPr>
              <w:ind w:left="940"/>
              <w:spacing w:after="0"/>
              <w:rPr>
                <w:sz w:val="20"/>
                <w:szCs w:val="20"/>
                <w:color w:val="auto"/>
              </w:rPr>
            </w:pPr>
            <w:r>
              <w:rPr>
                <w:rFonts w:ascii="Times New Roman" w:cs="Times New Roman" w:eastAsia="Times New Roman" w:hAnsi="Times New Roman"/>
                <w:sz w:val="20"/>
                <w:szCs w:val="20"/>
                <w:color w:val="auto"/>
              </w:rPr>
              <w:t>Base Rate</w:t>
            </w:r>
          </w:p>
        </w:tc>
        <w:tc>
          <w:tcPr>
            <w:tcW w:w="1860" w:type="dxa"/>
            <w:vAlign w:val="bottom"/>
            <w:tcBorders>
              <w:top w:val="single" w:sz="8" w:color="auto"/>
              <w:right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Borders>
              <w:left w:val="single" w:sz="8" w:color="F2F2F2"/>
              <w:right w:val="single" w:sz="8" w:color="auto"/>
            </w:tcBorders>
            <w:shd w:val="clear" w:color="auto" w:fill="F2F2F2"/>
          </w:tcPr>
          <w:p>
            <w:pPr>
              <w:spacing w:after="0" w:line="20" w:lineRule="exact"/>
              <w:rPr>
                <w:sz w:val="1"/>
                <w:szCs w:val="1"/>
                <w:color w:val="auto"/>
              </w:rPr>
            </w:pPr>
          </w:p>
        </w:tc>
        <w:tc>
          <w:tcPr>
            <w:tcW w:w="340" w:type="dxa"/>
            <w:vAlign w:val="bottom"/>
            <w:shd w:val="clear" w:color="auto" w:fill="F2F2F2"/>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1280" w:type="dxa"/>
            <w:vAlign w:val="bottom"/>
            <w:tcBorders>
              <w:right w:val="single" w:sz="8" w:color="auto"/>
            </w:tcBorders>
            <w:shd w:val="clear" w:color="auto" w:fill="F2F2F2"/>
          </w:tcPr>
          <w:p>
            <w:pPr>
              <w:spacing w:after="0" w:line="20" w:lineRule="exact"/>
              <w:rPr>
                <w:sz w:val="1"/>
                <w:szCs w:val="1"/>
                <w:color w:val="auto"/>
              </w:rPr>
            </w:pPr>
          </w:p>
        </w:tc>
        <w:tc>
          <w:tcPr>
            <w:tcW w:w="380" w:type="dxa"/>
            <w:vAlign w:val="bottom"/>
            <w:shd w:val="clear" w:color="auto" w:fill="F2F2F2"/>
          </w:tcPr>
          <w:p>
            <w:pPr>
              <w:spacing w:after="0" w:line="20" w:lineRule="exact"/>
              <w:rPr>
                <w:sz w:val="1"/>
                <w:szCs w:val="1"/>
                <w:color w:val="auto"/>
              </w:rPr>
            </w:pPr>
          </w:p>
        </w:tc>
        <w:tc>
          <w:tcPr>
            <w:tcW w:w="940" w:type="dxa"/>
            <w:vAlign w:val="bottom"/>
            <w:tcBorders>
              <w:right w:val="single" w:sz="8" w:color="F2F2F2"/>
            </w:tcBorders>
            <w:shd w:val="clear" w:color="auto" w:fill="F2F2F2"/>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tcBorders>
              <w:right w:val="single" w:sz="8" w:color="auto"/>
            </w:tcBorders>
            <w:shd w:val="clear" w:color="auto" w:fill="F2F2F2"/>
          </w:tcPr>
          <w:p>
            <w:pPr>
              <w:spacing w:after="0" w:line="20" w:lineRule="exact"/>
              <w:rPr>
                <w:sz w:val="1"/>
                <w:szCs w:val="1"/>
                <w:color w:val="auto"/>
              </w:rPr>
            </w:pPr>
          </w:p>
        </w:tc>
        <w:tc>
          <w:tcPr>
            <w:tcW w:w="2700" w:type="dxa"/>
            <w:vAlign w:val="bottom"/>
            <w:tcBorders>
              <w:right w:val="single" w:sz="8" w:color="auto"/>
            </w:tcBorders>
            <w:gridSpan w:val="2"/>
            <w:vMerge w:val="continue"/>
            <w:shd w:val="clear" w:color="auto" w:fill="F2F2F2"/>
          </w:tcPr>
          <w:p>
            <w:pPr>
              <w:spacing w:after="0" w:line="20" w:lineRule="exact"/>
              <w:rPr>
                <w:sz w:val="1"/>
                <w:szCs w:val="1"/>
                <w:color w:val="auto"/>
              </w:rPr>
            </w:pPr>
          </w:p>
        </w:tc>
        <w:tc>
          <w:tcPr>
            <w:tcW w:w="1860" w:type="dxa"/>
            <w:vAlign w:val="bottom"/>
            <w:tcBorders>
              <w:right w:val="single" w:sz="8" w:color="F2F2F2"/>
            </w:tcBorders>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020" w:type="dxa"/>
            <w:vAlign w:val="bottom"/>
            <w:tcBorders>
              <w:left w:val="single" w:sz="8" w:color="F2F2F2"/>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6"/>
              </w:rPr>
              <w:t>Level</w:t>
            </w:r>
          </w:p>
        </w:tc>
        <w:tc>
          <w:tcPr>
            <w:tcW w:w="1740" w:type="dxa"/>
            <w:vAlign w:val="bottom"/>
            <w:tcBorders>
              <w:right w:val="single" w:sz="8" w:color="auto"/>
            </w:tcBorders>
            <w:gridSpan w:val="3"/>
            <w:vMerge w:val="restart"/>
            <w:shd w:val="clear" w:color="auto" w:fill="F2F2F2"/>
          </w:tcPr>
          <w:p>
            <w:pPr>
              <w:jc w:val="center"/>
              <w:ind w:right="120"/>
              <w:spacing w:after="0"/>
              <w:rPr>
                <w:sz w:val="20"/>
                <w:szCs w:val="20"/>
                <w:color w:val="auto"/>
              </w:rPr>
            </w:pPr>
            <w:r>
              <w:rPr>
                <w:rFonts w:ascii="Times New Roman" w:cs="Times New Roman" w:eastAsia="Times New Roman" w:hAnsi="Times New Roman"/>
                <w:sz w:val="20"/>
                <w:szCs w:val="20"/>
                <w:color w:val="auto"/>
                <w:w w:val="98"/>
              </w:rPr>
              <w:t>Consolidated Total</w:t>
            </w:r>
          </w:p>
        </w:tc>
        <w:tc>
          <w:tcPr>
            <w:tcW w:w="380" w:type="dxa"/>
            <w:vAlign w:val="bottom"/>
            <w:shd w:val="clear" w:color="auto" w:fill="F2F2F2"/>
          </w:tcPr>
          <w:p>
            <w:pPr>
              <w:spacing w:after="0"/>
              <w:rPr>
                <w:sz w:val="14"/>
                <w:szCs w:val="14"/>
                <w:color w:val="auto"/>
              </w:rPr>
            </w:pPr>
          </w:p>
        </w:tc>
        <w:tc>
          <w:tcPr>
            <w:tcW w:w="2300" w:type="dxa"/>
            <w:vAlign w:val="bottom"/>
            <w:tcBorders>
              <w:right w:val="single" w:sz="8" w:color="auto"/>
            </w:tcBorders>
            <w:gridSpan w:val="3"/>
            <w:vMerge w:val="restart"/>
            <w:shd w:val="clear" w:color="auto" w:fill="F2F2F2"/>
          </w:tcPr>
          <w:p>
            <w:pPr>
              <w:ind w:left="60"/>
              <w:spacing w:after="0"/>
              <w:rPr>
                <w:sz w:val="20"/>
                <w:szCs w:val="20"/>
                <w:color w:val="auto"/>
              </w:rPr>
            </w:pPr>
            <w:r>
              <w:rPr>
                <w:rFonts w:ascii="Times New Roman" w:cs="Times New Roman" w:eastAsia="Times New Roman" w:hAnsi="Times New Roman"/>
                <w:sz w:val="20"/>
                <w:szCs w:val="20"/>
                <w:color w:val="auto"/>
              </w:rPr>
              <w:t>&amp; Letter of Credit Fee</w:t>
            </w:r>
          </w:p>
        </w:tc>
        <w:tc>
          <w:tcPr>
            <w:tcW w:w="2700" w:type="dxa"/>
            <w:vAlign w:val="bottom"/>
            <w:tcBorders>
              <w:right w:val="single" w:sz="8" w:color="auto"/>
            </w:tcBorders>
            <w:gridSpan w:val="2"/>
            <w:vMerge w:val="continue"/>
            <w:shd w:val="clear" w:color="auto" w:fill="F2F2F2"/>
          </w:tcPr>
          <w:p>
            <w:pPr>
              <w:spacing w:after="0"/>
              <w:rPr>
                <w:sz w:val="14"/>
                <w:szCs w:val="14"/>
                <w:color w:val="auto"/>
              </w:rPr>
            </w:pPr>
          </w:p>
        </w:tc>
        <w:tc>
          <w:tcPr>
            <w:tcW w:w="1860" w:type="dxa"/>
            <w:vAlign w:val="bottom"/>
            <w:tcBorders>
              <w:right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8"/>
              </w:rPr>
              <w:t>Commitment</w:t>
            </w:r>
          </w:p>
        </w:tc>
        <w:tc>
          <w:tcPr>
            <w:tcW w:w="0" w:type="dxa"/>
            <w:vAlign w:val="bottom"/>
          </w:tcPr>
          <w:p>
            <w:pPr>
              <w:spacing w:after="0"/>
              <w:rPr>
                <w:sz w:val="1"/>
                <w:szCs w:val="1"/>
                <w:color w:val="auto"/>
              </w:rPr>
            </w:pPr>
          </w:p>
        </w:tc>
      </w:tr>
      <w:tr>
        <w:trPr>
          <w:trHeight w:val="106"/>
        </w:trPr>
        <w:tc>
          <w:tcPr>
            <w:tcW w:w="1020" w:type="dxa"/>
            <w:vAlign w:val="bottom"/>
            <w:tcBorders>
              <w:left w:val="single" w:sz="8" w:color="F2F2F2"/>
              <w:right w:val="single" w:sz="8" w:color="auto"/>
            </w:tcBorders>
            <w:vMerge w:val="continue"/>
            <w:shd w:val="clear" w:color="auto" w:fill="F2F2F2"/>
          </w:tcPr>
          <w:p>
            <w:pPr>
              <w:spacing w:after="0"/>
              <w:rPr>
                <w:sz w:val="9"/>
                <w:szCs w:val="9"/>
                <w:color w:val="auto"/>
              </w:rPr>
            </w:pPr>
          </w:p>
        </w:tc>
        <w:tc>
          <w:tcPr>
            <w:tcW w:w="1740" w:type="dxa"/>
            <w:vAlign w:val="bottom"/>
            <w:tcBorders>
              <w:right w:val="single" w:sz="8" w:color="auto"/>
            </w:tcBorders>
            <w:gridSpan w:val="3"/>
            <w:vMerge w:val="continue"/>
            <w:shd w:val="clear" w:color="auto" w:fill="F2F2F2"/>
          </w:tcPr>
          <w:p>
            <w:pPr>
              <w:spacing w:after="0"/>
              <w:rPr>
                <w:sz w:val="9"/>
                <w:szCs w:val="9"/>
                <w:color w:val="auto"/>
              </w:rPr>
            </w:pPr>
          </w:p>
        </w:tc>
        <w:tc>
          <w:tcPr>
            <w:tcW w:w="380" w:type="dxa"/>
            <w:vAlign w:val="bottom"/>
            <w:shd w:val="clear" w:color="auto" w:fill="F2F2F2"/>
          </w:tcPr>
          <w:p>
            <w:pPr>
              <w:spacing w:after="0"/>
              <w:rPr>
                <w:sz w:val="9"/>
                <w:szCs w:val="9"/>
                <w:color w:val="auto"/>
              </w:rPr>
            </w:pPr>
          </w:p>
        </w:tc>
        <w:tc>
          <w:tcPr>
            <w:tcW w:w="2300" w:type="dxa"/>
            <w:vAlign w:val="bottom"/>
            <w:tcBorders>
              <w:right w:val="single" w:sz="8" w:color="auto"/>
            </w:tcBorders>
            <w:gridSpan w:val="3"/>
            <w:vMerge w:val="continue"/>
            <w:shd w:val="clear" w:color="auto" w:fill="F2F2F2"/>
          </w:tcPr>
          <w:p>
            <w:pPr>
              <w:spacing w:after="0"/>
              <w:rPr>
                <w:sz w:val="9"/>
                <w:szCs w:val="9"/>
                <w:color w:val="auto"/>
              </w:rPr>
            </w:pPr>
          </w:p>
        </w:tc>
        <w:tc>
          <w:tcPr>
            <w:tcW w:w="1420" w:type="dxa"/>
            <w:vAlign w:val="bottom"/>
            <w:tcBorders>
              <w:right w:val="single" w:sz="8" w:color="F2F2F2"/>
            </w:tcBorders>
            <w:shd w:val="clear" w:color="auto" w:fill="F2F2F2"/>
          </w:tcPr>
          <w:p>
            <w:pPr>
              <w:spacing w:after="0"/>
              <w:rPr>
                <w:sz w:val="9"/>
                <w:szCs w:val="9"/>
                <w:color w:val="auto"/>
              </w:rPr>
            </w:pPr>
          </w:p>
        </w:tc>
        <w:tc>
          <w:tcPr>
            <w:tcW w:w="1280" w:type="dxa"/>
            <w:vAlign w:val="bottom"/>
            <w:tcBorders>
              <w:right w:val="single" w:sz="8" w:color="auto"/>
            </w:tcBorders>
            <w:shd w:val="clear" w:color="auto" w:fill="F2F2F2"/>
          </w:tcPr>
          <w:p>
            <w:pPr>
              <w:spacing w:after="0"/>
              <w:rPr>
                <w:sz w:val="9"/>
                <w:szCs w:val="9"/>
                <w:color w:val="auto"/>
              </w:rPr>
            </w:pPr>
          </w:p>
        </w:tc>
        <w:tc>
          <w:tcPr>
            <w:tcW w:w="1860" w:type="dxa"/>
            <w:vAlign w:val="bottom"/>
            <w:tcBorders>
              <w:right w:val="single" w:sz="8" w:color="F2F2F2"/>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020" w:type="dxa"/>
            <w:vAlign w:val="bottom"/>
            <w:tcBorders>
              <w:left w:val="single" w:sz="8" w:color="F2F2F2"/>
              <w:bottom w:val="single" w:sz="8" w:color="F2F2F2"/>
              <w:right w:val="single" w:sz="8" w:color="auto"/>
            </w:tcBorders>
            <w:vMerge w:val="continue"/>
            <w:shd w:val="clear" w:color="auto" w:fill="F2F2F2"/>
          </w:tcPr>
          <w:p>
            <w:pPr>
              <w:spacing w:after="0"/>
              <w:rPr>
                <w:sz w:val="5"/>
                <w:szCs w:val="5"/>
                <w:color w:val="auto"/>
              </w:rPr>
            </w:pPr>
          </w:p>
        </w:tc>
        <w:tc>
          <w:tcPr>
            <w:tcW w:w="1740" w:type="dxa"/>
            <w:vAlign w:val="bottom"/>
            <w:tcBorders>
              <w:bottom w:val="single" w:sz="8" w:color="F2F2F2"/>
              <w:right w:val="single" w:sz="8" w:color="auto"/>
            </w:tcBorders>
            <w:gridSpan w:val="3"/>
            <w:vMerge w:val="restart"/>
            <w:shd w:val="clear" w:color="auto" w:fill="F2F2F2"/>
          </w:tcPr>
          <w:p>
            <w:pPr>
              <w:jc w:val="center"/>
              <w:ind w:right="60"/>
              <w:spacing w:after="0"/>
              <w:rPr>
                <w:sz w:val="20"/>
                <w:szCs w:val="20"/>
                <w:color w:val="auto"/>
              </w:rPr>
            </w:pPr>
            <w:r>
              <w:rPr>
                <w:rFonts w:ascii="Times New Roman" w:cs="Times New Roman" w:eastAsia="Times New Roman" w:hAnsi="Times New Roman"/>
                <w:sz w:val="20"/>
                <w:szCs w:val="20"/>
                <w:color w:val="auto"/>
                <w:w w:val="99"/>
              </w:rPr>
              <w:t>Net Leverage Ratio</w:t>
            </w:r>
          </w:p>
        </w:tc>
        <w:tc>
          <w:tcPr>
            <w:tcW w:w="380" w:type="dxa"/>
            <w:vAlign w:val="bottom"/>
            <w:tcBorders>
              <w:bottom w:val="single" w:sz="8" w:color="auto"/>
            </w:tcBorders>
            <w:shd w:val="clear" w:color="auto" w:fill="F2F2F2"/>
          </w:tcPr>
          <w:p>
            <w:pPr>
              <w:spacing w:after="0"/>
              <w:rPr>
                <w:sz w:val="5"/>
                <w:szCs w:val="5"/>
                <w:color w:val="auto"/>
              </w:rPr>
            </w:pPr>
          </w:p>
        </w:tc>
        <w:tc>
          <w:tcPr>
            <w:tcW w:w="940" w:type="dxa"/>
            <w:vAlign w:val="bottom"/>
            <w:tcBorders>
              <w:bottom w:val="single" w:sz="8" w:color="auto"/>
              <w:right w:val="single" w:sz="8" w:color="F2F2F2"/>
            </w:tcBorders>
            <w:shd w:val="clear" w:color="auto" w:fill="F2F2F2"/>
          </w:tcPr>
          <w:p>
            <w:pPr>
              <w:spacing w:after="0"/>
              <w:rPr>
                <w:sz w:val="5"/>
                <w:szCs w:val="5"/>
                <w:color w:val="auto"/>
              </w:rPr>
            </w:pPr>
          </w:p>
        </w:tc>
        <w:tc>
          <w:tcPr>
            <w:tcW w:w="940" w:type="dxa"/>
            <w:vAlign w:val="bottom"/>
            <w:tcBorders>
              <w:bottom w:val="single" w:sz="8" w:color="auto"/>
            </w:tcBorders>
            <w:shd w:val="clear" w:color="auto" w:fill="F2F2F2"/>
          </w:tcPr>
          <w:p>
            <w:pPr>
              <w:spacing w:after="0"/>
              <w:rPr>
                <w:sz w:val="5"/>
                <w:szCs w:val="5"/>
                <w:color w:val="auto"/>
              </w:rPr>
            </w:pPr>
          </w:p>
        </w:tc>
        <w:tc>
          <w:tcPr>
            <w:tcW w:w="420" w:type="dxa"/>
            <w:vAlign w:val="bottom"/>
            <w:tcBorders>
              <w:bottom w:val="single" w:sz="8" w:color="auto"/>
              <w:right w:val="single" w:sz="8" w:color="auto"/>
            </w:tcBorders>
            <w:shd w:val="clear" w:color="auto" w:fill="F2F2F2"/>
          </w:tcPr>
          <w:p>
            <w:pPr>
              <w:spacing w:after="0"/>
              <w:rPr>
                <w:sz w:val="5"/>
                <w:szCs w:val="5"/>
                <w:color w:val="auto"/>
              </w:rPr>
            </w:pPr>
          </w:p>
        </w:tc>
        <w:tc>
          <w:tcPr>
            <w:tcW w:w="1420" w:type="dxa"/>
            <w:vAlign w:val="bottom"/>
            <w:tcBorders>
              <w:bottom w:val="single" w:sz="8" w:color="auto"/>
              <w:right w:val="single" w:sz="8" w:color="F2F2F2"/>
            </w:tcBorders>
            <w:shd w:val="clear" w:color="auto" w:fill="F2F2F2"/>
          </w:tcPr>
          <w:p>
            <w:pPr>
              <w:spacing w:after="0"/>
              <w:rPr>
                <w:sz w:val="5"/>
                <w:szCs w:val="5"/>
                <w:color w:val="auto"/>
              </w:rPr>
            </w:pPr>
          </w:p>
        </w:tc>
        <w:tc>
          <w:tcPr>
            <w:tcW w:w="1280" w:type="dxa"/>
            <w:vAlign w:val="bottom"/>
            <w:tcBorders>
              <w:bottom w:val="single" w:sz="8" w:color="auto"/>
              <w:right w:val="single" w:sz="8" w:color="auto"/>
            </w:tcBorders>
            <w:shd w:val="clear" w:color="auto" w:fill="F2F2F2"/>
          </w:tcPr>
          <w:p>
            <w:pPr>
              <w:spacing w:after="0"/>
              <w:rPr>
                <w:sz w:val="5"/>
                <w:szCs w:val="5"/>
                <w:color w:val="auto"/>
              </w:rPr>
            </w:pPr>
          </w:p>
        </w:tc>
        <w:tc>
          <w:tcPr>
            <w:tcW w:w="1860" w:type="dxa"/>
            <w:vAlign w:val="bottom"/>
            <w:tcBorders>
              <w:bottom w:val="single" w:sz="8" w:color="F2F2F2"/>
              <w:right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6"/>
              </w:rPr>
              <w:t>Fee</w:t>
            </w:r>
          </w:p>
        </w:tc>
        <w:tc>
          <w:tcPr>
            <w:tcW w:w="0" w:type="dxa"/>
            <w:vAlign w:val="bottom"/>
          </w:tcPr>
          <w:p>
            <w:pPr>
              <w:spacing w:after="0"/>
              <w:rPr>
                <w:sz w:val="1"/>
                <w:szCs w:val="1"/>
                <w:color w:val="auto"/>
              </w:rPr>
            </w:pPr>
          </w:p>
        </w:tc>
      </w:tr>
      <w:tr>
        <w:trPr>
          <w:trHeight w:val="67"/>
        </w:trPr>
        <w:tc>
          <w:tcPr>
            <w:tcW w:w="1020" w:type="dxa"/>
            <w:vAlign w:val="bottom"/>
            <w:tcBorders>
              <w:left w:val="single" w:sz="8" w:color="F2F2F2"/>
              <w:right w:val="single" w:sz="8" w:color="auto"/>
            </w:tcBorders>
            <w:vMerge w:val="continue"/>
            <w:shd w:val="clear" w:color="auto" w:fill="F2F2F2"/>
          </w:tcPr>
          <w:p>
            <w:pPr>
              <w:spacing w:after="0"/>
              <w:rPr>
                <w:sz w:val="5"/>
                <w:szCs w:val="5"/>
                <w:color w:val="auto"/>
              </w:rPr>
            </w:pPr>
          </w:p>
        </w:tc>
        <w:tc>
          <w:tcPr>
            <w:tcW w:w="1740" w:type="dxa"/>
            <w:vAlign w:val="bottom"/>
            <w:tcBorders>
              <w:right w:val="single" w:sz="8" w:color="auto"/>
            </w:tcBorders>
            <w:gridSpan w:val="3"/>
            <w:vMerge w:val="continue"/>
            <w:shd w:val="clear" w:color="auto" w:fill="F2F2F2"/>
          </w:tcPr>
          <w:p>
            <w:pPr>
              <w:spacing w:after="0"/>
              <w:rPr>
                <w:sz w:val="5"/>
                <w:szCs w:val="5"/>
                <w:color w:val="auto"/>
              </w:rPr>
            </w:pPr>
          </w:p>
        </w:tc>
        <w:tc>
          <w:tcPr>
            <w:tcW w:w="1320" w:type="dxa"/>
            <w:vAlign w:val="bottom"/>
            <w:tcBorders>
              <w:right w:val="single" w:sz="8" w:color="auto"/>
            </w:tcBorders>
            <w:gridSpan w:val="2"/>
            <w:vMerge w:val="restart"/>
            <w:shd w:val="clear" w:color="auto" w:fill="C6D9F1"/>
          </w:tcPr>
          <w:p>
            <w:pPr>
              <w:jc w:val="center"/>
              <w:ind w:right="1"/>
              <w:spacing w:after="0" w:line="213" w:lineRule="exact"/>
              <w:rPr>
                <w:sz w:val="20"/>
                <w:szCs w:val="20"/>
                <w:color w:val="auto"/>
              </w:rPr>
            </w:pPr>
            <w:r>
              <w:rPr>
                <w:rFonts w:ascii="Times New Roman" w:cs="Times New Roman" w:eastAsia="Times New Roman" w:hAnsi="Times New Roman"/>
                <w:sz w:val="20"/>
                <w:szCs w:val="20"/>
                <w:color w:val="auto"/>
                <w:w w:val="98"/>
              </w:rPr>
              <w:t>Revolving</w:t>
            </w:r>
          </w:p>
        </w:tc>
        <w:tc>
          <w:tcPr>
            <w:tcW w:w="1360" w:type="dxa"/>
            <w:vAlign w:val="bottom"/>
            <w:tcBorders>
              <w:right w:val="single" w:sz="8" w:color="auto"/>
            </w:tcBorders>
            <w:gridSpan w:val="2"/>
            <w:vMerge w:val="restart"/>
            <w:shd w:val="clear" w:color="auto" w:fill="C6D9F1"/>
          </w:tcPr>
          <w:p>
            <w:pPr>
              <w:jc w:val="center"/>
              <w:ind w:right="20"/>
              <w:spacing w:after="0"/>
              <w:rPr>
                <w:sz w:val="20"/>
                <w:szCs w:val="20"/>
                <w:color w:val="auto"/>
              </w:rPr>
            </w:pPr>
            <w:r>
              <w:rPr>
                <w:rFonts w:ascii="Times New Roman" w:cs="Times New Roman" w:eastAsia="Times New Roman" w:hAnsi="Times New Roman"/>
                <w:sz w:val="20"/>
                <w:szCs w:val="20"/>
                <w:color w:val="auto"/>
                <w:w w:val="96"/>
              </w:rPr>
              <w:t>Term Loan</w:t>
            </w:r>
          </w:p>
        </w:tc>
        <w:tc>
          <w:tcPr>
            <w:tcW w:w="1420" w:type="dxa"/>
            <w:vAlign w:val="bottom"/>
            <w:tcBorders>
              <w:right w:val="single" w:sz="8" w:color="auto"/>
            </w:tcBorders>
            <w:vMerge w:val="restart"/>
            <w:shd w:val="clear" w:color="auto" w:fill="C6D9F1"/>
          </w:tcPr>
          <w:p>
            <w:pPr>
              <w:jc w:val="center"/>
              <w:spacing w:after="0" w:line="213" w:lineRule="exact"/>
              <w:rPr>
                <w:sz w:val="20"/>
                <w:szCs w:val="20"/>
                <w:color w:val="auto"/>
              </w:rPr>
            </w:pPr>
            <w:r>
              <w:rPr>
                <w:rFonts w:ascii="Times New Roman" w:cs="Times New Roman" w:eastAsia="Times New Roman" w:hAnsi="Times New Roman"/>
                <w:sz w:val="20"/>
                <w:szCs w:val="20"/>
                <w:color w:val="auto"/>
              </w:rPr>
              <w:t>Revolving</w:t>
            </w:r>
          </w:p>
        </w:tc>
        <w:tc>
          <w:tcPr>
            <w:tcW w:w="1280" w:type="dxa"/>
            <w:vAlign w:val="bottom"/>
            <w:tcBorders>
              <w:right w:val="single" w:sz="8" w:color="auto"/>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20"/>
                <w:szCs w:val="20"/>
                <w:color w:val="auto"/>
                <w:w w:val="96"/>
              </w:rPr>
              <w:t>Term Loan</w:t>
            </w:r>
          </w:p>
        </w:tc>
        <w:tc>
          <w:tcPr>
            <w:tcW w:w="1860" w:type="dxa"/>
            <w:vAlign w:val="bottom"/>
            <w:tcBorders>
              <w:right w:val="single" w:sz="8" w:color="F2F2F2"/>
            </w:tcBorders>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F2F2F2"/>
              <w:right w:val="single" w:sz="8" w:color="auto"/>
            </w:tcBorders>
            <w:shd w:val="clear" w:color="auto" w:fill="F2F2F2"/>
          </w:tcPr>
          <w:p>
            <w:pPr>
              <w:spacing w:after="0"/>
              <w:rPr>
                <w:sz w:val="9"/>
                <w:szCs w:val="9"/>
                <w:color w:val="auto"/>
              </w:rPr>
            </w:pPr>
          </w:p>
        </w:tc>
        <w:tc>
          <w:tcPr>
            <w:tcW w:w="1740" w:type="dxa"/>
            <w:vAlign w:val="bottom"/>
            <w:tcBorders>
              <w:right w:val="single" w:sz="8" w:color="auto"/>
            </w:tcBorders>
            <w:gridSpan w:val="3"/>
            <w:vMerge w:val="continue"/>
            <w:shd w:val="clear" w:color="auto" w:fill="F2F2F2"/>
          </w:tcPr>
          <w:p>
            <w:pPr>
              <w:spacing w:after="0"/>
              <w:rPr>
                <w:sz w:val="9"/>
                <w:szCs w:val="9"/>
                <w:color w:val="auto"/>
              </w:rPr>
            </w:pPr>
          </w:p>
        </w:tc>
        <w:tc>
          <w:tcPr>
            <w:tcW w:w="1320" w:type="dxa"/>
            <w:vAlign w:val="bottom"/>
            <w:tcBorders>
              <w:right w:val="single" w:sz="8" w:color="auto"/>
            </w:tcBorders>
            <w:gridSpan w:val="2"/>
            <w:vMerge w:val="continue"/>
            <w:shd w:val="clear" w:color="auto" w:fill="C6D9F1"/>
          </w:tcPr>
          <w:p>
            <w:pPr>
              <w:spacing w:after="0"/>
              <w:rPr>
                <w:sz w:val="9"/>
                <w:szCs w:val="9"/>
                <w:color w:val="auto"/>
              </w:rPr>
            </w:pPr>
          </w:p>
        </w:tc>
        <w:tc>
          <w:tcPr>
            <w:tcW w:w="1360" w:type="dxa"/>
            <w:vAlign w:val="bottom"/>
            <w:tcBorders>
              <w:right w:val="single" w:sz="8" w:color="auto"/>
            </w:tcBorders>
            <w:gridSpan w:val="2"/>
            <w:vMerge w:val="continue"/>
            <w:shd w:val="clear" w:color="auto" w:fill="C6D9F1"/>
          </w:tcPr>
          <w:p>
            <w:pPr>
              <w:spacing w:after="0"/>
              <w:rPr>
                <w:sz w:val="9"/>
                <w:szCs w:val="9"/>
                <w:color w:val="auto"/>
              </w:rPr>
            </w:pPr>
          </w:p>
        </w:tc>
        <w:tc>
          <w:tcPr>
            <w:tcW w:w="1420" w:type="dxa"/>
            <w:vAlign w:val="bottom"/>
            <w:tcBorders>
              <w:right w:val="single" w:sz="8" w:color="auto"/>
            </w:tcBorders>
            <w:vMerge w:val="continue"/>
            <w:shd w:val="clear" w:color="auto" w:fill="C6D9F1"/>
          </w:tcPr>
          <w:p>
            <w:pPr>
              <w:spacing w:after="0"/>
              <w:rPr>
                <w:sz w:val="9"/>
                <w:szCs w:val="9"/>
                <w:color w:val="auto"/>
              </w:rPr>
            </w:pPr>
          </w:p>
        </w:tc>
        <w:tc>
          <w:tcPr>
            <w:tcW w:w="1280" w:type="dxa"/>
            <w:vAlign w:val="bottom"/>
            <w:tcBorders>
              <w:right w:val="single" w:sz="8" w:color="auto"/>
            </w:tcBorders>
            <w:vMerge w:val="continue"/>
            <w:shd w:val="clear" w:color="auto" w:fill="C6D9F1"/>
          </w:tcPr>
          <w:p>
            <w:pPr>
              <w:spacing w:after="0"/>
              <w:rPr>
                <w:sz w:val="9"/>
                <w:szCs w:val="9"/>
                <w:color w:val="auto"/>
              </w:rPr>
            </w:pPr>
          </w:p>
        </w:tc>
        <w:tc>
          <w:tcPr>
            <w:tcW w:w="1860" w:type="dxa"/>
            <w:vAlign w:val="bottom"/>
            <w:tcBorders>
              <w:right w:val="single" w:sz="8" w:color="F2F2F2"/>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020" w:type="dxa"/>
            <w:vAlign w:val="bottom"/>
            <w:tcBorders>
              <w:left w:val="single" w:sz="8" w:color="F2F2F2"/>
              <w:right w:val="single" w:sz="8" w:color="auto"/>
            </w:tcBorders>
            <w:shd w:val="clear" w:color="auto" w:fill="F2F2F2"/>
          </w:tcPr>
          <w:p>
            <w:pPr>
              <w:spacing w:after="0"/>
              <w:rPr>
                <w:sz w:val="3"/>
                <w:szCs w:val="3"/>
                <w:color w:val="auto"/>
              </w:rPr>
            </w:pPr>
          </w:p>
        </w:tc>
        <w:tc>
          <w:tcPr>
            <w:tcW w:w="340" w:type="dxa"/>
            <w:vAlign w:val="bottom"/>
            <w:shd w:val="clear" w:color="auto" w:fill="F2F2F2"/>
          </w:tcPr>
          <w:p>
            <w:pPr>
              <w:spacing w:after="0"/>
              <w:rPr>
                <w:sz w:val="3"/>
                <w:szCs w:val="3"/>
                <w:color w:val="auto"/>
              </w:rPr>
            </w:pPr>
          </w:p>
        </w:tc>
        <w:tc>
          <w:tcPr>
            <w:tcW w:w="120" w:type="dxa"/>
            <w:vAlign w:val="bottom"/>
            <w:shd w:val="clear" w:color="auto" w:fill="F2F2F2"/>
          </w:tcPr>
          <w:p>
            <w:pPr>
              <w:spacing w:after="0"/>
              <w:rPr>
                <w:sz w:val="3"/>
                <w:szCs w:val="3"/>
                <w:color w:val="auto"/>
              </w:rPr>
            </w:pPr>
          </w:p>
        </w:tc>
        <w:tc>
          <w:tcPr>
            <w:tcW w:w="1280" w:type="dxa"/>
            <w:vAlign w:val="bottom"/>
            <w:tcBorders>
              <w:right w:val="single" w:sz="8" w:color="auto"/>
            </w:tcBorders>
            <w:shd w:val="clear" w:color="auto" w:fill="F2F2F2"/>
          </w:tcPr>
          <w:p>
            <w:pPr>
              <w:spacing w:after="0"/>
              <w:rPr>
                <w:sz w:val="3"/>
                <w:szCs w:val="3"/>
                <w:color w:val="auto"/>
              </w:rPr>
            </w:pPr>
          </w:p>
        </w:tc>
        <w:tc>
          <w:tcPr>
            <w:tcW w:w="1320" w:type="dxa"/>
            <w:vAlign w:val="bottom"/>
            <w:tcBorders>
              <w:right w:val="single" w:sz="8" w:color="auto"/>
            </w:tcBorders>
            <w:gridSpan w:val="2"/>
            <w:vMerge w:val="continue"/>
            <w:shd w:val="clear" w:color="auto" w:fill="C6D9F1"/>
          </w:tcPr>
          <w:p>
            <w:pPr>
              <w:spacing w:after="0"/>
              <w:rPr>
                <w:sz w:val="3"/>
                <w:szCs w:val="3"/>
                <w:color w:val="auto"/>
              </w:rPr>
            </w:pPr>
          </w:p>
        </w:tc>
        <w:tc>
          <w:tcPr>
            <w:tcW w:w="1360" w:type="dxa"/>
            <w:vAlign w:val="bottom"/>
            <w:tcBorders>
              <w:right w:val="single" w:sz="8" w:color="auto"/>
            </w:tcBorders>
            <w:gridSpan w:val="2"/>
            <w:vMerge w:val="continue"/>
            <w:shd w:val="clear" w:color="auto" w:fill="C6D9F1"/>
          </w:tcPr>
          <w:p>
            <w:pPr>
              <w:spacing w:after="0"/>
              <w:rPr>
                <w:sz w:val="3"/>
                <w:szCs w:val="3"/>
                <w:color w:val="auto"/>
              </w:rPr>
            </w:pPr>
          </w:p>
        </w:tc>
        <w:tc>
          <w:tcPr>
            <w:tcW w:w="1420" w:type="dxa"/>
            <w:vAlign w:val="bottom"/>
            <w:tcBorders>
              <w:right w:val="single" w:sz="8" w:color="auto"/>
            </w:tcBorders>
            <w:vMerge w:val="continue"/>
            <w:shd w:val="clear" w:color="auto" w:fill="C6D9F1"/>
          </w:tcPr>
          <w:p>
            <w:pPr>
              <w:spacing w:after="0"/>
              <w:rPr>
                <w:sz w:val="3"/>
                <w:szCs w:val="3"/>
                <w:color w:val="auto"/>
              </w:rPr>
            </w:pPr>
          </w:p>
        </w:tc>
        <w:tc>
          <w:tcPr>
            <w:tcW w:w="1280" w:type="dxa"/>
            <w:vAlign w:val="bottom"/>
            <w:tcBorders>
              <w:right w:val="single" w:sz="8" w:color="auto"/>
            </w:tcBorders>
            <w:vMerge w:val="continue"/>
            <w:shd w:val="clear" w:color="auto" w:fill="C6D9F1"/>
          </w:tcPr>
          <w:p>
            <w:pPr>
              <w:spacing w:after="0"/>
              <w:rPr>
                <w:sz w:val="3"/>
                <w:szCs w:val="3"/>
                <w:color w:val="auto"/>
              </w:rPr>
            </w:pPr>
          </w:p>
        </w:tc>
        <w:tc>
          <w:tcPr>
            <w:tcW w:w="1860" w:type="dxa"/>
            <w:vAlign w:val="bottom"/>
            <w:tcBorders>
              <w:right w:val="single" w:sz="8" w:color="F2F2F2"/>
            </w:tcBorders>
            <w:shd w:val="clear" w:color="auto" w:fill="F2F2F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1020" w:type="dxa"/>
            <w:vAlign w:val="bottom"/>
            <w:tcBorders>
              <w:left w:val="single" w:sz="8" w:color="F2F2F2"/>
              <w:right w:val="single" w:sz="8" w:color="auto"/>
            </w:tcBorders>
            <w:shd w:val="clear" w:color="auto" w:fill="F2F2F2"/>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1280" w:type="dxa"/>
            <w:vAlign w:val="bottom"/>
            <w:tcBorders>
              <w:right w:val="single" w:sz="8" w:color="auto"/>
            </w:tcBorders>
            <w:shd w:val="clear" w:color="auto" w:fill="F2F2F2"/>
          </w:tcPr>
          <w:p>
            <w:pPr>
              <w:spacing w:after="0"/>
              <w:rPr>
                <w:sz w:val="11"/>
                <w:szCs w:val="11"/>
                <w:color w:val="auto"/>
              </w:rPr>
            </w:pPr>
          </w:p>
        </w:tc>
        <w:tc>
          <w:tcPr>
            <w:tcW w:w="380" w:type="dxa"/>
            <w:vAlign w:val="bottom"/>
            <w:shd w:val="clear" w:color="auto" w:fill="C6D9F1"/>
          </w:tcPr>
          <w:p>
            <w:pPr>
              <w:spacing w:after="0"/>
              <w:rPr>
                <w:sz w:val="11"/>
                <w:szCs w:val="11"/>
                <w:color w:val="auto"/>
              </w:rPr>
            </w:pPr>
          </w:p>
        </w:tc>
        <w:tc>
          <w:tcPr>
            <w:tcW w:w="940" w:type="dxa"/>
            <w:vAlign w:val="bottom"/>
            <w:tcBorders>
              <w:right w:val="single" w:sz="8" w:color="auto"/>
            </w:tcBorders>
            <w:vMerge w:val="restart"/>
            <w:shd w:val="clear" w:color="auto" w:fill="C6D9F1"/>
          </w:tcPr>
          <w:p>
            <w:pPr>
              <w:jc w:val="center"/>
              <w:ind w:right="321"/>
              <w:spacing w:after="0"/>
              <w:rPr>
                <w:sz w:val="20"/>
                <w:szCs w:val="20"/>
                <w:color w:val="auto"/>
              </w:rPr>
            </w:pPr>
            <w:r>
              <w:rPr>
                <w:rFonts w:ascii="Times New Roman" w:cs="Times New Roman" w:eastAsia="Times New Roman" w:hAnsi="Times New Roman"/>
                <w:sz w:val="20"/>
                <w:szCs w:val="20"/>
                <w:color w:val="auto"/>
                <w:w w:val="98"/>
              </w:rPr>
              <w:t>Loans</w:t>
            </w:r>
          </w:p>
        </w:tc>
        <w:tc>
          <w:tcPr>
            <w:tcW w:w="1360" w:type="dxa"/>
            <w:vAlign w:val="bottom"/>
            <w:tcBorders>
              <w:right w:val="single" w:sz="8" w:color="auto"/>
            </w:tcBorders>
            <w:gridSpan w:val="2"/>
            <w:vMerge w:val="continue"/>
            <w:shd w:val="clear" w:color="auto" w:fill="C6D9F1"/>
          </w:tcPr>
          <w:p>
            <w:pPr>
              <w:spacing w:after="0"/>
              <w:rPr>
                <w:sz w:val="11"/>
                <w:szCs w:val="11"/>
                <w:color w:val="auto"/>
              </w:rPr>
            </w:pPr>
          </w:p>
        </w:tc>
        <w:tc>
          <w:tcPr>
            <w:tcW w:w="1420" w:type="dxa"/>
            <w:vAlign w:val="bottom"/>
            <w:tcBorders>
              <w:right w:val="single" w:sz="8" w:color="auto"/>
            </w:tcBorders>
            <w:vMerge w:val="restart"/>
            <w:shd w:val="clear" w:color="auto" w:fill="C6D9F1"/>
          </w:tcPr>
          <w:p>
            <w:pPr>
              <w:jc w:val="center"/>
              <w:spacing w:after="0"/>
              <w:rPr>
                <w:sz w:val="20"/>
                <w:szCs w:val="20"/>
                <w:color w:val="auto"/>
              </w:rPr>
            </w:pPr>
            <w:r>
              <w:rPr>
                <w:rFonts w:ascii="Times New Roman" w:cs="Times New Roman" w:eastAsia="Times New Roman" w:hAnsi="Times New Roman"/>
                <w:sz w:val="20"/>
                <w:szCs w:val="20"/>
                <w:color w:val="auto"/>
                <w:w w:val="98"/>
              </w:rPr>
              <w:t>Loans</w:t>
            </w:r>
          </w:p>
        </w:tc>
        <w:tc>
          <w:tcPr>
            <w:tcW w:w="1280" w:type="dxa"/>
            <w:vAlign w:val="bottom"/>
            <w:tcBorders>
              <w:right w:val="single" w:sz="8" w:color="auto"/>
            </w:tcBorders>
            <w:vMerge w:val="continue"/>
            <w:shd w:val="clear" w:color="auto" w:fill="C6D9F1"/>
          </w:tcPr>
          <w:p>
            <w:pPr>
              <w:spacing w:after="0"/>
              <w:rPr>
                <w:sz w:val="11"/>
                <w:szCs w:val="11"/>
                <w:color w:val="auto"/>
              </w:rPr>
            </w:pPr>
          </w:p>
        </w:tc>
        <w:tc>
          <w:tcPr>
            <w:tcW w:w="1860" w:type="dxa"/>
            <w:vAlign w:val="bottom"/>
            <w:tcBorders>
              <w:right w:val="single" w:sz="8" w:color="F2F2F2"/>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20" w:type="dxa"/>
            <w:vAlign w:val="bottom"/>
            <w:tcBorders>
              <w:left w:val="single" w:sz="8" w:color="F2F2F2"/>
              <w:bottom w:val="single" w:sz="8" w:color="auto"/>
              <w:right w:val="single" w:sz="8" w:color="auto"/>
            </w:tcBorders>
            <w:shd w:val="clear" w:color="auto" w:fill="F2F2F2"/>
          </w:tcPr>
          <w:p>
            <w:pPr>
              <w:spacing w:after="0"/>
              <w:rPr>
                <w:sz w:val="14"/>
                <w:szCs w:val="14"/>
                <w:color w:val="auto"/>
              </w:rPr>
            </w:pPr>
          </w:p>
        </w:tc>
        <w:tc>
          <w:tcPr>
            <w:tcW w:w="340" w:type="dxa"/>
            <w:vAlign w:val="bottom"/>
            <w:tcBorders>
              <w:bottom w:val="single" w:sz="8" w:color="F2F2F2"/>
            </w:tcBorders>
            <w:shd w:val="clear" w:color="auto" w:fill="F2F2F2"/>
          </w:tcPr>
          <w:p>
            <w:pPr>
              <w:spacing w:after="0"/>
              <w:rPr>
                <w:sz w:val="14"/>
                <w:szCs w:val="14"/>
                <w:color w:val="auto"/>
              </w:rPr>
            </w:pPr>
          </w:p>
        </w:tc>
        <w:tc>
          <w:tcPr>
            <w:tcW w:w="120" w:type="dxa"/>
            <w:vAlign w:val="bottom"/>
            <w:tcBorders>
              <w:bottom w:val="single" w:sz="8" w:color="F2F2F2"/>
            </w:tcBorders>
            <w:shd w:val="clear" w:color="auto" w:fill="F2F2F2"/>
          </w:tcPr>
          <w:p>
            <w:pPr>
              <w:spacing w:after="0"/>
              <w:rPr>
                <w:sz w:val="14"/>
                <w:szCs w:val="14"/>
                <w:color w:val="auto"/>
              </w:rPr>
            </w:pPr>
          </w:p>
        </w:tc>
        <w:tc>
          <w:tcPr>
            <w:tcW w:w="1280" w:type="dxa"/>
            <w:vAlign w:val="bottom"/>
            <w:tcBorders>
              <w:bottom w:val="single" w:sz="8" w:color="F2F2F2"/>
              <w:right w:val="single" w:sz="8" w:color="auto"/>
            </w:tcBorders>
            <w:shd w:val="clear" w:color="auto" w:fill="F2F2F2"/>
          </w:tcPr>
          <w:p>
            <w:pPr>
              <w:spacing w:after="0"/>
              <w:rPr>
                <w:sz w:val="14"/>
                <w:szCs w:val="14"/>
                <w:color w:val="auto"/>
              </w:rPr>
            </w:pPr>
          </w:p>
        </w:tc>
        <w:tc>
          <w:tcPr>
            <w:tcW w:w="380" w:type="dxa"/>
            <w:vAlign w:val="bottom"/>
            <w:tcBorders>
              <w:bottom w:val="single" w:sz="8" w:color="auto"/>
            </w:tcBorders>
            <w:shd w:val="clear" w:color="auto" w:fill="C6D9F1"/>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C6D9F1"/>
          </w:tcPr>
          <w:p>
            <w:pPr>
              <w:spacing w:after="0"/>
              <w:rPr>
                <w:sz w:val="14"/>
                <w:szCs w:val="14"/>
                <w:color w:val="auto"/>
              </w:rPr>
            </w:pPr>
          </w:p>
        </w:tc>
        <w:tc>
          <w:tcPr>
            <w:tcW w:w="940" w:type="dxa"/>
            <w:vAlign w:val="bottom"/>
            <w:tcBorders>
              <w:bottom w:val="single" w:sz="8" w:color="auto"/>
            </w:tcBorders>
            <w:shd w:val="clear" w:color="auto" w:fill="C6D9F1"/>
          </w:tcPr>
          <w:p>
            <w:pPr>
              <w:spacing w:after="0"/>
              <w:rPr>
                <w:sz w:val="14"/>
                <w:szCs w:val="14"/>
                <w:color w:val="auto"/>
              </w:rPr>
            </w:pPr>
          </w:p>
        </w:tc>
        <w:tc>
          <w:tcPr>
            <w:tcW w:w="420" w:type="dxa"/>
            <w:vAlign w:val="bottom"/>
            <w:tcBorders>
              <w:bottom w:val="single" w:sz="8" w:color="auto"/>
              <w:right w:val="single" w:sz="8" w:color="auto"/>
            </w:tcBorders>
            <w:shd w:val="clear" w:color="auto" w:fill="C6D9F1"/>
          </w:tcPr>
          <w:p>
            <w:pPr>
              <w:spacing w:after="0"/>
              <w:rPr>
                <w:sz w:val="14"/>
                <w:szCs w:val="14"/>
                <w:color w:val="auto"/>
              </w:rPr>
            </w:pPr>
          </w:p>
        </w:tc>
        <w:tc>
          <w:tcPr>
            <w:tcW w:w="1420" w:type="dxa"/>
            <w:vAlign w:val="bottom"/>
            <w:tcBorders>
              <w:bottom w:val="single" w:sz="8" w:color="auto"/>
              <w:right w:val="single" w:sz="8" w:color="auto"/>
            </w:tcBorders>
            <w:vMerge w:val="continue"/>
            <w:shd w:val="clear" w:color="auto" w:fill="C6D9F1"/>
          </w:tcPr>
          <w:p>
            <w:pPr>
              <w:spacing w:after="0"/>
              <w:rPr>
                <w:sz w:val="14"/>
                <w:szCs w:val="14"/>
                <w:color w:val="auto"/>
              </w:rPr>
            </w:pPr>
          </w:p>
        </w:tc>
        <w:tc>
          <w:tcPr>
            <w:tcW w:w="1280" w:type="dxa"/>
            <w:vAlign w:val="bottom"/>
            <w:tcBorders>
              <w:bottom w:val="single" w:sz="8" w:color="auto"/>
              <w:right w:val="single" w:sz="8" w:color="auto"/>
            </w:tcBorders>
            <w:shd w:val="clear" w:color="auto" w:fill="C6D9F1"/>
          </w:tcPr>
          <w:p>
            <w:pPr>
              <w:spacing w:after="0"/>
              <w:rPr>
                <w:sz w:val="14"/>
                <w:szCs w:val="14"/>
                <w:color w:val="auto"/>
              </w:rPr>
            </w:pPr>
          </w:p>
        </w:tc>
        <w:tc>
          <w:tcPr>
            <w:tcW w:w="1860" w:type="dxa"/>
            <w:vAlign w:val="bottom"/>
            <w:tcBorders>
              <w:bottom w:val="single" w:sz="8" w:color="F2F2F2"/>
              <w:right w:val="single" w:sz="8" w:color="F2F2F2"/>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20" w:type="dxa"/>
            <w:vAlign w:val="bottom"/>
            <w:tcBorders>
              <w:top w:val="single" w:sz="8" w:color="auto"/>
              <w:left w:val="single" w:sz="8" w:color="auto"/>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color w:val="auto"/>
                <w:w w:val="79"/>
              </w:rPr>
              <w:t>1</w:t>
            </w:r>
          </w:p>
        </w:tc>
        <w:tc>
          <w:tcPr>
            <w:tcW w:w="1740" w:type="dxa"/>
            <w:vAlign w:val="bottom"/>
            <w:tcBorders>
              <w:top w:val="single" w:sz="8" w:color="auto"/>
              <w:right w:val="single" w:sz="8" w:color="auto"/>
            </w:tcBorders>
            <w:gridSpan w:val="3"/>
          </w:tcPr>
          <w:p>
            <w:pPr>
              <w:jc w:val="center"/>
              <w:ind w:right="60"/>
              <w:spacing w:after="0" w:line="173" w:lineRule="exact"/>
              <w:rPr>
                <w:sz w:val="20"/>
                <w:szCs w:val="20"/>
                <w:color w:val="auto"/>
              </w:rPr>
            </w:pPr>
            <w:r>
              <w:rPr>
                <w:rFonts w:ascii="Times New Roman" w:cs="Times New Roman" w:eastAsia="Times New Roman" w:hAnsi="Times New Roman"/>
                <w:sz w:val="20"/>
                <w:szCs w:val="20"/>
                <w:color w:val="auto"/>
                <w:w w:val="98"/>
              </w:rPr>
              <w:t>&gt; 3.00 to 1.0</w:t>
            </w:r>
          </w:p>
        </w:tc>
        <w:tc>
          <w:tcPr>
            <w:tcW w:w="1320" w:type="dxa"/>
            <w:vAlign w:val="bottom"/>
            <w:tcBorders>
              <w:right w:val="single" w:sz="8" w:color="auto"/>
            </w:tcBorders>
            <w:gridSpan w:val="2"/>
          </w:tcPr>
          <w:p>
            <w:pPr>
              <w:jc w:val="center"/>
              <w:spacing w:after="0" w:line="173" w:lineRule="exact"/>
              <w:rPr>
                <w:sz w:val="20"/>
                <w:szCs w:val="20"/>
                <w:color w:val="auto"/>
              </w:rPr>
            </w:pPr>
            <w:r>
              <w:rPr>
                <w:rFonts w:ascii="Times New Roman" w:cs="Times New Roman" w:eastAsia="Times New Roman" w:hAnsi="Times New Roman"/>
                <w:sz w:val="20"/>
                <w:szCs w:val="20"/>
                <w:color w:val="auto"/>
                <w:w w:val="97"/>
              </w:rPr>
              <w:t>2.250%</w:t>
            </w:r>
          </w:p>
        </w:tc>
        <w:tc>
          <w:tcPr>
            <w:tcW w:w="1360" w:type="dxa"/>
            <w:vAlign w:val="bottom"/>
            <w:tcBorders>
              <w:right w:val="single" w:sz="8" w:color="auto"/>
            </w:tcBorders>
            <w:gridSpan w:val="2"/>
          </w:tcPr>
          <w:p>
            <w:pPr>
              <w:jc w:val="center"/>
              <w:ind w:right="20"/>
              <w:spacing w:after="0" w:line="173" w:lineRule="exact"/>
              <w:rPr>
                <w:sz w:val="20"/>
                <w:szCs w:val="20"/>
                <w:color w:val="auto"/>
              </w:rPr>
            </w:pPr>
            <w:r>
              <w:rPr>
                <w:rFonts w:ascii="Times New Roman" w:cs="Times New Roman" w:eastAsia="Times New Roman" w:hAnsi="Times New Roman"/>
                <w:sz w:val="20"/>
                <w:szCs w:val="20"/>
                <w:color w:val="auto"/>
              </w:rPr>
              <w:t>2.250%</w:t>
            </w:r>
          </w:p>
        </w:tc>
        <w:tc>
          <w:tcPr>
            <w:tcW w:w="142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color w:val="auto"/>
                <w:w w:val="97"/>
              </w:rPr>
              <w:t>1.250%</w:t>
            </w:r>
          </w:p>
        </w:tc>
        <w:tc>
          <w:tcPr>
            <w:tcW w:w="128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color w:val="auto"/>
              </w:rPr>
              <w:t>1.250%</w:t>
            </w:r>
          </w:p>
        </w:tc>
        <w:tc>
          <w:tcPr>
            <w:tcW w:w="18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color w:val="auto"/>
                <w:w w:val="97"/>
              </w:rPr>
              <w:t>0.400%</w:t>
            </w:r>
          </w:p>
        </w:tc>
        <w:tc>
          <w:tcPr>
            <w:tcW w:w="0" w:type="dxa"/>
            <w:vAlign w:val="bottom"/>
          </w:tcPr>
          <w:p>
            <w:pPr>
              <w:spacing w:after="0"/>
              <w:rPr>
                <w:sz w:val="1"/>
                <w:szCs w:val="1"/>
                <w:color w:val="auto"/>
              </w:rPr>
            </w:pPr>
          </w:p>
        </w:tc>
      </w:tr>
      <w:tr>
        <w:trPr>
          <w:trHeight w:val="51"/>
        </w:trPr>
        <w:tc>
          <w:tcPr>
            <w:tcW w:w="102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79"/>
              </w:rPr>
              <w:t>2</w:t>
            </w:r>
          </w:p>
        </w:tc>
        <w:tc>
          <w:tcPr>
            <w:tcW w:w="1740" w:type="dxa"/>
            <w:vAlign w:val="bottom"/>
            <w:tcBorders>
              <w:right w:val="single" w:sz="8" w:color="auto"/>
            </w:tcBorders>
            <w:gridSpan w:val="3"/>
          </w:tcPr>
          <w:p>
            <w:pPr>
              <w:jc w:val="center"/>
              <w:ind w:right="60"/>
              <w:spacing w:after="0" w:line="197" w:lineRule="exact"/>
              <w:rPr>
                <w:sz w:val="20"/>
                <w:szCs w:val="20"/>
                <w:color w:val="auto"/>
              </w:rPr>
            </w:pPr>
            <w:r>
              <w:rPr>
                <w:rFonts w:ascii="Times New Roman" w:cs="Times New Roman" w:eastAsia="Times New Roman" w:hAnsi="Times New Roman"/>
                <w:sz w:val="20"/>
                <w:szCs w:val="20"/>
                <w:color w:val="auto"/>
                <w:w w:val="99"/>
              </w:rPr>
              <w:t>&lt; 3.00 to 1.0 but</w:t>
            </w:r>
          </w:p>
        </w:tc>
        <w:tc>
          <w:tcPr>
            <w:tcW w:w="13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2.000%</w:t>
            </w:r>
          </w:p>
        </w:tc>
        <w:tc>
          <w:tcPr>
            <w:tcW w:w="136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rPr>
              <w:t>2.000%</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1.000%</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0.350%</w:t>
            </w:r>
          </w:p>
        </w:tc>
        <w:tc>
          <w:tcPr>
            <w:tcW w:w="0" w:type="dxa"/>
            <w:vAlign w:val="bottom"/>
          </w:tcPr>
          <w:p>
            <w:pPr>
              <w:spacing w:after="0"/>
              <w:rPr>
                <w:sz w:val="1"/>
                <w:szCs w:val="1"/>
                <w:color w:val="auto"/>
              </w:rPr>
            </w:pPr>
          </w:p>
        </w:tc>
      </w:tr>
      <w:tr>
        <w:trPr>
          <w:trHeight w:val="137"/>
        </w:trPr>
        <w:tc>
          <w:tcPr>
            <w:tcW w:w="1020" w:type="dxa"/>
            <w:vAlign w:val="bottom"/>
            <w:tcBorders>
              <w:right w:val="single" w:sz="8" w:color="auto"/>
            </w:tcBorders>
            <w:vMerge w:val="continue"/>
          </w:tcPr>
          <w:p>
            <w:pPr>
              <w:spacing w:after="0"/>
              <w:rPr>
                <w:sz w:val="11"/>
                <w:szCs w:val="11"/>
                <w:color w:val="auto"/>
              </w:rPr>
            </w:pPr>
          </w:p>
        </w:tc>
        <w:tc>
          <w:tcPr>
            <w:tcW w:w="1740" w:type="dxa"/>
            <w:vAlign w:val="bottom"/>
            <w:tcBorders>
              <w:right w:val="single" w:sz="8" w:color="auto"/>
            </w:tcBorders>
            <w:gridSpan w:val="3"/>
            <w:vMerge w:val="restart"/>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8"/>
              </w:rPr>
              <w:t>&gt; 2.50 to 1.0</w:t>
            </w:r>
          </w:p>
        </w:tc>
        <w:tc>
          <w:tcPr>
            <w:tcW w:w="1320" w:type="dxa"/>
            <w:vAlign w:val="bottom"/>
            <w:tcBorders>
              <w:right w:val="single" w:sz="8" w:color="auto"/>
            </w:tcBorders>
            <w:gridSpan w:val="2"/>
            <w:vMerge w:val="continue"/>
          </w:tcPr>
          <w:p>
            <w:pPr>
              <w:spacing w:after="0"/>
              <w:rPr>
                <w:sz w:val="11"/>
                <w:szCs w:val="11"/>
                <w:color w:val="auto"/>
              </w:rPr>
            </w:pPr>
          </w:p>
        </w:tc>
        <w:tc>
          <w:tcPr>
            <w:tcW w:w="1360" w:type="dxa"/>
            <w:vAlign w:val="bottom"/>
            <w:tcBorders>
              <w:right w:val="single" w:sz="8" w:color="auto"/>
            </w:tcBorders>
            <w:gridSpan w:val="2"/>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020" w:type="dxa"/>
            <w:vAlign w:val="bottom"/>
            <w:tcBorders>
              <w:right w:val="single" w:sz="8" w:color="auto"/>
            </w:tcBorders>
          </w:tcPr>
          <w:p>
            <w:pPr>
              <w:spacing w:after="0"/>
              <w:rPr>
                <w:sz w:val="6"/>
                <w:szCs w:val="6"/>
                <w:color w:val="auto"/>
              </w:rPr>
            </w:pPr>
          </w:p>
        </w:tc>
        <w:tc>
          <w:tcPr>
            <w:tcW w:w="1740" w:type="dxa"/>
            <w:vAlign w:val="bottom"/>
            <w:tcBorders>
              <w:right w:val="single" w:sz="8" w:color="auto"/>
            </w:tcBorders>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10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79"/>
              </w:rPr>
              <w:t>3</w:t>
            </w:r>
          </w:p>
        </w:tc>
        <w:tc>
          <w:tcPr>
            <w:tcW w:w="1740" w:type="dxa"/>
            <w:vAlign w:val="bottom"/>
            <w:tcBorders>
              <w:right w:val="single" w:sz="8" w:color="auto"/>
            </w:tcBorders>
            <w:gridSpan w:val="3"/>
          </w:tcPr>
          <w:p>
            <w:pPr>
              <w:jc w:val="center"/>
              <w:ind w:right="60"/>
              <w:spacing w:after="0" w:line="213" w:lineRule="exact"/>
              <w:rPr>
                <w:sz w:val="20"/>
                <w:szCs w:val="20"/>
                <w:color w:val="auto"/>
              </w:rPr>
            </w:pPr>
            <w:r>
              <w:rPr>
                <w:rFonts w:ascii="Times New Roman" w:cs="Times New Roman" w:eastAsia="Times New Roman" w:hAnsi="Times New Roman"/>
                <w:sz w:val="20"/>
                <w:szCs w:val="20"/>
                <w:color w:val="auto"/>
                <w:w w:val="99"/>
              </w:rPr>
              <w:t>&lt; 2.50 to 1.0 but</w:t>
            </w:r>
          </w:p>
        </w:tc>
        <w:tc>
          <w:tcPr>
            <w:tcW w:w="13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1.750%</w:t>
            </w:r>
          </w:p>
        </w:tc>
        <w:tc>
          <w:tcPr>
            <w:tcW w:w="136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rPr>
              <w:t>1.750%</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0.750%</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0.750%</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0.300%</w:t>
            </w:r>
          </w:p>
        </w:tc>
        <w:tc>
          <w:tcPr>
            <w:tcW w:w="0" w:type="dxa"/>
            <w:vAlign w:val="bottom"/>
          </w:tcPr>
          <w:p>
            <w:pPr>
              <w:spacing w:after="0"/>
              <w:rPr>
                <w:sz w:val="1"/>
                <w:szCs w:val="1"/>
                <w:color w:val="auto"/>
              </w:rPr>
            </w:pPr>
          </w:p>
        </w:tc>
      </w:tr>
      <w:tr>
        <w:trPr>
          <w:trHeight w:val="137"/>
        </w:trPr>
        <w:tc>
          <w:tcPr>
            <w:tcW w:w="1020" w:type="dxa"/>
            <w:vAlign w:val="bottom"/>
            <w:tcBorders>
              <w:right w:val="single" w:sz="8" w:color="auto"/>
            </w:tcBorders>
            <w:vMerge w:val="continue"/>
          </w:tcPr>
          <w:p>
            <w:pPr>
              <w:spacing w:after="0"/>
              <w:rPr>
                <w:sz w:val="11"/>
                <w:szCs w:val="11"/>
                <w:color w:val="auto"/>
              </w:rPr>
            </w:pPr>
          </w:p>
        </w:tc>
        <w:tc>
          <w:tcPr>
            <w:tcW w:w="1740" w:type="dxa"/>
            <w:vAlign w:val="bottom"/>
            <w:tcBorders>
              <w:right w:val="single" w:sz="8" w:color="auto"/>
            </w:tcBorders>
            <w:gridSpan w:val="3"/>
            <w:vMerge w:val="restart"/>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8"/>
              </w:rPr>
              <w:t>&gt; 2.00 to 1.0</w:t>
            </w:r>
          </w:p>
        </w:tc>
        <w:tc>
          <w:tcPr>
            <w:tcW w:w="1320" w:type="dxa"/>
            <w:vAlign w:val="bottom"/>
            <w:tcBorders>
              <w:right w:val="single" w:sz="8" w:color="auto"/>
            </w:tcBorders>
            <w:gridSpan w:val="2"/>
            <w:vMerge w:val="continue"/>
          </w:tcPr>
          <w:p>
            <w:pPr>
              <w:spacing w:after="0"/>
              <w:rPr>
                <w:sz w:val="11"/>
                <w:szCs w:val="11"/>
                <w:color w:val="auto"/>
              </w:rPr>
            </w:pPr>
          </w:p>
        </w:tc>
        <w:tc>
          <w:tcPr>
            <w:tcW w:w="1360" w:type="dxa"/>
            <w:vAlign w:val="bottom"/>
            <w:tcBorders>
              <w:right w:val="single" w:sz="8" w:color="auto"/>
            </w:tcBorders>
            <w:gridSpan w:val="2"/>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020" w:type="dxa"/>
            <w:vAlign w:val="bottom"/>
            <w:tcBorders>
              <w:right w:val="single" w:sz="8" w:color="auto"/>
            </w:tcBorders>
          </w:tcPr>
          <w:p>
            <w:pPr>
              <w:spacing w:after="0"/>
              <w:rPr>
                <w:sz w:val="6"/>
                <w:szCs w:val="6"/>
                <w:color w:val="auto"/>
              </w:rPr>
            </w:pPr>
          </w:p>
        </w:tc>
        <w:tc>
          <w:tcPr>
            <w:tcW w:w="1740" w:type="dxa"/>
            <w:vAlign w:val="bottom"/>
            <w:tcBorders>
              <w:right w:val="single" w:sz="8" w:color="auto"/>
            </w:tcBorders>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10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79"/>
              </w:rPr>
              <w:t>4</w:t>
            </w:r>
          </w:p>
        </w:tc>
        <w:tc>
          <w:tcPr>
            <w:tcW w:w="1740" w:type="dxa"/>
            <w:vAlign w:val="bottom"/>
            <w:tcBorders>
              <w:right w:val="single" w:sz="8" w:color="auto"/>
            </w:tcBorders>
            <w:gridSpan w:val="3"/>
          </w:tcPr>
          <w:p>
            <w:pPr>
              <w:jc w:val="center"/>
              <w:ind w:right="60"/>
              <w:spacing w:after="0" w:line="213" w:lineRule="exact"/>
              <w:rPr>
                <w:sz w:val="20"/>
                <w:szCs w:val="20"/>
                <w:color w:val="auto"/>
              </w:rPr>
            </w:pPr>
            <w:r>
              <w:rPr>
                <w:rFonts w:ascii="Times New Roman" w:cs="Times New Roman" w:eastAsia="Times New Roman" w:hAnsi="Times New Roman"/>
                <w:sz w:val="20"/>
                <w:szCs w:val="20"/>
                <w:color w:val="auto"/>
                <w:w w:val="99"/>
              </w:rPr>
              <w:t>&lt; 2.00 to 1.0 but</w:t>
            </w:r>
          </w:p>
        </w:tc>
        <w:tc>
          <w:tcPr>
            <w:tcW w:w="13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1.500%</w:t>
            </w:r>
          </w:p>
        </w:tc>
        <w:tc>
          <w:tcPr>
            <w:tcW w:w="136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rPr>
              <w:t>1.500%</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0.500%</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0.500%</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0.250%</w:t>
            </w:r>
          </w:p>
        </w:tc>
        <w:tc>
          <w:tcPr>
            <w:tcW w:w="0" w:type="dxa"/>
            <w:vAlign w:val="bottom"/>
          </w:tcPr>
          <w:p>
            <w:pPr>
              <w:spacing w:after="0"/>
              <w:rPr>
                <w:sz w:val="1"/>
                <w:szCs w:val="1"/>
                <w:color w:val="auto"/>
              </w:rPr>
            </w:pPr>
          </w:p>
        </w:tc>
      </w:tr>
      <w:tr>
        <w:trPr>
          <w:trHeight w:val="137"/>
        </w:trPr>
        <w:tc>
          <w:tcPr>
            <w:tcW w:w="1020" w:type="dxa"/>
            <w:vAlign w:val="bottom"/>
            <w:tcBorders>
              <w:right w:val="single" w:sz="8" w:color="auto"/>
            </w:tcBorders>
            <w:vMerge w:val="continue"/>
          </w:tcPr>
          <w:p>
            <w:pPr>
              <w:spacing w:after="0"/>
              <w:rPr>
                <w:sz w:val="11"/>
                <w:szCs w:val="11"/>
                <w:color w:val="auto"/>
              </w:rPr>
            </w:pPr>
          </w:p>
        </w:tc>
        <w:tc>
          <w:tcPr>
            <w:tcW w:w="1740" w:type="dxa"/>
            <w:vAlign w:val="bottom"/>
            <w:tcBorders>
              <w:right w:val="single" w:sz="8" w:color="auto"/>
            </w:tcBorders>
            <w:gridSpan w:val="3"/>
            <w:vMerge w:val="restart"/>
          </w:tcPr>
          <w:p>
            <w:pPr>
              <w:jc w:val="center"/>
              <w:ind w:right="60"/>
              <w:spacing w:after="0" w:line="211" w:lineRule="exact"/>
              <w:rPr>
                <w:sz w:val="20"/>
                <w:szCs w:val="20"/>
                <w:color w:val="auto"/>
              </w:rPr>
            </w:pPr>
            <w:r>
              <w:rPr>
                <w:rFonts w:ascii="Times New Roman" w:cs="Times New Roman" w:eastAsia="Times New Roman" w:hAnsi="Times New Roman"/>
                <w:sz w:val="20"/>
                <w:szCs w:val="20"/>
                <w:color w:val="auto"/>
                <w:w w:val="98"/>
              </w:rPr>
              <w:t>&gt; 1.00 to 1.0</w:t>
            </w:r>
          </w:p>
        </w:tc>
        <w:tc>
          <w:tcPr>
            <w:tcW w:w="1320" w:type="dxa"/>
            <w:vAlign w:val="bottom"/>
            <w:tcBorders>
              <w:right w:val="single" w:sz="8" w:color="auto"/>
            </w:tcBorders>
            <w:gridSpan w:val="2"/>
            <w:vMerge w:val="continue"/>
          </w:tcPr>
          <w:p>
            <w:pPr>
              <w:spacing w:after="0"/>
              <w:rPr>
                <w:sz w:val="11"/>
                <w:szCs w:val="11"/>
                <w:color w:val="auto"/>
              </w:rPr>
            </w:pPr>
          </w:p>
        </w:tc>
        <w:tc>
          <w:tcPr>
            <w:tcW w:w="1360" w:type="dxa"/>
            <w:vAlign w:val="bottom"/>
            <w:tcBorders>
              <w:right w:val="single" w:sz="8" w:color="auto"/>
            </w:tcBorders>
            <w:gridSpan w:val="2"/>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020" w:type="dxa"/>
            <w:vAlign w:val="bottom"/>
            <w:tcBorders>
              <w:right w:val="single" w:sz="8" w:color="auto"/>
            </w:tcBorders>
          </w:tcPr>
          <w:p>
            <w:pPr>
              <w:spacing w:after="0"/>
              <w:rPr>
                <w:sz w:val="6"/>
                <w:szCs w:val="6"/>
                <w:color w:val="auto"/>
              </w:rPr>
            </w:pPr>
          </w:p>
        </w:tc>
        <w:tc>
          <w:tcPr>
            <w:tcW w:w="1740" w:type="dxa"/>
            <w:vAlign w:val="bottom"/>
            <w:tcBorders>
              <w:right w:val="single" w:sz="8" w:color="auto"/>
            </w:tcBorders>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10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79"/>
              </w:rPr>
              <w:t>5</w:t>
            </w:r>
          </w:p>
        </w:tc>
        <w:tc>
          <w:tcPr>
            <w:tcW w:w="174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0"/>
                <w:szCs w:val="20"/>
                <w:color w:val="auto"/>
                <w:w w:val="98"/>
              </w:rPr>
              <w:t>&lt; 1.00 to 1.0</w:t>
            </w:r>
          </w:p>
        </w:tc>
        <w:tc>
          <w:tcPr>
            <w:tcW w:w="13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1.250%</w:t>
            </w:r>
          </w:p>
        </w:tc>
        <w:tc>
          <w:tcPr>
            <w:tcW w:w="13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1.250%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0.250%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0.250%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0.200%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provided that, during the Specified Pricing Period, the following grid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138430</wp:posOffset>
            </wp:positionV>
            <wp:extent cx="1194435" cy="7359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1194435" cy="735965"/>
                    </a:xfrm>
                    <a:prstGeom prst="rect">
                      <a:avLst/>
                    </a:prstGeom>
                    <a:noFill/>
                  </pic:spPr>
                </pic:pic>
              </a:graphicData>
            </a:graphic>
          </wp:anchor>
        </w:drawing>
      </w:r>
    </w:p>
    <w:p>
      <w:pPr>
        <w:spacing w:after="0" w:line="198" w:lineRule="exact"/>
        <w:rPr>
          <w:sz w:val="20"/>
          <w:szCs w:val="20"/>
          <w:color w:val="auto"/>
        </w:rPr>
      </w:pPr>
    </w:p>
    <w:tbl>
      <w:tblPr>
        <w:tblLayout w:type="fixed"/>
        <w:tblInd w:w="570" w:type="dxa"/>
        <w:tblCellMar>
          <w:top w:w="0" w:type="dxa"/>
          <w:left w:w="0" w:type="dxa"/>
          <w:bottom w:w="0" w:type="dxa"/>
          <w:right w:w="0" w:type="dxa"/>
        </w:tblCellMar>
      </w:tblPr>
      <w:tr>
        <w:trPr>
          <w:trHeight w:val="256"/>
        </w:trPr>
        <w:tc>
          <w:tcPr>
            <w:tcW w:w="1000" w:type="dxa"/>
            <w:vAlign w:val="bottom"/>
            <w:tcBorders>
              <w:top w:val="single" w:sz="8" w:color="auto"/>
              <w:left w:val="single" w:sz="8" w:color="auto"/>
              <w:right w:val="single" w:sz="8" w:color="auto"/>
            </w:tcBorders>
            <w:shd w:val="clear" w:color="auto" w:fill="F2F2F2"/>
          </w:tcPr>
          <w:p>
            <w:pPr>
              <w:spacing w:after="0"/>
              <w:rPr>
                <w:sz w:val="22"/>
                <w:szCs w:val="22"/>
                <w:color w:val="auto"/>
              </w:rPr>
            </w:pPr>
          </w:p>
        </w:tc>
        <w:tc>
          <w:tcPr>
            <w:tcW w:w="360" w:type="dxa"/>
            <w:vAlign w:val="bottom"/>
            <w:tcBorders>
              <w:top w:val="single" w:sz="8" w:color="auto"/>
            </w:tcBorders>
            <w:shd w:val="clear" w:color="auto" w:fill="F2F2F2"/>
          </w:tcPr>
          <w:p>
            <w:pPr>
              <w:spacing w:after="0"/>
              <w:rPr>
                <w:sz w:val="22"/>
                <w:szCs w:val="22"/>
                <w:color w:val="auto"/>
              </w:rPr>
            </w:pPr>
          </w:p>
        </w:tc>
        <w:tc>
          <w:tcPr>
            <w:tcW w:w="100" w:type="dxa"/>
            <w:vAlign w:val="bottom"/>
            <w:tcBorders>
              <w:top w:val="single" w:sz="8" w:color="auto"/>
            </w:tcBorders>
            <w:shd w:val="clear" w:color="auto" w:fill="F2F2F2"/>
          </w:tcPr>
          <w:p>
            <w:pPr>
              <w:spacing w:after="0"/>
              <w:rPr>
                <w:sz w:val="22"/>
                <w:szCs w:val="22"/>
                <w:color w:val="auto"/>
              </w:rPr>
            </w:pPr>
          </w:p>
        </w:tc>
        <w:tc>
          <w:tcPr>
            <w:tcW w:w="1280" w:type="dxa"/>
            <w:vAlign w:val="bottom"/>
            <w:tcBorders>
              <w:top w:val="single" w:sz="8" w:color="auto"/>
              <w:right w:val="single" w:sz="8" w:color="auto"/>
            </w:tcBorders>
            <w:shd w:val="clear" w:color="auto" w:fill="F2F2F2"/>
          </w:tcPr>
          <w:p>
            <w:pPr>
              <w:spacing w:after="0"/>
              <w:rPr>
                <w:sz w:val="22"/>
                <w:szCs w:val="22"/>
                <w:color w:val="auto"/>
              </w:rPr>
            </w:pPr>
          </w:p>
        </w:tc>
        <w:tc>
          <w:tcPr>
            <w:tcW w:w="400" w:type="dxa"/>
            <w:vAlign w:val="bottom"/>
            <w:tcBorders>
              <w:top w:val="single" w:sz="8" w:color="auto"/>
            </w:tcBorders>
            <w:shd w:val="clear" w:color="auto" w:fill="F2F2F2"/>
          </w:tcPr>
          <w:p>
            <w:pPr>
              <w:spacing w:after="0"/>
              <w:rPr>
                <w:sz w:val="22"/>
                <w:szCs w:val="22"/>
                <w:color w:val="auto"/>
              </w:rPr>
            </w:pPr>
          </w:p>
        </w:tc>
        <w:tc>
          <w:tcPr>
            <w:tcW w:w="920" w:type="dxa"/>
            <w:vAlign w:val="bottom"/>
            <w:tcBorders>
              <w:top w:val="single" w:sz="8" w:color="auto"/>
              <w:right w:val="single" w:sz="8" w:color="F2F2F2"/>
            </w:tcBorders>
            <w:shd w:val="clear" w:color="auto" w:fill="F2F2F2"/>
          </w:tcPr>
          <w:p>
            <w:pPr>
              <w:spacing w:after="0"/>
              <w:rPr>
                <w:sz w:val="20"/>
                <w:szCs w:val="20"/>
                <w:color w:val="auto"/>
              </w:rPr>
            </w:pPr>
            <w:r>
              <w:rPr>
                <w:rFonts w:ascii="Times New Roman" w:cs="Times New Roman" w:eastAsia="Times New Roman" w:hAnsi="Times New Roman"/>
                <w:sz w:val="20"/>
                <w:szCs w:val="20"/>
                <w:color w:val="FF0000"/>
                <w:strike w:val="1"/>
                <w:w w:val="93"/>
              </w:rPr>
              <w:t>BSBY Rate</w:t>
            </w:r>
          </w:p>
        </w:tc>
        <w:tc>
          <w:tcPr>
            <w:tcW w:w="1380" w:type="dxa"/>
            <w:vAlign w:val="bottom"/>
            <w:tcBorders>
              <w:top w:val="single" w:sz="8" w:color="auto"/>
              <w:right w:val="single" w:sz="8" w:color="auto"/>
            </w:tcBorders>
            <w:gridSpan w:val="2"/>
            <w:shd w:val="clear" w:color="auto" w:fill="F2F2F2"/>
          </w:tcPr>
          <w:p>
            <w:pPr>
              <w:spacing w:after="0"/>
              <w:rPr>
                <w:sz w:val="20"/>
                <w:szCs w:val="20"/>
                <w:color w:val="auto"/>
              </w:rPr>
            </w:pPr>
            <w:r>
              <w:rPr>
                <w:rFonts w:ascii="Times New Roman" w:cs="Times New Roman" w:eastAsia="Times New Roman" w:hAnsi="Times New Roman"/>
                <w:sz w:val="20"/>
                <w:szCs w:val="20"/>
                <w:color w:val="0000FF"/>
              </w:rPr>
              <w:t>Term SOFR</w:t>
            </w:r>
          </w:p>
        </w:tc>
        <w:tc>
          <w:tcPr>
            <w:tcW w:w="2700" w:type="dxa"/>
            <w:vAlign w:val="bottom"/>
            <w:tcBorders>
              <w:top w:val="single" w:sz="8" w:color="auto"/>
              <w:right w:val="single" w:sz="8" w:color="auto"/>
            </w:tcBorders>
            <w:gridSpan w:val="2"/>
            <w:vMerge w:val="restart"/>
            <w:shd w:val="clear" w:color="auto" w:fill="F2F2F2"/>
          </w:tcPr>
          <w:p>
            <w:pPr>
              <w:ind w:left="940"/>
              <w:spacing w:after="0"/>
              <w:rPr>
                <w:sz w:val="20"/>
                <w:szCs w:val="20"/>
                <w:color w:val="auto"/>
              </w:rPr>
            </w:pPr>
            <w:r>
              <w:rPr>
                <w:rFonts w:ascii="Times New Roman" w:cs="Times New Roman" w:eastAsia="Times New Roman" w:hAnsi="Times New Roman"/>
                <w:sz w:val="20"/>
                <w:szCs w:val="20"/>
                <w:color w:val="auto"/>
              </w:rPr>
              <w:t>Base Rate</w:t>
            </w:r>
          </w:p>
        </w:tc>
        <w:tc>
          <w:tcPr>
            <w:tcW w:w="1860" w:type="dxa"/>
            <w:vAlign w:val="bottom"/>
            <w:tcBorders>
              <w:top w:val="single" w:sz="8" w:color="auto"/>
              <w:right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auto"/>
              <w:right w:val="single" w:sz="8" w:color="auto"/>
            </w:tcBorders>
            <w:shd w:val="clear" w:color="auto" w:fill="F2F2F2"/>
          </w:tcPr>
          <w:p>
            <w:pPr>
              <w:spacing w:after="0" w:line="20" w:lineRule="exact"/>
              <w:rPr>
                <w:sz w:val="1"/>
                <w:szCs w:val="1"/>
                <w:color w:val="auto"/>
              </w:rPr>
            </w:pPr>
          </w:p>
        </w:tc>
        <w:tc>
          <w:tcPr>
            <w:tcW w:w="360" w:type="dxa"/>
            <w:vAlign w:val="bottom"/>
            <w:shd w:val="clear" w:color="auto" w:fill="F2F2F2"/>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1280" w:type="dxa"/>
            <w:vAlign w:val="bottom"/>
            <w:tcBorders>
              <w:right w:val="single" w:sz="8" w:color="auto"/>
            </w:tcBorders>
            <w:shd w:val="clear" w:color="auto" w:fill="F2F2F2"/>
          </w:tcPr>
          <w:p>
            <w:pPr>
              <w:spacing w:after="0" w:line="20" w:lineRule="exact"/>
              <w:rPr>
                <w:sz w:val="1"/>
                <w:szCs w:val="1"/>
                <w:color w:val="auto"/>
              </w:rPr>
            </w:pPr>
          </w:p>
        </w:tc>
        <w:tc>
          <w:tcPr>
            <w:tcW w:w="400" w:type="dxa"/>
            <w:vAlign w:val="bottom"/>
            <w:shd w:val="clear" w:color="auto" w:fill="F2F2F2"/>
          </w:tcPr>
          <w:p>
            <w:pPr>
              <w:spacing w:after="0" w:line="20" w:lineRule="exact"/>
              <w:rPr>
                <w:sz w:val="1"/>
                <w:szCs w:val="1"/>
                <w:color w:val="auto"/>
              </w:rPr>
            </w:pPr>
          </w:p>
        </w:tc>
        <w:tc>
          <w:tcPr>
            <w:tcW w:w="920" w:type="dxa"/>
            <w:vAlign w:val="bottom"/>
            <w:tcBorders>
              <w:right w:val="single" w:sz="8" w:color="F2F2F2"/>
            </w:tcBorders>
            <w:shd w:val="clear" w:color="auto" w:fill="F2F2F2"/>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tcBorders>
              <w:right w:val="single" w:sz="8" w:color="auto"/>
            </w:tcBorders>
            <w:shd w:val="clear" w:color="auto" w:fill="F2F2F2"/>
          </w:tcPr>
          <w:p>
            <w:pPr>
              <w:spacing w:after="0" w:line="20" w:lineRule="exact"/>
              <w:rPr>
                <w:sz w:val="1"/>
                <w:szCs w:val="1"/>
                <w:color w:val="auto"/>
              </w:rPr>
            </w:pPr>
          </w:p>
        </w:tc>
        <w:tc>
          <w:tcPr>
            <w:tcW w:w="2700" w:type="dxa"/>
            <w:vAlign w:val="bottom"/>
            <w:tcBorders>
              <w:right w:val="single" w:sz="8" w:color="auto"/>
            </w:tcBorders>
            <w:gridSpan w:val="2"/>
            <w:vMerge w:val="continue"/>
            <w:shd w:val="clear" w:color="auto" w:fill="F2F2F2"/>
          </w:tcPr>
          <w:p>
            <w:pPr>
              <w:spacing w:after="0" w:line="20" w:lineRule="exact"/>
              <w:rPr>
                <w:sz w:val="1"/>
                <w:szCs w:val="1"/>
                <w:color w:val="auto"/>
              </w:rPr>
            </w:pPr>
          </w:p>
        </w:tc>
        <w:tc>
          <w:tcPr>
            <w:tcW w:w="1860" w:type="dxa"/>
            <w:vAlign w:val="bottom"/>
            <w:tcBorders>
              <w:right w:val="single" w:sz="8" w:color="F2F2F2"/>
            </w:tcBorders>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000" w:type="dxa"/>
            <w:vAlign w:val="bottom"/>
            <w:tcBorders>
              <w:left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6"/>
              </w:rPr>
              <w:t>Level</w:t>
            </w:r>
          </w:p>
        </w:tc>
        <w:tc>
          <w:tcPr>
            <w:tcW w:w="1740" w:type="dxa"/>
            <w:vAlign w:val="bottom"/>
            <w:tcBorders>
              <w:right w:val="single" w:sz="8" w:color="auto"/>
            </w:tcBorders>
            <w:gridSpan w:val="3"/>
            <w:vMerge w:val="restart"/>
            <w:shd w:val="clear" w:color="auto" w:fill="F2F2F2"/>
          </w:tcPr>
          <w:p>
            <w:pPr>
              <w:jc w:val="center"/>
              <w:ind w:right="80"/>
              <w:spacing w:after="0"/>
              <w:rPr>
                <w:sz w:val="20"/>
                <w:szCs w:val="20"/>
                <w:color w:val="auto"/>
              </w:rPr>
            </w:pPr>
            <w:r>
              <w:rPr>
                <w:rFonts w:ascii="Times New Roman" w:cs="Times New Roman" w:eastAsia="Times New Roman" w:hAnsi="Times New Roman"/>
                <w:sz w:val="20"/>
                <w:szCs w:val="20"/>
                <w:color w:val="auto"/>
                <w:w w:val="98"/>
              </w:rPr>
              <w:t>Consolidated Total</w:t>
            </w:r>
          </w:p>
        </w:tc>
        <w:tc>
          <w:tcPr>
            <w:tcW w:w="400" w:type="dxa"/>
            <w:vAlign w:val="bottom"/>
            <w:shd w:val="clear" w:color="auto" w:fill="F2F2F2"/>
          </w:tcPr>
          <w:p>
            <w:pPr>
              <w:spacing w:after="0"/>
              <w:rPr>
                <w:sz w:val="14"/>
                <w:szCs w:val="14"/>
                <w:color w:val="auto"/>
              </w:rPr>
            </w:pPr>
          </w:p>
        </w:tc>
        <w:tc>
          <w:tcPr>
            <w:tcW w:w="2300" w:type="dxa"/>
            <w:vAlign w:val="bottom"/>
            <w:tcBorders>
              <w:right w:val="single" w:sz="8" w:color="auto"/>
            </w:tcBorders>
            <w:gridSpan w:val="3"/>
            <w:vMerge w:val="restart"/>
            <w:shd w:val="clear" w:color="auto" w:fill="F2F2F2"/>
          </w:tcPr>
          <w:p>
            <w:pPr>
              <w:ind w:left="60"/>
              <w:spacing w:after="0"/>
              <w:rPr>
                <w:sz w:val="20"/>
                <w:szCs w:val="20"/>
                <w:color w:val="auto"/>
              </w:rPr>
            </w:pPr>
            <w:r>
              <w:rPr>
                <w:rFonts w:ascii="Times New Roman" w:cs="Times New Roman" w:eastAsia="Times New Roman" w:hAnsi="Times New Roman"/>
                <w:sz w:val="20"/>
                <w:szCs w:val="20"/>
                <w:color w:val="auto"/>
              </w:rPr>
              <w:t>&amp; Letter of Credit Fee</w:t>
            </w:r>
          </w:p>
        </w:tc>
        <w:tc>
          <w:tcPr>
            <w:tcW w:w="2700" w:type="dxa"/>
            <w:vAlign w:val="bottom"/>
            <w:tcBorders>
              <w:right w:val="single" w:sz="8" w:color="auto"/>
            </w:tcBorders>
            <w:gridSpan w:val="2"/>
            <w:vMerge w:val="continue"/>
            <w:shd w:val="clear" w:color="auto" w:fill="F2F2F2"/>
          </w:tcPr>
          <w:p>
            <w:pPr>
              <w:spacing w:after="0"/>
              <w:rPr>
                <w:sz w:val="14"/>
                <w:szCs w:val="14"/>
                <w:color w:val="auto"/>
              </w:rPr>
            </w:pPr>
          </w:p>
        </w:tc>
        <w:tc>
          <w:tcPr>
            <w:tcW w:w="1860" w:type="dxa"/>
            <w:vAlign w:val="bottom"/>
            <w:tcBorders>
              <w:right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8"/>
              </w:rPr>
              <w:t>Commitment</w:t>
            </w:r>
          </w:p>
        </w:tc>
        <w:tc>
          <w:tcPr>
            <w:tcW w:w="0" w:type="dxa"/>
            <w:vAlign w:val="bottom"/>
          </w:tcPr>
          <w:p>
            <w:pPr>
              <w:spacing w:after="0"/>
              <w:rPr>
                <w:sz w:val="1"/>
                <w:szCs w:val="1"/>
                <w:color w:val="auto"/>
              </w:rPr>
            </w:pPr>
          </w:p>
        </w:tc>
      </w:tr>
      <w:tr>
        <w:trPr>
          <w:trHeight w:val="106"/>
        </w:trPr>
        <w:tc>
          <w:tcPr>
            <w:tcW w:w="100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1740" w:type="dxa"/>
            <w:vAlign w:val="bottom"/>
            <w:tcBorders>
              <w:right w:val="single" w:sz="8" w:color="auto"/>
            </w:tcBorders>
            <w:gridSpan w:val="3"/>
            <w:vMerge w:val="continue"/>
            <w:shd w:val="clear" w:color="auto" w:fill="F2F2F2"/>
          </w:tcPr>
          <w:p>
            <w:pPr>
              <w:spacing w:after="0"/>
              <w:rPr>
                <w:sz w:val="9"/>
                <w:szCs w:val="9"/>
                <w:color w:val="auto"/>
              </w:rPr>
            </w:pPr>
          </w:p>
        </w:tc>
        <w:tc>
          <w:tcPr>
            <w:tcW w:w="400" w:type="dxa"/>
            <w:vAlign w:val="bottom"/>
            <w:shd w:val="clear" w:color="auto" w:fill="F2F2F2"/>
          </w:tcPr>
          <w:p>
            <w:pPr>
              <w:spacing w:after="0"/>
              <w:rPr>
                <w:sz w:val="9"/>
                <w:szCs w:val="9"/>
                <w:color w:val="auto"/>
              </w:rPr>
            </w:pPr>
          </w:p>
        </w:tc>
        <w:tc>
          <w:tcPr>
            <w:tcW w:w="2300" w:type="dxa"/>
            <w:vAlign w:val="bottom"/>
            <w:tcBorders>
              <w:right w:val="single" w:sz="8" w:color="auto"/>
            </w:tcBorders>
            <w:gridSpan w:val="3"/>
            <w:vMerge w:val="continue"/>
            <w:shd w:val="clear" w:color="auto" w:fill="F2F2F2"/>
          </w:tcPr>
          <w:p>
            <w:pPr>
              <w:spacing w:after="0"/>
              <w:rPr>
                <w:sz w:val="9"/>
                <w:szCs w:val="9"/>
                <w:color w:val="auto"/>
              </w:rPr>
            </w:pPr>
          </w:p>
        </w:tc>
        <w:tc>
          <w:tcPr>
            <w:tcW w:w="1420" w:type="dxa"/>
            <w:vAlign w:val="bottom"/>
            <w:tcBorders>
              <w:right w:val="single" w:sz="8" w:color="F2F2F2"/>
            </w:tcBorders>
            <w:shd w:val="clear" w:color="auto" w:fill="F2F2F2"/>
          </w:tcPr>
          <w:p>
            <w:pPr>
              <w:spacing w:after="0"/>
              <w:rPr>
                <w:sz w:val="9"/>
                <w:szCs w:val="9"/>
                <w:color w:val="auto"/>
              </w:rPr>
            </w:pPr>
          </w:p>
        </w:tc>
        <w:tc>
          <w:tcPr>
            <w:tcW w:w="1280" w:type="dxa"/>
            <w:vAlign w:val="bottom"/>
            <w:tcBorders>
              <w:right w:val="single" w:sz="8" w:color="auto"/>
            </w:tcBorders>
            <w:shd w:val="clear" w:color="auto" w:fill="F2F2F2"/>
          </w:tcPr>
          <w:p>
            <w:pPr>
              <w:spacing w:after="0"/>
              <w:rPr>
                <w:sz w:val="9"/>
                <w:szCs w:val="9"/>
                <w:color w:val="auto"/>
              </w:rPr>
            </w:pPr>
          </w:p>
        </w:tc>
        <w:tc>
          <w:tcPr>
            <w:tcW w:w="1860" w:type="dxa"/>
            <w:vAlign w:val="bottom"/>
            <w:tcBorders>
              <w:right w:val="single" w:sz="8" w:color="F2F2F2"/>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000" w:type="dxa"/>
            <w:vAlign w:val="bottom"/>
            <w:tcBorders>
              <w:left w:val="single" w:sz="8" w:color="auto"/>
              <w:bottom w:val="single" w:sz="8" w:color="F2F2F2"/>
              <w:right w:val="single" w:sz="8" w:color="auto"/>
            </w:tcBorders>
            <w:vMerge w:val="continue"/>
            <w:shd w:val="clear" w:color="auto" w:fill="F2F2F2"/>
          </w:tcPr>
          <w:p>
            <w:pPr>
              <w:spacing w:after="0"/>
              <w:rPr>
                <w:sz w:val="5"/>
                <w:szCs w:val="5"/>
                <w:color w:val="auto"/>
              </w:rPr>
            </w:pPr>
          </w:p>
        </w:tc>
        <w:tc>
          <w:tcPr>
            <w:tcW w:w="1740" w:type="dxa"/>
            <w:vAlign w:val="bottom"/>
            <w:tcBorders>
              <w:bottom w:val="single" w:sz="8" w:color="F2F2F2"/>
              <w:right w:val="single" w:sz="8" w:color="auto"/>
            </w:tcBorders>
            <w:gridSpan w:val="3"/>
            <w:vMerge w:val="restart"/>
            <w:shd w:val="clear" w:color="auto" w:fill="F2F2F2"/>
          </w:tcPr>
          <w:p>
            <w:pPr>
              <w:jc w:val="center"/>
              <w:ind w:right="20"/>
              <w:spacing w:after="0"/>
              <w:rPr>
                <w:sz w:val="20"/>
                <w:szCs w:val="20"/>
                <w:color w:val="auto"/>
              </w:rPr>
            </w:pPr>
            <w:r>
              <w:rPr>
                <w:rFonts w:ascii="Times New Roman" w:cs="Times New Roman" w:eastAsia="Times New Roman" w:hAnsi="Times New Roman"/>
                <w:sz w:val="20"/>
                <w:szCs w:val="20"/>
                <w:color w:val="auto"/>
                <w:w w:val="99"/>
              </w:rPr>
              <w:t>Net Leverage Ratio</w:t>
            </w:r>
          </w:p>
        </w:tc>
        <w:tc>
          <w:tcPr>
            <w:tcW w:w="400" w:type="dxa"/>
            <w:vAlign w:val="bottom"/>
            <w:tcBorders>
              <w:bottom w:val="single" w:sz="8" w:color="auto"/>
            </w:tcBorders>
            <w:shd w:val="clear" w:color="auto" w:fill="F2F2F2"/>
          </w:tcPr>
          <w:p>
            <w:pPr>
              <w:spacing w:after="0"/>
              <w:rPr>
                <w:sz w:val="5"/>
                <w:szCs w:val="5"/>
                <w:color w:val="auto"/>
              </w:rPr>
            </w:pPr>
          </w:p>
        </w:tc>
        <w:tc>
          <w:tcPr>
            <w:tcW w:w="920" w:type="dxa"/>
            <w:vAlign w:val="bottom"/>
            <w:tcBorders>
              <w:bottom w:val="single" w:sz="8" w:color="auto"/>
              <w:right w:val="single" w:sz="8" w:color="F2F2F2"/>
            </w:tcBorders>
            <w:shd w:val="clear" w:color="auto" w:fill="F2F2F2"/>
          </w:tcPr>
          <w:p>
            <w:pPr>
              <w:spacing w:after="0"/>
              <w:rPr>
                <w:sz w:val="5"/>
                <w:szCs w:val="5"/>
                <w:color w:val="auto"/>
              </w:rPr>
            </w:pPr>
          </w:p>
        </w:tc>
        <w:tc>
          <w:tcPr>
            <w:tcW w:w="960" w:type="dxa"/>
            <w:vAlign w:val="bottom"/>
            <w:tcBorders>
              <w:bottom w:val="single" w:sz="8" w:color="auto"/>
            </w:tcBorders>
            <w:shd w:val="clear" w:color="auto" w:fill="F2F2F2"/>
          </w:tcPr>
          <w:p>
            <w:pPr>
              <w:spacing w:after="0"/>
              <w:rPr>
                <w:sz w:val="5"/>
                <w:szCs w:val="5"/>
                <w:color w:val="auto"/>
              </w:rPr>
            </w:pPr>
          </w:p>
        </w:tc>
        <w:tc>
          <w:tcPr>
            <w:tcW w:w="420" w:type="dxa"/>
            <w:vAlign w:val="bottom"/>
            <w:tcBorders>
              <w:bottom w:val="single" w:sz="8" w:color="auto"/>
              <w:right w:val="single" w:sz="8" w:color="auto"/>
            </w:tcBorders>
            <w:shd w:val="clear" w:color="auto" w:fill="F2F2F2"/>
          </w:tcPr>
          <w:p>
            <w:pPr>
              <w:spacing w:after="0"/>
              <w:rPr>
                <w:sz w:val="5"/>
                <w:szCs w:val="5"/>
                <w:color w:val="auto"/>
              </w:rPr>
            </w:pPr>
          </w:p>
        </w:tc>
        <w:tc>
          <w:tcPr>
            <w:tcW w:w="1420" w:type="dxa"/>
            <w:vAlign w:val="bottom"/>
            <w:tcBorders>
              <w:bottom w:val="single" w:sz="8" w:color="auto"/>
              <w:right w:val="single" w:sz="8" w:color="F2F2F2"/>
            </w:tcBorders>
            <w:shd w:val="clear" w:color="auto" w:fill="F2F2F2"/>
          </w:tcPr>
          <w:p>
            <w:pPr>
              <w:spacing w:after="0"/>
              <w:rPr>
                <w:sz w:val="5"/>
                <w:szCs w:val="5"/>
                <w:color w:val="auto"/>
              </w:rPr>
            </w:pPr>
          </w:p>
        </w:tc>
        <w:tc>
          <w:tcPr>
            <w:tcW w:w="1280" w:type="dxa"/>
            <w:vAlign w:val="bottom"/>
            <w:tcBorders>
              <w:bottom w:val="single" w:sz="8" w:color="auto"/>
              <w:right w:val="single" w:sz="8" w:color="auto"/>
            </w:tcBorders>
            <w:shd w:val="clear" w:color="auto" w:fill="F2F2F2"/>
          </w:tcPr>
          <w:p>
            <w:pPr>
              <w:spacing w:after="0"/>
              <w:rPr>
                <w:sz w:val="5"/>
                <w:szCs w:val="5"/>
                <w:color w:val="auto"/>
              </w:rPr>
            </w:pPr>
          </w:p>
        </w:tc>
        <w:tc>
          <w:tcPr>
            <w:tcW w:w="1860" w:type="dxa"/>
            <w:vAlign w:val="bottom"/>
            <w:tcBorders>
              <w:bottom w:val="single" w:sz="8" w:color="F2F2F2"/>
              <w:right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6"/>
              </w:rPr>
              <w:t>Fee</w:t>
            </w:r>
          </w:p>
        </w:tc>
        <w:tc>
          <w:tcPr>
            <w:tcW w:w="0" w:type="dxa"/>
            <w:vAlign w:val="bottom"/>
          </w:tcPr>
          <w:p>
            <w:pPr>
              <w:spacing w:after="0"/>
              <w:rPr>
                <w:sz w:val="1"/>
                <w:szCs w:val="1"/>
                <w:color w:val="auto"/>
              </w:rPr>
            </w:pPr>
          </w:p>
        </w:tc>
      </w:tr>
      <w:tr>
        <w:trPr>
          <w:trHeight w:val="67"/>
        </w:trPr>
        <w:tc>
          <w:tcPr>
            <w:tcW w:w="1000" w:type="dxa"/>
            <w:vAlign w:val="bottom"/>
            <w:tcBorders>
              <w:left w:val="single" w:sz="8" w:color="auto"/>
              <w:right w:val="single" w:sz="8" w:color="auto"/>
            </w:tcBorders>
            <w:vMerge w:val="continue"/>
            <w:shd w:val="clear" w:color="auto" w:fill="F2F2F2"/>
          </w:tcPr>
          <w:p>
            <w:pPr>
              <w:spacing w:after="0"/>
              <w:rPr>
                <w:sz w:val="5"/>
                <w:szCs w:val="5"/>
                <w:color w:val="auto"/>
              </w:rPr>
            </w:pPr>
          </w:p>
        </w:tc>
        <w:tc>
          <w:tcPr>
            <w:tcW w:w="1740" w:type="dxa"/>
            <w:vAlign w:val="bottom"/>
            <w:tcBorders>
              <w:right w:val="single" w:sz="8" w:color="auto"/>
            </w:tcBorders>
            <w:gridSpan w:val="3"/>
            <w:vMerge w:val="continue"/>
            <w:shd w:val="clear" w:color="auto" w:fill="F2F2F2"/>
          </w:tcPr>
          <w:p>
            <w:pPr>
              <w:spacing w:after="0"/>
              <w:rPr>
                <w:sz w:val="5"/>
                <w:szCs w:val="5"/>
                <w:color w:val="auto"/>
              </w:rPr>
            </w:pPr>
          </w:p>
        </w:tc>
        <w:tc>
          <w:tcPr>
            <w:tcW w:w="1320" w:type="dxa"/>
            <w:vAlign w:val="bottom"/>
            <w:tcBorders>
              <w:right w:val="single" w:sz="8" w:color="auto"/>
            </w:tcBorders>
            <w:gridSpan w:val="2"/>
            <w:vMerge w:val="restart"/>
            <w:shd w:val="clear" w:color="auto" w:fill="D5DCE4"/>
          </w:tcPr>
          <w:p>
            <w:pPr>
              <w:jc w:val="center"/>
              <w:spacing w:after="0" w:line="213" w:lineRule="exact"/>
              <w:rPr>
                <w:sz w:val="20"/>
                <w:szCs w:val="20"/>
                <w:color w:val="auto"/>
              </w:rPr>
            </w:pPr>
            <w:r>
              <w:rPr>
                <w:rFonts w:ascii="Times New Roman" w:cs="Times New Roman" w:eastAsia="Times New Roman" w:hAnsi="Times New Roman"/>
                <w:sz w:val="20"/>
                <w:szCs w:val="20"/>
                <w:color w:val="auto"/>
                <w:w w:val="98"/>
              </w:rPr>
              <w:t>Revolving</w:t>
            </w:r>
          </w:p>
        </w:tc>
        <w:tc>
          <w:tcPr>
            <w:tcW w:w="1380" w:type="dxa"/>
            <w:vAlign w:val="bottom"/>
            <w:tcBorders>
              <w:right w:val="single" w:sz="8" w:color="auto"/>
            </w:tcBorders>
            <w:gridSpan w:val="2"/>
            <w:vMerge w:val="restart"/>
            <w:shd w:val="clear" w:color="auto" w:fill="D5DCE4"/>
          </w:tcPr>
          <w:p>
            <w:pPr>
              <w:jc w:val="center"/>
              <w:ind w:right="20"/>
              <w:spacing w:after="0"/>
              <w:rPr>
                <w:sz w:val="20"/>
                <w:szCs w:val="20"/>
                <w:color w:val="auto"/>
              </w:rPr>
            </w:pPr>
            <w:r>
              <w:rPr>
                <w:rFonts w:ascii="Times New Roman" w:cs="Times New Roman" w:eastAsia="Times New Roman" w:hAnsi="Times New Roman"/>
                <w:sz w:val="20"/>
                <w:szCs w:val="20"/>
                <w:color w:val="auto"/>
                <w:w w:val="98"/>
              </w:rPr>
              <w:t>Term Loan</w:t>
            </w:r>
          </w:p>
        </w:tc>
        <w:tc>
          <w:tcPr>
            <w:tcW w:w="1420" w:type="dxa"/>
            <w:vAlign w:val="bottom"/>
            <w:tcBorders>
              <w:right w:val="single" w:sz="8" w:color="auto"/>
            </w:tcBorders>
            <w:vMerge w:val="restart"/>
            <w:shd w:val="clear" w:color="auto" w:fill="D5DCE4"/>
          </w:tcPr>
          <w:p>
            <w:pPr>
              <w:jc w:val="center"/>
              <w:spacing w:after="0" w:line="213" w:lineRule="exact"/>
              <w:rPr>
                <w:sz w:val="20"/>
                <w:szCs w:val="20"/>
                <w:color w:val="auto"/>
              </w:rPr>
            </w:pPr>
            <w:r>
              <w:rPr>
                <w:rFonts w:ascii="Times New Roman" w:cs="Times New Roman" w:eastAsia="Times New Roman" w:hAnsi="Times New Roman"/>
                <w:sz w:val="20"/>
                <w:szCs w:val="20"/>
                <w:color w:val="auto"/>
                <w:w w:val="98"/>
              </w:rPr>
              <w:t>Revolving</w:t>
            </w:r>
          </w:p>
        </w:tc>
        <w:tc>
          <w:tcPr>
            <w:tcW w:w="1280" w:type="dxa"/>
            <w:vAlign w:val="bottom"/>
            <w:tcBorders>
              <w:right w:val="single" w:sz="8" w:color="auto"/>
            </w:tcBorders>
            <w:vMerge w:val="restart"/>
            <w:shd w:val="clear" w:color="auto" w:fill="D5DCE4"/>
          </w:tcPr>
          <w:p>
            <w:pPr>
              <w:jc w:val="center"/>
              <w:spacing w:after="0"/>
              <w:rPr>
                <w:sz w:val="20"/>
                <w:szCs w:val="20"/>
                <w:color w:val="auto"/>
              </w:rPr>
            </w:pPr>
            <w:r>
              <w:rPr>
                <w:rFonts w:ascii="Times New Roman" w:cs="Times New Roman" w:eastAsia="Times New Roman" w:hAnsi="Times New Roman"/>
                <w:sz w:val="20"/>
                <w:szCs w:val="20"/>
                <w:color w:val="auto"/>
                <w:w w:val="96"/>
              </w:rPr>
              <w:t>Term Loan</w:t>
            </w:r>
          </w:p>
        </w:tc>
        <w:tc>
          <w:tcPr>
            <w:tcW w:w="1860" w:type="dxa"/>
            <w:vAlign w:val="bottom"/>
            <w:tcBorders>
              <w:right w:val="single" w:sz="8" w:color="F2F2F2"/>
            </w:tcBorders>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shd w:val="clear" w:color="auto" w:fill="F2F2F2"/>
          </w:tcPr>
          <w:p>
            <w:pPr>
              <w:spacing w:after="0"/>
              <w:rPr>
                <w:sz w:val="9"/>
                <w:szCs w:val="9"/>
                <w:color w:val="auto"/>
              </w:rPr>
            </w:pPr>
          </w:p>
        </w:tc>
        <w:tc>
          <w:tcPr>
            <w:tcW w:w="1740" w:type="dxa"/>
            <w:vAlign w:val="bottom"/>
            <w:tcBorders>
              <w:right w:val="single" w:sz="8" w:color="auto"/>
            </w:tcBorders>
            <w:gridSpan w:val="3"/>
            <w:vMerge w:val="continue"/>
            <w:shd w:val="clear" w:color="auto" w:fill="F2F2F2"/>
          </w:tcPr>
          <w:p>
            <w:pPr>
              <w:spacing w:after="0"/>
              <w:rPr>
                <w:sz w:val="9"/>
                <w:szCs w:val="9"/>
                <w:color w:val="auto"/>
              </w:rPr>
            </w:pPr>
          </w:p>
        </w:tc>
        <w:tc>
          <w:tcPr>
            <w:tcW w:w="1320" w:type="dxa"/>
            <w:vAlign w:val="bottom"/>
            <w:tcBorders>
              <w:right w:val="single" w:sz="8" w:color="auto"/>
            </w:tcBorders>
            <w:gridSpan w:val="2"/>
            <w:vMerge w:val="continue"/>
            <w:shd w:val="clear" w:color="auto" w:fill="D5DCE4"/>
          </w:tcPr>
          <w:p>
            <w:pPr>
              <w:spacing w:after="0"/>
              <w:rPr>
                <w:sz w:val="9"/>
                <w:szCs w:val="9"/>
                <w:color w:val="auto"/>
              </w:rPr>
            </w:pPr>
          </w:p>
        </w:tc>
        <w:tc>
          <w:tcPr>
            <w:tcW w:w="1380" w:type="dxa"/>
            <w:vAlign w:val="bottom"/>
            <w:tcBorders>
              <w:right w:val="single" w:sz="8" w:color="auto"/>
            </w:tcBorders>
            <w:gridSpan w:val="2"/>
            <w:vMerge w:val="continue"/>
            <w:shd w:val="clear" w:color="auto" w:fill="D5DCE4"/>
          </w:tcPr>
          <w:p>
            <w:pPr>
              <w:spacing w:after="0"/>
              <w:rPr>
                <w:sz w:val="9"/>
                <w:szCs w:val="9"/>
                <w:color w:val="auto"/>
              </w:rPr>
            </w:pPr>
          </w:p>
        </w:tc>
        <w:tc>
          <w:tcPr>
            <w:tcW w:w="1420" w:type="dxa"/>
            <w:vAlign w:val="bottom"/>
            <w:tcBorders>
              <w:right w:val="single" w:sz="8" w:color="auto"/>
            </w:tcBorders>
            <w:vMerge w:val="continue"/>
            <w:shd w:val="clear" w:color="auto" w:fill="D5DCE4"/>
          </w:tcPr>
          <w:p>
            <w:pPr>
              <w:spacing w:after="0"/>
              <w:rPr>
                <w:sz w:val="9"/>
                <w:szCs w:val="9"/>
                <w:color w:val="auto"/>
              </w:rPr>
            </w:pPr>
          </w:p>
        </w:tc>
        <w:tc>
          <w:tcPr>
            <w:tcW w:w="1280" w:type="dxa"/>
            <w:vAlign w:val="bottom"/>
            <w:tcBorders>
              <w:right w:val="single" w:sz="8" w:color="auto"/>
            </w:tcBorders>
            <w:vMerge w:val="continue"/>
            <w:shd w:val="clear" w:color="auto" w:fill="D5DCE4"/>
          </w:tcPr>
          <w:p>
            <w:pPr>
              <w:spacing w:after="0"/>
              <w:rPr>
                <w:sz w:val="9"/>
                <w:szCs w:val="9"/>
                <w:color w:val="auto"/>
              </w:rPr>
            </w:pPr>
          </w:p>
        </w:tc>
        <w:tc>
          <w:tcPr>
            <w:tcW w:w="1860" w:type="dxa"/>
            <w:vAlign w:val="bottom"/>
            <w:tcBorders>
              <w:right w:val="single" w:sz="8" w:color="F2F2F2"/>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000" w:type="dxa"/>
            <w:vAlign w:val="bottom"/>
            <w:tcBorders>
              <w:left w:val="single" w:sz="8" w:color="auto"/>
              <w:right w:val="single" w:sz="8" w:color="auto"/>
            </w:tcBorders>
            <w:shd w:val="clear" w:color="auto" w:fill="F2F2F2"/>
          </w:tcPr>
          <w:p>
            <w:pPr>
              <w:spacing w:after="0"/>
              <w:rPr>
                <w:sz w:val="3"/>
                <w:szCs w:val="3"/>
                <w:color w:val="auto"/>
              </w:rPr>
            </w:pPr>
          </w:p>
        </w:tc>
        <w:tc>
          <w:tcPr>
            <w:tcW w:w="360" w:type="dxa"/>
            <w:vAlign w:val="bottom"/>
            <w:shd w:val="clear" w:color="auto" w:fill="F2F2F2"/>
          </w:tcPr>
          <w:p>
            <w:pPr>
              <w:spacing w:after="0"/>
              <w:rPr>
                <w:sz w:val="3"/>
                <w:szCs w:val="3"/>
                <w:color w:val="auto"/>
              </w:rPr>
            </w:pPr>
          </w:p>
        </w:tc>
        <w:tc>
          <w:tcPr>
            <w:tcW w:w="100" w:type="dxa"/>
            <w:vAlign w:val="bottom"/>
            <w:shd w:val="clear" w:color="auto" w:fill="F2F2F2"/>
          </w:tcPr>
          <w:p>
            <w:pPr>
              <w:spacing w:after="0"/>
              <w:rPr>
                <w:sz w:val="3"/>
                <w:szCs w:val="3"/>
                <w:color w:val="auto"/>
              </w:rPr>
            </w:pPr>
          </w:p>
        </w:tc>
        <w:tc>
          <w:tcPr>
            <w:tcW w:w="1280" w:type="dxa"/>
            <w:vAlign w:val="bottom"/>
            <w:tcBorders>
              <w:right w:val="single" w:sz="8" w:color="auto"/>
            </w:tcBorders>
            <w:shd w:val="clear" w:color="auto" w:fill="F2F2F2"/>
          </w:tcPr>
          <w:p>
            <w:pPr>
              <w:spacing w:after="0"/>
              <w:rPr>
                <w:sz w:val="3"/>
                <w:szCs w:val="3"/>
                <w:color w:val="auto"/>
              </w:rPr>
            </w:pPr>
          </w:p>
        </w:tc>
        <w:tc>
          <w:tcPr>
            <w:tcW w:w="1320" w:type="dxa"/>
            <w:vAlign w:val="bottom"/>
            <w:tcBorders>
              <w:right w:val="single" w:sz="8" w:color="auto"/>
            </w:tcBorders>
            <w:gridSpan w:val="2"/>
            <w:vMerge w:val="continue"/>
            <w:shd w:val="clear" w:color="auto" w:fill="D5DCE4"/>
          </w:tcPr>
          <w:p>
            <w:pPr>
              <w:spacing w:after="0"/>
              <w:rPr>
                <w:sz w:val="3"/>
                <w:szCs w:val="3"/>
                <w:color w:val="auto"/>
              </w:rPr>
            </w:pPr>
          </w:p>
        </w:tc>
        <w:tc>
          <w:tcPr>
            <w:tcW w:w="1380" w:type="dxa"/>
            <w:vAlign w:val="bottom"/>
            <w:tcBorders>
              <w:right w:val="single" w:sz="8" w:color="auto"/>
            </w:tcBorders>
            <w:gridSpan w:val="2"/>
            <w:vMerge w:val="continue"/>
            <w:shd w:val="clear" w:color="auto" w:fill="D5DCE4"/>
          </w:tcPr>
          <w:p>
            <w:pPr>
              <w:spacing w:after="0"/>
              <w:rPr>
                <w:sz w:val="3"/>
                <w:szCs w:val="3"/>
                <w:color w:val="auto"/>
              </w:rPr>
            </w:pPr>
          </w:p>
        </w:tc>
        <w:tc>
          <w:tcPr>
            <w:tcW w:w="1420" w:type="dxa"/>
            <w:vAlign w:val="bottom"/>
            <w:tcBorders>
              <w:right w:val="single" w:sz="8" w:color="auto"/>
            </w:tcBorders>
            <w:vMerge w:val="continue"/>
            <w:shd w:val="clear" w:color="auto" w:fill="D5DCE4"/>
          </w:tcPr>
          <w:p>
            <w:pPr>
              <w:spacing w:after="0"/>
              <w:rPr>
                <w:sz w:val="3"/>
                <w:szCs w:val="3"/>
                <w:color w:val="auto"/>
              </w:rPr>
            </w:pPr>
          </w:p>
        </w:tc>
        <w:tc>
          <w:tcPr>
            <w:tcW w:w="1280" w:type="dxa"/>
            <w:vAlign w:val="bottom"/>
            <w:tcBorders>
              <w:right w:val="single" w:sz="8" w:color="auto"/>
            </w:tcBorders>
            <w:vMerge w:val="continue"/>
            <w:shd w:val="clear" w:color="auto" w:fill="D5DCE4"/>
          </w:tcPr>
          <w:p>
            <w:pPr>
              <w:spacing w:after="0"/>
              <w:rPr>
                <w:sz w:val="3"/>
                <w:szCs w:val="3"/>
                <w:color w:val="auto"/>
              </w:rPr>
            </w:pPr>
          </w:p>
        </w:tc>
        <w:tc>
          <w:tcPr>
            <w:tcW w:w="1860" w:type="dxa"/>
            <w:vAlign w:val="bottom"/>
            <w:tcBorders>
              <w:right w:val="single" w:sz="8" w:color="F2F2F2"/>
            </w:tcBorders>
            <w:shd w:val="clear" w:color="auto" w:fill="F2F2F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1000" w:type="dxa"/>
            <w:vAlign w:val="bottom"/>
            <w:tcBorders>
              <w:left w:val="single" w:sz="8" w:color="auto"/>
              <w:right w:val="single" w:sz="8" w:color="auto"/>
            </w:tcBorders>
            <w:shd w:val="clear" w:color="auto" w:fill="F2F2F2"/>
          </w:tcPr>
          <w:p>
            <w:pPr>
              <w:spacing w:after="0"/>
              <w:rPr>
                <w:sz w:val="11"/>
                <w:szCs w:val="11"/>
                <w:color w:val="auto"/>
              </w:rPr>
            </w:pPr>
          </w:p>
        </w:tc>
        <w:tc>
          <w:tcPr>
            <w:tcW w:w="36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1280" w:type="dxa"/>
            <w:vAlign w:val="bottom"/>
            <w:tcBorders>
              <w:right w:val="single" w:sz="8" w:color="auto"/>
            </w:tcBorders>
            <w:shd w:val="clear" w:color="auto" w:fill="F2F2F2"/>
          </w:tcPr>
          <w:p>
            <w:pPr>
              <w:spacing w:after="0"/>
              <w:rPr>
                <w:sz w:val="11"/>
                <w:szCs w:val="11"/>
                <w:color w:val="auto"/>
              </w:rPr>
            </w:pPr>
          </w:p>
        </w:tc>
        <w:tc>
          <w:tcPr>
            <w:tcW w:w="400" w:type="dxa"/>
            <w:vAlign w:val="bottom"/>
            <w:shd w:val="clear" w:color="auto" w:fill="D5DCE4"/>
          </w:tcPr>
          <w:p>
            <w:pPr>
              <w:spacing w:after="0"/>
              <w:rPr>
                <w:sz w:val="11"/>
                <w:szCs w:val="11"/>
                <w:color w:val="auto"/>
              </w:rPr>
            </w:pPr>
          </w:p>
        </w:tc>
        <w:tc>
          <w:tcPr>
            <w:tcW w:w="920" w:type="dxa"/>
            <w:vAlign w:val="bottom"/>
            <w:tcBorders>
              <w:right w:val="single" w:sz="8" w:color="auto"/>
            </w:tcBorders>
            <w:vMerge w:val="restart"/>
            <w:shd w:val="clear" w:color="auto" w:fill="D5DCE4"/>
          </w:tcPr>
          <w:p>
            <w:pPr>
              <w:jc w:val="center"/>
              <w:ind w:right="301"/>
              <w:spacing w:after="0"/>
              <w:rPr>
                <w:sz w:val="20"/>
                <w:szCs w:val="20"/>
                <w:color w:val="auto"/>
              </w:rPr>
            </w:pPr>
            <w:r>
              <w:rPr>
                <w:rFonts w:ascii="Times New Roman" w:cs="Times New Roman" w:eastAsia="Times New Roman" w:hAnsi="Times New Roman"/>
                <w:sz w:val="20"/>
                <w:szCs w:val="20"/>
                <w:color w:val="auto"/>
                <w:w w:val="98"/>
              </w:rPr>
              <w:t>Loans</w:t>
            </w:r>
          </w:p>
        </w:tc>
        <w:tc>
          <w:tcPr>
            <w:tcW w:w="1380" w:type="dxa"/>
            <w:vAlign w:val="bottom"/>
            <w:tcBorders>
              <w:right w:val="single" w:sz="8" w:color="auto"/>
            </w:tcBorders>
            <w:gridSpan w:val="2"/>
            <w:vMerge w:val="continue"/>
            <w:shd w:val="clear" w:color="auto" w:fill="D5DCE4"/>
          </w:tcPr>
          <w:p>
            <w:pPr>
              <w:spacing w:after="0"/>
              <w:rPr>
                <w:sz w:val="11"/>
                <w:szCs w:val="11"/>
                <w:color w:val="auto"/>
              </w:rPr>
            </w:pPr>
          </w:p>
        </w:tc>
        <w:tc>
          <w:tcPr>
            <w:tcW w:w="1420" w:type="dxa"/>
            <w:vAlign w:val="bottom"/>
            <w:tcBorders>
              <w:right w:val="single" w:sz="8" w:color="auto"/>
            </w:tcBorders>
            <w:vMerge w:val="restart"/>
            <w:shd w:val="clear" w:color="auto" w:fill="D5DCE4"/>
          </w:tcPr>
          <w:p>
            <w:pPr>
              <w:jc w:val="center"/>
              <w:spacing w:after="0"/>
              <w:rPr>
                <w:sz w:val="20"/>
                <w:szCs w:val="20"/>
                <w:color w:val="auto"/>
              </w:rPr>
            </w:pPr>
            <w:r>
              <w:rPr>
                <w:rFonts w:ascii="Times New Roman" w:cs="Times New Roman" w:eastAsia="Times New Roman" w:hAnsi="Times New Roman"/>
                <w:sz w:val="20"/>
                <w:szCs w:val="20"/>
                <w:color w:val="auto"/>
                <w:w w:val="98"/>
              </w:rPr>
              <w:t>Loans</w:t>
            </w:r>
          </w:p>
        </w:tc>
        <w:tc>
          <w:tcPr>
            <w:tcW w:w="1280" w:type="dxa"/>
            <w:vAlign w:val="bottom"/>
            <w:tcBorders>
              <w:right w:val="single" w:sz="8" w:color="auto"/>
            </w:tcBorders>
            <w:vMerge w:val="continue"/>
            <w:shd w:val="clear" w:color="auto" w:fill="D5DCE4"/>
          </w:tcPr>
          <w:p>
            <w:pPr>
              <w:spacing w:after="0"/>
              <w:rPr>
                <w:sz w:val="11"/>
                <w:szCs w:val="11"/>
                <w:color w:val="auto"/>
              </w:rPr>
            </w:pPr>
          </w:p>
        </w:tc>
        <w:tc>
          <w:tcPr>
            <w:tcW w:w="1860" w:type="dxa"/>
            <w:vAlign w:val="bottom"/>
            <w:tcBorders>
              <w:right w:val="single" w:sz="8" w:color="F2F2F2"/>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00" w:type="dxa"/>
            <w:vAlign w:val="bottom"/>
            <w:tcBorders>
              <w:left w:val="single" w:sz="8" w:color="auto"/>
              <w:bottom w:val="single" w:sz="8" w:color="auto"/>
              <w:right w:val="single" w:sz="8" w:color="auto"/>
            </w:tcBorders>
            <w:shd w:val="clear" w:color="auto" w:fill="F2F2F2"/>
          </w:tcPr>
          <w:p>
            <w:pPr>
              <w:spacing w:after="0"/>
              <w:rPr>
                <w:sz w:val="14"/>
                <w:szCs w:val="14"/>
                <w:color w:val="auto"/>
              </w:rPr>
            </w:pPr>
          </w:p>
        </w:tc>
        <w:tc>
          <w:tcPr>
            <w:tcW w:w="360" w:type="dxa"/>
            <w:vAlign w:val="bottom"/>
            <w:tcBorders>
              <w:bottom w:val="single" w:sz="8" w:color="F2F2F2"/>
            </w:tcBorders>
            <w:shd w:val="clear" w:color="auto" w:fill="F2F2F2"/>
          </w:tcPr>
          <w:p>
            <w:pPr>
              <w:spacing w:after="0"/>
              <w:rPr>
                <w:sz w:val="14"/>
                <w:szCs w:val="14"/>
                <w:color w:val="auto"/>
              </w:rPr>
            </w:pPr>
          </w:p>
        </w:tc>
        <w:tc>
          <w:tcPr>
            <w:tcW w:w="100" w:type="dxa"/>
            <w:vAlign w:val="bottom"/>
            <w:tcBorders>
              <w:bottom w:val="single" w:sz="8" w:color="F2F2F2"/>
            </w:tcBorders>
            <w:shd w:val="clear" w:color="auto" w:fill="F2F2F2"/>
          </w:tcPr>
          <w:p>
            <w:pPr>
              <w:spacing w:after="0"/>
              <w:rPr>
                <w:sz w:val="14"/>
                <w:szCs w:val="14"/>
                <w:color w:val="auto"/>
              </w:rPr>
            </w:pPr>
          </w:p>
        </w:tc>
        <w:tc>
          <w:tcPr>
            <w:tcW w:w="1280" w:type="dxa"/>
            <w:vAlign w:val="bottom"/>
            <w:tcBorders>
              <w:bottom w:val="single" w:sz="8" w:color="F2F2F2"/>
              <w:right w:val="single" w:sz="8" w:color="auto"/>
            </w:tcBorders>
            <w:shd w:val="clear" w:color="auto" w:fill="F2F2F2"/>
          </w:tcPr>
          <w:p>
            <w:pPr>
              <w:spacing w:after="0"/>
              <w:rPr>
                <w:sz w:val="14"/>
                <w:szCs w:val="14"/>
                <w:color w:val="auto"/>
              </w:rPr>
            </w:pPr>
          </w:p>
        </w:tc>
        <w:tc>
          <w:tcPr>
            <w:tcW w:w="400" w:type="dxa"/>
            <w:vAlign w:val="bottom"/>
            <w:tcBorders>
              <w:bottom w:val="single" w:sz="8" w:color="auto"/>
            </w:tcBorders>
            <w:shd w:val="clear" w:color="auto" w:fill="D5DCE4"/>
          </w:tcPr>
          <w:p>
            <w:pPr>
              <w:spacing w:after="0"/>
              <w:rPr>
                <w:sz w:val="14"/>
                <w:szCs w:val="14"/>
                <w:color w:val="auto"/>
              </w:rPr>
            </w:pPr>
          </w:p>
        </w:tc>
        <w:tc>
          <w:tcPr>
            <w:tcW w:w="920" w:type="dxa"/>
            <w:vAlign w:val="bottom"/>
            <w:tcBorders>
              <w:bottom w:val="single" w:sz="8" w:color="auto"/>
              <w:right w:val="single" w:sz="8" w:color="auto"/>
            </w:tcBorders>
            <w:vMerge w:val="continue"/>
            <w:shd w:val="clear" w:color="auto" w:fill="D5DCE4"/>
          </w:tcPr>
          <w:p>
            <w:pPr>
              <w:spacing w:after="0"/>
              <w:rPr>
                <w:sz w:val="14"/>
                <w:szCs w:val="14"/>
                <w:color w:val="auto"/>
              </w:rPr>
            </w:pPr>
          </w:p>
        </w:tc>
        <w:tc>
          <w:tcPr>
            <w:tcW w:w="960" w:type="dxa"/>
            <w:vAlign w:val="bottom"/>
            <w:tcBorders>
              <w:bottom w:val="single" w:sz="8" w:color="auto"/>
            </w:tcBorders>
            <w:shd w:val="clear" w:color="auto" w:fill="D5DCE4"/>
          </w:tcPr>
          <w:p>
            <w:pPr>
              <w:spacing w:after="0"/>
              <w:rPr>
                <w:sz w:val="14"/>
                <w:szCs w:val="14"/>
                <w:color w:val="auto"/>
              </w:rPr>
            </w:pPr>
          </w:p>
        </w:tc>
        <w:tc>
          <w:tcPr>
            <w:tcW w:w="420" w:type="dxa"/>
            <w:vAlign w:val="bottom"/>
            <w:tcBorders>
              <w:bottom w:val="single" w:sz="8" w:color="auto"/>
              <w:right w:val="single" w:sz="8" w:color="auto"/>
            </w:tcBorders>
            <w:shd w:val="clear" w:color="auto" w:fill="D5DCE4"/>
          </w:tcPr>
          <w:p>
            <w:pPr>
              <w:spacing w:after="0"/>
              <w:rPr>
                <w:sz w:val="14"/>
                <w:szCs w:val="14"/>
                <w:color w:val="auto"/>
              </w:rPr>
            </w:pPr>
          </w:p>
        </w:tc>
        <w:tc>
          <w:tcPr>
            <w:tcW w:w="1420" w:type="dxa"/>
            <w:vAlign w:val="bottom"/>
            <w:tcBorders>
              <w:bottom w:val="single" w:sz="8" w:color="auto"/>
              <w:right w:val="single" w:sz="8" w:color="auto"/>
            </w:tcBorders>
            <w:vMerge w:val="continue"/>
            <w:shd w:val="clear" w:color="auto" w:fill="D5DCE4"/>
          </w:tcPr>
          <w:p>
            <w:pPr>
              <w:spacing w:after="0"/>
              <w:rPr>
                <w:sz w:val="14"/>
                <w:szCs w:val="14"/>
                <w:color w:val="auto"/>
              </w:rPr>
            </w:pPr>
          </w:p>
        </w:tc>
        <w:tc>
          <w:tcPr>
            <w:tcW w:w="1280" w:type="dxa"/>
            <w:vAlign w:val="bottom"/>
            <w:tcBorders>
              <w:bottom w:val="single" w:sz="8" w:color="auto"/>
              <w:right w:val="single" w:sz="8" w:color="auto"/>
            </w:tcBorders>
            <w:shd w:val="clear" w:color="auto" w:fill="D5DCE4"/>
          </w:tcPr>
          <w:p>
            <w:pPr>
              <w:spacing w:after="0"/>
              <w:rPr>
                <w:sz w:val="14"/>
                <w:szCs w:val="14"/>
                <w:color w:val="auto"/>
              </w:rPr>
            </w:pPr>
          </w:p>
        </w:tc>
        <w:tc>
          <w:tcPr>
            <w:tcW w:w="1860" w:type="dxa"/>
            <w:vAlign w:val="bottom"/>
            <w:tcBorders>
              <w:bottom w:val="single" w:sz="8" w:color="F2F2F2"/>
              <w:right w:val="single" w:sz="8" w:color="F2F2F2"/>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00" w:type="dxa"/>
            <w:vAlign w:val="bottom"/>
            <w:tcBorders>
              <w:top w:val="single" w:sz="8" w:color="auto"/>
              <w:left w:val="single" w:sz="8" w:color="auto"/>
              <w:right w:val="single" w:sz="8" w:color="auto"/>
            </w:tcBorders>
          </w:tcPr>
          <w:p>
            <w:pPr>
              <w:jc w:val="right"/>
              <w:ind w:right="361"/>
              <w:spacing w:after="0" w:line="173" w:lineRule="exact"/>
              <w:rPr>
                <w:sz w:val="20"/>
                <w:szCs w:val="20"/>
                <w:color w:val="auto"/>
              </w:rPr>
            </w:pPr>
            <w:r>
              <w:rPr>
                <w:rFonts w:ascii="Times New Roman" w:cs="Times New Roman" w:eastAsia="Times New Roman" w:hAnsi="Times New Roman"/>
                <w:sz w:val="20"/>
                <w:szCs w:val="20"/>
                <w:color w:val="auto"/>
              </w:rPr>
              <w:t>1</w:t>
            </w:r>
          </w:p>
        </w:tc>
        <w:tc>
          <w:tcPr>
            <w:tcW w:w="1740" w:type="dxa"/>
            <w:vAlign w:val="bottom"/>
            <w:tcBorders>
              <w:top w:val="single" w:sz="8" w:color="auto"/>
              <w:right w:val="single" w:sz="8" w:color="auto"/>
            </w:tcBorders>
            <w:gridSpan w:val="3"/>
          </w:tcPr>
          <w:p>
            <w:pPr>
              <w:jc w:val="center"/>
              <w:ind w:right="20"/>
              <w:spacing w:after="0" w:line="173" w:lineRule="exact"/>
              <w:rPr>
                <w:sz w:val="20"/>
                <w:szCs w:val="20"/>
                <w:color w:val="auto"/>
              </w:rPr>
            </w:pPr>
            <w:r>
              <w:rPr>
                <w:rFonts w:ascii="Times New Roman" w:cs="Times New Roman" w:eastAsia="Times New Roman" w:hAnsi="Times New Roman"/>
                <w:sz w:val="20"/>
                <w:szCs w:val="20"/>
                <w:color w:val="auto"/>
                <w:w w:val="98"/>
              </w:rPr>
              <w:t>&gt; 3.50 to 1.0</w:t>
            </w:r>
          </w:p>
        </w:tc>
        <w:tc>
          <w:tcPr>
            <w:tcW w:w="1320" w:type="dxa"/>
            <w:vAlign w:val="bottom"/>
            <w:tcBorders>
              <w:right w:val="single" w:sz="8" w:color="auto"/>
            </w:tcBorders>
            <w:gridSpan w:val="2"/>
          </w:tcPr>
          <w:p>
            <w:pPr>
              <w:jc w:val="center"/>
              <w:spacing w:after="0" w:line="173" w:lineRule="exact"/>
              <w:rPr>
                <w:sz w:val="20"/>
                <w:szCs w:val="20"/>
                <w:color w:val="auto"/>
              </w:rPr>
            </w:pPr>
            <w:r>
              <w:rPr>
                <w:rFonts w:ascii="Times New Roman" w:cs="Times New Roman" w:eastAsia="Times New Roman" w:hAnsi="Times New Roman"/>
                <w:sz w:val="20"/>
                <w:szCs w:val="20"/>
                <w:color w:val="auto"/>
                <w:w w:val="97"/>
              </w:rPr>
              <w:t>3.250%</w:t>
            </w:r>
          </w:p>
        </w:tc>
        <w:tc>
          <w:tcPr>
            <w:tcW w:w="1380" w:type="dxa"/>
            <w:vAlign w:val="bottom"/>
            <w:tcBorders>
              <w:right w:val="single" w:sz="8" w:color="auto"/>
            </w:tcBorders>
            <w:gridSpan w:val="2"/>
          </w:tcPr>
          <w:p>
            <w:pPr>
              <w:jc w:val="right"/>
              <w:ind w:right="400"/>
              <w:spacing w:after="0" w:line="173" w:lineRule="exact"/>
              <w:rPr>
                <w:sz w:val="20"/>
                <w:szCs w:val="20"/>
                <w:color w:val="auto"/>
              </w:rPr>
            </w:pPr>
            <w:r>
              <w:rPr>
                <w:rFonts w:ascii="Times New Roman" w:cs="Times New Roman" w:eastAsia="Times New Roman" w:hAnsi="Times New Roman"/>
                <w:sz w:val="20"/>
                <w:szCs w:val="20"/>
                <w:color w:val="auto"/>
              </w:rPr>
              <w:t>3.250%</w:t>
            </w:r>
          </w:p>
        </w:tc>
        <w:tc>
          <w:tcPr>
            <w:tcW w:w="142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color w:val="auto"/>
                <w:w w:val="97"/>
              </w:rPr>
              <w:t>2.250%</w:t>
            </w:r>
          </w:p>
        </w:tc>
        <w:tc>
          <w:tcPr>
            <w:tcW w:w="1280" w:type="dxa"/>
            <w:vAlign w:val="bottom"/>
            <w:tcBorders>
              <w:right w:val="single" w:sz="8" w:color="auto"/>
            </w:tcBorders>
          </w:tcPr>
          <w:p>
            <w:pPr>
              <w:jc w:val="right"/>
              <w:ind w:right="241"/>
              <w:spacing w:after="0" w:line="173" w:lineRule="exact"/>
              <w:rPr>
                <w:sz w:val="20"/>
                <w:szCs w:val="20"/>
                <w:color w:val="auto"/>
              </w:rPr>
            </w:pPr>
            <w:r>
              <w:rPr>
                <w:rFonts w:ascii="Times New Roman" w:cs="Times New Roman" w:eastAsia="Times New Roman" w:hAnsi="Times New Roman"/>
                <w:sz w:val="20"/>
                <w:szCs w:val="20"/>
                <w:color w:val="auto"/>
              </w:rPr>
              <w:t>2.250%</w:t>
            </w:r>
          </w:p>
        </w:tc>
        <w:tc>
          <w:tcPr>
            <w:tcW w:w="1860" w:type="dxa"/>
            <w:vAlign w:val="bottom"/>
            <w:tcBorders>
              <w:right w:val="single" w:sz="8" w:color="auto"/>
            </w:tcBorders>
          </w:tcPr>
          <w:p>
            <w:pPr>
              <w:jc w:val="center"/>
              <w:spacing w:after="0" w:line="173" w:lineRule="exact"/>
              <w:rPr>
                <w:sz w:val="20"/>
                <w:szCs w:val="20"/>
                <w:color w:val="auto"/>
              </w:rPr>
            </w:pPr>
            <w:r>
              <w:rPr>
                <w:rFonts w:ascii="Times New Roman" w:cs="Times New Roman" w:eastAsia="Times New Roman" w:hAnsi="Times New Roman"/>
                <w:sz w:val="20"/>
                <w:szCs w:val="20"/>
                <w:color w:val="auto"/>
                <w:w w:val="97"/>
              </w:rPr>
              <w:t>0.500%</w:t>
            </w:r>
          </w:p>
        </w:tc>
        <w:tc>
          <w:tcPr>
            <w:tcW w:w="0" w:type="dxa"/>
            <w:vAlign w:val="bottom"/>
          </w:tcPr>
          <w:p>
            <w:pPr>
              <w:spacing w:after="0"/>
              <w:rPr>
                <w:sz w:val="1"/>
                <w:szCs w:val="1"/>
                <w:color w:val="auto"/>
              </w:rPr>
            </w:pPr>
          </w:p>
        </w:tc>
      </w:tr>
      <w:tr>
        <w:trPr>
          <w:trHeight w:val="31"/>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tbl>
      <w:tblPr>
        <w:tblLayout w:type="fixed"/>
        <w:tblInd w:w="570" w:type="dxa"/>
        <w:tblCellMar>
          <w:top w:w="0" w:type="dxa"/>
          <w:left w:w="0" w:type="dxa"/>
          <w:bottom w:w="0" w:type="dxa"/>
          <w:right w:w="0" w:type="dxa"/>
        </w:tblCellMar>
      </w:tblPr>
      <w:tr>
        <w:trPr>
          <w:trHeight w:val="237"/>
        </w:trPr>
        <w:tc>
          <w:tcPr>
            <w:tcW w:w="980" w:type="dxa"/>
            <w:vAlign w:val="bottom"/>
            <w:tcBorders>
              <w:top w:val="single" w:sz="8" w:color="auto"/>
              <w:left w:val="single" w:sz="8" w:color="auto"/>
              <w:right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20"/>
                <w:szCs w:val="20"/>
                <w:color w:val="auto"/>
              </w:rPr>
              <w:t>2</w:t>
            </w:r>
          </w:p>
        </w:tc>
        <w:tc>
          <w:tcPr>
            <w:tcW w:w="176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&lt; 3.50 to 1.0 but</w:t>
            </w:r>
          </w:p>
        </w:tc>
        <w:tc>
          <w:tcPr>
            <w:tcW w:w="1320" w:type="dxa"/>
            <w:vAlign w:val="bottom"/>
            <w:tcBorders>
              <w:top w:val="single" w:sz="8" w:color="auto"/>
              <w:right w:val="single" w:sz="8" w:color="auto"/>
            </w:tcBorders>
            <w:vMerge w:val="restart"/>
          </w:tcPr>
          <w:p>
            <w:pPr>
              <w:jc w:val="right"/>
              <w:ind w:right="261"/>
              <w:spacing w:after="0"/>
              <w:rPr>
                <w:sz w:val="20"/>
                <w:szCs w:val="20"/>
                <w:color w:val="auto"/>
              </w:rPr>
            </w:pPr>
            <w:r>
              <w:rPr>
                <w:rFonts w:ascii="Times New Roman" w:cs="Times New Roman" w:eastAsia="Times New Roman" w:hAnsi="Times New Roman"/>
                <w:sz w:val="20"/>
                <w:szCs w:val="20"/>
                <w:color w:val="auto"/>
              </w:rPr>
              <w:t>2.750%</w:t>
            </w:r>
          </w:p>
        </w:tc>
        <w:tc>
          <w:tcPr>
            <w:tcW w:w="1380" w:type="dxa"/>
            <w:vAlign w:val="bottom"/>
            <w:tcBorders>
              <w:top w:val="single" w:sz="8" w:color="auto"/>
              <w:right w:val="single" w:sz="8" w:color="auto"/>
            </w:tcBorders>
            <w:vMerge w:val="restart"/>
          </w:tcPr>
          <w:p>
            <w:pPr>
              <w:jc w:val="right"/>
              <w:ind w:right="301"/>
              <w:spacing w:after="0"/>
              <w:rPr>
                <w:sz w:val="20"/>
                <w:szCs w:val="20"/>
                <w:color w:val="auto"/>
              </w:rPr>
            </w:pPr>
            <w:r>
              <w:rPr>
                <w:rFonts w:ascii="Times New Roman" w:cs="Times New Roman" w:eastAsia="Times New Roman" w:hAnsi="Times New Roman"/>
                <w:sz w:val="20"/>
                <w:szCs w:val="20"/>
                <w:color w:val="auto"/>
              </w:rPr>
              <w:t>2.750%</w:t>
            </w:r>
          </w:p>
        </w:tc>
        <w:tc>
          <w:tcPr>
            <w:tcW w:w="1420" w:type="dxa"/>
            <w:vAlign w:val="bottom"/>
            <w:tcBorders>
              <w:top w:val="single" w:sz="8" w:color="auto"/>
              <w:right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20"/>
                <w:szCs w:val="20"/>
                <w:color w:val="auto"/>
              </w:rPr>
              <w:t>1.750%</w:t>
            </w:r>
          </w:p>
        </w:tc>
        <w:tc>
          <w:tcPr>
            <w:tcW w:w="1280" w:type="dxa"/>
            <w:vAlign w:val="bottom"/>
            <w:tcBorders>
              <w:top w:val="single" w:sz="8" w:color="auto"/>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1.750%</w:t>
            </w:r>
          </w:p>
        </w:tc>
        <w:tc>
          <w:tcPr>
            <w:tcW w:w="1860" w:type="dxa"/>
            <w:vAlign w:val="bottom"/>
            <w:tcBorders>
              <w:top w:val="single" w:sz="8" w:color="auto"/>
              <w:right w:val="single" w:sz="8" w:color="auto"/>
            </w:tcBorders>
            <w:vMerge w:val="restart"/>
          </w:tcPr>
          <w:p>
            <w:pPr>
              <w:jc w:val="right"/>
              <w:ind w:right="541"/>
              <w:spacing w:after="0"/>
              <w:rPr>
                <w:sz w:val="20"/>
                <w:szCs w:val="20"/>
                <w:color w:val="auto"/>
              </w:rPr>
            </w:pPr>
            <w:r>
              <w:rPr>
                <w:rFonts w:ascii="Times New Roman" w:cs="Times New Roman" w:eastAsia="Times New Roman" w:hAnsi="Times New Roman"/>
                <w:sz w:val="20"/>
                <w:szCs w:val="20"/>
                <w:color w:val="auto"/>
              </w:rPr>
              <w:t>0.450%</w:t>
            </w:r>
          </w:p>
        </w:tc>
        <w:tc>
          <w:tcPr>
            <w:tcW w:w="0" w:type="dxa"/>
            <w:vAlign w:val="bottom"/>
          </w:tcPr>
          <w:p>
            <w:pPr>
              <w:spacing w:after="0"/>
              <w:rPr>
                <w:sz w:val="1"/>
                <w:szCs w:val="1"/>
                <w:color w:val="auto"/>
              </w:rPr>
            </w:pPr>
          </w:p>
        </w:tc>
      </w:tr>
      <w:tr>
        <w:trPr>
          <w:trHeight w:val="137"/>
        </w:trPr>
        <w:tc>
          <w:tcPr>
            <w:tcW w:w="980" w:type="dxa"/>
            <w:vAlign w:val="bottom"/>
            <w:tcBorders>
              <w:left w:val="single" w:sz="8" w:color="auto"/>
              <w:right w:val="single" w:sz="8" w:color="auto"/>
            </w:tcBorders>
            <w:vMerge w:val="continue"/>
          </w:tcPr>
          <w:p>
            <w:pPr>
              <w:spacing w:after="0"/>
              <w:rPr>
                <w:sz w:val="11"/>
                <w:szCs w:val="11"/>
                <w:color w:val="auto"/>
              </w:rPr>
            </w:pPr>
          </w:p>
        </w:tc>
        <w:tc>
          <w:tcPr>
            <w:tcW w:w="1760" w:type="dxa"/>
            <w:vAlign w:val="bottom"/>
            <w:tcBorders>
              <w:right w:val="single" w:sz="8" w:color="auto"/>
            </w:tcBorders>
            <w:gridSpan w:val="3"/>
            <w:vMerge w:val="restart"/>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&gt; 3.00 to 1.0</w:t>
            </w:r>
          </w:p>
        </w:tc>
        <w:tc>
          <w:tcPr>
            <w:tcW w:w="132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980" w:type="dxa"/>
            <w:vAlign w:val="bottom"/>
            <w:tcBorders>
              <w:left w:val="single" w:sz="8" w:color="auto"/>
              <w:right w:val="single" w:sz="8" w:color="auto"/>
            </w:tcBorders>
          </w:tcPr>
          <w:p>
            <w:pPr>
              <w:spacing w:after="0"/>
              <w:rPr>
                <w:sz w:val="6"/>
                <w:szCs w:val="6"/>
                <w:color w:val="auto"/>
              </w:rPr>
            </w:pPr>
          </w:p>
        </w:tc>
        <w:tc>
          <w:tcPr>
            <w:tcW w:w="1760" w:type="dxa"/>
            <w:vAlign w:val="bottom"/>
            <w:tcBorders>
              <w:right w:val="single" w:sz="8" w:color="auto"/>
            </w:tcBorders>
            <w:gridSpan w:val="3"/>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980" w:type="dxa"/>
            <w:vAlign w:val="bottom"/>
            <w:tcBorders>
              <w:right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20"/>
                <w:szCs w:val="20"/>
                <w:color w:val="auto"/>
              </w:rPr>
              <w:t>3</w:t>
            </w:r>
          </w:p>
        </w:tc>
        <w:tc>
          <w:tcPr>
            <w:tcW w:w="1760" w:type="dxa"/>
            <w:vAlign w:val="bottom"/>
            <w:tcBorders>
              <w:right w:val="single" w:sz="8" w:color="auto"/>
            </w:tcBorders>
            <w:gridSpan w:val="3"/>
          </w:tcPr>
          <w:p>
            <w:pPr>
              <w:jc w:val="center"/>
              <w:spacing w:after="0" w:line="197" w:lineRule="exact"/>
              <w:rPr>
                <w:sz w:val="20"/>
                <w:szCs w:val="20"/>
                <w:color w:val="auto"/>
              </w:rPr>
            </w:pPr>
            <w:r>
              <w:rPr>
                <w:rFonts w:ascii="Times New Roman" w:cs="Times New Roman" w:eastAsia="Times New Roman" w:hAnsi="Times New Roman"/>
                <w:sz w:val="20"/>
                <w:szCs w:val="20"/>
                <w:color w:val="auto"/>
                <w:w w:val="99"/>
              </w:rPr>
              <w:t>&lt; 3.00 to 1.0 but</w:t>
            </w:r>
          </w:p>
        </w:tc>
        <w:tc>
          <w:tcPr>
            <w:tcW w:w="1320" w:type="dxa"/>
            <w:vAlign w:val="bottom"/>
            <w:tcBorders>
              <w:right w:val="single" w:sz="8" w:color="auto"/>
            </w:tcBorders>
            <w:vMerge w:val="restart"/>
          </w:tcPr>
          <w:p>
            <w:pPr>
              <w:jc w:val="right"/>
              <w:ind w:right="261"/>
              <w:spacing w:after="0"/>
              <w:rPr>
                <w:sz w:val="20"/>
                <w:szCs w:val="20"/>
                <w:color w:val="auto"/>
              </w:rPr>
            </w:pPr>
            <w:r>
              <w:rPr>
                <w:rFonts w:ascii="Times New Roman" w:cs="Times New Roman" w:eastAsia="Times New Roman" w:hAnsi="Times New Roman"/>
                <w:sz w:val="20"/>
                <w:szCs w:val="20"/>
                <w:color w:val="auto"/>
              </w:rPr>
              <w:t>2.250%</w:t>
            </w:r>
          </w:p>
        </w:tc>
        <w:tc>
          <w:tcPr>
            <w:tcW w:w="1380" w:type="dxa"/>
            <w:vAlign w:val="bottom"/>
            <w:tcBorders>
              <w:right w:val="single" w:sz="8" w:color="auto"/>
            </w:tcBorders>
            <w:vMerge w:val="restart"/>
          </w:tcPr>
          <w:p>
            <w:pPr>
              <w:jc w:val="right"/>
              <w:ind w:right="301"/>
              <w:spacing w:after="0"/>
              <w:rPr>
                <w:sz w:val="20"/>
                <w:szCs w:val="20"/>
                <w:color w:val="auto"/>
              </w:rPr>
            </w:pPr>
            <w:r>
              <w:rPr>
                <w:rFonts w:ascii="Times New Roman" w:cs="Times New Roman" w:eastAsia="Times New Roman" w:hAnsi="Times New Roman"/>
                <w:sz w:val="20"/>
                <w:szCs w:val="20"/>
                <w:color w:val="auto"/>
              </w:rPr>
              <w:t>2.250%</w:t>
            </w:r>
          </w:p>
        </w:tc>
        <w:tc>
          <w:tcPr>
            <w:tcW w:w="1420" w:type="dxa"/>
            <w:vAlign w:val="bottom"/>
            <w:tcBorders>
              <w:right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20"/>
                <w:szCs w:val="20"/>
                <w:color w:val="auto"/>
              </w:rPr>
              <w:t>1.250%</w:t>
            </w:r>
          </w:p>
        </w:tc>
        <w:tc>
          <w:tcPr>
            <w:tcW w:w="128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1.250%</w:t>
            </w:r>
          </w:p>
        </w:tc>
        <w:tc>
          <w:tcPr>
            <w:tcW w:w="1860" w:type="dxa"/>
            <w:vAlign w:val="bottom"/>
            <w:tcBorders>
              <w:right w:val="single" w:sz="8" w:color="auto"/>
            </w:tcBorders>
            <w:vMerge w:val="restart"/>
          </w:tcPr>
          <w:p>
            <w:pPr>
              <w:jc w:val="right"/>
              <w:ind w:right="541"/>
              <w:spacing w:after="0"/>
              <w:rPr>
                <w:sz w:val="20"/>
                <w:szCs w:val="20"/>
                <w:color w:val="auto"/>
              </w:rPr>
            </w:pPr>
            <w:r>
              <w:rPr>
                <w:rFonts w:ascii="Times New Roman" w:cs="Times New Roman" w:eastAsia="Times New Roman" w:hAnsi="Times New Roman"/>
                <w:sz w:val="20"/>
                <w:szCs w:val="20"/>
                <w:color w:val="auto"/>
              </w:rPr>
              <w:t>0.400%</w:t>
            </w:r>
          </w:p>
        </w:tc>
        <w:tc>
          <w:tcPr>
            <w:tcW w:w="0" w:type="dxa"/>
            <w:vAlign w:val="bottom"/>
          </w:tcPr>
          <w:p>
            <w:pPr>
              <w:spacing w:after="0"/>
              <w:rPr>
                <w:sz w:val="1"/>
                <w:szCs w:val="1"/>
                <w:color w:val="auto"/>
              </w:rPr>
            </w:pPr>
          </w:p>
        </w:tc>
      </w:tr>
      <w:tr>
        <w:trPr>
          <w:trHeight w:val="137"/>
        </w:trPr>
        <w:tc>
          <w:tcPr>
            <w:tcW w:w="98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gridSpan w:val="3"/>
            <w:vMerge w:val="restart"/>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&gt; 2.50 to 1.0</w:t>
            </w:r>
          </w:p>
        </w:tc>
        <w:tc>
          <w:tcPr>
            <w:tcW w:w="132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980" w:type="dxa"/>
            <w:vAlign w:val="bottom"/>
            <w:tcBorders>
              <w:right w:val="single" w:sz="8" w:color="auto"/>
            </w:tcBorders>
          </w:tcPr>
          <w:p>
            <w:pPr>
              <w:spacing w:after="0"/>
              <w:rPr>
                <w:sz w:val="6"/>
                <w:szCs w:val="6"/>
                <w:color w:val="auto"/>
              </w:rPr>
            </w:pPr>
          </w:p>
        </w:tc>
        <w:tc>
          <w:tcPr>
            <w:tcW w:w="1760" w:type="dxa"/>
            <w:vAlign w:val="bottom"/>
            <w:tcBorders>
              <w:right w:val="single" w:sz="8" w:color="auto"/>
            </w:tcBorders>
            <w:gridSpan w:val="3"/>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80" w:type="dxa"/>
            <w:vAlign w:val="bottom"/>
            <w:tcBorders>
              <w:right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20"/>
                <w:szCs w:val="20"/>
                <w:color w:val="auto"/>
              </w:rPr>
              <w:t>4</w:t>
            </w:r>
          </w:p>
        </w:tc>
        <w:tc>
          <w:tcPr>
            <w:tcW w:w="1760" w:type="dxa"/>
            <w:vAlign w:val="bottom"/>
            <w:tcBorders>
              <w:right w:val="single" w:sz="8" w:color="auto"/>
            </w:tcBorders>
            <w:gridSpan w:val="3"/>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&lt; 2.50 to 1.0 but</w:t>
            </w:r>
          </w:p>
        </w:tc>
        <w:tc>
          <w:tcPr>
            <w:tcW w:w="1320" w:type="dxa"/>
            <w:vAlign w:val="bottom"/>
            <w:tcBorders>
              <w:right w:val="single" w:sz="8" w:color="auto"/>
            </w:tcBorders>
            <w:vMerge w:val="restart"/>
          </w:tcPr>
          <w:p>
            <w:pPr>
              <w:jc w:val="right"/>
              <w:ind w:right="261"/>
              <w:spacing w:after="0"/>
              <w:rPr>
                <w:sz w:val="20"/>
                <w:szCs w:val="20"/>
                <w:color w:val="auto"/>
              </w:rPr>
            </w:pPr>
            <w:r>
              <w:rPr>
                <w:rFonts w:ascii="Times New Roman" w:cs="Times New Roman" w:eastAsia="Times New Roman" w:hAnsi="Times New Roman"/>
                <w:sz w:val="20"/>
                <w:szCs w:val="20"/>
                <w:color w:val="auto"/>
              </w:rPr>
              <w:t>2.000%</w:t>
            </w:r>
          </w:p>
        </w:tc>
        <w:tc>
          <w:tcPr>
            <w:tcW w:w="1380" w:type="dxa"/>
            <w:vAlign w:val="bottom"/>
            <w:tcBorders>
              <w:right w:val="single" w:sz="8" w:color="auto"/>
            </w:tcBorders>
            <w:vMerge w:val="restart"/>
          </w:tcPr>
          <w:p>
            <w:pPr>
              <w:jc w:val="right"/>
              <w:ind w:right="301"/>
              <w:spacing w:after="0"/>
              <w:rPr>
                <w:sz w:val="20"/>
                <w:szCs w:val="20"/>
                <w:color w:val="auto"/>
              </w:rPr>
            </w:pPr>
            <w:r>
              <w:rPr>
                <w:rFonts w:ascii="Times New Roman" w:cs="Times New Roman" w:eastAsia="Times New Roman" w:hAnsi="Times New Roman"/>
                <w:sz w:val="20"/>
                <w:szCs w:val="20"/>
                <w:color w:val="auto"/>
              </w:rPr>
              <w:t>2.000%</w:t>
            </w:r>
          </w:p>
        </w:tc>
        <w:tc>
          <w:tcPr>
            <w:tcW w:w="1420" w:type="dxa"/>
            <w:vAlign w:val="bottom"/>
            <w:tcBorders>
              <w:right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20"/>
                <w:szCs w:val="20"/>
                <w:color w:val="auto"/>
              </w:rPr>
              <w:t>1.000%</w:t>
            </w:r>
          </w:p>
        </w:tc>
        <w:tc>
          <w:tcPr>
            <w:tcW w:w="128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1.000%</w:t>
            </w:r>
          </w:p>
        </w:tc>
        <w:tc>
          <w:tcPr>
            <w:tcW w:w="1860" w:type="dxa"/>
            <w:vAlign w:val="bottom"/>
            <w:tcBorders>
              <w:right w:val="single" w:sz="8" w:color="auto"/>
            </w:tcBorders>
            <w:vMerge w:val="restart"/>
          </w:tcPr>
          <w:p>
            <w:pPr>
              <w:jc w:val="right"/>
              <w:ind w:right="541"/>
              <w:spacing w:after="0"/>
              <w:rPr>
                <w:sz w:val="20"/>
                <w:szCs w:val="20"/>
                <w:color w:val="auto"/>
              </w:rPr>
            </w:pPr>
            <w:r>
              <w:rPr>
                <w:rFonts w:ascii="Times New Roman" w:cs="Times New Roman" w:eastAsia="Times New Roman" w:hAnsi="Times New Roman"/>
                <w:sz w:val="20"/>
                <w:szCs w:val="20"/>
                <w:color w:val="auto"/>
              </w:rPr>
              <w:t>0.350%</w:t>
            </w:r>
          </w:p>
        </w:tc>
        <w:tc>
          <w:tcPr>
            <w:tcW w:w="0" w:type="dxa"/>
            <w:vAlign w:val="bottom"/>
          </w:tcPr>
          <w:p>
            <w:pPr>
              <w:spacing w:after="0"/>
              <w:rPr>
                <w:sz w:val="1"/>
                <w:szCs w:val="1"/>
                <w:color w:val="auto"/>
              </w:rPr>
            </w:pPr>
          </w:p>
        </w:tc>
      </w:tr>
      <w:tr>
        <w:trPr>
          <w:trHeight w:val="137"/>
        </w:trPr>
        <w:tc>
          <w:tcPr>
            <w:tcW w:w="98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gridSpan w:val="3"/>
            <w:vMerge w:val="restart"/>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&gt; 2.00 to 1.0</w:t>
            </w:r>
          </w:p>
        </w:tc>
        <w:tc>
          <w:tcPr>
            <w:tcW w:w="132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980" w:type="dxa"/>
            <w:vAlign w:val="bottom"/>
            <w:tcBorders>
              <w:right w:val="single" w:sz="8" w:color="auto"/>
            </w:tcBorders>
          </w:tcPr>
          <w:p>
            <w:pPr>
              <w:spacing w:after="0"/>
              <w:rPr>
                <w:sz w:val="6"/>
                <w:szCs w:val="6"/>
                <w:color w:val="auto"/>
              </w:rPr>
            </w:pPr>
          </w:p>
        </w:tc>
        <w:tc>
          <w:tcPr>
            <w:tcW w:w="1760" w:type="dxa"/>
            <w:vAlign w:val="bottom"/>
            <w:tcBorders>
              <w:right w:val="single" w:sz="8" w:color="auto"/>
            </w:tcBorders>
            <w:gridSpan w:val="3"/>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80" w:type="dxa"/>
            <w:vAlign w:val="bottom"/>
            <w:tcBorders>
              <w:right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20"/>
                <w:szCs w:val="20"/>
                <w:color w:val="auto"/>
              </w:rPr>
              <w:t>5</w:t>
            </w:r>
          </w:p>
        </w:tc>
        <w:tc>
          <w:tcPr>
            <w:tcW w:w="1760" w:type="dxa"/>
            <w:vAlign w:val="bottom"/>
            <w:tcBorders>
              <w:right w:val="single" w:sz="8" w:color="auto"/>
            </w:tcBorders>
            <w:gridSpan w:val="3"/>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&lt; 2.00 to 1.0 but</w:t>
            </w:r>
          </w:p>
        </w:tc>
        <w:tc>
          <w:tcPr>
            <w:tcW w:w="1320" w:type="dxa"/>
            <w:vAlign w:val="bottom"/>
            <w:tcBorders>
              <w:right w:val="single" w:sz="8" w:color="auto"/>
            </w:tcBorders>
            <w:vMerge w:val="restart"/>
          </w:tcPr>
          <w:p>
            <w:pPr>
              <w:jc w:val="right"/>
              <w:ind w:right="261"/>
              <w:spacing w:after="0"/>
              <w:rPr>
                <w:sz w:val="20"/>
                <w:szCs w:val="20"/>
                <w:color w:val="auto"/>
              </w:rPr>
            </w:pPr>
            <w:r>
              <w:rPr>
                <w:rFonts w:ascii="Times New Roman" w:cs="Times New Roman" w:eastAsia="Times New Roman" w:hAnsi="Times New Roman"/>
                <w:sz w:val="20"/>
                <w:szCs w:val="20"/>
                <w:color w:val="auto"/>
              </w:rPr>
              <w:t>1.750%</w:t>
            </w:r>
          </w:p>
        </w:tc>
        <w:tc>
          <w:tcPr>
            <w:tcW w:w="1380" w:type="dxa"/>
            <w:vAlign w:val="bottom"/>
            <w:tcBorders>
              <w:right w:val="single" w:sz="8" w:color="auto"/>
            </w:tcBorders>
            <w:vMerge w:val="restart"/>
          </w:tcPr>
          <w:p>
            <w:pPr>
              <w:jc w:val="right"/>
              <w:ind w:right="301"/>
              <w:spacing w:after="0"/>
              <w:rPr>
                <w:sz w:val="20"/>
                <w:szCs w:val="20"/>
                <w:color w:val="auto"/>
              </w:rPr>
            </w:pPr>
            <w:r>
              <w:rPr>
                <w:rFonts w:ascii="Times New Roman" w:cs="Times New Roman" w:eastAsia="Times New Roman" w:hAnsi="Times New Roman"/>
                <w:sz w:val="20"/>
                <w:szCs w:val="20"/>
                <w:color w:val="auto"/>
              </w:rPr>
              <w:t>1.750%</w:t>
            </w:r>
          </w:p>
        </w:tc>
        <w:tc>
          <w:tcPr>
            <w:tcW w:w="1420" w:type="dxa"/>
            <w:vAlign w:val="bottom"/>
            <w:tcBorders>
              <w:right w:val="single" w:sz="8" w:color="auto"/>
            </w:tcBorders>
            <w:vMerge w:val="restart"/>
          </w:tcPr>
          <w:p>
            <w:pPr>
              <w:jc w:val="right"/>
              <w:ind w:right="321"/>
              <w:spacing w:after="0"/>
              <w:rPr>
                <w:sz w:val="20"/>
                <w:szCs w:val="20"/>
                <w:color w:val="auto"/>
              </w:rPr>
            </w:pPr>
            <w:r>
              <w:rPr>
                <w:rFonts w:ascii="Times New Roman" w:cs="Times New Roman" w:eastAsia="Times New Roman" w:hAnsi="Times New Roman"/>
                <w:sz w:val="20"/>
                <w:szCs w:val="20"/>
                <w:color w:val="auto"/>
              </w:rPr>
              <w:t>0.750%</w:t>
            </w:r>
          </w:p>
        </w:tc>
        <w:tc>
          <w:tcPr>
            <w:tcW w:w="128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0.750%</w:t>
            </w:r>
          </w:p>
        </w:tc>
        <w:tc>
          <w:tcPr>
            <w:tcW w:w="1860" w:type="dxa"/>
            <w:vAlign w:val="bottom"/>
            <w:tcBorders>
              <w:right w:val="single" w:sz="8" w:color="auto"/>
            </w:tcBorders>
            <w:vMerge w:val="restart"/>
          </w:tcPr>
          <w:p>
            <w:pPr>
              <w:jc w:val="right"/>
              <w:ind w:right="541"/>
              <w:spacing w:after="0"/>
              <w:rPr>
                <w:sz w:val="20"/>
                <w:szCs w:val="20"/>
                <w:color w:val="auto"/>
              </w:rPr>
            </w:pPr>
            <w:r>
              <w:rPr>
                <w:rFonts w:ascii="Times New Roman" w:cs="Times New Roman" w:eastAsia="Times New Roman" w:hAnsi="Times New Roman"/>
                <w:sz w:val="20"/>
                <w:szCs w:val="20"/>
                <w:color w:val="auto"/>
              </w:rPr>
              <w:t>0.300%</w:t>
            </w:r>
          </w:p>
        </w:tc>
        <w:tc>
          <w:tcPr>
            <w:tcW w:w="0" w:type="dxa"/>
            <w:vAlign w:val="bottom"/>
          </w:tcPr>
          <w:p>
            <w:pPr>
              <w:spacing w:after="0"/>
              <w:rPr>
                <w:sz w:val="1"/>
                <w:szCs w:val="1"/>
                <w:color w:val="auto"/>
              </w:rPr>
            </w:pPr>
          </w:p>
        </w:tc>
      </w:tr>
      <w:tr>
        <w:trPr>
          <w:trHeight w:val="137"/>
        </w:trPr>
        <w:tc>
          <w:tcPr>
            <w:tcW w:w="98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gridSpan w:val="3"/>
            <w:vMerge w:val="restart"/>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&gt; 1.00 to 1.0</w:t>
            </w:r>
          </w:p>
        </w:tc>
        <w:tc>
          <w:tcPr>
            <w:tcW w:w="132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980" w:type="dxa"/>
            <w:vAlign w:val="bottom"/>
            <w:tcBorders>
              <w:right w:val="single" w:sz="8" w:color="auto"/>
            </w:tcBorders>
          </w:tcPr>
          <w:p>
            <w:pPr>
              <w:spacing w:after="0"/>
              <w:rPr>
                <w:sz w:val="6"/>
                <w:szCs w:val="6"/>
                <w:color w:val="auto"/>
              </w:rPr>
            </w:pPr>
          </w:p>
        </w:tc>
        <w:tc>
          <w:tcPr>
            <w:tcW w:w="1760" w:type="dxa"/>
            <w:vAlign w:val="bottom"/>
            <w:tcBorders>
              <w:right w:val="single" w:sz="8" w:color="auto"/>
            </w:tcBorders>
            <w:gridSpan w:val="3"/>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9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auto"/>
              <w:right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6</w:t>
            </w:r>
          </w:p>
        </w:tc>
        <w:tc>
          <w:tcPr>
            <w:tcW w:w="17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&lt; 1.00 to 1.0</w:t>
            </w:r>
          </w:p>
        </w:tc>
        <w:tc>
          <w:tcPr>
            <w:tcW w:w="1320" w:type="dxa"/>
            <w:vAlign w:val="bottom"/>
            <w:tcBorders>
              <w:bottom w:val="single" w:sz="8" w:color="auto"/>
              <w:right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color w:val="auto"/>
              </w:rPr>
              <w:t>1.500%</w:t>
            </w:r>
          </w:p>
        </w:tc>
        <w:tc>
          <w:tcPr>
            <w:tcW w:w="1380" w:type="dxa"/>
            <w:vAlign w:val="bottom"/>
            <w:tcBorders>
              <w:bottom w:val="single" w:sz="8" w:color="auto"/>
              <w:right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1.500%</w:t>
            </w:r>
          </w:p>
        </w:tc>
        <w:tc>
          <w:tcPr>
            <w:tcW w:w="1420" w:type="dxa"/>
            <w:vAlign w:val="bottom"/>
            <w:tcBorders>
              <w:bottom w:val="single" w:sz="8" w:color="auto"/>
              <w:right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rPr>
              <w:t>0.500%</w:t>
            </w:r>
          </w:p>
        </w:tc>
        <w:tc>
          <w:tcPr>
            <w:tcW w:w="1280" w:type="dxa"/>
            <w:vAlign w:val="bottom"/>
            <w:tcBorders>
              <w:bottom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0.500%</w:t>
            </w:r>
          </w:p>
        </w:tc>
        <w:tc>
          <w:tcPr>
            <w:tcW w:w="1860" w:type="dxa"/>
            <w:vAlign w:val="bottom"/>
            <w:tcBorders>
              <w:bottom w:val="single" w:sz="8" w:color="auto"/>
              <w:right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0.250%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Total Net Leverage Ratio shall become effective as of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if a Compliance Certificate is not delivered when due in accordance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then, upon the request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Required Lenders, Pricing Level 1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w:t>
      </w:r>
    </w:p>
    <w:p>
      <w:pPr>
        <w:spacing w:after="0" w:line="18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definition, (i) the determination of the Applicable Rate for any period shall be subject to the provisions of Section 2.10(b) and (ii) the Applicable Rate shall be set at Pricing Level 3 from the Third Amendment Effective Date until the first Business Day immediately following the date a Compliance Certificate is delivered to the Administrative Agent pursuant to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for the fiscal quarter ending December 31, 2022. Any adjustment in the Applicable Rate shall be applicable to all Credit Extensions then existing or subsequently made or issued.</w:t>
      </w:r>
    </w:p>
    <w:p>
      <w:pPr>
        <w:spacing w:after="0" w:line="179"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Applicable Revolving Percentage</w:t>
      </w:r>
      <w:r>
        <w:rPr>
          <w:rFonts w:ascii="Times New Roman" w:cs="Times New Roman" w:eastAsia="Times New Roman" w:hAnsi="Times New Roman"/>
          <w:sz w:val="20"/>
          <w:szCs w:val="20"/>
          <w:color w:val="auto"/>
        </w:rPr>
        <w:t>” means with respect to any Revolving Lender at any time, such Revolving Lender’s Applicable Percentage in respect of the Revolving Facility at such time.</w:t>
      </w:r>
    </w:p>
    <w:p>
      <w:pPr>
        <w:spacing w:after="0" w:line="153"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Appropriate Lender</w:t>
      </w:r>
      <w:r>
        <w:rPr>
          <w:rFonts w:ascii="Times New Roman" w:cs="Times New Roman" w:eastAsia="Times New Roman" w:hAnsi="Times New Roman"/>
          <w:sz w:val="20"/>
          <w:szCs w:val="20"/>
          <w:color w:val="auto"/>
        </w:rPr>
        <w:t xml:space="preserve">” means, at any time, (a) with respect to any Facility, a Lender that has a Commitment with respect to such Facility or holds a Loan under such Facility at such time, (b) with respect to the Letter of Credit Sublimit, (i) the L/C Issuer and (ii) if any Letters of Credit have been issued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 Revolving Lenders and (c) with respect to the Swingline Sublimit, (i) the Swingline Lender and (ii) if any Swingline Loans are outstanding pursuant to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the Revolving Lenders.</w:t>
      </w:r>
    </w:p>
    <w:p>
      <w:pPr>
        <w:spacing w:after="0" w:line="174"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3"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Approved Jurisdiction</w:t>
      </w:r>
      <w:r>
        <w:rPr>
          <w:rFonts w:ascii="Times New Roman" w:cs="Times New Roman" w:eastAsia="Times New Roman" w:hAnsi="Times New Roman"/>
          <w:sz w:val="20"/>
          <w:szCs w:val="20"/>
          <w:color w:val="auto"/>
        </w:rPr>
        <w:t>” means each of each of Canada, Hong Kong, the United Kingdom, Luxembourg, Germany and the Netherlands, in each case, including any states, provinces or other similar local units therein; provided that, at the time of any Subsidiary from an Approved Jurisdiction being designated as a Designated Foreign Subsidiary Guarantor by the Borrower, (a) neither the Administrative Agent nor any Lender shall be prohibited by Applicable Law or generally applicable internal policy (including as a result of any political risk associated with such Approved Jurisdiction at such time) from having a Person from such jurisdiction becoming a Guarantor and providing a Guarantee of the Obligations,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5" w:name="page56"/>
    <w:bookmarkEnd w:id="55"/>
    <w:p>
      <w:pPr>
        <w:jc w:val="both"/>
        <w:spacing w:after="0" w:line="259" w:lineRule="auto"/>
        <w:rPr>
          <w:sz w:val="20"/>
          <w:szCs w:val="20"/>
          <w:color w:val="auto"/>
        </w:rPr>
      </w:pPr>
      <w:r>
        <w:rPr>
          <w:rFonts w:ascii="Times New Roman" w:cs="Times New Roman" w:eastAsia="Times New Roman" w:hAnsi="Times New Roman"/>
          <w:sz w:val="19"/>
          <w:szCs w:val="19"/>
          <w:color w:val="auto"/>
        </w:rPr>
        <w:t>or taking a lien in the assets of such Person (other than Excluded Property) to secure the Obligations, and (b) the Administrative Agent shall have determined, in its reasonable good faith discretion, that (i) at such time, the Applicable Law in such jurisdiction does not materially and adversely effect, (A) the amount and enforceability of a Guaranty to be entered into by a Person organized in such Approved Jurisdiction, or</w:t>
      </w:r>
    </w:p>
    <w:p>
      <w:pPr>
        <w:spacing w:after="0" w:line="2" w:lineRule="exact"/>
        <w:rPr>
          <w:sz w:val="20"/>
          <w:szCs w:val="20"/>
          <w:color w:val="auto"/>
        </w:rPr>
      </w:pPr>
    </w:p>
    <w:p>
      <w:pPr>
        <w:jc w:val="both"/>
        <w:ind w:firstLine="8"/>
        <w:spacing w:after="0"/>
        <w:tabs>
          <w:tab w:leader="none" w:pos="31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security interests (and enforceability thereof) to be granted with respect to assets (or various classes of assets) of such Person located in such Approved Jurisdiction, and (ii) there has not been any material and adverse change since the Closing Date in any political risk associated with such jurisdiction;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from time to time after the Closing Date, the Borrower may request (by written notice to the Administrative Agent) that one or more additional jurisdictions be added to the list of Approved Jurisdictions, it being understood that, in such event, such jurisdictions shall be added to (and thereafter form part of) the list of Approved Jurisdictions, so long as, in each case, the respective jurisdiction to be added is a jurisdiction reasonably satisfactory to the Administrative Agent (it being agreed that such determination shall be based upon, without limitation, (x) the amount and enforceability of the Guaranty that may be entered into by such Person organized in such jurisdiction, (y) the security interests (and enforceability thereof) that may be granted with respect to assets (or various classes of assets) located in such jurisdiction and (z) any political risk associated with such jurisdiction).</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Arranger</w:t>
      </w:r>
      <w:r>
        <w:rPr>
          <w:rFonts w:ascii="Times New Roman" w:cs="Times New Roman" w:eastAsia="Times New Roman" w:hAnsi="Times New Roman"/>
          <w:sz w:val="20"/>
          <w:szCs w:val="20"/>
          <w:color w:val="auto"/>
        </w:rPr>
        <w:t>” means BofA Securities, Inc., in its capacity as sole lead arranger and sole bookrunner.</w:t>
      </w:r>
    </w:p>
    <w:p>
      <w:pPr>
        <w:spacing w:after="0" w:line="215"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any other form (including an electronic documentation form generated by use of an electronic platform) approved by the Administrative Agent.</w:t>
      </w:r>
    </w:p>
    <w:p>
      <w:pPr>
        <w:spacing w:after="0" w:line="174" w:lineRule="exact"/>
        <w:rPr>
          <w:sz w:val="20"/>
          <w:szCs w:val="20"/>
          <w:color w:val="auto"/>
        </w:rPr>
      </w:pPr>
    </w:p>
    <w:p>
      <w:pPr>
        <w:jc w:val="both"/>
        <w:ind w:firstLine="101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Attributable Indebtedness</w:t>
      </w:r>
      <w:r>
        <w:rPr>
          <w:rFonts w:ascii="Times New Roman" w:cs="Times New Roman" w:eastAsia="Times New Roman" w:hAnsi="Times New Roman"/>
          <w:sz w:val="20"/>
          <w:szCs w:val="20"/>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spacing w:after="0" w:line="178" w:lineRule="exact"/>
        <w:rPr>
          <w:sz w:val="20"/>
          <w:szCs w:val="20"/>
          <w:color w:val="auto"/>
        </w:rPr>
      </w:pPr>
    </w:p>
    <w:p>
      <w:pPr>
        <w:jc w:val="both"/>
        <w:ind w:right="20"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Borrower and its Subsidiaries for the fiscal year ended December 31, 2020, and the related Consolidated statements of income or operations, Shareholders’ Equity and cash flows for such fiscal year of the Borrower and its Subsidiaries, including the notes thereto.</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Auto</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Extension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Availability Period</w:t>
      </w:r>
      <w:r>
        <w:rPr>
          <w:rFonts w:ascii="Times New Roman" w:cs="Times New Roman" w:eastAsia="Times New Roman" w:hAnsi="Times New Roman"/>
          <w:sz w:val="20"/>
          <w:szCs w:val="20"/>
          <w:color w:val="auto"/>
        </w:rPr>
        <w:t xml:space="preserve">” means in respect of the Revolving Facility, the period from and including the Closing Date to the earliest of (i) the Maturity Date for the Revolving Facility, (ii) the date of termination of the Revolving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and</w:t>
      </w:r>
    </w:p>
    <w:p>
      <w:pPr>
        <w:spacing w:after="0" w:line="2" w:lineRule="exact"/>
        <w:rPr>
          <w:sz w:val="20"/>
          <w:szCs w:val="20"/>
          <w:color w:val="auto"/>
        </w:rPr>
      </w:pPr>
    </w:p>
    <w:p>
      <w:pPr>
        <w:ind w:right="20" w:firstLine="8"/>
        <w:spacing w:after="0" w:line="245" w:lineRule="auto"/>
        <w:tabs>
          <w:tab w:leader="none" w:pos="34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of termination of the Commitment of each Revolving Lender to make Revolving Loans and of the obligation of the L/C Issuer to make L/C Credit Extensions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Bail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6" w:name="page57"/>
    <w:bookmarkEnd w:id="56"/>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Bail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5"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Base Rate</w:t>
      </w:r>
      <w:r>
        <w:rPr>
          <w:rFonts w:ascii="Times New Roman" w:cs="Times New Roman" w:eastAsia="Times New Roman" w:hAnsi="Times New Roman"/>
          <w:sz w:val="20"/>
          <w:szCs w:val="20"/>
          <w:color w:val="auto"/>
        </w:rPr>
        <w:t xml:space="preserve">” means for any day a fluctuating rate of interest per annum equal to the highest of (a) the Federal Funds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0.50%, (b) the rate of interest in effect for such day as publicly announced from time to time by Bank of America as its “prime rate,” and (c) </w:t>
      </w:r>
      <w:r>
        <w:rPr>
          <w:rFonts w:ascii="Times New Roman" w:cs="Times New Roman" w:eastAsia="Times New Roman" w:hAnsi="Times New Roman"/>
          <w:sz w:val="20"/>
          <w:szCs w:val="20"/>
          <w:color w:val="FF0000"/>
          <w:strike w:val="1"/>
        </w:rPr>
        <w:t>the BSBY Rate</w:t>
      </w:r>
      <w:r>
        <w:rPr>
          <w:rFonts w:ascii="Times New Roman" w:cs="Times New Roman" w:eastAsia="Times New Roman" w:hAnsi="Times New Roman"/>
          <w:sz w:val="20"/>
          <w:szCs w:val="20"/>
          <w:u w:val="single" w:color="auto"/>
          <w:color w:val="0000FF"/>
        </w:rPr>
        <w:t>one-month 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i w:val="1"/>
          <w:iCs w:val="1"/>
          <w:color w:val="000000"/>
        </w:rPr>
        <w:t>plus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1.00%, subject to the interest rate floors set forth therein;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i w:val="1"/>
          <w:iCs w:val="1"/>
          <w:color w:val="000000"/>
        </w:rPr>
        <w:t>provided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that if the Base Rate shall 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000000"/>
        </w:rPr>
        <w:t>Section 3.03</w:t>
      </w:r>
      <w:r>
        <w:rPr>
          <w:rFonts w:ascii="Times New Roman" w:cs="Times New Roman" w:eastAsia="Times New Roman" w:hAnsi="Times New Roman"/>
          <w:sz w:val="20"/>
          <w:szCs w:val="20"/>
          <w:color w:val="000000"/>
        </w:rPr>
        <w:t xml:space="preserve"> hereof, then the Base Rate shall be the greater of </w:t>
      </w:r>
      <w:r>
        <w:rPr>
          <w:rFonts w:ascii="Times New Roman" w:cs="Times New Roman" w:eastAsia="Times New Roman" w:hAnsi="Times New Roman"/>
          <w:sz w:val="20"/>
          <w:szCs w:val="20"/>
          <w:u w:val="single" w:color="auto"/>
          <w:color w:val="000000"/>
        </w:rPr>
        <w:t>clauses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(a</w:t>
      </w:r>
      <w:r>
        <w:rPr>
          <w:rFonts w:ascii="Times New Roman" w:cs="Times New Roman" w:eastAsia="Times New Roman" w:hAnsi="Times New Roman"/>
          <w:sz w:val="20"/>
          <w:szCs w:val="20"/>
          <w:color w:val="000000"/>
        </w:rPr>
        <w:t>) and (</w:t>
      </w:r>
      <w:r>
        <w:rPr>
          <w:rFonts w:ascii="Times New Roman" w:cs="Times New Roman" w:eastAsia="Times New Roman" w:hAnsi="Times New Roman"/>
          <w:sz w:val="20"/>
          <w:szCs w:val="20"/>
          <w:u w:val="single" w:color="auto"/>
          <w:color w:val="000000"/>
        </w:rPr>
        <w:t>b</w:t>
      </w:r>
      <w:r>
        <w:rPr>
          <w:rFonts w:ascii="Times New Roman" w:cs="Times New Roman" w:eastAsia="Times New Roman" w:hAnsi="Times New Roman"/>
          <w:sz w:val="20"/>
          <w:szCs w:val="20"/>
          <w:color w:val="000000"/>
        </w:rPr>
        <w:t xml:space="preserve">) above and shall be determined without reference to </w:t>
      </w:r>
      <w:r>
        <w:rPr>
          <w:rFonts w:ascii="Times New Roman" w:cs="Times New Roman" w:eastAsia="Times New Roman" w:hAnsi="Times New Roman"/>
          <w:sz w:val="20"/>
          <w:szCs w:val="20"/>
          <w:u w:val="single" w:color="auto"/>
          <w:color w:val="000000"/>
        </w:rPr>
        <w:t>clause (c</w:t>
      </w:r>
      <w:r>
        <w:rPr>
          <w:rFonts w:ascii="Times New Roman" w:cs="Times New Roman" w:eastAsia="Times New Roman" w:hAnsi="Times New Roman"/>
          <w:sz w:val="20"/>
          <w:szCs w:val="20"/>
          <w:color w:val="000000"/>
        </w:rPr>
        <w:t>) above.</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Base Rate Loan</w:t>
      </w:r>
      <w:r>
        <w:rPr>
          <w:rFonts w:ascii="Times New Roman" w:cs="Times New Roman" w:eastAsia="Times New Roman" w:hAnsi="Times New Roman"/>
          <w:sz w:val="19"/>
          <w:szCs w:val="19"/>
          <w:color w:val="auto"/>
        </w:rPr>
        <w:t>” means a Revolving Loan, Term Loan or an Incremental Term Loan that bears interest based on the Base Rate.</w:t>
      </w:r>
    </w:p>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Beneficial Ownership Certification</w:t>
      </w:r>
      <w:r>
        <w:rPr>
          <w:rFonts w:ascii="Times New Roman" w:cs="Times New Roman" w:eastAsia="Times New Roman" w:hAnsi="Times New Roman"/>
          <w:sz w:val="19"/>
          <w:szCs w:val="19"/>
          <w:color w:val="auto"/>
        </w:rPr>
        <w:t>” means a certification regarding beneficial ownership required by the Beneficial Ownership</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Regulation.</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i w:val="1"/>
          <w:iCs w:val="1"/>
          <w:color w:val="FF0000"/>
          <w:strike w:val="1"/>
        </w:rPr>
        <w:t>“</w:t>
      </w:r>
      <w:r>
        <w:rPr>
          <w:rFonts w:ascii="Times New Roman" w:cs="Times New Roman" w:eastAsia="Times New Roman" w:hAnsi="Times New Roman"/>
          <w:sz w:val="20"/>
          <w:szCs w:val="20"/>
          <w:i w:val="1"/>
          <w:iCs w:val="1"/>
          <w:u w:val="single" w:color="auto"/>
          <w:color w:val="FF0000"/>
          <w:strike w:val="1"/>
        </w:rPr>
        <w:t>Bloomberg</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color w:val="FF0000"/>
          <w:strike w:val="1"/>
        </w:rPr>
        <w:t>means Bloomberg Index Services Limited.</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Borrower</w:t>
      </w:r>
      <w:r>
        <w:rPr>
          <w:rFonts w:ascii="Times New Roman" w:cs="Times New Roman" w:eastAsia="Times New Roman" w:hAnsi="Times New Roman"/>
          <w:sz w:val="20"/>
          <w:szCs w:val="20"/>
          <w:color w:val="auto"/>
        </w:rPr>
        <w:t>” has the meaning specified in the introductory paragraph hereto.</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6.02(p</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Borrowing</w:t>
      </w:r>
      <w:r>
        <w:rPr>
          <w:rFonts w:ascii="Times New Roman" w:cs="Times New Roman" w:eastAsia="Times New Roman" w:hAnsi="Times New Roman"/>
          <w:sz w:val="20"/>
          <w:szCs w:val="20"/>
          <w:color w:val="auto"/>
        </w:rPr>
        <w:t>” means a Revolving Borrowing, a Swingline Borrowing, a Term Borrowing or an Incremental Term Borrowing, as the context may require.</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i w:val="1"/>
          <w:iCs w:val="1"/>
          <w:color w:val="FF0000"/>
          <w:strike w:val="1"/>
        </w:rPr>
        <w:t>“</w:t>
      </w:r>
      <w:r>
        <w:rPr>
          <w:rFonts w:ascii="Times New Roman" w:cs="Times New Roman" w:eastAsia="Times New Roman" w:hAnsi="Times New Roman"/>
          <w:sz w:val="20"/>
          <w:szCs w:val="20"/>
          <w:i w:val="1"/>
          <w:iCs w:val="1"/>
          <w:u w:val="single" w:color="auto"/>
          <w:color w:val="FF0000"/>
          <w:strike w:val="1"/>
        </w:rPr>
        <w:t>BSBY</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color w:val="FF0000"/>
          <w:strike w:val="1"/>
        </w:rPr>
        <w:t>means the Bloomberg Short-Term Bank Yield Index rate.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7" w:name="page58"/>
    <w:bookmarkEnd w:id="57"/>
    <w:p>
      <w:pPr>
        <w:ind w:left="1020"/>
        <w:spacing w:after="0"/>
        <w:rPr>
          <w:sz w:val="20"/>
          <w:szCs w:val="20"/>
          <w:color w:val="auto"/>
        </w:rPr>
      </w:pPr>
      <w:r>
        <w:rPr>
          <w:rFonts w:ascii="Times New Roman" w:cs="Times New Roman" w:eastAsia="Times New Roman" w:hAnsi="Times New Roman"/>
          <w:sz w:val="20"/>
          <w:szCs w:val="20"/>
          <w:i w:val="1"/>
          <w:iCs w:val="1"/>
          <w:color w:val="FF0000"/>
          <w:strike w:val="1"/>
        </w:rPr>
        <w:t>“</w:t>
      </w:r>
      <w:r>
        <w:rPr>
          <w:rFonts w:ascii="Times New Roman" w:cs="Times New Roman" w:eastAsia="Times New Roman" w:hAnsi="Times New Roman"/>
          <w:sz w:val="20"/>
          <w:szCs w:val="20"/>
          <w:i w:val="1"/>
          <w:iCs w:val="1"/>
          <w:u w:val="single" w:color="auto"/>
          <w:color w:val="FF0000"/>
          <w:strike w:val="1"/>
        </w:rPr>
        <w:t>BSBY Rate</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color w:val="FF0000"/>
          <w:strike w:val="1"/>
        </w:rPr>
        <w:t>means:</w:t>
      </w:r>
    </w:p>
    <w:p>
      <w:pPr>
        <w:spacing w:after="0" w:line="219" w:lineRule="exact"/>
        <w:rPr>
          <w:sz w:val="20"/>
          <w:szCs w:val="20"/>
          <w:color w:val="auto"/>
        </w:rPr>
      </w:pPr>
    </w:p>
    <w:p>
      <w:pPr>
        <w:ind w:left="2260" w:hanging="755"/>
        <w:spacing w:after="0" w:line="249" w:lineRule="auto"/>
        <w:tabs>
          <w:tab w:leader="none" w:pos="1968" w:val="left"/>
        </w:tabs>
        <w:numPr>
          <w:ilvl w:val="0"/>
          <w:numId w:val="25"/>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rPr>
        <w:t xml:space="preserve">for any Interest Period with respect to a BSBY Rate Loan, the rate per annum equal to the BSBY Screen Rate two </w:t>
      </w:r>
      <w:r>
        <w:rPr>
          <w:rFonts w:ascii="Times New Roman" w:cs="Times New Roman" w:eastAsia="Times New Roman" w:hAnsi="Times New Roman"/>
          <w:sz w:val="20"/>
          <w:szCs w:val="20"/>
          <w:color w:val="FF0000"/>
          <w:strike w:val="1"/>
        </w:rPr>
        <w:t>Business Days prior to the commencement of such Interest Period with a term equivalent to such Interest Period; provided that if the rate is not published on such determination date then BSBY Rate means the BSBY Screen Rate on the first Business Day immediately prior thereto; and</w:t>
      </w:r>
    </w:p>
    <w:p>
      <w:pPr>
        <w:spacing w:after="0" w:line="178" w:lineRule="exact"/>
        <w:rPr>
          <w:rFonts w:ascii="Times New Roman" w:cs="Times New Roman" w:eastAsia="Times New Roman" w:hAnsi="Times New Roman"/>
          <w:sz w:val="20"/>
          <w:szCs w:val="20"/>
          <w:color w:val="FF0000"/>
          <w:strike w:val="1"/>
        </w:rPr>
      </w:pPr>
    </w:p>
    <w:p>
      <w:pPr>
        <w:ind w:left="2260" w:hanging="755"/>
        <w:spacing w:after="0" w:line="268" w:lineRule="auto"/>
        <w:tabs>
          <w:tab w:leader="none" w:pos="1920" w:val="left"/>
        </w:tabs>
        <w:numPr>
          <w:ilvl w:val="0"/>
          <w:numId w:val="25"/>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for any interest calculation with respect to a Base Rate Loan on any date, the rate per annum equal to the BSBY Screen Rate with a term of one month commencing that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-962025</wp:posOffset>
            </wp:positionV>
            <wp:extent cx="592518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5925185" cy="8255"/>
                    </a:xfrm>
                    <a:prstGeom prst="rect">
                      <a:avLst/>
                    </a:prstGeom>
                    <a:noFill/>
                  </pic:spPr>
                </pic:pic>
              </a:graphicData>
            </a:graphic>
          </wp:anchor>
        </w:drawing>
      </w:r>
    </w:p>
    <w:p>
      <w:pPr>
        <w:spacing w:after="0" w:line="137" w:lineRule="exact"/>
        <w:rPr>
          <w:sz w:val="20"/>
          <w:szCs w:val="20"/>
          <w:color w:val="auto"/>
        </w:rPr>
      </w:pPr>
    </w:p>
    <w:p>
      <w:pPr>
        <w:jc w:val="both"/>
        <w:ind w:left="760" w:hanging="748"/>
        <w:spacing w:after="0" w:line="272" w:lineRule="auto"/>
        <w:rPr>
          <w:sz w:val="20"/>
          <w:szCs w:val="20"/>
          <w:color w:val="auto"/>
        </w:rPr>
      </w:pPr>
      <w:r>
        <w:rPr>
          <w:rFonts w:ascii="Times New Roman" w:cs="Times New Roman" w:eastAsia="Times New Roman" w:hAnsi="Times New Roman"/>
          <w:sz w:val="20"/>
          <w:szCs w:val="20"/>
          <w:i w:val="1"/>
          <w:iCs w:val="1"/>
          <w:u w:val="single" w:color="auto"/>
          <w:color w:val="FF0000"/>
          <w:strike w:val="1"/>
        </w:rPr>
        <w:t xml:space="preserve">provided </w:t>
      </w:r>
      <w:r>
        <w:rPr>
          <w:rFonts w:ascii="Times New Roman" w:cs="Times New Roman" w:eastAsia="Times New Roman" w:hAnsi="Times New Roman"/>
          <w:sz w:val="20"/>
          <w:szCs w:val="20"/>
          <w:color w:val="FF0000"/>
          <w:strike w:val="1"/>
        </w:rPr>
        <w:t>that if the BSBY Rate determined in accordance with either of the foregoing provisions (a) or (b) of this definition would otherwise</w:t>
      </w:r>
      <w:r>
        <w:rPr>
          <w:rFonts w:ascii="Times New Roman" w:cs="Times New Roman" w:eastAsia="Times New Roman" w:hAnsi="Times New Roman"/>
          <w:sz w:val="20"/>
          <w:szCs w:val="20"/>
          <w:i w:val="1"/>
          <w:iCs w:val="1"/>
          <w:u w:val="single" w:color="auto"/>
          <w:color w:val="FF0000"/>
          <w:strike w:val="1"/>
        </w:rPr>
        <w:t xml:space="preserve"> </w:t>
      </w:r>
      <w:r>
        <w:rPr>
          <w:rFonts w:ascii="Times New Roman" w:cs="Times New Roman" w:eastAsia="Times New Roman" w:hAnsi="Times New Roman"/>
          <w:sz w:val="20"/>
          <w:szCs w:val="20"/>
          <w:color w:val="FF0000"/>
          <w:strike w:val="1"/>
        </w:rPr>
        <w:t>be less than zero, the BSBY Rate shall be deemed zero for purposes of this Agreement.</w:t>
      </w:r>
    </w:p>
    <w:p>
      <w:pPr>
        <w:spacing w:after="0" w:line="15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i w:val="1"/>
          <w:iCs w:val="1"/>
          <w:color w:val="FF0000"/>
          <w:strike w:val="1"/>
        </w:rPr>
        <w:t>“</w:t>
      </w:r>
      <w:r>
        <w:rPr>
          <w:rFonts w:ascii="Times New Roman" w:cs="Times New Roman" w:eastAsia="Times New Roman" w:hAnsi="Times New Roman"/>
          <w:sz w:val="20"/>
          <w:szCs w:val="20"/>
          <w:i w:val="1"/>
          <w:iCs w:val="1"/>
          <w:u w:val="single" w:color="auto"/>
          <w:color w:val="FF0000"/>
          <w:strike w:val="1"/>
        </w:rPr>
        <w:t>BSBY Rate Loan</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color w:val="FF0000"/>
          <w:strike w:val="1"/>
        </w:rPr>
        <w:t>means a Revolving Loan, a Term Loan or an Incremental Team Loan that bears interest at a rate based on</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u w:val="single" w:color="auto"/>
          <w:color w:val="FF0000"/>
          <w:strike w:val="1"/>
        </w:rPr>
        <w:t xml:space="preserve">clause (a) </w:t>
      </w:r>
      <w:r>
        <w:rPr>
          <w:rFonts w:ascii="Times New Roman" w:cs="Times New Roman" w:eastAsia="Times New Roman" w:hAnsi="Times New Roman"/>
          <w:sz w:val="20"/>
          <w:szCs w:val="20"/>
          <w:color w:val="FF0000"/>
          <w:strike w:val="1"/>
        </w:rPr>
        <w:t>of the definition of BSBY Rate.</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i w:val="1"/>
          <w:iCs w:val="1"/>
          <w:color w:val="FF0000"/>
          <w:strike w:val="1"/>
        </w:rPr>
        <w:t>“</w:t>
      </w:r>
      <w:r>
        <w:rPr>
          <w:rFonts w:ascii="Times New Roman" w:cs="Times New Roman" w:eastAsia="Times New Roman" w:hAnsi="Times New Roman"/>
          <w:sz w:val="20"/>
          <w:szCs w:val="20"/>
          <w:i w:val="1"/>
          <w:iCs w:val="1"/>
          <w:u w:val="single" w:color="auto"/>
          <w:color w:val="FF0000"/>
          <w:strike w:val="1"/>
        </w:rPr>
        <w:t>BSBY Screen Rate</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color w:val="FF0000"/>
          <w:strike w:val="1"/>
        </w:rPr>
        <w:t>means the Bloomberg Short-Term Bank Yield Index rate administered by Bloomberg and published on the</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color w:val="FF0000"/>
          <w:strike w:val="1"/>
        </w:rPr>
        <w:t>applicable Bloomberg screen page (or such other commercially available source providing such quotations as may be designated by the Administrative Agent from time to time).</w:t>
      </w:r>
    </w:p>
    <w:p>
      <w:pPr>
        <w:spacing w:after="0" w:line="170"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Business Day</w:t>
      </w:r>
      <w:r>
        <w:rPr>
          <w:rFonts w:ascii="Times New Roman" w:cs="Times New Roman" w:eastAsia="Times New Roman" w:hAnsi="Times New Roman"/>
          <w:sz w:val="20"/>
          <w:szCs w:val="20"/>
          <w:color w:val="auto"/>
        </w:rPr>
        <w:t xml:space="preserve">” means any day other than a Saturday, Sunday or other day on which commercial banks are authorized to close under the Laws of, or are in fact closed in, the state where the Administrative Agent’s Office is located </w:t>
      </w:r>
      <w:r>
        <w:rPr>
          <w:rFonts w:ascii="Times New Roman" w:cs="Times New Roman" w:eastAsia="Times New Roman" w:hAnsi="Times New Roman"/>
          <w:sz w:val="20"/>
          <w:szCs w:val="20"/>
          <w:color w:val="FF0000"/>
        </w:rPr>
        <w:t>and, if such day relates to any BSBY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 Loan, in New York City</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-233680</wp:posOffset>
            </wp:positionV>
            <wp:extent cx="191135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50"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Capital Expenditures</w:t>
      </w:r>
      <w:r>
        <w:rPr>
          <w:rFonts w:ascii="Times New Roman" w:cs="Times New Roman" w:eastAsia="Times New Roman" w:hAnsi="Times New Roman"/>
          <w:sz w:val="20"/>
          <w:szCs w:val="20"/>
          <w:color w:val="auto"/>
        </w:rPr>
        <w:t xml:space="preserve">” means, with respect to any Person for any period, any expenditure in respect of the purchase or other acquisition of any fixed or capital asset, but excluding (a) normal replacements and maintenance which are properly charged to current operations, (b) expenditures made in connection with the reinvestment of Disposition proceeds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or in connection with the replacement, substitution or restoration of property in connection with an Involuntary Disposition, (c) expenditures made to fund the purchase price for assets acquired in Permitted Acquisitions, and (d) leasehold improvement expenditures that are actually paid for by unaffiliated third party landlords in the ordinary course of business and which neither the Borrower nor any Subsidiary has provided or is required to provide or incur any consideration or obligation to such third party landlord. For purposes of this definition, the purchase price of equipment or other fixed assets that are purchased simultaneously with the trade-in of existing assets or with insurance proceeds shall be included in Capital Expenditures only to the extent of the gross amount by which such purchase price exceeds the credit granted by the seller of such assets for the assets being traded in at such time or the amount of such insurance proceeds, as the case may be.</w:t>
      </w:r>
    </w:p>
    <w:p>
      <w:pPr>
        <w:spacing w:after="0" w:line="189"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Capitalized Lease</w:t>
      </w:r>
      <w:r>
        <w:rPr>
          <w:rFonts w:ascii="Times New Roman" w:cs="Times New Roman" w:eastAsia="Times New Roman" w:hAnsi="Times New Roman"/>
          <w:sz w:val="20"/>
          <w:szCs w:val="20"/>
          <w:color w:val="auto"/>
        </w:rPr>
        <w:t>” means any lease that has been or is required to be, in accordance with GAAP, recorded, classified and accounted for as a capitalized lease or financing lease.</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one or more of the L/C Issuer or Swingline Lender (as applicable) or the Lenders, as Collateral for L/C Obligations, the Obligations in respect of Swingline Loans, or obligations of the Revolving Lenders to fund participations in respect of L/C Obligations or Swingline Loans (as the context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8" w:name="page59"/>
    <w:bookmarkEnd w:id="58"/>
    <w:p>
      <w:pPr>
        <w:jc w:val="both"/>
        <w:spacing w:after="0" w:line="246" w:lineRule="auto"/>
        <w:rPr>
          <w:sz w:val="20"/>
          <w:szCs w:val="20"/>
          <w:color w:val="auto"/>
        </w:rPr>
      </w:pPr>
      <w:r>
        <w:rPr>
          <w:rFonts w:ascii="Times New Roman" w:cs="Times New Roman" w:eastAsia="Times New Roman" w:hAnsi="Times New Roman"/>
          <w:sz w:val="20"/>
          <w:szCs w:val="20"/>
          <w:color w:val="auto"/>
        </w:rPr>
        <w:t>may require), (a) cash or deposit account balances, (b) backstop letters of credit entered into on terms, from issuers and in amounts reasonably satisfactory to the Administrative Agent and the applicable L/C Issuer, and/or (c) if the Administrative Agent and the applicable L/C Issuer or Swingline Lender shall agree, in their reasonable discretion, other credit support, in each case, in Dollars and pursuant to documentation in form and substance reasonably satisfactory to the Administrative Agent and the L/C Issuer or the Swingline Lender (as applicable).</w:t>
      </w:r>
    </w:p>
    <w:p>
      <w:pPr>
        <w:spacing w:after="0" w:line="179"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Equivalents</w:t>
      </w:r>
      <w:r>
        <w:rPr>
          <w:rFonts w:ascii="Times New Roman" w:cs="Times New Roman" w:eastAsia="Times New Roman" w:hAnsi="Times New Roman"/>
          <w:sz w:val="20"/>
          <w:szCs w:val="20"/>
          <w:color w:val="auto"/>
        </w:rPr>
        <w:t>” means any of the following types of Investments, to the extent owned by the Borrower or any of its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 free and clear of all Liens (other than Permitted Liens):</w:t>
      </w:r>
    </w:p>
    <w:p>
      <w:pPr>
        <w:spacing w:after="0" w:line="193" w:lineRule="exact"/>
        <w:rPr>
          <w:sz w:val="20"/>
          <w:szCs w:val="20"/>
          <w:color w:val="auto"/>
        </w:rPr>
      </w:pPr>
    </w:p>
    <w:p>
      <w:pPr>
        <w:jc w:val="both"/>
        <w:ind w:left="760" w:firstLine="745"/>
        <w:spacing w:after="0" w:line="253"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obligations issued or directly and fully guaranteed or insured by the United States or any agency or instrumentality thereof having maturities of not more than three hundred sixty days (360) days from the date of issuance thereof;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full faith and credit of the United States is pledged in support thereof;</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of this definition and (iii) has combined capital and surplus of at least $1,000,000,000, in each case with maturities of not more than ninety (90) days from the date of issuance thereof;</w:t>
      </w:r>
    </w:p>
    <w:p>
      <w:pPr>
        <w:spacing w:after="0" w:line="182"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issued by any Person organized under the laws of any state of the United States and rated at least “Prime-1” (or the then equivalent grade) by Moody’s or at least “A-1” (or the then equivalent grade) by S&amp;P, in each case with maturities of not more than one hundred eighty (180) days from the date of issuance thereof;</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at least 90% of the assets of which are invested in Investments of the character, quality and maturity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of this definition; and</w:t>
      </w:r>
    </w:p>
    <w:p>
      <w:pPr>
        <w:spacing w:after="0" w:line="178"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instruments equivalent to those referred to in clauses (a) through (d)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74"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Management Agreement</w:t>
      </w:r>
      <w:r>
        <w:rPr>
          <w:rFonts w:ascii="Times New Roman" w:cs="Times New Roman" w:eastAsia="Times New Roman" w:hAnsi="Times New Roman"/>
          <w:sz w:val="20"/>
          <w:szCs w:val="20"/>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9" w:name="page60"/>
    <w:bookmarkEnd w:id="59"/>
    <w:p>
      <w:pPr>
        <w:jc w:val="both"/>
        <w:ind w:firstLine="101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Management Bank</w:t>
      </w:r>
      <w:r>
        <w:rPr>
          <w:rFonts w:ascii="Times New Roman" w:cs="Times New Roman" w:eastAsia="Times New Roman" w:hAnsi="Times New Roman"/>
          <w:sz w:val="20"/>
          <w:szCs w:val="20"/>
          <w:color w:val="auto"/>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79"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CFC</w:t>
      </w:r>
      <w:r>
        <w:rPr>
          <w:rFonts w:ascii="Times New Roman" w:cs="Times New Roman" w:eastAsia="Times New Roman" w:hAnsi="Times New Roman"/>
          <w:sz w:val="20"/>
          <w:szCs w:val="20"/>
          <w:color w:val="auto"/>
        </w:rPr>
        <w:t>” means a Person that is a controlled foreign corporation under Section 957 of the Code in which the Borrower or any Loan Party is a United States shareholder within the meaning of Section 951(b) of the Code.</w:t>
      </w:r>
    </w:p>
    <w:p>
      <w:pPr>
        <w:spacing w:after="0" w:line="153"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Change in Law</w:t>
      </w:r>
      <w:r>
        <w:rPr>
          <w:rFonts w:ascii="Times New Roman" w:cs="Times New Roman" w:eastAsia="Times New Roman" w:hAnsi="Times New Roman"/>
          <w:sz w:val="20"/>
          <w:szCs w:val="20"/>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Change of Control</w:t>
      </w:r>
      <w:r>
        <w:rPr>
          <w:rFonts w:ascii="Times New Roman" w:cs="Times New Roman" w:eastAsia="Times New Roman" w:hAnsi="Times New Roman"/>
          <w:sz w:val="20"/>
          <w:szCs w:val="20"/>
          <w:color w:val="auto"/>
        </w:rPr>
        <w:t>” means an event or series of events by which:</w:t>
      </w:r>
    </w:p>
    <w:p>
      <w:pPr>
        <w:spacing w:after="0" w:line="219" w:lineRule="exact"/>
        <w:rPr>
          <w:sz w:val="20"/>
          <w:szCs w:val="20"/>
          <w:color w:val="auto"/>
        </w:rPr>
      </w:pPr>
    </w:p>
    <w:p>
      <w:pPr>
        <w:jc w:val="both"/>
        <w:ind w:left="760" w:firstLine="745"/>
        <w:spacing w:after="0" w:line="256" w:lineRule="auto"/>
        <w:tabs>
          <w:tab w:leader="none" w:pos="1904"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the Permitted Equity Investors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19"/>
          <w:szCs w:val="19"/>
          <w:u w:val="single" w:color="auto"/>
          <w:color w:val="auto"/>
        </w:rPr>
        <w:t>option right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Person shall not be deemed to have beneficial ownership of securities subject to a stock purchase agreement, merger agreement or similar agreement until the consummation of the transactions contemplated by such agreement unless such Person has the right to vote or direct the voting of such securities), directly or indirectly, of thirty-five percent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173" w:lineRule="exact"/>
        <w:rPr>
          <w:rFonts w:ascii="Times New Roman" w:cs="Times New Roman" w:eastAsia="Times New Roman" w:hAnsi="Times New Roman"/>
          <w:sz w:val="19"/>
          <w:szCs w:val="19"/>
          <w:color w:val="auto"/>
        </w:rPr>
      </w:pPr>
    </w:p>
    <w:p>
      <w:pPr>
        <w:jc w:val="both"/>
        <w:ind w:left="760" w:firstLine="745"/>
        <w:spacing w:after="0" w:line="246"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any period of twelve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nominated, appointed or approved by individuals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above constituting at the time of such election or nomination at least a majority of that board or equivalent governing body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0" w:name="page61"/>
    <w:bookmarkEnd w:id="60"/>
    <w:p>
      <w:pPr>
        <w:jc w:val="both"/>
        <w:ind w:left="760"/>
        <w:spacing w:after="0" w:line="253" w:lineRule="auto"/>
        <w:rPr>
          <w:sz w:val="20"/>
          <w:szCs w:val="20"/>
          <w:color w:val="auto"/>
        </w:rPr>
      </w:pPr>
      <w:r>
        <w:rPr>
          <w:rFonts w:ascii="Times New Roman" w:cs="Times New Roman" w:eastAsia="Times New Roman" w:hAnsi="Times New Roman"/>
          <w:sz w:val="20"/>
          <w:szCs w:val="20"/>
          <w:color w:val="auto"/>
        </w:rPr>
        <w:t xml:space="preserve">or (iii) whose election or nomination to that board or other equivalent governing body was nominated, appointed or approved by individuals referred to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above constituting at the time of such election or nomination at least a majority of that board or equivalent governing body.</w:t>
      </w:r>
    </w:p>
    <w:p>
      <w:pPr>
        <w:spacing w:after="0" w:line="172"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Class</w:t>
      </w:r>
      <w:r>
        <w:rPr>
          <w:rFonts w:ascii="Times New Roman" w:cs="Times New Roman" w:eastAsia="Times New Roman" w:hAnsi="Times New Roman"/>
          <w:sz w:val="20"/>
          <w:szCs w:val="20"/>
          <w:color w:val="auto"/>
        </w:rPr>
        <w:t>”, when used in reference to any Loan or Borrowing, refers to whether such Loan, or the Loans comprising such Borrowing, are Revolving Loans or Term Loans and, when used in reference to any Commitment, refers to whether such Commitment is a Revolving Commitment or Term Commitment.</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CME</w:t>
      </w:r>
      <w:r>
        <w:rPr>
          <w:rFonts w:ascii="Times New Roman" w:cs="Times New Roman" w:eastAsia="Times New Roman" w:hAnsi="Times New Roman"/>
          <w:sz w:val="20"/>
          <w:szCs w:val="20"/>
          <w:u w:val="single" w:color="auto"/>
          <w:color w:val="0000FF"/>
        </w:rPr>
        <w:t>” means CME Group Benchmark Administration Limited.</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Closing Date</w:t>
      </w:r>
      <w:r>
        <w:rPr>
          <w:rFonts w:ascii="Times New Roman" w:cs="Times New Roman" w:eastAsia="Times New Roman" w:hAnsi="Times New Roman"/>
          <w:sz w:val="20"/>
          <w:szCs w:val="20"/>
          <w:color w:val="auto"/>
        </w:rPr>
        <w:t>” means the date hereof.</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Collateral</w:t>
      </w:r>
      <w:r>
        <w:rPr>
          <w:rFonts w:ascii="Times New Roman" w:cs="Times New Roman" w:eastAsia="Times New Roman" w:hAnsi="Times New Roman"/>
          <w:sz w:val="20"/>
          <w:szCs w:val="20"/>
          <w:color w:val="auto"/>
        </w:rPr>
        <w:t>” means all of the “Collateral” and “Mortgaged Property” referred to in the Collateral Documents and all of the other property that is or is intended under the terms of the Collateral Documents to be subject to Liens in favor of the Administrative Agent for the benefit of the Secured Parties.</w:t>
      </w:r>
    </w:p>
    <w:p>
      <w:pPr>
        <w:spacing w:after="0" w:line="170" w:lineRule="exact"/>
        <w:rPr>
          <w:sz w:val="20"/>
          <w:szCs w:val="20"/>
          <w:color w:val="auto"/>
        </w:rPr>
      </w:pPr>
    </w:p>
    <w:p>
      <w:pPr>
        <w:jc w:val="both"/>
        <w:ind w:firstLine="101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Collateral Documents</w:t>
      </w:r>
      <w:r>
        <w:rPr>
          <w:rFonts w:ascii="Times New Roman" w:cs="Times New Roman" w:eastAsia="Times New Roman" w:hAnsi="Times New Roman"/>
          <w:sz w:val="20"/>
          <w:szCs w:val="20"/>
          <w:color w:val="auto"/>
        </w:rPr>
        <w:t xml:space="preserve">” means, collectively, the Security Agreement, the Mortgages (if any), any related Mortgaged Property Support Documents, each Joinder Agreement, each of the collateral assignments, security agreements, pledge agreements, account control agreements or other similar agreements delivered to the Administrative Agent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and each of the other agreements, instruments or documents that creates or purports to create a Lien securing the Secured Obligations in favor of the Administrative Agent for the benefit of the Secured Parties.</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Commitment</w:t>
      </w:r>
      <w:r>
        <w:rPr>
          <w:rFonts w:ascii="Times New Roman" w:cs="Times New Roman" w:eastAsia="Times New Roman" w:hAnsi="Times New Roman"/>
          <w:sz w:val="20"/>
          <w:szCs w:val="20"/>
          <w:color w:val="auto"/>
        </w:rPr>
        <w:t>” means a Term Commitment, Revolving Commitment or an Incremental Term Commitment, as the context may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w:t>
      </w:r>
    </w:p>
    <w:p>
      <w:pPr>
        <w:spacing w:after="0" w:line="189"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5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Competitor</w:t>
      </w:r>
      <w:r>
        <w:rPr>
          <w:rFonts w:ascii="Times New Roman" w:cs="Times New Roman" w:eastAsia="Times New Roman" w:hAnsi="Times New Roman"/>
          <w:sz w:val="20"/>
          <w:szCs w:val="20"/>
          <w:color w:val="auto"/>
        </w:rPr>
        <w:t>” means any competitor of the Borrower or any of its Subsidiaries that is in the same or a similar line of business as the Borrower or any of its Subsidiaries.</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57" w:lineRule="auto"/>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i w:val="1"/>
          <w:iCs w:val="1"/>
          <w:u w:val="single" w:color="auto"/>
          <w:color w:val="auto"/>
        </w:rPr>
        <w:t>Conforming Changes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means, with respect to the use, administration of or any conventions associated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BSBY</w:t>
      </w:r>
      <w:r>
        <w:rPr>
          <w:rFonts w:ascii="Times New Roman" w:cs="Times New Roman" w:eastAsia="Times New Roman" w:hAnsi="Times New Roman"/>
          <w:sz w:val="19"/>
          <w:szCs w:val="19"/>
          <w:u w:val="single" w:color="auto"/>
          <w:color w:val="0000FF"/>
        </w:rPr>
        <w:t>SOFR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any proposed Successor Rate </w:t>
      </w:r>
      <w:r>
        <w:rPr>
          <w:rFonts w:ascii="Times New Roman" w:cs="Times New Roman" w:eastAsia="Times New Roman" w:hAnsi="Times New Roman"/>
          <w:sz w:val="19"/>
          <w:szCs w:val="19"/>
          <w:color w:val="0000FF"/>
        </w:rPr>
        <w:t>or Term SOFR</w:t>
      </w:r>
      <w:r>
        <w:rPr>
          <w:rFonts w:ascii="Times New Roman" w:cs="Times New Roman" w:eastAsia="Times New Roman" w:hAnsi="Times New Roman"/>
          <w:sz w:val="19"/>
          <w:szCs w:val="19"/>
          <w:color w:val="auto"/>
        </w:rPr>
        <w:t xml:space="preserve">, as applicable, any conforming changes to the definitions of </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Base Rate</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BSBY</w:t>
      </w:r>
      <w:r>
        <w:rPr>
          <w:rFonts w:ascii="Times New Roman" w:cs="Times New Roman" w:eastAsia="Times New Roman" w:hAnsi="Times New Roman"/>
          <w:sz w:val="19"/>
          <w:szCs w:val="19"/>
          <w:u w:val="single" w:color="auto"/>
          <w:color w:val="0000FF"/>
        </w:rPr>
        <w:t>“SOFR”, “Term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SOFR”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000000"/>
        </w:rPr>
        <w:t>Interest Period</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000000"/>
        </w:rPr>
        <w:t>, timing and frequency of determining rates and making payments of interest and other technical, administrative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or operational matters (including, for the avoidance of doubt, the </w:t>
      </w:r>
      <w:r>
        <w:rPr>
          <w:rFonts w:ascii="Times New Roman" w:cs="Times New Roman" w:eastAsia="Times New Roman" w:hAnsi="Times New Roman"/>
          <w:sz w:val="19"/>
          <w:szCs w:val="19"/>
          <w:color w:val="FF0000"/>
          <w:strike w:val="1"/>
        </w:rPr>
        <w:t>definition of</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definitions of “</w:t>
      </w:r>
      <w:r>
        <w:rPr>
          <w:rFonts w:ascii="Times New Roman" w:cs="Times New Roman" w:eastAsia="Times New Roman" w:hAnsi="Times New Roman"/>
          <w:sz w:val="19"/>
          <w:szCs w:val="19"/>
          <w:color w:val="000000"/>
        </w:rPr>
        <w:t>Business Day</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0000FF"/>
        </w:rPr>
        <w:t>” and “U.S. Government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Securities Business Day”,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timing of borrowing requests or prepayment, conversion or continuation notices and length of lookback periods) as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may be appropriate, in the discretion of the Administrative Agent, to reflect the adoption and implementation of such applicable rate</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u w:val="single" w:color="auto"/>
          <w:color w:val="0000FF"/>
        </w:rPr>
        <w:t>(s)</w:t>
      </w:r>
      <w:r>
        <w:rPr>
          <w:rFonts w:ascii="Times New Roman" w:cs="Times New Roman" w:eastAsia="Times New Roman" w:hAnsi="Times New Roman"/>
          <w:sz w:val="19"/>
          <w:szCs w:val="19"/>
          <w:color w:val="000000"/>
        </w:rPr>
        <w:t xml:space="preserv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-1054100</wp:posOffset>
            </wp:positionV>
            <wp:extent cx="7753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77533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color w:val="auto"/>
        </w:rPr>
        <w:t>reasonably necessary in connection with the administration of this Agreement and any other Loan Document).</w:t>
      </w:r>
    </w:p>
    <w:p>
      <w:pPr>
        <w:spacing w:after="0" w:line="211"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w:t>
      </w:r>
      <w:r>
        <w:rPr>
          <w:rFonts w:ascii="Times New Roman" w:cs="Times New Roman" w:eastAsia="Times New Roman" w:hAnsi="Times New Roman"/>
          <w:sz w:val="20"/>
          <w:szCs w:val="20"/>
          <w:color w:val="auto"/>
        </w:rPr>
        <w:t>” means, when used with reference to financial statements or financial statement items of the Borrower and its Subsidiaries or any other Person, such statements or items on a consolidated basis in accordance with the consolidation principles of GAAP.</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EBITDA</w:t>
      </w:r>
      <w:r>
        <w:rPr>
          <w:rFonts w:ascii="Times New Roman" w:cs="Times New Roman" w:eastAsia="Times New Roman" w:hAnsi="Times New Roman"/>
          <w:sz w:val="20"/>
          <w:szCs w:val="20"/>
          <w:color w:val="auto"/>
        </w:rPr>
        <w:t xml:space="preserve">” means, for any period, for the Borrower on a Consolidated basis, an amount equal to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 the following (without duplication) to the extent (other than the case of clause (iv) below) deducted in calculating such Consolidated Net Income, all as determined in accordance with GAAP:</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(i)Consolidated Interest Charges for such period;</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(ii)the provision for federal, state, local and foreign income taxes payable by the Borrower for such period;</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(iii)depreciation and amortization expense for such period;</w:t>
      </w:r>
    </w:p>
    <w:p>
      <w:pPr>
        <w:spacing w:after="0" w:line="215" w:lineRule="exact"/>
        <w:rPr>
          <w:sz w:val="20"/>
          <w:szCs w:val="20"/>
          <w:color w:val="auto"/>
        </w:rPr>
      </w:pPr>
    </w:p>
    <w:p>
      <w:pPr>
        <w:jc w:val="both"/>
        <w:ind w:left="760" w:firstLine="749"/>
        <w:spacing w:after="0" w:line="241" w:lineRule="auto"/>
        <w:rPr>
          <w:sz w:val="20"/>
          <w:szCs w:val="20"/>
          <w:color w:val="auto"/>
        </w:rPr>
      </w:pPr>
      <w:r>
        <w:rPr>
          <w:rFonts w:ascii="Times New Roman" w:cs="Times New Roman" w:eastAsia="Times New Roman" w:hAnsi="Times New Roman"/>
          <w:sz w:val="20"/>
          <w:szCs w:val="20"/>
          <w:color w:val="auto"/>
        </w:rPr>
        <w:t xml:space="preserve">(iv)the amount of net “run rate” cost savings, operating expense reductions and synergies for such period projected by the Borrower in good faith to be realized as a result of actions which have been taken, which are committed to be taken or which the Borrower expects to be taken in connection with Acquisitions, divestitures, other specified transactions, restructurings, cost savings initiatives and other initiatives or otherwise, in each case, after the Closing Date, net of the amount of actual benefits realized during such period from such actions;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a duly completed certificate signed by a Responsible Officer of the Borrower shall be delivered to the Administrative Agent together with the Compliance Certificate required to be delivered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certifying that such cost savings, operating expense reductions and synergies (x) are reasonably anticipated to be realized within twelve (12) months (or if in connection with an Acquisition with a Cost of Acquisition in excess of $150,000,000, eighteen (18) months) after the consummation of the action which is expected to result in such cost savings, operating expense reductions or synergies and (y) are factually supportable as determined in good faith by the Borrower, (B) no cost savings, operating expense reductions or synergies shall be added pursuant to this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to the extent duplicative of any expenses or charges otherwise added to, or included in, Consolidated Net Income, whether through a pro forma adjustment or otherwise, for such period, and (C) projected amounts (that are not yet realized) may no longer be added in calculating Consolidated EBITDA pursuant to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(a)(iv)</w:t>
      </w:r>
      <w:r>
        <w:rPr>
          <w:rFonts w:ascii="Times New Roman" w:cs="Times New Roman" w:eastAsia="Times New Roman" w:hAnsi="Times New Roman"/>
          <w:sz w:val="20"/>
          <w:szCs w:val="20"/>
          <w:color w:val="auto"/>
        </w:rPr>
        <w:t xml:space="preserve"> to the extent occurring more than twelve (12) months (or if in connection with an Acquisition with a Cost of Acquisition in excess of $150,000,000, eighteen (18) months) after the specified action taken in order to realize such projected cost savings, operating expense reductions or synergies;</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(v)all unusual or non-recurring losses, costs, charges and expenses for such period;</w:t>
      </w:r>
    </w:p>
    <w:p>
      <w:pPr>
        <w:spacing w:after="0" w:line="215" w:lineRule="exact"/>
        <w:rPr>
          <w:sz w:val="20"/>
          <w:szCs w:val="20"/>
          <w:color w:val="auto"/>
        </w:rPr>
      </w:pPr>
    </w:p>
    <w:p>
      <w:pPr>
        <w:jc w:val="both"/>
        <w:ind w:left="760" w:firstLine="749"/>
        <w:spacing w:after="0" w:line="249" w:lineRule="auto"/>
        <w:rPr>
          <w:sz w:val="20"/>
          <w:szCs w:val="20"/>
          <w:color w:val="auto"/>
        </w:rPr>
      </w:pPr>
      <w:r>
        <w:rPr>
          <w:rFonts w:ascii="Times New Roman" w:cs="Times New Roman" w:eastAsia="Times New Roman" w:hAnsi="Times New Roman"/>
          <w:sz w:val="20"/>
          <w:szCs w:val="20"/>
          <w:color w:val="auto"/>
        </w:rPr>
        <w:t>(vi)restructuring charges, severance, relocation costs, integration and facilities opening costs, and other business optimization expenses, product launch costs, research and development costs for new products, marketing expenses for new products, signing costs, retention or completion bonuses, transition costs, costs related to closure/consolidation of facilities and curtailments 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2" w:name="page63"/>
    <w:bookmarkEnd w:id="62"/>
    <w:p>
      <w:pPr>
        <w:jc w:val="both"/>
        <w:ind w:left="760"/>
        <w:spacing w:after="0" w:line="268" w:lineRule="auto"/>
        <w:rPr>
          <w:sz w:val="20"/>
          <w:szCs w:val="20"/>
          <w:color w:val="auto"/>
        </w:rPr>
      </w:pPr>
      <w:r>
        <w:rPr>
          <w:rFonts w:ascii="Times New Roman" w:cs="Times New Roman" w:eastAsia="Times New Roman" w:hAnsi="Times New Roman"/>
          <w:sz w:val="20"/>
          <w:szCs w:val="20"/>
          <w:color w:val="auto"/>
        </w:rPr>
        <w:t>modifications to pension and post-retirement employee benefit plans (including any settlement of pension liabilities), in each case, for such period;</w:t>
      </w:r>
    </w:p>
    <w:p>
      <w:pPr>
        <w:spacing w:after="0" w:line="161" w:lineRule="exact"/>
        <w:rPr>
          <w:sz w:val="20"/>
          <w:szCs w:val="20"/>
          <w:color w:val="auto"/>
        </w:rPr>
      </w:pPr>
    </w:p>
    <w:p>
      <w:pPr>
        <w:jc w:val="both"/>
        <w:ind w:left="760" w:firstLine="749"/>
        <w:spacing w:after="0" w:line="254" w:lineRule="auto"/>
        <w:rPr>
          <w:sz w:val="20"/>
          <w:szCs w:val="20"/>
          <w:color w:val="auto"/>
        </w:rPr>
      </w:pPr>
      <w:r>
        <w:rPr>
          <w:rFonts w:ascii="Times New Roman" w:cs="Times New Roman" w:eastAsia="Times New Roman" w:hAnsi="Times New Roman"/>
          <w:sz w:val="19"/>
          <w:szCs w:val="19"/>
          <w:color w:val="auto"/>
        </w:rPr>
        <w:t xml:space="preserve">(vii)(A) fees, costs and expenses incurred for such period in connection with obtaining the Facilities and the negotiation, execution and delivery of the Loan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such fees, costs and expenses are incurred prior to, or within six (6) months of, the Closing Date, and (B)(x) fees, costs and expenses for such period incurred in connection with any Investment, any issuance of Indebtedness or Equity Interests, any Disposition or any Involuntary Disposition, in each case, whether or not consummated, (y) fees, costs and expenses for such period incurred in connection with any amendments to, or consents or waivers under, documentation governing transactions described in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(including the Loan Documents and any documentation governing any Indebtedness permitted hereunder) and (z) fees, costs and expenses to the extent indemnified by a third party (for the avoidance of doubt, other than the Borrower), so long as such amounts are actually reimbursed to the Borrower in cash within one</w:t>
      </w:r>
    </w:p>
    <w:p>
      <w:pPr>
        <w:spacing w:after="0" w:line="6" w:lineRule="exact"/>
        <w:rPr>
          <w:sz w:val="20"/>
          <w:szCs w:val="20"/>
          <w:color w:val="auto"/>
        </w:rPr>
      </w:pPr>
    </w:p>
    <w:p>
      <w:pPr>
        <w:ind w:left="760" w:hanging="3"/>
        <w:spacing w:after="0" w:line="245" w:lineRule="auto"/>
        <w:tabs>
          <w:tab w:leader="none" w:pos="107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year after the related amount is first added to Consolidated EBITDA pursuant to this </w:t>
      </w:r>
      <w:r>
        <w:rPr>
          <w:rFonts w:ascii="Times New Roman" w:cs="Times New Roman" w:eastAsia="Times New Roman" w:hAnsi="Times New Roman"/>
          <w:sz w:val="20"/>
          <w:szCs w:val="20"/>
          <w:u w:val="single" w:color="auto"/>
          <w:color w:val="auto"/>
        </w:rPr>
        <w:t>clause (a)(vii)(B)(z)</w:t>
      </w:r>
      <w:r>
        <w:rPr>
          <w:rFonts w:ascii="Times New Roman" w:cs="Times New Roman" w:eastAsia="Times New Roman" w:hAnsi="Times New Roman"/>
          <w:sz w:val="20"/>
          <w:szCs w:val="20"/>
          <w:color w:val="auto"/>
        </w:rPr>
        <w:t xml:space="preserve"> (and if not so reimbursed within one year, such amount shall be deducted from Consolidated EBITDA during the next Measurement Period);</w:t>
      </w:r>
    </w:p>
    <w:p>
      <w:pPr>
        <w:spacing w:after="0" w:line="183" w:lineRule="exact"/>
        <w:rPr>
          <w:sz w:val="20"/>
          <w:szCs w:val="20"/>
          <w:color w:val="auto"/>
        </w:rPr>
      </w:pPr>
    </w:p>
    <w:p>
      <w:pPr>
        <w:jc w:val="both"/>
        <w:ind w:left="760" w:firstLine="749"/>
        <w:spacing w:after="0" w:line="253" w:lineRule="auto"/>
        <w:rPr>
          <w:sz w:val="20"/>
          <w:szCs w:val="20"/>
          <w:color w:val="auto"/>
        </w:rPr>
      </w:pPr>
      <w:r>
        <w:rPr>
          <w:rFonts w:ascii="Times New Roman" w:cs="Times New Roman" w:eastAsia="Times New Roman" w:hAnsi="Times New Roman"/>
          <w:sz w:val="20"/>
          <w:szCs w:val="20"/>
          <w:color w:val="auto"/>
        </w:rPr>
        <w:t>(viii)proceeds from business interruption insurance received in such period in an amount representing the earnings for such period that such proceeds are intended to replace (to the extent not reflected as revenue or income in Consolidated Net Income and to the extent that the related loss was deducted in the determination of Consolidated Net Income);</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(ix)non-cash stock based compensation expenses for such period;</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(x)the amount of any earn-out obligations that become due and payable and are paid or accrue during such period;</w:t>
      </w:r>
    </w:p>
    <w:p>
      <w:pPr>
        <w:spacing w:after="0" w:line="215" w:lineRule="exact"/>
        <w:rPr>
          <w:sz w:val="20"/>
          <w:szCs w:val="20"/>
          <w:color w:val="auto"/>
        </w:rPr>
      </w:pPr>
    </w:p>
    <w:p>
      <w:pPr>
        <w:jc w:val="both"/>
        <w:ind w:left="760" w:firstLine="749"/>
        <w:spacing w:after="0" w:line="249" w:lineRule="auto"/>
        <w:rPr>
          <w:sz w:val="20"/>
          <w:szCs w:val="20"/>
          <w:color w:val="auto"/>
        </w:rPr>
      </w:pPr>
      <w:r>
        <w:rPr>
          <w:rFonts w:ascii="Times New Roman" w:cs="Times New Roman" w:eastAsia="Times New Roman" w:hAnsi="Times New Roman"/>
          <w:sz w:val="20"/>
          <w:szCs w:val="20"/>
          <w:color w:val="auto"/>
        </w:rPr>
        <w:t>(xi)realized foreign exchange losses resulting from the impact of foreign currency changes and related tax effects determined in accordance with GAAP on the valuation of assets or liabilities on the balance sheet of the Borrower and its Subsidiaries, and any exchange, translation or performance losses relating to any foreign currency hedging transactions for such period;</w:t>
      </w:r>
    </w:p>
    <w:p>
      <w:pPr>
        <w:spacing w:after="0" w:line="178" w:lineRule="exact"/>
        <w:rPr>
          <w:sz w:val="20"/>
          <w:szCs w:val="20"/>
          <w:color w:val="auto"/>
        </w:rPr>
      </w:pPr>
    </w:p>
    <w:p>
      <w:pPr>
        <w:jc w:val="both"/>
        <w:ind w:left="760" w:firstLine="749"/>
        <w:spacing w:after="0" w:line="253" w:lineRule="auto"/>
        <w:rPr>
          <w:sz w:val="20"/>
          <w:szCs w:val="20"/>
          <w:color w:val="auto"/>
        </w:rPr>
      </w:pPr>
      <w:r>
        <w:rPr>
          <w:rFonts w:ascii="Times New Roman" w:cs="Times New Roman" w:eastAsia="Times New Roman" w:hAnsi="Times New Roman"/>
          <w:sz w:val="20"/>
          <w:szCs w:val="20"/>
          <w:color w:val="auto"/>
        </w:rPr>
        <w:t>(xii)any losses during such period resulting from the Disposition of any asset of the Borrower outside of the ordinary course of business, including, without limitation, any net loss from discontinued operations and any net loss on the disposal of discontinued operations; and</w:t>
      </w:r>
    </w:p>
    <w:p>
      <w:pPr>
        <w:spacing w:after="0" w:line="176" w:lineRule="exact"/>
        <w:rPr>
          <w:sz w:val="20"/>
          <w:szCs w:val="20"/>
          <w:color w:val="auto"/>
        </w:rPr>
      </w:pPr>
    </w:p>
    <w:p>
      <w:pPr>
        <w:jc w:val="both"/>
        <w:ind w:left="760" w:firstLine="749"/>
        <w:spacing w:after="0" w:line="253" w:lineRule="auto"/>
        <w:rPr>
          <w:sz w:val="20"/>
          <w:szCs w:val="20"/>
          <w:color w:val="auto"/>
        </w:rPr>
      </w:pPr>
      <w:r>
        <w:rPr>
          <w:rFonts w:ascii="Times New Roman" w:cs="Times New Roman" w:eastAsia="Times New Roman" w:hAnsi="Times New Roman"/>
          <w:sz w:val="20"/>
          <w:szCs w:val="20"/>
          <w:color w:val="auto"/>
        </w:rPr>
        <w:t>(xiii)any other non-cash charges, expenses or losses for such period (excluding write-downs of accounts receivable and any other non-cash charges, expenses or losses to the extent representing accruals of or reserves for cash expenses in any future period or an amortization of a prepaid cash expense);</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215" w:lineRule="exact"/>
        <w:rPr>
          <w:sz w:val="20"/>
          <w:szCs w:val="20"/>
          <w:color w:val="auto"/>
        </w:rPr>
      </w:pPr>
    </w:p>
    <w:p>
      <w:pPr>
        <w:ind w:right="20" w:firstLine="757"/>
        <w:spacing w:after="0" w:line="268" w:lineRule="auto"/>
        <w:tabs>
          <w:tab w:leader="none" w:pos="11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(without duplication) to the extent included in calculating such Consolidated Net Income, all as determined in accordance with GAAP:</w:t>
      </w:r>
    </w:p>
    <w:p>
      <w:pPr>
        <w:spacing w:after="0" w:line="16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(i)all non-cash income or gains for such period;</w:t>
      </w:r>
    </w:p>
    <w:p>
      <w:pPr>
        <w:spacing w:after="0" w:line="215" w:lineRule="exact"/>
        <w:rPr>
          <w:sz w:val="20"/>
          <w:szCs w:val="20"/>
          <w:color w:val="auto"/>
        </w:rPr>
      </w:pPr>
    </w:p>
    <w:p>
      <w:pPr>
        <w:ind w:left="760" w:right="20" w:firstLine="749"/>
        <w:spacing w:after="0" w:line="268" w:lineRule="auto"/>
        <w:rPr>
          <w:sz w:val="20"/>
          <w:szCs w:val="20"/>
          <w:color w:val="auto"/>
        </w:rPr>
      </w:pPr>
      <w:r>
        <w:rPr>
          <w:rFonts w:ascii="Times New Roman" w:cs="Times New Roman" w:eastAsia="Times New Roman" w:hAnsi="Times New Roman"/>
          <w:sz w:val="20"/>
          <w:szCs w:val="20"/>
          <w:color w:val="auto"/>
        </w:rPr>
        <w:t>(ii)any gains during such period resulting from the Disposition of any asset of the Borrower outside of the ordinary course of business, including, without limitation, any net income or gain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3" w:name="page64"/>
    <w:bookmarkEnd w:id="63"/>
    <w:p>
      <w:pPr>
        <w:ind w:left="760"/>
        <w:spacing w:after="0"/>
        <w:rPr>
          <w:sz w:val="20"/>
          <w:szCs w:val="20"/>
          <w:color w:val="auto"/>
        </w:rPr>
      </w:pPr>
      <w:r>
        <w:rPr>
          <w:rFonts w:ascii="Times New Roman" w:cs="Times New Roman" w:eastAsia="Times New Roman" w:hAnsi="Times New Roman"/>
          <w:sz w:val="20"/>
          <w:szCs w:val="20"/>
          <w:color w:val="auto"/>
        </w:rPr>
        <w:t>from discontinued operations and any net income or gain on the disposal of discontinued operations;</w:t>
      </w:r>
    </w:p>
    <w:p>
      <w:pPr>
        <w:spacing w:after="0" w:line="215" w:lineRule="exact"/>
        <w:rPr>
          <w:sz w:val="20"/>
          <w:szCs w:val="20"/>
          <w:color w:val="auto"/>
        </w:rPr>
      </w:pPr>
    </w:p>
    <w:p>
      <w:pPr>
        <w:jc w:val="both"/>
        <w:ind w:left="760" w:firstLine="749"/>
        <w:spacing w:after="0" w:line="249" w:lineRule="auto"/>
        <w:rPr>
          <w:sz w:val="20"/>
          <w:szCs w:val="20"/>
          <w:color w:val="auto"/>
        </w:rPr>
      </w:pPr>
      <w:r>
        <w:rPr>
          <w:rFonts w:ascii="Times New Roman" w:cs="Times New Roman" w:eastAsia="Times New Roman" w:hAnsi="Times New Roman"/>
          <w:sz w:val="20"/>
          <w:szCs w:val="20"/>
          <w:color w:val="auto"/>
        </w:rPr>
        <w:t>(iii)realized foreign exchange income or gains resulting from the impact of foreign currency changes and related tax effects determined in accordance with GAAP on the valuation of assets or liabilities on the balance sheet of the Borrower and its Subsidiaries, and any exchange, translation or performance income or gains relating to any foreign currency hedging transactions for such period; and</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(iii)federal, state, local and foreign income tax credits of the Borrower during such period;</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the foregoing, it is understood and agreed that the aggregate amount added back pursuant to </w:t>
      </w:r>
      <w:r>
        <w:rPr>
          <w:rFonts w:ascii="Times New Roman" w:cs="Times New Roman" w:eastAsia="Times New Roman" w:hAnsi="Times New Roman"/>
          <w:sz w:val="20"/>
          <w:szCs w:val="20"/>
          <w:u w:val="single" w:color="auto"/>
          <w:color w:val="auto"/>
        </w:rPr>
        <w:t>clauses (a)(iv)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(a)(vi)</w:t>
      </w:r>
      <w:r>
        <w:rPr>
          <w:rFonts w:ascii="Times New Roman" w:cs="Times New Roman" w:eastAsia="Times New Roman" w:hAnsi="Times New Roman"/>
          <w:sz w:val="20"/>
          <w:szCs w:val="20"/>
          <w:color w:val="auto"/>
        </w:rPr>
        <w:t xml:space="preserve"> for any period shall not exceed twenty percent (20%) of Consolidated EBITDA for such period prior to giving effect to all such add-backs for such period.</w:t>
      </w:r>
    </w:p>
    <w:p>
      <w:pPr>
        <w:spacing w:after="0" w:line="172" w:lineRule="exact"/>
        <w:rPr>
          <w:sz w:val="20"/>
          <w:szCs w:val="20"/>
          <w:color w:val="auto"/>
        </w:rPr>
      </w:pPr>
    </w:p>
    <w:p>
      <w:pPr>
        <w:jc w:val="both"/>
        <w:ind w:firstLine="101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Funded Indebtedness</w:t>
      </w:r>
      <w:r>
        <w:rPr>
          <w:rFonts w:ascii="Times New Roman" w:cs="Times New Roman" w:eastAsia="Times New Roman" w:hAnsi="Times New Roman"/>
          <w:sz w:val="20"/>
          <w:szCs w:val="20"/>
          <w:color w:val="auto"/>
        </w:rPr>
        <w:t xml:space="preserve">” means, as of any date of determination, for the Borrower and its Subsidiaries on a Consolidated basis, the </w:t>
      </w:r>
      <w:r>
        <w:rPr>
          <w:rFonts w:ascii="Times New Roman" w:cs="Times New Roman" w:eastAsia="Times New Roman" w:hAnsi="Times New Roman"/>
          <w:sz w:val="20"/>
          <w:szCs w:val="20"/>
          <w:i w:val="1"/>
          <w:iCs w:val="1"/>
          <w:color w:val="auto"/>
        </w:rPr>
        <w:t>sum of</w:t>
      </w:r>
      <w:r>
        <w:rPr>
          <w:rFonts w:ascii="Times New Roman" w:cs="Times New Roman" w:eastAsia="Times New Roman" w:hAnsi="Times New Roman"/>
          <w:sz w:val="20"/>
          <w:szCs w:val="20"/>
          <w:color w:val="auto"/>
        </w:rPr>
        <w:t>: (a) the outstanding principal amount of all obligations, whether current or long-term, for borrowed money (including Obligations hereunder) and all obligations evidenced by bonds, debentures, notes, loan agreements or other similar instruments;</w:t>
      </w:r>
    </w:p>
    <w:p>
      <w:pPr>
        <w:spacing w:after="0" w:line="1" w:lineRule="exact"/>
        <w:rPr>
          <w:sz w:val="20"/>
          <w:szCs w:val="20"/>
          <w:color w:val="auto"/>
        </w:rPr>
      </w:pPr>
    </w:p>
    <w:p>
      <w:pPr>
        <w:jc w:val="both"/>
        <w:ind w:firstLine="8"/>
        <w:spacing w:after="0" w:line="251" w:lineRule="auto"/>
        <w:tabs>
          <w:tab w:leader="none" w:pos="295"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purchase money Indebtedness; (c) all obligations in respect of unreimbursed drawings under letters of credit (including standby and commercial), bankers’ acceptances, bank guaranties, surety bonds and similar instruments; (d) all obligations in respect of the deferred purchase price of property or services (other than (i) trade accounts and other accounts payable in the ordinary course of business, (ii) deferred compensation accruals for payroll and accrued expenses in the ordinary course of business, and (iii) Earn Out Obligations to the extent not then due and payable and unpaid); (e) all Attributable Indebtedness; (f) all obligations to purchase, redeem, retire, defease or otherwise make any payment prior to the Maturity Date in respect of any Equity Interests or any warrant, right or option to acquire such Equity Interest, valued, in the case of a redeemable preferred interest, at the greater of its voluntary or involuntary liquidation preference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accrued and unpaid dividends; (g) without duplication, all Guarantees with respect to outstanding Indebtedness of the types specified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through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above of Persons other than the Borrower or any Subsidiary; and (h) all Indebtedness of the types referred to in </w:t>
      </w:r>
      <w:r>
        <w:rPr>
          <w:rFonts w:ascii="Times New Roman" w:cs="Times New Roman" w:eastAsia="Times New Roman" w:hAnsi="Times New Roman"/>
          <w:sz w:val="19"/>
          <w:szCs w:val="19"/>
          <w:u w:val="single" w:color="auto"/>
          <w:color w:val="auto"/>
        </w:rPr>
        <w:t>clauses</w:t>
      </w:r>
    </w:p>
    <w:p>
      <w:pPr>
        <w:spacing w:after="0" w:line="6" w:lineRule="exact"/>
        <w:rPr>
          <w:rFonts w:ascii="Times New Roman" w:cs="Times New Roman" w:eastAsia="Times New Roman" w:hAnsi="Times New Roman"/>
          <w:sz w:val="19"/>
          <w:szCs w:val="19"/>
          <w:color w:val="auto"/>
        </w:rPr>
      </w:pPr>
    </w:p>
    <w:p>
      <w:pPr>
        <w:jc w:val="both"/>
        <w:ind w:firstLine="8"/>
        <w:spacing w:after="0"/>
        <w:tabs>
          <w:tab w:leader="none" w:pos="269" w:val="left"/>
        </w:tabs>
        <w:numPr>
          <w:ilvl w:val="0"/>
          <w:numId w:val="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above of any partnership or joint venture (other than a joint venture that is itself a corporation or limited liability company or other limited liability legal entity) in which the Borrower or a Subsidiary is a general partner or joint venturer, unless such Indebtedness is expressly made non-recourse to the Borrower or such Subsidiary. For the avoidance of doubt, amounts advanced to Corsair Memory by the Permitted Factor in respect of Factor Risk Accounts (as defined in the Permitted Factoring Agreement) factored pursuant to the Permitted Factoring Program shall not be considered Consolidated Funded Indebtedness.</w:t>
      </w:r>
    </w:p>
    <w:p>
      <w:pPr>
        <w:spacing w:after="0" w:line="186" w:lineRule="exact"/>
        <w:rPr>
          <w:sz w:val="20"/>
          <w:szCs w:val="20"/>
          <w:color w:val="auto"/>
        </w:rPr>
      </w:pPr>
    </w:p>
    <w:p>
      <w:pPr>
        <w:jc w:val="both"/>
        <w:ind w:firstLine="101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Consolidated Interest Charges</w:t>
      </w:r>
      <w:r>
        <w:rPr>
          <w:rFonts w:ascii="Times New Roman" w:cs="Times New Roman" w:eastAsia="Times New Roman" w:hAnsi="Times New Roman"/>
          <w:sz w:val="19"/>
          <w:szCs w:val="19"/>
          <w:color w:val="auto"/>
        </w:rPr>
        <w:t xml:space="preserve">” means, for any Measurement Period, the </w:t>
      </w:r>
      <w:r>
        <w:rPr>
          <w:rFonts w:ascii="Times New Roman" w:cs="Times New Roman" w:eastAsia="Times New Roman" w:hAnsi="Times New Roman"/>
          <w:sz w:val="19"/>
          <w:szCs w:val="19"/>
          <w:i w:val="1"/>
          <w:iCs w:val="1"/>
          <w:color w:val="auto"/>
        </w:rPr>
        <w:t>sum of</w:t>
      </w:r>
      <w:r>
        <w:rPr>
          <w:rFonts w:ascii="Times New Roman" w:cs="Times New Roman" w:eastAsia="Times New Roman" w:hAnsi="Times New Roman"/>
          <w:sz w:val="19"/>
          <w:szCs w:val="19"/>
          <w:color w:val="auto"/>
        </w:rPr>
        <w:t xml:space="preserve"> (a) all interest, premium payments, debt discounts,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the Borrower and its Subsidiaries on a Consolidated basis for the most recently completed Measurement Period.</w:t>
      </w:r>
    </w:p>
    <w:p>
      <w:pPr>
        <w:spacing w:after="0" w:line="16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Interest Coverage Ratio</w:t>
      </w:r>
      <w:r>
        <w:rPr>
          <w:rFonts w:ascii="Times New Roman" w:cs="Times New Roman" w:eastAsia="Times New Roman" w:hAnsi="Times New Roman"/>
          <w:sz w:val="20"/>
          <w:szCs w:val="20"/>
          <w:color w:val="auto"/>
        </w:rPr>
        <w:t xml:space="preserve">” means, as of any date of determination, the ratio of (a) Consolidated EBITDA for the Measurement Period most recently completed on or prior to such date,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Consolidated Interest Charges paid in cash for the Measurement Period most recently completed on or prior to such date.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4" w:name="page65"/>
    <w:bookmarkEnd w:id="64"/>
    <w:p>
      <w:pPr>
        <w:jc w:val="both"/>
        <w:ind w:firstLine="101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Consolidated Net Income</w:t>
      </w:r>
      <w:r>
        <w:rPr>
          <w:rFonts w:ascii="Times New Roman" w:cs="Times New Roman" w:eastAsia="Times New Roman" w:hAnsi="Times New Roman"/>
          <w:sz w:val="19"/>
          <w:szCs w:val="19"/>
          <w:color w:val="auto"/>
        </w:rPr>
        <w:t xml:space="preserve">” means, at any date of determination, the net income (or loss) of the Borrower and its Subsidiaries on a Consolidated basis for the most recently completed Measurement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Consolidated Net Income shall exclude (a) unusual and infrequent gains and unusual and infrequent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Borrower’s equity in any net loss of any such Subsidiary for such Measurement Period shall be included in determining Consolidated Net Income, and (c) any income (or loss) for such Measurement Period of any Person if such Person is not a Subsidiary, except that the Borrower’s equity in the net income of any such Person for such Measurement Period shall be included in Consolidated Net Income up to the aggregate amount of cash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as described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of this proviso).</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Total Assets</w:t>
      </w:r>
      <w:r>
        <w:rPr>
          <w:rFonts w:ascii="Times New Roman" w:cs="Times New Roman" w:eastAsia="Times New Roman" w:hAnsi="Times New Roman"/>
          <w:sz w:val="20"/>
          <w:szCs w:val="20"/>
          <w:color w:val="auto"/>
        </w:rPr>
        <w:t>” means the total assets of the Borrower and its Subsidiaries on a Consolidated basis.</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Total Net Leverage Ratio</w:t>
      </w:r>
      <w:r>
        <w:rPr>
          <w:rFonts w:ascii="Times New Roman" w:cs="Times New Roman" w:eastAsia="Times New Roman" w:hAnsi="Times New Roman"/>
          <w:sz w:val="20"/>
          <w:szCs w:val="20"/>
          <w:color w:val="auto"/>
        </w:rPr>
        <w:t xml:space="preserve">” means, as of any date of determination, the ratio of (a) (i) Consolidated Funded Indebtedness as of such date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(ii) Unrestricted Cash as of such date </w:t>
      </w:r>
      <w:r>
        <w:rPr>
          <w:rFonts w:ascii="Times New Roman" w:cs="Times New Roman" w:eastAsia="Times New Roman" w:hAnsi="Times New Roman"/>
          <w:sz w:val="20"/>
          <w:szCs w:val="20"/>
          <w:i w:val="1"/>
          <w:iCs w:val="1"/>
          <w:u w:val="single" w:color="auto"/>
          <w:color w:val="auto"/>
        </w:rPr>
        <w:t>to</w:t>
      </w:r>
      <w:r>
        <w:rPr>
          <w:rFonts w:ascii="Times New Roman" w:cs="Times New Roman" w:eastAsia="Times New Roman" w:hAnsi="Times New Roman"/>
          <w:sz w:val="20"/>
          <w:szCs w:val="20"/>
          <w:color w:val="auto"/>
        </w:rPr>
        <w:t xml:space="preserve"> (b) Consolidated EBITDA of the Borrower and its Subsidiaries on a consolidated basis for the most recently completed Measurement Period.</w:t>
      </w:r>
    </w:p>
    <w:p>
      <w:pPr>
        <w:spacing w:after="0" w:line="170"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i w:val="1"/>
          <w:iCs w:val="1"/>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0"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Controlled Investment Affiliate</w:t>
      </w:r>
      <w:r>
        <w:rPr>
          <w:rFonts w:ascii="Times New Roman" w:cs="Times New Roman" w:eastAsia="Times New Roman" w:hAnsi="Times New Roman"/>
          <w:sz w:val="20"/>
          <w:szCs w:val="20"/>
          <w:color w:val="auto"/>
        </w:rPr>
        <w:t>” means, as applied to any Person, any other Person which directly or indirectly is in Control of, is Controlled by, or is under common Control with, such Person and is organized by such Person (or any Person Controlling, Controlled by or under common Control with such Person) primarily for making equity or debt investments in the Borrower or other portfolio companies of such Person.</w:t>
      </w:r>
    </w:p>
    <w:p>
      <w:pPr>
        <w:spacing w:after="0" w:line="174"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Convertible Indebtedness</w:t>
      </w:r>
      <w:r>
        <w:rPr>
          <w:rFonts w:ascii="Times New Roman" w:cs="Times New Roman" w:eastAsia="Times New Roman" w:hAnsi="Times New Roman"/>
          <w:sz w:val="20"/>
          <w:szCs w:val="20"/>
          <w:color w:val="auto"/>
        </w:rPr>
        <w:t>” means Indebtedness the terms of which entitle the holder thereof to convert or exchange all or a portion of such Indebtedness into (x) cash, (y) Qualified Equity Interests of the Borrower or (z) a combination thereof (with the amount of such cash or such combination determined by reference to the market price of the Qualified Equity Interests of the Borrower).</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Corsair Memory</w:t>
      </w:r>
      <w:r>
        <w:rPr>
          <w:rFonts w:ascii="Times New Roman" w:cs="Times New Roman" w:eastAsia="Times New Roman" w:hAnsi="Times New Roman"/>
          <w:sz w:val="20"/>
          <w:szCs w:val="20"/>
          <w:color w:val="auto"/>
        </w:rPr>
        <w:t>” means Corsair Memory, Inc., a Delaware corporation.</w:t>
      </w:r>
    </w:p>
    <w:p>
      <w:pPr>
        <w:spacing w:after="0" w:line="215" w:lineRule="exact"/>
        <w:rPr>
          <w:sz w:val="20"/>
          <w:szCs w:val="20"/>
          <w:color w:val="auto"/>
        </w:rPr>
      </w:pPr>
    </w:p>
    <w:p>
      <w:pPr>
        <w:jc w:val="both"/>
        <w:ind w:firstLine="101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Cost of Acquisition</w:t>
      </w:r>
      <w:r>
        <w:rPr>
          <w:rFonts w:ascii="Times New Roman" w:cs="Times New Roman" w:eastAsia="Times New Roman" w:hAnsi="Times New Roman"/>
          <w:sz w:val="20"/>
          <w:szCs w:val="20"/>
          <w:color w:val="auto"/>
        </w:rPr>
        <w:t>” for any Acquisition means the purchase consideration for such Acquisition, whether paid in cash or by exchange of Equity Interests (other than Equity Interests of the Borrower) or of properties or otherwise and whether payable at or prior to the consummation of such Acquisition or deferred for payment at any future time, whether or not any such future payment is subject to the occurrence of any contingency, and shall include any and all payments representing the purchase price and any assumptions of Indebtedness, deferred purchase price, Earn Out Obligations and other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5" w:name="page66"/>
    <w:bookmarkEnd w:id="65"/>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agreements to make any payment the amount of which is, or the terms of payment of which are, in any respect subject to or contingent upon the revenues, income, cash flow or profits (or the like) of any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value of any Equity Interests of the Borrower transferred as consideration in connection with any such Acquisition shall not be included in the Cost of Acquisition. For purposes of determining the aggregate consideration paid for any Acquisition, the amount of any Earn Out Obligations shall be deemed to be the maximum amount of the earn out payments in respect thereof as specified in the documents relating to such Acquisition or readily determinable therefrom, or, if not stated or determinable, the maximum reasonably anticipated amount as determined by the Borrower in good faith.</w:t>
      </w:r>
    </w:p>
    <w:p>
      <w:pPr>
        <w:spacing w:after="0" w:line="180"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Covered Entity</w:t>
      </w:r>
      <w:r>
        <w:rPr>
          <w:rFonts w:ascii="Times New Roman" w:cs="Times New Roman" w:eastAsia="Times New Roman" w:hAnsi="Times New Roman"/>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Daily Simple SOFR</w:t>
      </w:r>
      <w:r>
        <w:rPr>
          <w:rFonts w:ascii="Times New Roman" w:cs="Times New Roman" w:eastAsia="Times New Roman" w:hAnsi="Times New Roman"/>
          <w:sz w:val="20"/>
          <w:szCs w:val="20"/>
          <w:color w:val="auto"/>
        </w:rPr>
        <w:t xml:space="preserve">” with respect to any applicable determination date means the </w:t>
      </w:r>
      <w:r>
        <w:rPr>
          <w:rFonts w:ascii="Times New Roman" w:cs="Times New Roman" w:eastAsia="Times New Roman" w:hAnsi="Times New Roman"/>
          <w:sz w:val="20"/>
          <w:szCs w:val="20"/>
          <w:color w:val="FF0000"/>
          <w:strike w:val="1"/>
        </w:rPr>
        <w:t>secured overnight financing rate (“</w:t>
      </w:r>
      <w:r>
        <w:rPr>
          <w:rFonts w:ascii="Times New Roman" w:cs="Times New Roman" w:eastAsia="Times New Roman" w:hAnsi="Times New Roman"/>
          <w:sz w:val="20"/>
          <w:szCs w:val="20"/>
          <w:color w:val="auto"/>
        </w:rPr>
        <w:t>SOFR</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published on such date </w:t>
      </w:r>
      <w:r>
        <w:rPr>
          <w:rFonts w:ascii="Times New Roman" w:cs="Times New Roman" w:eastAsia="Times New Roman" w:hAnsi="Times New Roman"/>
          <w:sz w:val="20"/>
          <w:szCs w:val="20"/>
          <w:color w:val="FF0000"/>
          <w:strike w:val="1"/>
        </w:rPr>
        <w:t>by the Federal Reserve Bank of New York, as the administrator of the benchmark (or a successor administrator)</w:t>
      </w:r>
      <w:r>
        <w:rPr>
          <w:rFonts w:ascii="Times New Roman" w:cs="Times New Roman" w:eastAsia="Times New Roman" w:hAnsi="Times New Roman"/>
          <w:sz w:val="20"/>
          <w:szCs w:val="20"/>
          <w:color w:val="auto"/>
        </w:rPr>
        <w:t xml:space="preserve"> on the Federal Reserve Bank of New York’s website (or any successor source).</w:t>
      </w:r>
    </w:p>
    <w:p>
      <w:pPr>
        <w:spacing w:after="0" w:line="170"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Debt Issuance</w:t>
      </w:r>
      <w:r>
        <w:rPr>
          <w:rFonts w:ascii="Times New Roman" w:cs="Times New Roman" w:eastAsia="Times New Roman" w:hAnsi="Times New Roman"/>
          <w:sz w:val="20"/>
          <w:szCs w:val="20"/>
          <w:color w:val="auto"/>
        </w:rPr>
        <w:t xml:space="preserve">” means the issuance by any Loan Party or any Subsidiary of any Indebtedness other than Indebtedness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0"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3"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Default Rate</w:t>
      </w:r>
      <w:r>
        <w:rPr>
          <w:rFonts w:ascii="Times New Roman" w:cs="Times New Roman" w:eastAsia="Times New Roman" w:hAnsi="Times New Roman"/>
          <w:sz w:val="20"/>
          <w:szCs w:val="20"/>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 for Revolving Loans that are Base Rate Loans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two percent (2%), in each case, to the fullest extent permitted by Applicable Law.</w:t>
      </w:r>
    </w:p>
    <w:p>
      <w:pPr>
        <w:spacing w:after="0" w:line="174"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3" w:lineRule="exact"/>
        <w:rPr>
          <w:sz w:val="20"/>
          <w:szCs w:val="20"/>
          <w:color w:val="auto"/>
        </w:rPr>
      </w:pPr>
    </w:p>
    <w:p>
      <w:pPr>
        <w:jc w:val="both"/>
        <w:ind w:firstLine="153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L/C Issuer or the Swingline Lender in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6" w:name="page67"/>
    <w:bookmarkEnd w:id="66"/>
    <w:p>
      <w:pPr>
        <w:jc w:val="both"/>
        <w:spacing w:after="0"/>
        <w:rPr>
          <w:sz w:val="20"/>
          <w:szCs w:val="20"/>
          <w:color w:val="auto"/>
        </w:rPr>
      </w:pPr>
      <w:r>
        <w:rPr>
          <w:rFonts w:ascii="Times New Roman" w:cs="Times New Roman" w:eastAsia="Times New Roman" w:hAnsi="Times New Roman"/>
          <w:sz w:val="20"/>
          <w:szCs w:val="20"/>
          <w:color w:val="auto"/>
        </w:rPr>
        <w:t>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Lender 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spacing w:after="0" w:line="198"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Designated Foreign Subsidiary Guarantor</w:t>
      </w:r>
      <w:r>
        <w:rPr>
          <w:rFonts w:ascii="Times New Roman" w:cs="Times New Roman" w:eastAsia="Times New Roman" w:hAnsi="Times New Roman"/>
          <w:sz w:val="20"/>
          <w:szCs w:val="20"/>
          <w:color w:val="auto"/>
        </w:rPr>
        <w:t xml:space="preserve">” means any Foreign Subsidiary that has been designated as such by the Borrower in writing to the Administrative Agent to be joined to this Agreement as a Guarantor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 a Designated Foreign Subsidiary Guarantor must be domiciled in an Approved Jurisdiction, and (ii) at the time of the designation of a Foreign Subsidiary as a Designated Foreign Subsidiary Guarantor (and as a condition to the effectiveness of such designation), the Administrative Agent shall have determined, in its reasonable discretion, that no circumstances exist with respect to the proposed Foreign Subsidiary and the proposed Guaranty by such Foreign Subsidiary, including its involvement in specific prior or proposed transactions, or the application of Applicable Law in such Approved Jurisdiction to such Foreign Subsidiary (including, financial assistance restrictions, capital maintenance requirements, consideration requirements and other similar Laws) that would have a material and adverse effect on (i) the enforceability and maximum principal amount of the Guaranty of such Foreign Subsidiary, or (ii) the security interests (and enforceability thereof) to be granted with respect to assets (or classes of assets) of such Foreign Subsidiary.</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is the subject of 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Sanction.</w:t>
      </w:r>
    </w:p>
    <w:p>
      <w:pPr>
        <w:spacing w:after="0" w:line="189"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Designated Non-Cash Consideration</w:t>
      </w:r>
      <w:r>
        <w:rPr>
          <w:rFonts w:ascii="Times New Roman" w:cs="Times New Roman" w:eastAsia="Times New Roman" w:hAnsi="Times New Roman"/>
          <w:sz w:val="20"/>
          <w:szCs w:val="20"/>
          <w:color w:val="auto"/>
        </w:rPr>
        <w:t xml:space="preserve">” means the estimated fair market value (as determined by the Borrower in good faith) of non-cash consideration received by the Borrower or any Subsidiary in connection with a Disposition made pursuant to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that is designated as “Designated Non-Cash Consideration” on the date received pursuant to a certificate of a Responsible Officer of the Borrower setting forth the basis of such estimated fair market value.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7" w:name="page68"/>
    <w:bookmarkEnd w:id="67"/>
    <w:p>
      <w:pPr>
        <w:jc w:val="both"/>
        <w:ind w:firstLine="101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Disposition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i w:val="1"/>
          <w:iCs w:val="1"/>
          <w:u w:val="single" w:color="auto"/>
          <w:color w:val="auto"/>
        </w:rPr>
        <w:t>Dispose</w:t>
      </w:r>
      <w:r>
        <w:rPr>
          <w:rFonts w:ascii="Times New Roman" w:cs="Times New Roman" w:eastAsia="Times New Roman" w:hAnsi="Times New Roman"/>
          <w:sz w:val="19"/>
          <w:szCs w:val="19"/>
          <w:color w:val="auto"/>
        </w:rPr>
        <w:t xml:space="preserve">” means the sale, transfer, license, lease or other disposition (including (x) any Sale and Leaseback Transaction and (y) any issuance by any Subsidiary of its Equity Interests (but excluding, for the avoidance of doubt, any issuance by the Borrower of its Equity Interests)) of any property by any Loan Party or any Subsidiary (or the granting of any option or other right to do any of the foregoing), excluding (a) sales, transfers, licenses, leases or other dispositions of inventory in the ordinary course of business by the Borrower, (b) sales, transfers, licenses, leases or other dispositions of used, worn out, obsolete or surplus property by the Borrower in the ordinary course of business and the lapse or abandonment or other disposition of Intellectual Property that is, in the reasonable judgment of the Borrower, immaterial or no longer economically practicable to maintain or useful in the conduct of the business of the Borrower and its Subsidiaries taken as a whole, (c) sales, transfers, licenses, leases or other dispositions of property to any Loan Party, (d) the granting, existence or creation of a Lien (but not the sale or other disposition of the property subject to such Lien) permitted by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(e) sales of property to the extent that (i) such property is exchanged for credit against the purchase price of similar replacement property or (ii) the proceeds of such sale are promptly applied to the purchase price of such replacement property, (f) any Involuntary Disposition, (g) to the extent constituting Dispositions, Investments permitted under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xml:space="preserve">, fundamental changes permitted under </w:t>
      </w:r>
      <w:r>
        <w:rPr>
          <w:rFonts w:ascii="Times New Roman" w:cs="Times New Roman" w:eastAsia="Times New Roman" w:hAnsi="Times New Roman"/>
          <w:sz w:val="19"/>
          <w:szCs w:val="19"/>
          <w:u w:val="single" w:color="auto"/>
          <w:color w:val="auto"/>
        </w:rPr>
        <w:t>Section 7.04</w:t>
      </w:r>
      <w:r>
        <w:rPr>
          <w:rFonts w:ascii="Times New Roman" w:cs="Times New Roman" w:eastAsia="Times New Roman" w:hAnsi="Times New Roman"/>
          <w:sz w:val="19"/>
          <w:szCs w:val="19"/>
          <w:color w:val="auto"/>
        </w:rPr>
        <w:t xml:space="preserve">, Restricted Payments permitted under </w:t>
      </w:r>
      <w:r>
        <w:rPr>
          <w:rFonts w:ascii="Times New Roman" w:cs="Times New Roman" w:eastAsia="Times New Roman" w:hAnsi="Times New Roman"/>
          <w:sz w:val="19"/>
          <w:szCs w:val="19"/>
          <w:u w:val="single" w:color="auto"/>
          <w:color w:val="auto"/>
        </w:rPr>
        <w:t>Section 7.06</w:t>
      </w:r>
      <w:r>
        <w:rPr>
          <w:rFonts w:ascii="Times New Roman" w:cs="Times New Roman" w:eastAsia="Times New Roman" w:hAnsi="Times New Roman"/>
          <w:sz w:val="19"/>
          <w:szCs w:val="19"/>
          <w:color w:val="auto"/>
        </w:rPr>
        <w:t xml:space="preserve"> and Involuntary Dispositions, in each case, except by reference to </w:t>
      </w:r>
      <w:r>
        <w:rPr>
          <w:rFonts w:ascii="Times New Roman" w:cs="Times New Roman" w:eastAsia="Times New Roman" w:hAnsi="Times New Roman"/>
          <w:sz w:val="19"/>
          <w:szCs w:val="19"/>
          <w:u w:val="single" w:color="auto"/>
          <w:color w:val="auto"/>
        </w:rPr>
        <w:t>Section 7.05</w:t>
      </w:r>
      <w:r>
        <w:rPr>
          <w:rFonts w:ascii="Times New Roman" w:cs="Times New Roman" w:eastAsia="Times New Roman" w:hAnsi="Times New Roman"/>
          <w:sz w:val="19"/>
          <w:szCs w:val="19"/>
          <w:color w:val="auto"/>
        </w:rPr>
        <w:t xml:space="preserve"> or this definition (or any clause hereof or thereof), (h) the licensing, on a non-exclusive basis, of Intellectual Property, (i) the sale or discount, in each case without recourse, of accounts receivable arising in the ordinary course of business, but only in connection with the compromise or collection thereof,</w:t>
      </w:r>
    </w:p>
    <w:p>
      <w:pPr>
        <w:spacing w:after="0" w:line="10" w:lineRule="exact"/>
        <w:rPr>
          <w:sz w:val="20"/>
          <w:szCs w:val="20"/>
          <w:color w:val="auto"/>
        </w:rPr>
      </w:pPr>
    </w:p>
    <w:p>
      <w:pPr>
        <w:jc w:val="both"/>
        <w:ind w:firstLine="8"/>
        <w:spacing w:after="0"/>
        <w:tabs>
          <w:tab w:leader="none" w:pos="24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of real property entered into in the ordinary course of business, (k) the surrender or waiver of contractual rights or the settlement, release or surrender of contract or tort claims, in each case, in the ordinary course of business or in the commercially reasonable judgment of the Borrower or the applicable Subsidiary, (l) dispositions of cash and Cash Equivalents in the ordinary course of business, (m) the sale, transfer, issuance or other disposition of a de minimis number of shares of the Equity Interests of a Foreign Subsidiary in order to qualify members of the governing body of such Subsidiary if required by applicable Law, (n) dispositions of Investments in joint ventures to the extent required by, or made pursuant to customary buy/sell arrangements between, the joint venture parties set forth in joint venture arrangements and similar binding arrangements and (o) the unwinding of any Swap Contract pursuant to its terms.</w:t>
      </w:r>
    </w:p>
    <w:p>
      <w:pPr>
        <w:spacing w:after="0" w:line="185" w:lineRule="exact"/>
        <w:rPr>
          <w:sz w:val="20"/>
          <w:szCs w:val="20"/>
          <w:color w:val="auto"/>
        </w:rPr>
      </w:pPr>
    </w:p>
    <w:p>
      <w:pPr>
        <w:jc w:val="both"/>
        <w:ind w:firstLine="101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Disqualified Equity Interest</w:t>
      </w:r>
      <w:r>
        <w:rPr>
          <w:rFonts w:ascii="Times New Roman" w:cs="Times New Roman" w:eastAsia="Times New Roman" w:hAnsi="Times New Roman"/>
          <w:sz w:val="20"/>
          <w:szCs w:val="20"/>
          <w:color w:val="auto"/>
        </w:rPr>
        <w:t>” means any Equity Interest that, by its terms (or by the terms of any security into which it is convertible or for which it is exchangeable), or upon the happening of any event, (a) matures (excluding any maturity as the result of an optional redemption by the issuer thereof) or is mandatorily redeemable by the holder thereof, pursuant to a sinking fund obligation or otherwise, or is redeemable at the option of the holder thereof, in whole or in part, prior to the one hundred eighty-first (181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day after the Latest Maturity Date, (b) requires the payment of any cash dividends at any time prior to the one hundred eighty-first (181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day after the Latest Maturity Date, (c) contains any repurchase obligation which may come into effect prior to payment in full of all Obligations (other than contingent indemnification and expense reimbursement obligations), or (d) is convertible into or exchangeable (unless at the sole option of the issuer thereof) for (i) debt securities or (ii) Equity Interests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in each case at any time prior to the one hundred eighty-first (181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day after the Latest 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any Equity Interest that would not constitute a Disqualified Equity Interest but for provisions thereof giving holders thereof (or the holders of any security into or for which such Equity Interest is convertible, exchangeable or exercisable) the right to require the issuer thereof to redeem or repurchase such Equity Interest upon the occurrence of a change in control or an asset sale occurring prior to the one hundred eighty-first (181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day after the Latest Maturity Date shall not constitute a Disqualified Equity Interest if such Equity Interest provides that the issuer thereof will not redeem or repurchase such Equity Interest pursuant to such provisions prior to the Facility Termination Date.</w:t>
      </w:r>
    </w:p>
    <w:p>
      <w:pPr>
        <w:spacing w:after="0" w:line="192" w:lineRule="exact"/>
        <w:rPr>
          <w:sz w:val="20"/>
          <w:szCs w:val="20"/>
          <w:color w:val="auto"/>
        </w:rPr>
      </w:pPr>
    </w:p>
    <w:p>
      <w:pPr>
        <w:jc w:val="both"/>
        <w:ind w:right="20" w:firstLine="1486"/>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Disqualified Institution</w:t>
      </w:r>
      <w:r>
        <w:rPr>
          <w:rFonts w:ascii="Times New Roman" w:cs="Times New Roman" w:eastAsia="Times New Roman" w:hAnsi="Times New Roman"/>
          <w:sz w:val="20"/>
          <w:szCs w:val="20"/>
          <w:color w:val="auto"/>
        </w:rPr>
        <w:t>” means, on any date, (a) any Competitor that has been identified by legal name in writing by the Borrower and delivered to the Administrative Agent at least two (2)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8" w:name="page69"/>
    <w:bookmarkEnd w:id="68"/>
    <w:p>
      <w:pPr>
        <w:spacing w:after="0" w:line="263" w:lineRule="auto"/>
        <w:rPr>
          <w:sz w:val="20"/>
          <w:szCs w:val="20"/>
          <w:color w:val="auto"/>
        </w:rPr>
      </w:pPr>
      <w:r>
        <w:rPr>
          <w:rFonts w:ascii="Times New Roman" w:cs="Times New Roman" w:eastAsia="Times New Roman" w:hAnsi="Times New Roman"/>
          <w:sz w:val="19"/>
          <w:szCs w:val="19"/>
          <w:color w:val="auto"/>
        </w:rPr>
        <w:t xml:space="preserve">Business Days prior to such date, (b) any Person that has been identified by legal name in writing by the Borrower and delivered to the Administrative Agent prior to the Closing Date, and (c)(i) any Affiliate of any Competitor or other Person identified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w:t>
      </w:r>
    </w:p>
    <w:p>
      <w:pPr>
        <w:spacing w:after="0" w:line="2" w:lineRule="exact"/>
        <w:rPr>
          <w:sz w:val="20"/>
          <w:szCs w:val="20"/>
          <w:color w:val="auto"/>
        </w:rPr>
      </w:pPr>
    </w:p>
    <w:p>
      <w:pPr>
        <w:jc w:val="both"/>
        <w:ind w:firstLine="8"/>
        <w:spacing w:after="0" w:line="239" w:lineRule="auto"/>
        <w:tabs>
          <w:tab w:leader="none" w:pos="285" w:val="left"/>
        </w:tabs>
        <w:numPr>
          <w:ilvl w:val="0"/>
          <w:numId w:val="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that is reasonably identifiable (based solely on the basis of the legal name of such Affiliate) as an Affiliate of any such Competitor or Person, or (ii) any Affiliate of any Competitor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or any Person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that, in each case, is identified by legal name in writing by the Borrower and delivered to the Administrative Agent at least two (2) Business Days prior to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the foregoing shall not apply to (A) retroactively disqualify any Person that has previously acquired an assignment or participation in the Loans and/or Commitments to the extent that such Person was not a Disqualified Institution at the time of the applicable assignment or participation, (B) exclude any bona fide fixed income investor or debt fund that is primarily and generally engaged in, or advises funds or other investment vehicles that are engaged in, making, purchasing, holding or otherwise investing in commercial loans, notes, bonds and similar extensions of credit or securities in the ordinary course of its business and whose managers are not involved with the equity investment decisions of any other entity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or (C) exclude any Person that the Borrower designates in writing delivered to the Administrative Agent as no longer being a “Disqualified Institution.”</w:t>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5" w:lineRule="exact"/>
        <w:rPr>
          <w:sz w:val="20"/>
          <w:szCs w:val="20"/>
          <w:color w:val="auto"/>
        </w:rPr>
      </w:pPr>
    </w:p>
    <w:p>
      <w:pPr>
        <w:jc w:val="both"/>
        <w:ind w:firstLine="1018"/>
        <w:spacing w:after="0" w:line="244"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Dollar Equivalent</w:t>
      </w:r>
      <w:r>
        <w:rPr>
          <w:rFonts w:ascii="Times New Roman" w:cs="Times New Roman" w:eastAsia="Times New Roman" w:hAnsi="Times New Roman"/>
          <w:sz w:val="20"/>
          <w:szCs w:val="20"/>
          <w:u w:val="single" w:color="auto"/>
          <w:color w:val="0000FF"/>
        </w:rPr>
        <w:t>” means, for any amount, at the time of determination thereof, (a) if such amount is expressed in Dollars, such amount and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reasonably determined by the Administrative Agent or the L/C Issuer, as applicable, using any method of determination that it reasonably deems appropriate).</w:t>
      </w:r>
    </w:p>
    <w:p>
      <w:pPr>
        <w:spacing w:after="0" w:line="184"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the United States, any state or commonwealth thereof or the District of Columbia.</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DQ List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11.06(g)(iv</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Earn Out Obligations</w:t>
      </w:r>
      <w:r>
        <w:rPr>
          <w:rFonts w:ascii="Times New Roman" w:cs="Times New Roman" w:eastAsia="Times New Roman" w:hAnsi="Times New Roman"/>
          <w:sz w:val="20"/>
          <w:szCs w:val="20"/>
          <w:color w:val="auto"/>
        </w:rPr>
        <w:t>” means, with respect to an Acquisition, all obligations of the Borrower or any Subsidiary to make earn out or other contingency payments (including working capital and similar purchase price adjustments, but excluding non-competition and consulting agreements and indemnity obligations) pursuant to the documentation relating to such Acquisition.</w:t>
      </w:r>
    </w:p>
    <w:p>
      <w:pPr>
        <w:spacing w:after="0" w:line="170"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of this definition and is subject to consolidated supervision with its parent.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9" w:name="page70"/>
    <w:bookmarkEnd w:id="69"/>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11.06(b)(iii</w:t>
      </w:r>
      <w:r>
        <w:rPr>
          <w:rFonts w:ascii="Times New Roman" w:cs="Times New Roman" w:eastAsia="Times New Roman" w:hAnsi="Times New Roman"/>
          <w:sz w:val="20"/>
          <w:szCs w:val="20"/>
          <w:color w:val="auto"/>
        </w:rPr>
        <w:t xml:space="preserve">)). For the avoidance of doubt, any Disqualified Institution is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11.06(g)</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Engagement Letter</w:t>
      </w:r>
      <w:r>
        <w:rPr>
          <w:rFonts w:ascii="Times New Roman" w:cs="Times New Roman" w:eastAsia="Times New Roman" w:hAnsi="Times New Roman"/>
          <w:sz w:val="20"/>
          <w:szCs w:val="20"/>
          <w:color w:val="auto"/>
        </w:rPr>
        <w:t>” means the letter agreement, dated July 30, 2021, between the Borrower, the Administrative Agent and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Arranger.</w:t>
      </w:r>
    </w:p>
    <w:p>
      <w:pPr>
        <w:spacing w:after="0" w:line="189"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Environment</w:t>
      </w:r>
      <w:r>
        <w:rPr>
          <w:rFonts w:ascii="Times New Roman" w:cs="Times New Roman" w:eastAsia="Times New Roman" w:hAnsi="Times New Roman"/>
          <w:sz w:val="20"/>
          <w:szCs w:val="20"/>
          <w:color w:val="auto"/>
        </w:rPr>
        <w:t>” means ambient air, indoor air, surface water, groundwater, drinking water, soil, surface and subsurface strata, and natural resources such as wetland, flora and fauna.</w:t>
      </w:r>
    </w:p>
    <w:p>
      <w:pPr>
        <w:spacing w:after="0" w:line="153" w:lineRule="exact"/>
        <w:rPr>
          <w:sz w:val="20"/>
          <w:szCs w:val="20"/>
          <w:color w:val="auto"/>
        </w:rPr>
      </w:pPr>
    </w:p>
    <w:p>
      <w:pPr>
        <w:jc w:val="both"/>
        <w:ind w:firstLine="101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Environmental Laws</w:t>
      </w:r>
      <w:r>
        <w:rPr>
          <w:rFonts w:ascii="Times New Roman" w:cs="Times New Roman" w:eastAsia="Times New Roman" w:hAnsi="Times New Roman"/>
          <w:sz w:val="20"/>
          <w:szCs w:val="20"/>
          <w:color w:val="auto"/>
        </w:rPr>
        <w:t>” means any and all federal, state, local, and foreign statutes, laws, regulations, standards,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or release or threatened release of Hazardous Materials, air emissions and discharges to waste or public systems, in each case, in any manner applicable to the Borrower or any of its Subsidiaries or any Facility.</w:t>
      </w:r>
    </w:p>
    <w:p>
      <w:pPr>
        <w:spacing w:after="0" w:line="178"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arising from (a) any actual or alleged violation of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8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Environmental Permit</w:t>
      </w:r>
      <w:r>
        <w:rPr>
          <w:rFonts w:ascii="Times New Roman" w:cs="Times New Roman" w:eastAsia="Times New Roman" w:hAnsi="Times New Roman"/>
          <w:sz w:val="20"/>
          <w:szCs w:val="20"/>
          <w:color w:val="auto"/>
        </w:rPr>
        <w:t>” means any permit, certification, registration, approval, identification number, license or other authorization required under any Environmental Law.</w:t>
      </w:r>
    </w:p>
    <w:p>
      <w:pPr>
        <w:spacing w:after="0" w:line="153"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Equity Interests</w:t>
      </w:r>
      <w:r>
        <w:rPr>
          <w:rFonts w:ascii="Times New Roman" w:cs="Times New Roman" w:eastAsia="Times New Roman" w:hAnsi="Times New Roman"/>
          <w:sz w:val="20"/>
          <w:szCs w:val="20"/>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“Equity Interests” shall not include any Permitted Convertible Indebtedness permitted hereunder (except to the extent such Indebtedness is converted or exchanged into Qualified Equity Interests of the Borrower in accordance with the terms thereof).</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0" w:name="page71"/>
    <w:bookmarkEnd w:id="70"/>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ERISA Event</w:t>
      </w:r>
      <w:r>
        <w:rPr>
          <w:rFonts w:ascii="Times New Roman" w:cs="Times New Roman" w:eastAsia="Times New Roman" w:hAnsi="Times New Roman"/>
          <w:sz w:val="20"/>
          <w:szCs w:val="20"/>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(within the meaning of Section 430 of the Code or Section 303 of ERISA) or a Multiemployer Plan is in endangered or critical status (within the meaning of Section 432 of the Code or Section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81"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EU Bail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Euro</w:t>
      </w:r>
      <w:r>
        <w:rPr>
          <w:rFonts w:ascii="Times New Roman" w:cs="Times New Roman" w:eastAsia="Times New Roman" w:hAnsi="Times New Roman"/>
          <w:sz w:val="20"/>
          <w:szCs w:val="20"/>
          <w:u w:val="single" w:color="auto"/>
          <w:color w:val="0000FF"/>
        </w:rPr>
        <w:t>” and “</w:t>
      </w:r>
      <w:r>
        <w:rPr>
          <w:rFonts w:ascii="Times New Roman" w:cs="Times New Roman" w:eastAsia="Times New Roman" w:hAnsi="Times New Roman"/>
          <w:sz w:val="20"/>
          <w:szCs w:val="20"/>
          <w:i w:val="1"/>
          <w:iCs w:val="1"/>
          <w:u w:val="single" w:color="auto"/>
          <w:color w:val="0000FF"/>
        </w:rPr>
        <w:t>€</w:t>
      </w:r>
      <w:r>
        <w:rPr>
          <w:rFonts w:ascii="Times New Roman" w:cs="Times New Roman" w:eastAsia="Times New Roman" w:hAnsi="Times New Roman"/>
          <w:sz w:val="20"/>
          <w:szCs w:val="20"/>
          <w:u w:val="single" w:color="auto"/>
          <w:color w:val="0000FF"/>
        </w:rPr>
        <w:t>” mean the single currency of the Participating Member States.</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Excluded Property</w:t>
      </w:r>
      <w:r>
        <w:rPr>
          <w:rFonts w:ascii="Times New Roman" w:cs="Times New Roman" w:eastAsia="Times New Roman" w:hAnsi="Times New Roman"/>
          <w:sz w:val="20"/>
          <w:szCs w:val="20"/>
          <w:color w:val="auto"/>
        </w:rPr>
        <w:t xml:space="preserve">” means, with respect to any Loan Party, (a) (i) any leasehold interest in real property and (ii) any owned real property (x) located outside of the United States or (y) with a fair market value (as determined by the purchase price thereof or otherwise by the good faith business judgment of the Borrower) of less than $5,000,000, (b) other than with respect to assets of a Designated Foreign Subsidiary Guarantor, any personal property (including, without limitation, motor vehicles) in respect of which perfection of a Lien is not either (i) governed by the Uniform Commercial Code or (ii) effected by appropriate evidence of the Lien being filed in either the United States Copyright Office or the United States Patent and Trademark Office, (c) the Equity Interests of any Foreign Subsidiary or FSHCO to the extent not required to be pledged to secure the Secured Obligations pursuant to </w:t>
      </w:r>
      <w:r>
        <w:rPr>
          <w:rFonts w:ascii="Times New Roman" w:cs="Times New Roman" w:eastAsia="Times New Roman" w:hAnsi="Times New Roman"/>
          <w:sz w:val="20"/>
          <w:szCs w:val="20"/>
          <w:u w:val="single" w:color="auto"/>
          <w:color w:val="auto"/>
        </w:rPr>
        <w:t>Section 6.13(a)</w:t>
      </w:r>
      <w:r>
        <w:rPr>
          <w:rFonts w:ascii="Times New Roman" w:cs="Times New Roman" w:eastAsia="Times New Roman" w:hAnsi="Times New Roman"/>
          <w:sz w:val="20"/>
          <w:szCs w:val="20"/>
          <w:color w:val="auto"/>
        </w:rPr>
        <w:t xml:space="preserve">, (d) any property which, subject to the terms of </w:t>
      </w:r>
      <w:r>
        <w:rPr>
          <w:rFonts w:ascii="Times New Roman" w:cs="Times New Roman" w:eastAsia="Times New Roman" w:hAnsi="Times New Roman"/>
          <w:sz w:val="20"/>
          <w:szCs w:val="20"/>
          <w:u w:val="single" w:color="auto"/>
          <w:color w:val="auto"/>
        </w:rPr>
        <w:t>Section 7.02(c)</w:t>
      </w:r>
      <w:r>
        <w:rPr>
          <w:rFonts w:ascii="Times New Roman" w:cs="Times New Roman" w:eastAsia="Times New Roman" w:hAnsi="Times New Roman"/>
          <w:sz w:val="20"/>
          <w:szCs w:val="20"/>
          <w:color w:val="auto"/>
        </w:rPr>
        <w:t xml:space="preserve">, is subject to a Lien of the type described in </w:t>
      </w:r>
      <w:r>
        <w:rPr>
          <w:rFonts w:ascii="Times New Roman" w:cs="Times New Roman" w:eastAsia="Times New Roman" w:hAnsi="Times New Roman"/>
          <w:sz w:val="20"/>
          <w:szCs w:val="20"/>
          <w:u w:val="single" w:color="auto"/>
          <w:color w:val="auto"/>
        </w:rPr>
        <w:t>Section 7.01(h)</w:t>
      </w:r>
      <w:r>
        <w:rPr>
          <w:rFonts w:ascii="Times New Roman" w:cs="Times New Roman" w:eastAsia="Times New Roman" w:hAnsi="Times New Roman"/>
          <w:sz w:val="20"/>
          <w:szCs w:val="20"/>
          <w:color w:val="auto"/>
        </w:rPr>
        <w:t xml:space="preserve"> pursuant to documents that prohibit such Loan Party from granting any other Liens in such property, (e) any assets as to which the Administrative Agent and the Borrower agree in writing that the costs or other consequences (including any adverse tax consequences) of obtaining a security interest or perfection thereof are excessive in view of the benefits to be obtained by the Secured Parties therefrom, (f) any “intent-to-use” application for registration of a Trademark (as defined in the Security Agreement) of such Loan Party filed in the United States Patent and Trademark Office pursuant to Section 1(b) of the Lanham Act, 15 U.S.C.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(g) any Equity Interest owned (i) in any Person that is not a Subsidiary or (ii) in any Subsidiary that is not a Material Wholly Owned Subsidiary, (h) the cash collateral pledged in respect of the letter of credit identified on Schedule 7.02, the account into which such cash collateral is deposited and all assets deposited in or credited thereto, and (i) assets to the extent which the granting of security interests in such assets would be prohibited by or would breach or (in the case of Contractual Obligations, permits, licenses and the like) cause the termination or revocation of any Contractual Obligation permitted under the terms of this Agreement (not entered into in contemplation thereof and with respect to assets that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1" w:name="page72"/>
    <w:bookmarkEnd w:id="71"/>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are subject to such Contractual Obligations), applicable Law or regulation (other than to the extent that any such Law, rule, regulation, term, prohibition or condition would be rendered ineffective pursuant to the UCC (or any successor provision or provisions) of any relevant jurisdiction or any other applicable Law (including the Bankruptcy Code) or principles of equity, and other than receivables and proceeds of any of the foregoing the assignment of which is expressly deemed effective under the UCC or other applicable Law notwithstanding such Law, rule, regulation, term, prohibition or condition), or would require governmental or third party (other than the Borrower or any Subsidiary) consent, approval, license or authorization or create a right of termination in favor of any Person (other than the Borrower or any Subsidiary) party to any such Contractual Obligation (after giving effect to the applicable anti-assignment provisions of the UCC or other applicable Law and other than proceeds and receivables thereof, the assignment of which is expressly deemed effective under the UCC or other applicable Law notwithstanding such prohibition);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upon the ineffectiveness, lapse or termination of any such Law, rule, regulation, term, prohibition, condition or provision the Collateral shall include, and such Person shall be deemed to have granted a security interest under the Collateral Documents in, all such assets, and rights and interests therein, as if such Law, rule, regulation, term, prohibition, condition or provision had never been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Excluded Property shall not include any proceeds of any such assets described in clauses (a) through (i) above, except to the extent such proceeds constitute Excluded Property.</w:t>
      </w:r>
    </w:p>
    <w:p>
      <w:pPr>
        <w:spacing w:after="0" w:line="190" w:lineRule="exact"/>
        <w:rPr>
          <w:sz w:val="20"/>
          <w:szCs w:val="20"/>
          <w:color w:val="auto"/>
        </w:rPr>
      </w:pPr>
    </w:p>
    <w:p>
      <w:pPr>
        <w:jc w:val="both"/>
        <w:ind w:firstLine="101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Excluded Subsidiary</w:t>
      </w:r>
      <w:r>
        <w:rPr>
          <w:rFonts w:ascii="Times New Roman" w:cs="Times New Roman" w:eastAsia="Times New Roman" w:hAnsi="Times New Roman"/>
          <w:sz w:val="20"/>
          <w:szCs w:val="20"/>
          <w:color w:val="auto"/>
        </w:rPr>
        <w:t xml:space="preserve">” means (a) any Immaterial Subsidiary (unless the Borrower elects otherwise with respect thereto), (b) any Subsidiary that is not a Wholly Owned Subsidiary, (c) any Foreign Subsidiary (other than a Designated Foreign Subsidiary Guarantor), (d) any FSHCO, (e) any Subsidiary that is prohibited or restricted by applicable Law or by a binding Contractual Obligation from providing a Guaranty (provided that such Contractual Obligation is permitted hereunder and is in existence on the Closing Date or at the time such Subsidiary is acquired and is not entered into by the Borrower or any Subsidiary for the purpose of qualifying as an “Excluded Subsidiary” under this Agreement) or if such Guaranty would require governmental (including regulatory) or third party (other than a Loan Party or an Affiliate of a Loan Party) consent, approval, license or authorization, (f) any Subsidiary that is a special purpose vehicle, (g) any Subsidiary that is a not-for-profit organization, (h) any Subsidiary that is a captive insurance company and (i) any other Subsidiary with respect to which, in the reasonable judgment of the Administrative Agent (confirmed in writing by notice to the Borrower), the cost or other consequences (including any adverse tax consequences) of providing the Guaranty are excessive in in view of the benefits to be obtained by the Secured Parties therefrom;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it is understood and agreed that, notwithstanding the above, if a Subsidiary executes the Guaranty as a “Guarantor” then it shall not constitute an “Excluded Subsidiary” (unless released from its obligations under the Guaranty as a “Guarantor” in accordance with the terms hereof). Notwithstanding anything herein to the contrary, if any Guarantor becomes a non-Wholly Owned Subsidiary, such Guarantor shall only be permitted to be released from its Guaranty so long as: (x) such Subsidiary becomes a non-Wholly Owned Subsidiary pursuant to a transaction in which the other Person obtaining an Equity Interest in such Subsidiary is not an Affiliate of the Borrower (other than as a result of the obtaining of such Equity Interest), (y) such transaction is for a bona fide business purpose and not for the primary purpose of avoiding the Guaranty and (z) upon giving effect to the transaction in which such Subsidiary becomes a non-Wholly Owned Subsidiary, the Investment of the Loan Parties in such Subsidiary are permitted pursuant to </w:t>
      </w:r>
      <w:r>
        <w:rPr>
          <w:rFonts w:ascii="Times New Roman" w:cs="Times New Roman" w:eastAsia="Times New Roman" w:hAnsi="Times New Roman"/>
          <w:sz w:val="20"/>
          <w:szCs w:val="20"/>
          <w:u w:val="single" w:color="auto"/>
          <w:color w:val="auto"/>
        </w:rPr>
        <w:t>Section 7.03(b)(ii)</w:t>
      </w:r>
      <w:r>
        <w:rPr>
          <w:rFonts w:ascii="Times New Roman" w:cs="Times New Roman" w:eastAsia="Times New Roman" w:hAnsi="Times New Roman"/>
          <w:sz w:val="20"/>
          <w:szCs w:val="20"/>
          <w:color w:val="auto"/>
        </w:rPr>
        <w:t xml:space="preserve"> as if such Investments were being made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as at that time; provided that no such release shall occur if (and while) such Subsidiary continues to be a guarantor in respect of any Junior Financing of any Loan Party or any Subsidiary.</w:t>
      </w:r>
    </w:p>
    <w:p>
      <w:pPr>
        <w:spacing w:after="0" w:line="201"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Excluded Swap Obligation</w:t>
      </w:r>
      <w:r>
        <w:rPr>
          <w:rFonts w:ascii="Times New Roman" w:cs="Times New Roman" w:eastAsia="Times New Roman" w:hAnsi="Times New Roman"/>
          <w:sz w:val="20"/>
          <w:szCs w:val="20"/>
          <w:color w:val="auto"/>
        </w:rPr>
        <w:t>” means, with respect to any Guarantor, any Swap Obligation if, and to the extent that, all or a portion of the Guaranty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2" w:name="page73"/>
    <w:bookmarkEnd w:id="72"/>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179"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11.13</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Sections 3.01(b</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and (d) any U.S. federal withholding Taxes imposed pursuant to FATCA.</w:t>
      </w:r>
    </w:p>
    <w:p>
      <w:pPr>
        <w:spacing w:after="0" w:line="186" w:lineRule="exact"/>
        <w:rPr>
          <w:sz w:val="20"/>
          <w:szCs w:val="20"/>
          <w:color w:val="auto"/>
        </w:rPr>
      </w:pPr>
    </w:p>
    <w:p>
      <w:pPr>
        <w:jc w:val="both"/>
        <w:ind w:firstLine="101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Existing Credit Agreement</w:t>
      </w:r>
      <w:r>
        <w:rPr>
          <w:rFonts w:ascii="Times New Roman" w:cs="Times New Roman" w:eastAsia="Times New Roman" w:hAnsi="Times New Roman"/>
          <w:sz w:val="19"/>
          <w:szCs w:val="19"/>
          <w:color w:val="auto"/>
        </w:rPr>
        <w:t>” means that certain First Lien Credit and Guaranty Agreement (as amended, restated, supplemented or modified from time to time) dated as of August 28, 2017, among the Borrower, the other Credit Parties party thereto (as defined therein), the Lenders party thereto (as defined therein) and Macquarie Capital Funding LLC, as administrative agent and collateral agent.</w:t>
      </w:r>
    </w:p>
    <w:p>
      <w:pPr>
        <w:spacing w:after="0" w:line="1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Facility</w:t>
      </w:r>
      <w:r>
        <w:rPr>
          <w:rFonts w:ascii="Times New Roman" w:cs="Times New Roman" w:eastAsia="Times New Roman" w:hAnsi="Times New Roman"/>
          <w:sz w:val="20"/>
          <w:szCs w:val="20"/>
          <w:color w:val="auto"/>
        </w:rPr>
        <w:t>” means the Term Facility, the Revolving Facility or any Incremental Term Facility, as the context may require.</w:t>
      </w:r>
    </w:p>
    <w:p>
      <w:pPr>
        <w:spacing w:after="0" w:line="215"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Facility Termination Date</w:t>
      </w:r>
      <w:r>
        <w:rPr>
          <w:rFonts w:ascii="Times New Roman" w:cs="Times New Roman" w:eastAsia="Times New Roman" w:hAnsi="Times New Roman"/>
          <w:sz w:val="20"/>
          <w:szCs w:val="20"/>
          <w:color w:val="auto"/>
        </w:rPr>
        <w:t>” means the date as of which all of the following shall have occurred: (a) the Aggregate Commitments have terminated, (b) all Obligations have been paid in full (other than contingent indemnification and expense reimbursement obligations), and (c) all Letters of Credit have terminated or expired (other than Letters of Credit as to which other arrangements with respect thereto reasonably satisfactory to the Administrative Agent and the L/C Issuer shall have been made).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15" w:lineRule="exact"/>
        <w:rPr>
          <w:sz w:val="20"/>
          <w:szCs w:val="20"/>
          <w:color w:val="auto"/>
        </w:rPr>
      </w:pPr>
    </w:p>
    <w:p>
      <w:pPr>
        <w:jc w:val="both"/>
        <w:ind w:firstLine="101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8"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Federal Funds Rate</w:t>
      </w:r>
      <w:r>
        <w:rPr>
          <w:rFonts w:ascii="Times New Roman" w:cs="Times New Roman" w:eastAsia="Times New Roman" w:hAnsi="Times New Roman"/>
          <w:sz w:val="20"/>
          <w:szCs w:val="20"/>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3" w:name="page74"/>
    <w:bookmarkEnd w:id="73"/>
    <w:p>
      <w:pPr>
        <w:jc w:val="both"/>
        <w:spacing w:after="0" w:line="253" w:lineRule="auto"/>
        <w:rPr>
          <w:sz w:val="20"/>
          <w:szCs w:val="20"/>
          <w:color w:val="auto"/>
        </w:rPr>
      </w:pPr>
      <w:r>
        <w:rPr>
          <w:rFonts w:ascii="Times New Roman" w:cs="Times New Roman" w:eastAsia="Times New Roman" w:hAnsi="Times New Roman"/>
          <w:sz w:val="20"/>
          <w:szCs w:val="20"/>
          <w:color w:val="auto"/>
        </w:rPr>
        <w:t>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w:t>
      </w:r>
    </w:p>
    <w:p>
      <w:pPr>
        <w:spacing w:after="0" w:line="172"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Flood Hazard Property</w:t>
      </w:r>
      <w:r>
        <w:rPr>
          <w:rFonts w:ascii="Times New Roman" w:cs="Times New Roman" w:eastAsia="Times New Roman" w:hAnsi="Times New Roman"/>
          <w:sz w:val="20"/>
          <w:szCs w:val="20"/>
          <w:color w:val="auto"/>
        </w:rPr>
        <w:t>” means any Mortgaged Property that is in an area designated by the Federal Emergency Management Agency as having special flood or mudslide hazards.</w:t>
      </w:r>
    </w:p>
    <w:p>
      <w:pPr>
        <w:spacing w:after="0" w:line="153"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Flood Insurance Laws</w:t>
      </w:r>
      <w:r>
        <w:rPr>
          <w:rFonts w:ascii="Times New Roman" w:cs="Times New Roman" w:eastAsia="Times New Roman" w:hAnsi="Times New Roman"/>
          <w:sz w:val="20"/>
          <w:szCs w:val="20"/>
          <w:color w:val="auto"/>
        </w:rPr>
        <w:t>” means, collectively, (a)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 Waters Flood Insurance Reform Act of 2012 as now or hereafter in effect or any successor statute thereto.</w:t>
      </w:r>
    </w:p>
    <w:p>
      <w:pPr>
        <w:spacing w:after="0" w:line="174"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Foreign Acquisition</w:t>
      </w:r>
      <w:r>
        <w:rPr>
          <w:rFonts w:ascii="Times New Roman" w:cs="Times New Roman" w:eastAsia="Times New Roman" w:hAnsi="Times New Roman"/>
          <w:sz w:val="20"/>
          <w:szCs w:val="20"/>
          <w:color w:val="auto"/>
        </w:rPr>
        <w:t xml:space="preserve">” means any Acquisition by any Loan Party (a) of the Equity Interests of any Person not organized under the laws of the United States, any state thereof or the District of Columbia (other than a Person who (i) is a Guarantor or (ii) is a Designated Foreign Subsidiary Guarantor and executes a Joinder Agreement (or such other documentation as may be reasonably requested by the Administrative Agent for such Foreign Subsidiary to become a Guarantor) substantially contemporaneously with the closing of such Acquisition and thereafter complies with the terms of </w:t>
      </w:r>
      <w:r>
        <w:rPr>
          <w:rFonts w:ascii="Times New Roman" w:cs="Times New Roman" w:eastAsia="Times New Roman" w:hAnsi="Times New Roman"/>
          <w:sz w:val="20"/>
          <w:szCs w:val="20"/>
          <w:u w:val="single" w:color="auto"/>
          <w:color w:val="auto"/>
        </w:rPr>
        <w:t>Sections 6.12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within the timeframes specified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Designated Foreign Subsidiary Guarantor, the Administrative Agent shall have made the determinations described in clause (ii) of the definition of “Designated Foreign Subsidiary Guarantor” and in clause (b) of the definition of “Approved Jurisdiction” permitting such Foreign Subsidiary to become a Designated Foreign Subsidiary Guarantor) or (b) in respect of assets that will not be held by a Loan Party after giving effect to such Acquisition.</w:t>
      </w:r>
    </w:p>
    <w:p>
      <w:pPr>
        <w:spacing w:after="0" w:line="183"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Foreign Lender</w:t>
      </w:r>
      <w:r>
        <w:rPr>
          <w:rFonts w:ascii="Times New Roman" w:cs="Times New Roman" w:eastAsia="Times New Roman" w:hAnsi="Times New Roman"/>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5"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Fronting Exposure</w:t>
      </w:r>
      <w:r>
        <w:rPr>
          <w:rFonts w:ascii="Times New Roman" w:cs="Times New Roman" w:eastAsia="Times New Roman" w:hAnsi="Times New Roman"/>
          <w:sz w:val="20"/>
          <w:szCs w:val="20"/>
          <w:color w:val="auto"/>
        </w:rPr>
        <w:t>” means, at any time there is a Defaulting Lender that is a Revolving Lender, (a)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FSHCO</w:t>
      </w:r>
      <w:r>
        <w:rPr>
          <w:rFonts w:ascii="Times New Roman" w:cs="Times New Roman" w:eastAsia="Times New Roman" w:hAnsi="Times New Roman"/>
          <w:sz w:val="20"/>
          <w:szCs w:val="20"/>
          <w:color w:val="auto"/>
        </w:rPr>
        <w:t>” means any Subsidiary substantially all of the assets of which constitute the Equity Interests of CFCs or other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FSHCOs.</w:t>
      </w:r>
    </w:p>
    <w:p>
      <w:pPr>
        <w:spacing w:after="0" w:line="189"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4" w:name="page75"/>
    <w:bookmarkEnd w:id="74"/>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Funding Indemnity Letter</w:t>
      </w:r>
      <w:r>
        <w:rPr>
          <w:rFonts w:ascii="Times New Roman" w:cs="Times New Roman" w:eastAsia="Times New Roman" w:hAnsi="Times New Roman"/>
          <w:sz w:val="20"/>
          <w:szCs w:val="20"/>
          <w:color w:val="auto"/>
        </w:rPr>
        <w:t>” means a funding indemnity letter, in form and substance satisfactory to the Administrative Agent.</w:t>
      </w:r>
    </w:p>
    <w:p>
      <w:pPr>
        <w:spacing w:after="0" w:line="215" w:lineRule="exact"/>
        <w:rPr>
          <w:sz w:val="20"/>
          <w:szCs w:val="20"/>
          <w:color w:val="auto"/>
        </w:rPr>
      </w:pPr>
    </w:p>
    <w:p>
      <w:pPr>
        <w:jc w:val="both"/>
        <w:ind w:firstLine="101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GAAP</w:t>
      </w:r>
      <w:r>
        <w:rPr>
          <w:rFonts w:ascii="Times New Roman" w:cs="Times New Roman" w:eastAsia="Times New Roman" w:hAnsi="Times New Roman"/>
          <w:sz w:val="20"/>
          <w:szCs w:val="20"/>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spacing w:after="0" w:line="174"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Guarantee</w:t>
      </w:r>
      <w:r>
        <w:rPr>
          <w:rFonts w:ascii="Times New Roman" w:cs="Times New Roman" w:eastAsia="Times New Roman" w:hAnsi="Times New Roman"/>
          <w:sz w:val="19"/>
          <w:szCs w:val="19"/>
          <w:color w:val="auto"/>
        </w:rPr>
        <w:t xml:space="preserve">” means, as to any Person, (a) any obligation, contingent or otherwise, of such Person guaranteeing or having the economic effect of guaranteeing any Indebtedness of the kind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through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of the definition thereof or other obligation payable or performable by another Person (the “</w:t>
      </w:r>
      <w:r>
        <w:rPr>
          <w:rFonts w:ascii="Times New Roman" w:cs="Times New Roman" w:eastAsia="Times New Roman" w:hAnsi="Times New Roman"/>
          <w:sz w:val="19"/>
          <w:szCs w:val="19"/>
          <w:i w:val="1"/>
          <w:iCs w:val="1"/>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through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of the definition thereof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(x) in the case of a Guarantee described in the foregoing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and (y) in the case of a Guarantee described in the foregoing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the lesser of (1)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and (2) the fair market value (as determined by the Borrower in good faith) of the assets encumbered thereby. Notwithstanding anything to the contrary, the term Guarantee shall not include endorsements for collection or deposit in the ordinary course of business. The term “</w:t>
      </w:r>
      <w:r>
        <w:rPr>
          <w:rFonts w:ascii="Times New Roman" w:cs="Times New Roman" w:eastAsia="Times New Roman" w:hAnsi="Times New Roman"/>
          <w:sz w:val="19"/>
          <w:szCs w:val="19"/>
          <w:i w:val="1"/>
          <w:iCs w:val="1"/>
          <w:u w:val="single" w:color="auto"/>
          <w:color w:val="auto"/>
        </w:rPr>
        <w:t>Guarantee</w:t>
      </w:r>
      <w:r>
        <w:rPr>
          <w:rFonts w:ascii="Times New Roman" w:cs="Times New Roman" w:eastAsia="Times New Roman" w:hAnsi="Times New Roman"/>
          <w:sz w:val="19"/>
          <w:szCs w:val="19"/>
          <w:color w:val="auto"/>
        </w:rPr>
        <w:t>” as a verb has a corresponding meaning.</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Guaranteed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Guarantors</w:t>
      </w:r>
      <w:r>
        <w:rPr>
          <w:rFonts w:ascii="Times New Roman" w:cs="Times New Roman" w:eastAsia="Times New Roman" w:hAnsi="Times New Roman"/>
          <w:sz w:val="20"/>
          <w:szCs w:val="20"/>
          <w:color w:val="auto"/>
        </w:rPr>
        <w:t xml:space="preserve">” means, collectively, (a) the Subsidiaries of the Borrower as are or may from time to time become parties to this Agreement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and (b) with respect to Additional Secured Obligations owing by any Loan Party or any of its Subsidiaries and any Swap Obligation of 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color w:val="auto"/>
        </w:rPr>
        <w:t xml:space="preserve">Specified Loan Party (determined before giving effect to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10.11</w:t>
      </w:r>
      <w:r>
        <w:rPr>
          <w:rFonts w:ascii="Times New Roman" w:cs="Times New Roman" w:eastAsia="Times New Roman" w:hAnsi="Times New Roman"/>
          <w:sz w:val="20"/>
          <w:szCs w:val="20"/>
          <w:color w:val="auto"/>
        </w:rPr>
        <w:t>) under the Guaranty, the Borrower.</w:t>
      </w:r>
    </w:p>
    <w:p>
      <w:pPr>
        <w:spacing w:after="0" w:line="211"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Guaranty</w:t>
      </w:r>
      <w:r>
        <w:rPr>
          <w:rFonts w:ascii="Times New Roman" w:cs="Times New Roman" w:eastAsia="Times New Roman" w:hAnsi="Times New Roman"/>
          <w:sz w:val="20"/>
          <w:szCs w:val="20"/>
          <w:color w:val="auto"/>
        </w:rPr>
        <w:t xml:space="preserve">” means, collectively, the Guarantee made by the Guarantors under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 favor of the Secured Parties, together with each other guaranty delivered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101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 based on its dangerous or deleterious properties.</w:t>
      </w:r>
    </w:p>
    <w:p>
      <w:pPr>
        <w:spacing w:after="0" w:line="178"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Hedge Bank</w:t>
      </w:r>
      <w:r>
        <w:rPr>
          <w:rFonts w:ascii="Times New Roman" w:cs="Times New Roman" w:eastAsia="Times New Roman" w:hAnsi="Times New Roman"/>
          <w:sz w:val="20"/>
          <w:szCs w:val="20"/>
          <w:color w:val="auto"/>
        </w:rPr>
        <w:t xml:space="preserve">” means any Person in its capacity as a party to a Swap Contract that, (a) at the time it enters into a Swap Contract not prohibited under </w:t>
      </w:r>
      <w:r>
        <w:rPr>
          <w:rFonts w:ascii="Times New Roman" w:cs="Times New Roman" w:eastAsia="Times New Roman" w:hAnsi="Times New Roman"/>
          <w:sz w:val="20"/>
          <w:szCs w:val="20"/>
          <w:u w:val="single" w:color="auto"/>
          <w:color w:val="auto"/>
        </w:rPr>
        <w:t>Articles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is a Lender or an Affiliate of a Lender, or (b) at the time it (or its Affiliate) becomes a Lender, is a party to a Swap Contract not prohibited under </w:t>
      </w:r>
      <w:r>
        <w:rPr>
          <w:rFonts w:ascii="Times New Roman" w:cs="Times New Roman" w:eastAsia="Times New Roman" w:hAnsi="Times New Roman"/>
          <w:sz w:val="20"/>
          <w:szCs w:val="20"/>
          <w:u w:val="single" w:color="auto"/>
          <w:color w:val="auto"/>
        </w:rPr>
        <w:t>Articles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in each case, in its capacity as a party to such Swap Contract (even if such Person ceases to be a Lender or such Person’s Affiliate ceased to be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in the case of a Secured Hedge Agreement with a Person who is no longer a Lender (or Affiliate of a Lender), such Person shall be considered a Hedge Bank only through the stated termination date (without extension or renewal) of such Secured Hedge Agreement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spacing w:after="0" w:line="183" w:lineRule="exact"/>
        <w:rPr>
          <w:sz w:val="20"/>
          <w:szCs w:val="20"/>
          <w:color w:val="auto"/>
        </w:rPr>
      </w:pPr>
    </w:p>
    <w:p>
      <w:pPr>
        <w:jc w:val="both"/>
        <w:ind w:firstLine="101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Immaterial Subsidiary</w:t>
      </w:r>
      <w:r>
        <w:rPr>
          <w:rFonts w:ascii="Times New Roman" w:cs="Times New Roman" w:eastAsia="Times New Roman" w:hAnsi="Times New Roman"/>
          <w:sz w:val="20"/>
          <w:szCs w:val="20"/>
          <w:color w:val="auto"/>
        </w:rPr>
        <w:t xml:space="preserve">” means, as of any date, any Subsidiary designated as such by the Borrower in writing to the Administrative Agent that, together with its Subsidiaries: (a) as of the last day of the Measurement Period most recently ended for which financial statements have been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did not have, together with the total assets as of such date of all other Immaterial Subsidiaries (together with their respective Subsidiaries) in the aggregate, total assets in excess of five percent (5%) of Consolidated Total Assets or (b) for the Measurement Period most recently ended for which financial statements have been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did not have, together with the Consolidated EBITDA for such Measurement Period attributable to all Immaterial Subsidiaries (together with their respective Subsidiaries) in the aggregate, Consolidated EBITDA attributable to such Subsidiary in excess of five percent (5%) of Consolidated EBITDA for such Measurement Period.</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2.02(g)</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Borrowing</w:t>
      </w:r>
      <w:r>
        <w:rPr>
          <w:rFonts w:ascii="Times New Roman" w:cs="Times New Roman" w:eastAsia="Times New Roman" w:hAnsi="Times New Roman"/>
          <w:sz w:val="20"/>
          <w:szCs w:val="20"/>
          <w:color w:val="auto"/>
        </w:rPr>
        <w:t xml:space="preserve">” means, with respect to any Incremental Term Facility, a borrowing under such Incremental Term Facility consisting of simultaneous Incremental Term Loans of the same Type and, in the case of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having the same Interest Period made by the Incremental Term Lenders under such Incremental Term Facility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Commitment</w:t>
      </w:r>
      <w:r>
        <w:rPr>
          <w:rFonts w:ascii="Times New Roman" w:cs="Times New Roman" w:eastAsia="Times New Roman" w:hAnsi="Times New Roman"/>
          <w:sz w:val="20"/>
          <w:szCs w:val="20"/>
          <w:color w:val="auto"/>
        </w:rPr>
        <w:t>” means, as to any Incremental Term Facility, as to each Incremental Term Lender under such Incremental Term Facility, its obligation to make an Incremental Term Loan under such Incremental Term Facility.</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6" w:name="page77"/>
    <w:bookmarkEnd w:id="76"/>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Facility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2.02(g)(ii)(D)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Facility Maturity Date</w:t>
      </w:r>
      <w:r>
        <w:rPr>
          <w:rFonts w:ascii="Times New Roman" w:cs="Times New Roman" w:eastAsia="Times New Roman" w:hAnsi="Times New Roman"/>
          <w:sz w:val="20"/>
          <w:szCs w:val="20"/>
          <w:color w:val="auto"/>
        </w:rPr>
        <w:t xml:space="preserve">” means, with respect to any Incremental Term Facility, the maturity date of such Incremental Term Facility set forth in the Incremental Term Facility Agreement executed and delivered pursuant to </w:t>
      </w:r>
      <w:r>
        <w:rPr>
          <w:rFonts w:ascii="Times New Roman" w:cs="Times New Roman" w:eastAsia="Times New Roman" w:hAnsi="Times New Roman"/>
          <w:sz w:val="20"/>
          <w:szCs w:val="20"/>
          <w:u w:val="single" w:color="auto"/>
          <w:color w:val="auto"/>
        </w:rPr>
        <w:t>Section 2.02(g)(ii)</w:t>
      </w:r>
      <w:r>
        <w:rPr>
          <w:rFonts w:ascii="Times New Roman" w:cs="Times New Roman" w:eastAsia="Times New Roman" w:hAnsi="Times New Roman"/>
          <w:sz w:val="20"/>
          <w:szCs w:val="20"/>
          <w:color w:val="auto"/>
        </w:rPr>
        <w:t xml:space="preserve"> in connection with such Incremental Term Facility.</w:t>
      </w:r>
    </w:p>
    <w:p>
      <w:pPr>
        <w:spacing w:after="0" w:line="170"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Lender</w:t>
      </w:r>
      <w:r>
        <w:rPr>
          <w:rFonts w:ascii="Times New Roman" w:cs="Times New Roman" w:eastAsia="Times New Roman" w:hAnsi="Times New Roman"/>
          <w:sz w:val="20"/>
          <w:szCs w:val="20"/>
          <w:color w:val="auto"/>
        </w:rPr>
        <w:t>” means, with respect to any Incremental Term Facility at any time, any Person that holds an Incremental Term Loan under such Incremental Term Facility at such time.</w:t>
      </w:r>
    </w:p>
    <w:p>
      <w:pPr>
        <w:spacing w:after="0" w:line="15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Loan</w:t>
      </w:r>
      <w:r>
        <w:rPr>
          <w:rFonts w:ascii="Times New Roman" w:cs="Times New Roman" w:eastAsia="Times New Roman" w:hAnsi="Times New Roman"/>
          <w:sz w:val="20"/>
          <w:szCs w:val="20"/>
          <w:color w:val="auto"/>
        </w:rPr>
        <w:t>” means, with respect to any Incremental Term Facility, an advance made by an Incremental Term Lender under such Incremental Term Facility.</w:t>
      </w:r>
    </w:p>
    <w:p>
      <w:pPr>
        <w:spacing w:after="0" w:line="153" w:lineRule="exact"/>
        <w:rPr>
          <w:sz w:val="20"/>
          <w:szCs w:val="20"/>
          <w:color w:val="auto"/>
        </w:rPr>
      </w:pPr>
    </w:p>
    <w:p>
      <w:pPr>
        <w:jc w:val="both"/>
        <w:ind w:firstLine="1607"/>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Note</w:t>
      </w:r>
      <w:r>
        <w:rPr>
          <w:rFonts w:ascii="Times New Roman" w:cs="Times New Roman" w:eastAsia="Times New Roman" w:hAnsi="Times New Roman"/>
          <w:sz w:val="20"/>
          <w:szCs w:val="20"/>
          <w:color w:val="auto"/>
        </w:rPr>
        <w:t xml:space="preserve">” means a promissory note made by the Borrower in favor of a Term Lender evidencing Term Loans made by such Term Lender,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1661"/>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7" w:lineRule="exact"/>
        <w:rPr>
          <w:sz w:val="20"/>
          <w:szCs w:val="20"/>
          <w:color w:val="auto"/>
        </w:rPr>
      </w:pPr>
    </w:p>
    <w:p>
      <w:pPr>
        <w:ind w:left="760" w:right="60" w:firstLine="745"/>
        <w:spacing w:after="0" w:line="268" w:lineRule="auto"/>
        <w:tabs>
          <w:tab w:leader="none" w:pos="190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pacing w:after="0" w:line="160"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bankers’ acceptances, bank guaranties and similar instruments;</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w:t>
      </w:r>
    </w:p>
    <w:p>
      <w:pPr>
        <w:spacing w:after="0" w:line="214" w:lineRule="exact"/>
        <w:rPr>
          <w:rFonts w:ascii="Times New Roman" w:cs="Times New Roman" w:eastAsia="Times New Roman" w:hAnsi="Times New Roman"/>
          <w:sz w:val="20"/>
          <w:szCs w:val="20"/>
          <w:color w:val="auto"/>
        </w:rPr>
      </w:pPr>
    </w:p>
    <w:p>
      <w:pPr>
        <w:jc w:val="both"/>
        <w:ind w:left="760" w:firstLine="745"/>
        <w:spacing w:after="0" w:line="262" w:lineRule="auto"/>
        <w:tabs>
          <w:tab w:leader="none" w:pos="190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of such Person to pay the deferred purchase price of property or services (other than (i) trade accounts and other accounts payable in the ordinary course of business and not past due for more than sixty (60) days after the date on which such trade account was created and (ii) deferred compensation accruals for payroll and accrued expenses in the ordinary course of business), including any Earn Out Obligations (with the amount of any Earn Out Obligations incurred in connection with any transaction being deemed to be the amount stated as a liability on the balance sheet of such Person in accordance with GAAP);</w:t>
      </w:r>
    </w:p>
    <w:p>
      <w:pPr>
        <w:spacing w:after="0" w:line="169" w:lineRule="exact"/>
        <w:rPr>
          <w:rFonts w:ascii="Times New Roman" w:cs="Times New Roman" w:eastAsia="Times New Roman" w:hAnsi="Times New Roman"/>
          <w:sz w:val="19"/>
          <w:szCs w:val="19"/>
          <w:color w:val="auto"/>
        </w:rPr>
      </w:pPr>
    </w:p>
    <w:p>
      <w:pPr>
        <w:jc w:val="both"/>
        <w:ind w:left="760" w:firstLine="745"/>
        <w:spacing w:after="0" w:line="249" w:lineRule="auto"/>
        <w:tabs>
          <w:tab w:leader="none" w:pos="190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(other than customary reservations or retentions of title under agreements with suppliers entered into in the ordinary course of business);</w:t>
      </w:r>
    </w:p>
    <w:p>
      <w:pPr>
        <w:spacing w:after="0" w:line="178"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 in respect of Capitalized Leases and Synthetic Lease Obligations of such Person;</w:t>
      </w:r>
    </w:p>
    <w:p>
      <w:pPr>
        <w:spacing w:after="0" w:line="214" w:lineRule="exact"/>
        <w:rPr>
          <w:rFonts w:ascii="Times New Roman" w:cs="Times New Roman" w:eastAsia="Times New Roman" w:hAnsi="Times New Roman"/>
          <w:sz w:val="20"/>
          <w:szCs w:val="20"/>
          <w:color w:val="auto"/>
        </w:rPr>
      </w:pPr>
    </w:p>
    <w:p>
      <w:pPr>
        <w:jc w:val="both"/>
        <w:ind w:left="760" w:right="20" w:firstLine="745"/>
        <w:spacing w:after="0" w:line="249" w:lineRule="auto"/>
        <w:tabs>
          <w:tab w:leader="none" w:pos="190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purchase, redeem, retire, defease or otherwise make any payment prior to the date that is one hundred eighty-one (181) days after the Latest Maturity Date then in effect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7" w:name="page78"/>
    <w:bookmarkEnd w:id="77"/>
    <w:p>
      <w:pPr>
        <w:ind w:left="1900" w:hanging="395"/>
        <w:spacing w:after="0"/>
        <w:tabs>
          <w:tab w:leader="none" w:pos="190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any of the foregoing.</w:t>
      </w:r>
    </w:p>
    <w:p>
      <w:pPr>
        <w:spacing w:after="0" w:line="210" w:lineRule="exact"/>
        <w:rPr>
          <w:rFonts w:ascii="Times New Roman" w:cs="Times New Roman" w:eastAsia="Times New Roman" w:hAnsi="Times New Roman"/>
          <w:sz w:val="20"/>
          <w:szCs w:val="20"/>
          <w:color w:val="auto"/>
        </w:rPr>
      </w:pPr>
    </w:p>
    <w:p>
      <w:pPr>
        <w:jc w:val="both"/>
        <w:ind w:firstLine="8"/>
        <w:spacing w:after="0" w:line="242" w:lineRule="auto"/>
        <w:tabs>
          <w:tab w:leader="none" w:pos="1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notwithstanding anything to the contrary, (x) amounts owing under any Permitted Convertible Indebtedness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be considered Indebtedness to the extent cash collateralized on terms at the time of such pledge, to the extent material to the interests of the Lenders, reasonably satisfactory to the Administrative Agent (it being understood that such pledge shall be in part for the benefit of the Lenders and shall not be released prior to payment in full of all amounts owing under the applicable Permitted Convertible Indebtedness without the consent of the Required Lenders other than to pay amounts owing under such Permitted Convertible Indebtedness to the extent such payments are permitted under this Agreement and any applicable subordination terms), (y) obligations arising under notes or similar instruments issued in connection with customary commercial arrangements in China shall not be considered Indebtedness to the extent considered accounts payable of such Person in accordance with GAAP, and (z) amounts advanced to Corsair Memory by the Permitted Factor in respect of Factor Risk Accounts (as defined in the Permitted Factoring Agreement) factored pursuant to the Permitted Factoring Program shall not be considered Indebtedness.</w:t>
      </w:r>
    </w:p>
    <w:p>
      <w:pPr>
        <w:spacing w:after="0" w:line="19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For all purposes hereof, the Indebtedness of any Person shall include the Indebtedness of any partnership or joint venture (other than a joint venture that is itself a corporation or limited liability company or other limited liability legal entity)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Indebtedness of any Person for purposes of clause (e) shall be deemed to be equal to the lesser of (i) the aggregate unpaid amount of such Indebtedness and (ii) the fair market value (as determined by the Borrower in good faith) of the property encumbered thereby.</w:t>
      </w:r>
    </w:p>
    <w:p>
      <w:pPr>
        <w:spacing w:after="0" w:line="179"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Indemnified Taxes</w:t>
      </w:r>
      <w:r>
        <w:rPr>
          <w:rFonts w:ascii="Times New Roman" w:cs="Times New Roman" w:eastAsia="Times New Roman" w:hAnsi="Times New Roman"/>
          <w:sz w:val="20"/>
          <w:szCs w:val="20"/>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Other Taxes.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Intellectual Property</w:t>
      </w:r>
      <w:r>
        <w:rPr>
          <w:rFonts w:ascii="Times New Roman" w:cs="Times New Roman" w:eastAsia="Times New Roman" w:hAnsi="Times New Roman"/>
          <w:sz w:val="20"/>
          <w:szCs w:val="20"/>
          <w:color w:val="auto"/>
        </w:rPr>
        <w:t>” has the meaning set forth in the Security Agreement.</w:t>
      </w:r>
    </w:p>
    <w:p>
      <w:pPr>
        <w:spacing w:after="0" w:line="215"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Interest Payment Date</w:t>
      </w:r>
      <w:r>
        <w:rPr>
          <w:rFonts w:ascii="Times New Roman" w:cs="Times New Roman" w:eastAsia="Times New Roman" w:hAnsi="Times New Roman"/>
          <w:sz w:val="20"/>
          <w:szCs w:val="20"/>
          <w:color w:val="auto"/>
        </w:rPr>
        <w:t xml:space="preserve">” means, (a) as to any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the last day of each Interest Period applicable to such Loan and the Maturity Date of the Facility under which such Loan was made;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any Interest Period for a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exceeds three (3) months, the respective dates that fall every three (3) months after the beginning of such Interest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Period shall also be Interest Payment Dates; and (b) as to any Base Rate Loan or Swingline Loan, the last Business Day of each March, June, September and December and the Maturity Date of the Facility under which such Loan was made (with Swingline Loans being deemed made under the Revolving Facility for purposes of this definition).</w:t>
      </w:r>
    </w:p>
    <w:p>
      <w:pPr>
        <w:spacing w:after="0" w:line="183" w:lineRule="exact"/>
        <w:rPr>
          <w:sz w:val="20"/>
          <w:szCs w:val="20"/>
          <w:color w:val="auto"/>
        </w:rPr>
      </w:pPr>
    </w:p>
    <w:p>
      <w:pPr>
        <w:jc w:val="both"/>
        <w:ind w:firstLine="101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Interest Period</w:t>
      </w:r>
      <w:r>
        <w:rPr>
          <w:rFonts w:ascii="Times New Roman" w:cs="Times New Roman" w:eastAsia="Times New Roman" w:hAnsi="Times New Roman"/>
          <w:sz w:val="20"/>
          <w:szCs w:val="20"/>
          <w:color w:val="auto"/>
        </w:rPr>
        <w:t>” means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as to each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the period commencing on the date such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is disbursed or converted to or continued as 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and ending on the date one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rPr>
        <w:t>(1)</w:t>
      </w:r>
      <w:r>
        <w:rPr>
          <w:rFonts w:ascii="Times New Roman" w:cs="Times New Roman" w:eastAsia="Times New Roman" w:hAnsi="Times New Roman"/>
          <w:sz w:val="20"/>
          <w:szCs w:val="20"/>
          <w:color w:val="000000"/>
        </w:rPr>
        <w:t>, three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(3)</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six</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(6)</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months thereafter </w:t>
      </w:r>
      <w:r>
        <w:rPr>
          <w:rFonts w:ascii="Times New Roman" w:cs="Times New Roman" w:eastAsia="Times New Roman" w:hAnsi="Times New Roman"/>
          <w:sz w:val="20"/>
          <w:szCs w:val="20"/>
          <w:color w:val="FF0000"/>
        </w:rPr>
        <w:t>(in each case, subject to availability)</w:t>
      </w:r>
      <w:r>
        <w:rPr>
          <w:rFonts w:ascii="Times New Roman" w:cs="Times New Roman" w:eastAsia="Times New Roman" w:hAnsi="Times New Roman"/>
          <w:sz w:val="20"/>
          <w:szCs w:val="20"/>
          <w:color w:val="000000"/>
        </w:rPr>
        <w:t>, as selected by the Borrower in its Loan Notice</w:t>
      </w:r>
      <w:r>
        <w:rPr>
          <w:rFonts w:ascii="Times New Roman" w:cs="Times New Roman" w:eastAsia="Times New Roman" w:hAnsi="Times New Roman"/>
          <w:sz w:val="20"/>
          <w:szCs w:val="20"/>
          <w:u w:val="single" w:color="auto"/>
          <w:color w:val="0000FF"/>
        </w:rPr>
        <w:t>, or such other period that is twelve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months or less requested by the Borrower and consented to by all the Appropriate Lenders and the Administrative Agent (in the case of each requested Interest Period, subject to availability)</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-519430</wp:posOffset>
            </wp:positionV>
            <wp:extent cx="1778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177800" cy="8255"/>
                    </a:xfrm>
                    <a:prstGeom prst="rect">
                      <a:avLst/>
                    </a:prstGeom>
                    <a:noFill/>
                  </pic:spPr>
                </pic:pic>
              </a:graphicData>
            </a:graphic>
          </wp:anchor>
        </w:drawing>
        <w:drawing>
          <wp:anchor simplePos="0" relativeHeight="251657728" behindDoc="1" locked="0" layoutInCell="0" allowOverlap="1">
            <wp:simplePos x="0" y="0"/>
            <wp:positionH relativeFrom="column">
              <wp:posOffset>895350</wp:posOffset>
            </wp:positionH>
            <wp:positionV relativeFrom="paragraph">
              <wp:posOffset>-374015</wp:posOffset>
            </wp:positionV>
            <wp:extent cx="1915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191516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8" w:name="page79"/>
    <w:bookmarkEnd w:id="78"/>
    <w:p>
      <w:pPr>
        <w:jc w:val="both"/>
        <w:ind w:left="760" w:firstLine="745"/>
        <w:spacing w:after="0" w:line="253"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Interest Period that would otherwise end on a day that is not a Business Day shall be extended to the next succeeding Business Day unless, in the case of a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such Business Day falls in another calendar month, in which case such Interest Period shall end on the next preceding Business Day;</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Interest Period pertaining to a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 of the Facility under which such Loan was made.</w:t>
      </w:r>
    </w:p>
    <w:p>
      <w:pPr>
        <w:spacing w:after="0" w:line="211"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original cost of such Investment (without adjustment for subsequent increases or decreases in the value of such Investment), reduced by any dividend, distribution, interest payment, return of capital, repayment or other amount received in cash by the Borrower or a Subsidiary in respect of such Investment.</w:t>
      </w:r>
    </w:p>
    <w:p>
      <w:pPr>
        <w:spacing w:after="0" w:line="18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Involuntary Disposition</w:t>
      </w:r>
      <w:r>
        <w:rPr>
          <w:rFonts w:ascii="Times New Roman" w:cs="Times New Roman" w:eastAsia="Times New Roman" w:hAnsi="Times New Roman"/>
          <w:sz w:val="20"/>
          <w:szCs w:val="20"/>
          <w:color w:val="auto"/>
        </w:rPr>
        <w:t>” means any loss of, damage to or destruction of, or any condemnation or other taking for public use of, any property of any Loan Party or any Subsidiary.</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5"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70"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executed and delivered in accordance with the provisions of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Junior Financing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9" w:name="page80"/>
    <w:bookmarkEnd w:id="79"/>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Advance</w:t>
      </w:r>
      <w:r>
        <w:rPr>
          <w:rFonts w:ascii="Times New Roman" w:cs="Times New Roman" w:eastAsia="Times New Roman" w:hAnsi="Times New Roman"/>
          <w:sz w:val="20"/>
          <w:szCs w:val="20"/>
          <w:color w:val="auto"/>
        </w:rPr>
        <w:t>” means, with respect to each Revolving Lender, such Lender’s funding of its participation in any L/C Borrowing in accordance with its Applicable Revolving Percentage.</w:t>
      </w:r>
    </w:p>
    <w:p>
      <w:pPr>
        <w:spacing w:after="0" w:line="15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Revolving Borrowing.</w:t>
      </w:r>
    </w:p>
    <w:p>
      <w:pPr>
        <w:spacing w:after="0" w:line="157" w:lineRule="exact"/>
        <w:rPr>
          <w:sz w:val="20"/>
          <w:szCs w:val="20"/>
          <w:color w:val="auto"/>
        </w:rPr>
      </w:pPr>
    </w:p>
    <w:p>
      <w:pPr>
        <w:jc w:val="both"/>
        <w:ind w:firstLine="101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Commitment</w:t>
      </w:r>
      <w:r>
        <w:rPr>
          <w:rFonts w:ascii="Times New Roman" w:cs="Times New Roman" w:eastAsia="Times New Roman" w:hAnsi="Times New Roman"/>
          <w:sz w:val="19"/>
          <w:szCs w:val="19"/>
          <w:color w:val="auto"/>
        </w:rPr>
        <w:t xml:space="preserve">” means, with respect to the L/C Issuer, the commitment of the L/C Issuer to issue Letters of Credit hereunder. The initial amount of the L/C Issuer’s </w:t>
      </w:r>
      <w:r>
        <w:rPr>
          <w:rFonts w:ascii="Times New Roman" w:cs="Times New Roman" w:eastAsia="Times New Roman" w:hAnsi="Times New Roman"/>
          <w:sz w:val="19"/>
          <w:szCs w:val="19"/>
          <w:color w:val="FF0000"/>
          <w:strike w:val="1"/>
        </w:rPr>
        <w:t>Letter of Credit</w:t>
      </w:r>
      <w:r>
        <w:rPr>
          <w:rFonts w:ascii="Times New Roman" w:cs="Times New Roman" w:eastAsia="Times New Roman" w:hAnsi="Times New Roman"/>
          <w:sz w:val="19"/>
          <w:szCs w:val="19"/>
          <w:u w:val="single" w:color="auto"/>
          <w:color w:val="0000FF"/>
        </w:rPr>
        <w:t>L/C</w:t>
      </w:r>
      <w:r>
        <w:rPr>
          <w:rFonts w:ascii="Times New Roman" w:cs="Times New Roman" w:eastAsia="Times New Roman" w:hAnsi="Times New Roman"/>
          <w:sz w:val="19"/>
          <w:szCs w:val="19"/>
          <w:color w:val="auto"/>
        </w:rPr>
        <w:t xml:space="preserve"> Commitment is set forth on Schedule 2.03 </w:t>
      </w:r>
      <w:r>
        <w:rPr>
          <w:rFonts w:ascii="Times New Roman" w:cs="Times New Roman" w:eastAsia="Times New Roman" w:hAnsi="Times New Roman"/>
          <w:sz w:val="19"/>
          <w:szCs w:val="19"/>
          <w:color w:val="FF0000"/>
        </w:rPr>
        <w:t>. The Letter of Credit</w:t>
      </w:r>
      <w:r>
        <w:rPr>
          <w:rFonts w:ascii="Times New Roman" w:cs="Times New Roman" w:eastAsia="Times New Roman" w:hAnsi="Times New Roman"/>
          <w:sz w:val="19"/>
          <w:szCs w:val="19"/>
          <w:u w:val="single" w:color="auto"/>
          <w:color w:val="0000FF"/>
        </w:rPr>
        <w:t>; however, as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the effective date of the Fourth Amendment, dated as of August 19, 2024, by and among the Borrower, the Guarantors party thereto, the Lenders party thereto and the Administrative Agent, the L/C Issuer’s L/C Commitment is $65,000,000. The L/C</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Commitment of the L/C</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Issuer may be modified from time to time by agreement between the L/C Issuer and the Borrower, and notified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5170805</wp:posOffset>
            </wp:positionH>
            <wp:positionV relativeFrom="paragraph">
              <wp:posOffset>-528320</wp:posOffset>
            </wp:positionV>
            <wp:extent cx="11436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spacing w:after="0" w:line="145"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Issuer</w:t>
      </w:r>
      <w:r>
        <w:rPr>
          <w:rFonts w:ascii="Times New Roman" w:cs="Times New Roman" w:eastAsia="Times New Roman" w:hAnsi="Times New Roman"/>
          <w:sz w:val="20"/>
          <w:szCs w:val="20"/>
          <w:color w:val="auto"/>
        </w:rPr>
        <w:t>” means Bank of America in its capacity as issuer of Letters of Credit hereunder, or any successor issuer of Letters of Credit hereunder.</w:t>
      </w:r>
    </w:p>
    <w:p>
      <w:pPr>
        <w:spacing w:after="0" w:line="153"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Latest Maturity Date</w:t>
      </w:r>
      <w:r>
        <w:rPr>
          <w:rFonts w:ascii="Times New Roman" w:cs="Times New Roman" w:eastAsia="Times New Roman" w:hAnsi="Times New Roman"/>
          <w:sz w:val="20"/>
          <w:szCs w:val="20"/>
          <w:color w:val="auto"/>
        </w:rPr>
        <w:t>” means, as of any date of determination, the latest of the Maturity Date with respect to the Revolving Facility, the Maturity Date with respect to the Term Facility and the then-latest Incremental Term Facility Maturity Date.</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Lender</w:t>
      </w:r>
      <w:r>
        <w:rPr>
          <w:rFonts w:ascii="Times New Roman" w:cs="Times New Roman" w:eastAsia="Times New Roman" w:hAnsi="Times New Roman"/>
          <w:sz w:val="20"/>
          <w:szCs w:val="20"/>
          <w:color w:val="auto"/>
        </w:rPr>
        <w:t>” means each of the Persons identified as a “Lender” on the signature pages hereto, each other Person that becomes a “Lender” in accordance with this Agreement (including each Incremental Term Lender) and, their successors and assigns and, unless the context requires otherwise, includes the Swingline Lender.</w:t>
      </w:r>
    </w:p>
    <w:p>
      <w:pPr>
        <w:spacing w:after="0" w:line="170"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Lending Office</w:t>
      </w:r>
      <w:r>
        <w:rPr>
          <w:rFonts w:ascii="Times New Roman" w:cs="Times New Roman" w:eastAsia="Times New Roman" w:hAnsi="Times New Roman"/>
          <w:sz w:val="20"/>
          <w:szCs w:val="20"/>
          <w:color w:val="auto"/>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Letter of Credit</w:t>
      </w:r>
      <w:r>
        <w:rPr>
          <w:rFonts w:ascii="Times New Roman" w:cs="Times New Roman" w:eastAsia="Times New Roman" w:hAnsi="Times New Roman"/>
          <w:sz w:val="20"/>
          <w:szCs w:val="20"/>
          <w:color w:val="auto"/>
        </w:rPr>
        <w:t>” means any standby letter of credit issued hereunder.</w:t>
      </w:r>
    </w:p>
    <w:p>
      <w:pPr>
        <w:spacing w:after="0" w:line="215"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2.03(l)</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0" w:name="page81"/>
    <w:bookmarkEnd w:id="80"/>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Letter of Credit Sublimit</w:t>
      </w:r>
      <w:r>
        <w:rPr>
          <w:rFonts w:ascii="Times New Roman" w:cs="Times New Roman" w:eastAsia="Times New Roman" w:hAnsi="Times New Roman"/>
          <w:sz w:val="20"/>
          <w:szCs w:val="20"/>
          <w:color w:val="auto"/>
        </w:rPr>
        <w:t>” means, as of any date of determination, an amount equal to the lesser of (a) $</w:t>
      </w:r>
      <w:r>
        <w:rPr>
          <w:rFonts w:ascii="Times New Roman" w:cs="Times New Roman" w:eastAsia="Times New Roman" w:hAnsi="Times New Roman"/>
          <w:sz w:val="20"/>
          <w:szCs w:val="20"/>
          <w:color w:val="FF0000"/>
          <w:strike w:val="1"/>
        </w:rPr>
        <w:t>15,000,000</w:t>
      </w:r>
      <w:r>
        <w:rPr>
          <w:rFonts w:ascii="Times New Roman" w:cs="Times New Roman" w:eastAsia="Times New Roman" w:hAnsi="Times New Roman"/>
          <w:sz w:val="20"/>
          <w:szCs w:val="20"/>
          <w:u w:val="single" w:color="auto"/>
          <w:color w:val="0000FF"/>
        </w:rPr>
        <w:t>65,000,000</w:t>
      </w:r>
      <w:r>
        <w:rPr>
          <w:rFonts w:ascii="Times New Roman" w:cs="Times New Roman" w:eastAsia="Times New Roman" w:hAnsi="Times New Roman"/>
          <w:sz w:val="20"/>
          <w:szCs w:val="20"/>
          <w:color w:val="auto"/>
        </w:rPr>
        <w:t xml:space="preserve"> and (b) the Revolving Facility. The Letter of Credit Sublimit is part of, and not in addition to, the Revolving Facility.</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Leverage Increase Period</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4"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Limited Condition Acquisition</w:t>
      </w:r>
      <w:r>
        <w:rPr>
          <w:rFonts w:ascii="Times New Roman" w:cs="Times New Roman" w:eastAsia="Times New Roman" w:hAnsi="Times New Roman"/>
          <w:sz w:val="20"/>
          <w:szCs w:val="20"/>
          <w:color w:val="auto"/>
        </w:rPr>
        <w:t>” means any contractually committed Acquisition the consummation of which by the Borrower or any Subsidiary is not conditioned on the availability of, or on obtaining, third party financing.</w:t>
      </w:r>
    </w:p>
    <w:p>
      <w:pPr>
        <w:spacing w:after="0" w:line="15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w:t>
      </w:r>
      <w:r>
        <w:rPr>
          <w:rFonts w:ascii="Times New Roman" w:cs="Times New Roman" w:eastAsia="Times New Roman" w:hAnsi="Times New Roman"/>
          <w:sz w:val="20"/>
          <w:szCs w:val="20"/>
          <w:color w:val="auto"/>
        </w:rPr>
        <w:t xml:space="preserve">” means an extension of credit by a Lender to the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Term Loan, a Revolving Loan, an Incremental Term Loan or a Swingline Loan.</w:t>
      </w:r>
    </w:p>
    <w:p>
      <w:pPr>
        <w:spacing w:after="0" w:line="153" w:lineRule="exact"/>
        <w:rPr>
          <w:sz w:val="20"/>
          <w:szCs w:val="20"/>
          <w:color w:val="auto"/>
        </w:rPr>
      </w:pPr>
    </w:p>
    <w:p>
      <w:pPr>
        <w:jc w:val="both"/>
        <w:ind w:firstLine="101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 Documents</w:t>
      </w:r>
      <w:r>
        <w:rPr>
          <w:rFonts w:ascii="Times New Roman" w:cs="Times New Roman" w:eastAsia="Times New Roman" w:hAnsi="Times New Roman"/>
          <w:sz w:val="20"/>
          <w:szCs w:val="20"/>
          <w:color w:val="auto"/>
        </w:rPr>
        <w:t xml:space="preserve">” means, collectively, this Agreement, the Notes, the Guaranty, the Collateral Documents, the Engagement Letter, the Permitted Factoring Intercreditor Agreement, each Issuer Document, each Incremental Term Facility Amendment, each Joinder Agreement,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any subordination agreement entered into by the Administrative Agent and a Loan Party in respect of Permitted Subordinated Debt and all other certificates, agreements, documents and instruments executed and delivered, in each case, by or on behalf of any Loan Party pursuant to the foregoing (but specifically excluding any Secured Hedge Agreement or any Secured Cash Management Agreement) and any amendments, modifications or supplements thereto or to any other Loan Document or waivers hereof or to any other Loan Document;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for purposes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“Loan Documents” shall mean this Agreement, the Guaranty and the Collateral Documents.</w:t>
      </w:r>
    </w:p>
    <w:p>
      <w:pPr>
        <w:spacing w:after="0" w:line="179"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 Notice</w:t>
      </w:r>
      <w:r>
        <w:rPr>
          <w:rFonts w:ascii="Times New Roman" w:cs="Times New Roman" w:eastAsia="Times New Roman" w:hAnsi="Times New Roman"/>
          <w:sz w:val="20"/>
          <w:szCs w:val="20"/>
          <w:color w:val="auto"/>
        </w:rPr>
        <w:t xml:space="preserve">” means a notice of (a) a Borrowing, (b) a conversion of Loans from one Type to the other, or (c) a continuation of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pursuant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2.02(a</w:t>
      </w:r>
      <w:r>
        <w:rPr>
          <w:rFonts w:ascii="Times New Roman" w:cs="Times New Roman" w:eastAsia="Times New Roman" w:hAnsi="Times New Roman"/>
          <w:sz w:val="20"/>
          <w:szCs w:val="20"/>
          <w:color w:val="000000"/>
        </w:rPr>
        <w:t>), which shall be substantially in the form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Exhibit 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such other form as may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 Parties</w:t>
      </w:r>
      <w:r>
        <w:rPr>
          <w:rFonts w:ascii="Times New Roman" w:cs="Times New Roman" w:eastAsia="Times New Roman" w:hAnsi="Times New Roman"/>
          <w:sz w:val="20"/>
          <w:szCs w:val="20"/>
          <w:color w:val="auto"/>
        </w:rPr>
        <w:t>” means, collectively, the Borrower and each Guarantor.</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Master Agreement</w:t>
      </w:r>
      <w:r>
        <w:rPr>
          <w:rFonts w:ascii="Times New Roman" w:cs="Times New Roman" w:eastAsia="Times New Roman" w:hAnsi="Times New Roman"/>
          <w:sz w:val="20"/>
          <w:szCs w:val="20"/>
          <w:color w:val="auto"/>
        </w:rPr>
        <w:t>” has the meaning set forth in the definition of “Swap Contract.”</w:t>
      </w:r>
    </w:p>
    <w:p>
      <w:pPr>
        <w:spacing w:after="0" w:line="215"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or financial condition of the Borrower and its Subsidiaries taken as a whole; or (b) a material adverse effect on (i) the ability of the Loan Parties, taken as a whole, to perform their Obligations, (ii) the legality, validity, binding effect or enforceability against any Loan Party of any material Loan Document to which it is a party or (iii) the rights, remedies and benefits available to, or conferred upon, the Administrative Agent or any Lender under the Loan Documents, taken as a whole (other than to the extent a result of the action or inaction of the Administrative Agent or any Lender).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1" w:name="page82"/>
    <w:bookmarkEnd w:id="81"/>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Subsidiary</w:t>
      </w:r>
      <w:r>
        <w:rPr>
          <w:rFonts w:ascii="Times New Roman" w:cs="Times New Roman" w:eastAsia="Times New Roman" w:hAnsi="Times New Roman"/>
          <w:sz w:val="20"/>
          <w:szCs w:val="20"/>
          <w:color w:val="auto"/>
        </w:rPr>
        <w:t>” means each Subsidiary that is not an Immaterial Subsidiary.</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Wholly Owned Domestic Subsidiary</w:t>
      </w:r>
      <w:r>
        <w:rPr>
          <w:rFonts w:ascii="Times New Roman" w:cs="Times New Roman" w:eastAsia="Times New Roman" w:hAnsi="Times New Roman"/>
          <w:sz w:val="20"/>
          <w:szCs w:val="20"/>
          <w:color w:val="auto"/>
        </w:rPr>
        <w:t>” means each Material Wholly Owned Subsidiary that is a Domestic Subsidiary.</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Wholly Owned Foreign Subsidiary</w:t>
      </w:r>
      <w:r>
        <w:rPr>
          <w:rFonts w:ascii="Times New Roman" w:cs="Times New Roman" w:eastAsia="Times New Roman" w:hAnsi="Times New Roman"/>
          <w:sz w:val="20"/>
          <w:szCs w:val="20"/>
          <w:color w:val="auto"/>
        </w:rPr>
        <w:t>” means each Material Wholly Owned Subsidiary that is a Foreign Subsidiary.</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Wholly Owned Subsidiary</w:t>
      </w:r>
      <w:r>
        <w:rPr>
          <w:rFonts w:ascii="Times New Roman" w:cs="Times New Roman" w:eastAsia="Times New Roman" w:hAnsi="Times New Roman"/>
          <w:sz w:val="20"/>
          <w:szCs w:val="20"/>
          <w:color w:val="auto"/>
        </w:rPr>
        <w:t>” means each Wholly Owned Subsidiary that is a Material Subsidiary.</w:t>
      </w:r>
    </w:p>
    <w:p>
      <w:pPr>
        <w:spacing w:after="0" w:line="211"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Maturity Date</w:t>
      </w:r>
      <w:r>
        <w:rPr>
          <w:rFonts w:ascii="Times New Roman" w:cs="Times New Roman" w:eastAsia="Times New Roman" w:hAnsi="Times New Roman"/>
          <w:sz w:val="20"/>
          <w:szCs w:val="20"/>
          <w:color w:val="auto"/>
        </w:rPr>
        <w:t xml:space="preserve">” means (a) with respect to the Revolving Facility, September 3, 2026, (b) with respect to the Term Facility, September 3, 2026 and (c) with respect to the Incremental Term Facility, the applicable Incremental Term Facility 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each case, if such date is not a Business Day, the Maturity Date shall be the next preceding Business Day.</w:t>
      </w:r>
    </w:p>
    <w:p>
      <w:pPr>
        <w:spacing w:after="0" w:line="170"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Measurement Period</w:t>
      </w:r>
      <w:r>
        <w:rPr>
          <w:rFonts w:ascii="Times New Roman" w:cs="Times New Roman" w:eastAsia="Times New Roman" w:hAnsi="Times New Roman"/>
          <w:sz w:val="20"/>
          <w:szCs w:val="20"/>
          <w:color w:val="auto"/>
        </w:rPr>
        <w:t xml:space="preserve">” means, at any date of determination, the most recently completed four (4) fiscal quarters of the Borrower for which the Borrower was required to deliver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xml:space="preserve"> (or if prior to the date of delivery of the first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the most recently ended fiscal quarter of the Borrower for which financial statements are available).</w:t>
      </w:r>
    </w:p>
    <w:p>
      <w:pPr>
        <w:spacing w:after="0" w:line="174"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Minimum Collateral Amount</w:t>
      </w:r>
      <w:r>
        <w:rPr>
          <w:rFonts w:ascii="Times New Roman" w:cs="Times New Roman" w:eastAsia="Times New Roman" w:hAnsi="Times New Roman"/>
          <w:sz w:val="20"/>
          <w:szCs w:val="20"/>
          <w:color w:val="auto"/>
        </w:rPr>
        <w:t>” means, at any time, (a) with respect to Cash Collateral consisting of cash or deposit account balances, an amount equal to 103% of the Fronting Exposure of the L/C Issuer with respect to Letters of Credit issued and outstanding at such time and (b) otherwise, an amount determined by the Administrative Agent and the L/C Issuer in their sole discretion.</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Moody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color w:val="auto"/>
        </w:rPr>
        <w:t>” means Moody’s Investors Service, Inc. and any successor thereto.</w:t>
      </w:r>
    </w:p>
    <w:p>
      <w:pPr>
        <w:spacing w:after="0" w:line="215"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Mortgage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u w:val="single" w:color="auto"/>
          <w:color w:val="auto"/>
        </w:rPr>
        <w:t>Mortgages</w:t>
      </w:r>
      <w:r>
        <w:rPr>
          <w:rFonts w:ascii="Times New Roman" w:cs="Times New Roman" w:eastAsia="Times New Roman" w:hAnsi="Times New Roman"/>
          <w:sz w:val="20"/>
          <w:szCs w:val="20"/>
          <w:color w:val="auto"/>
        </w:rPr>
        <w:t>” means, individually and collectively, as the context requires, each of the fee or leasehold mortgages, deeds of trust, deeds and other similar security documents executed by a Loan Party that purport to grant a Lien to the Administrative Agent (or a trustee for the benefit of the Administrative Agent) for the benefit of the Secured Parties in any Mortgaged Properties, in form and substance satisfactory to the Administrative Agent.</w:t>
      </w:r>
    </w:p>
    <w:p>
      <w:pPr>
        <w:spacing w:after="0" w:line="174"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Mortgaged Property</w:t>
      </w:r>
      <w:r>
        <w:rPr>
          <w:rFonts w:ascii="Times New Roman" w:cs="Times New Roman" w:eastAsia="Times New Roman" w:hAnsi="Times New Roman"/>
          <w:sz w:val="20"/>
          <w:szCs w:val="20"/>
          <w:color w:val="auto"/>
        </w:rPr>
        <w:t>” means any real property (other than any Excluded Property) of a Loan Party owned in fee simple by any Loan Party that is or is required to be encumbered by a Mortgage in accordance with the terms of this Agreement.</w:t>
      </w:r>
    </w:p>
    <w:p>
      <w:pPr>
        <w:spacing w:after="0" w:line="15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Mortgaged Property Support Documents</w:t>
      </w:r>
      <w:r>
        <w:rPr>
          <w:rFonts w:ascii="Times New Roman" w:cs="Times New Roman" w:eastAsia="Times New Roman" w:hAnsi="Times New Roman"/>
          <w:sz w:val="20"/>
          <w:szCs w:val="20"/>
          <w:color w:val="auto"/>
        </w:rPr>
        <w:t xml:space="preserve">” means, with respect to any real property subject to a Mortgage, the deliveries and documents described on </w:t>
      </w:r>
      <w:r>
        <w:rPr>
          <w:rFonts w:ascii="Times New Roman" w:cs="Times New Roman" w:eastAsia="Times New Roman" w:hAnsi="Times New Roman"/>
          <w:sz w:val="20"/>
          <w:szCs w:val="20"/>
          <w:u w:val="single" w:color="auto"/>
          <w:color w:val="auto"/>
        </w:rPr>
        <w:t>Schedule 1.01(c)</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spacing w:after="0" w:line="170"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2" w:name="page83"/>
    <w:bookmarkEnd w:id="82"/>
    <w:p>
      <w:pPr>
        <w:jc w:val="both"/>
        <w:ind w:firstLine="101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Net Cash Proceeds</w:t>
      </w:r>
      <w:r>
        <w:rPr>
          <w:rFonts w:ascii="Times New Roman" w:cs="Times New Roman" w:eastAsia="Times New Roman" w:hAnsi="Times New Roman"/>
          <w:sz w:val="19"/>
          <w:szCs w:val="19"/>
          <w:color w:val="auto"/>
        </w:rPr>
        <w:t>” means (i) in connection with any Disposition or Involuntary Disposition, the aggregate cash or Cash Equivalents proceeds received by any Loan Party or any Subsidiary in respect thereof, net of (a) customary costs and expenses incurred in connection therewith (including, without limitation, legal, brokerage, advisor, accounting and investment banking fees and sales commissions and other professional fees and disbursements, survey costs, title insurance premiums and related search and recording charges), (b) taxes paid or payable (or estimated in good faith by the Borrower to become payable) as a result thereof or in connection with the repatriation of any cash payments received (or subsequently received) by any Foreign Subsidiary in connection therewith, (c) in the case of any Disposition or any Involuntary Disposition, the amount necessary to retire any Indebtedness, including any premium or penalty thereon, secured by a Permitted Lien (ranking senior to any Lien of the Administrative Agent) on the related property, (d) a reasonable reserve established in accordance with GAAP against any adjustment to the sale price or any liabilities (other than any taxes deducted pursuant to clause (b) above)</w:t>
      </w:r>
    </w:p>
    <w:p>
      <w:pPr>
        <w:spacing w:after="0" w:line="8" w:lineRule="exact"/>
        <w:rPr>
          <w:sz w:val="20"/>
          <w:szCs w:val="20"/>
          <w:color w:val="auto"/>
        </w:rPr>
      </w:pPr>
    </w:p>
    <w:p>
      <w:pPr>
        <w:jc w:val="both"/>
        <w:ind w:firstLine="8"/>
        <w:spacing w:after="0" w:line="230" w:lineRule="exact"/>
        <w:tabs>
          <w:tab w:leader="none" w:pos="29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to any of the applicable assets and (y) retained by the Borrower or applicable Subsidiary, including, without limitation, pension and other post-employment benefit liabilities related to environmental matters or for any indemnification payments (fixed or contingent) attributable to seller’s indemnities and representations and warranties to purchaser in respect of such Disposition or Involuntary Disposition undertaken by the Borrower or any of the Subsidiaries in connection with such Disposition or Involuntary Disposition; provided, upon release of any such reserve, the amount released shall be considered Net Cash Proceeds, (e) in the case of any Disposition or Involuntary Disposition by a non-Wholly Owned Subsidiary, the pro rata portion of the Net Cash Proceeds thereof (calculated without regard to this clause (e)) attributable to minority interests and not available for distribution to or for the account of the Borrower or a Wholly Owned Subsidiary as a result thereof, and (f) in the case of any Involuntary Disposition, amounts required to be turned over to landlords (or their mortgagees) pursuant to the terms of any lease to which the Borrower or any of its Subsidiaries is party; it being understood that “Net Cash Proceeds” shall include, without limitation, any cash or Cash Equivalents received upon the sale or other disposition of any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cash consideration received by any Loan Party or any Subsidiary in any Disposition or Involuntary Disposition, and (ii) in connection with any Debt Issuance, the cash or Cash Equivalents proceeds received by any Loan Party or any Subsidiary therefrom, net of attorneys’ fees, investment banking fees, accountants’ fees, underwriting discounts and commissions, other customary fees and expenses actually incurred in connection therewith, and, in the case of any Indebtedness that constitutes Permitted Convertible Indebtedness, the net cost of any Permitted Call Spread Transaction executed substantially concurrently with the pricing of such Permitted Convertible Indebtedness.</w:t>
      </w:r>
    </w:p>
    <w:p>
      <w:pPr>
        <w:spacing w:after="0" w:line="1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New Revolving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Consenting Lender</w:t>
      </w:r>
      <w:r>
        <w:rPr>
          <w:rFonts w:ascii="Times New Roman" w:cs="Times New Roman" w:eastAsia="Times New Roman" w:hAnsi="Times New Roman"/>
          <w:sz w:val="20"/>
          <w:szCs w:val="20"/>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(b) has been approved by the Required Lenders.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Extension 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Not Otherwise Applied</w:t>
      </w:r>
      <w:r>
        <w:rPr>
          <w:rFonts w:ascii="Times New Roman" w:cs="Times New Roman" w:eastAsia="Times New Roman" w:hAnsi="Times New Roman"/>
          <w:sz w:val="20"/>
          <w:szCs w:val="20"/>
          <w:color w:val="auto"/>
        </w:rPr>
        <w:t>” means, with reference to any amount of any capital contribution to the Borrower, any amount of proceeds from issuances of Qualified Equity Interests of the Borrower or any Subsidiary or the proceeds from any “key-man” life insurance policy, in each case, that are proposed to be applied to a particular use or transaction, that such amount was not previously applied in determining the permissibility of a transaction under the Loan Documents where such permissibility was (or may have been) contingent on the receipt or availability of such amount.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3" w:name="page84"/>
    <w:bookmarkEnd w:id="83"/>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Note</w:t>
      </w:r>
      <w:r>
        <w:rPr>
          <w:rFonts w:ascii="Times New Roman" w:cs="Times New Roman" w:eastAsia="Times New Roman" w:hAnsi="Times New Roman"/>
          <w:sz w:val="20"/>
          <w:szCs w:val="20"/>
          <w:color w:val="auto"/>
        </w:rPr>
        <w:t>” means a Term Note, a Revolving Note or an Incremental Term Note, as the context may require.</w:t>
      </w:r>
    </w:p>
    <w:p>
      <w:pPr>
        <w:spacing w:after="0" w:line="215"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R</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4"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Obligations</w:t>
      </w:r>
      <w:r>
        <w:rPr>
          <w:rFonts w:ascii="Times New Roman" w:cs="Times New Roman" w:eastAsia="Times New Roman" w:hAnsi="Times New Roman"/>
          <w:sz w:val="20"/>
          <w:szCs w:val="20"/>
          <w:color w:val="auto"/>
        </w:rPr>
        <w:t xml:space="preserve">” means (a) all advances to, and debts, liabilities, obligations, covenants and duties of, any Loan Party arising under any Loan Document or otherwise with respect to any Loan, or Letter of Credit and (b) all costs and expenses incurred in connection with enforcement and collection of the foregoing, including the fees, charges and disbursements of counsel, in accordance with the terms of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hereof or as provided in any other Loan Document,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without limiting the foregoing, the Obligations of a Guarantor shall exclude any Excluded Swap Obligations with respect to such Guarantor.</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OID</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2.02(g)(ii)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Organization Documents</w:t>
      </w:r>
      <w:r>
        <w:rPr>
          <w:rFonts w:ascii="Times New Roman" w:cs="Times New Roman" w:eastAsia="Times New Roman" w:hAnsi="Times New Roman"/>
          <w:sz w:val="20"/>
          <w:szCs w:val="20"/>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79" w:lineRule="exact"/>
        <w:rPr>
          <w:sz w:val="20"/>
          <w:szCs w:val="20"/>
          <w:color w:val="auto"/>
        </w:rPr>
      </w:pPr>
    </w:p>
    <w:p>
      <w:pPr>
        <w:jc w:val="both"/>
        <w:ind w:firstLine="101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0"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4" w:name="page85"/>
    <w:bookmarkEnd w:id="84"/>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Outstanding Amount</w:t>
      </w:r>
      <w:r>
        <w:rPr>
          <w:rFonts w:ascii="Times New Roman" w:cs="Times New Roman" w:eastAsia="Times New Roman" w:hAnsi="Times New Roman"/>
          <w:sz w:val="20"/>
          <w:szCs w:val="20"/>
          <w:color w:val="auto"/>
        </w:rPr>
        <w:t>” means (a) with respect to Term Loans, Revolving Loans, Incremental Term Loans and Swingline Loans on any date, the aggregate outstanding principal amount thereof after giving effect to any Borrowings and prepayments or repayments of Term Loans, Revolving Loans and Swingline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Participating Member State</w:t>
      </w:r>
      <w:r>
        <w:rPr>
          <w:rFonts w:ascii="Times New Roman" w:cs="Times New Roman" w:eastAsia="Times New Roman" w:hAnsi="Times New Roman"/>
          <w:sz w:val="20"/>
          <w:szCs w:val="20"/>
          <w:u w:val="single" w:color="auto"/>
          <w:color w:val="0000FF"/>
        </w:rPr>
        <w:t>” means any member state of the European Union that adopts or has adopted the Euro as its lawful currency in accordance with legislation of the European Union relating to Economic and Monetary Union.</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Patriot 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5"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Pension Funding Rules</w:t>
      </w:r>
      <w:r>
        <w:rPr>
          <w:rFonts w:ascii="Times New Roman" w:cs="Times New Roman" w:eastAsia="Times New Roman" w:hAnsi="Times New Roman"/>
          <w:sz w:val="20"/>
          <w:szCs w:val="20"/>
          <w:color w:val="auto"/>
        </w:rPr>
        <w:t>” means the rules of the Code and ERISA regarding minimum funding standards with respect to Pension Plans and set forth in Sections 412, 430, 431, and 436 of the Code and Sections 302, 303, and 304 of ERISA.</w:t>
      </w:r>
    </w:p>
    <w:p>
      <w:pPr>
        <w:spacing w:after="0" w:line="153"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Pension Plan</w:t>
      </w:r>
      <w:r>
        <w:rPr>
          <w:rFonts w:ascii="Times New Roman" w:cs="Times New Roman" w:eastAsia="Times New Roman" w:hAnsi="Times New Roman"/>
          <w:sz w:val="20"/>
          <w:szCs w:val="20"/>
          <w:color w:val="auto"/>
        </w:rPr>
        <w:t>” means any employee pension benefit plan within the meaning of Section 3(2) of ERISA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74" w:lineRule="exact"/>
        <w:rPr>
          <w:sz w:val="20"/>
          <w:szCs w:val="20"/>
          <w:color w:val="auto"/>
        </w:rPr>
      </w:pPr>
    </w:p>
    <w:p>
      <w:pPr>
        <w:jc w:val="both"/>
        <w:ind w:firstLine="151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Acquisition</w:t>
      </w:r>
      <w:r>
        <w:rPr>
          <w:rFonts w:ascii="Times New Roman" w:cs="Times New Roman" w:eastAsia="Times New Roman" w:hAnsi="Times New Roman"/>
          <w:sz w:val="20"/>
          <w:szCs w:val="20"/>
          <w:color w:val="auto"/>
        </w:rPr>
        <w:t>” means an Acquisition (or the acquisition of additional Equity Interests of a non-Wholly Owned Subsidiary) by any Loan Party or any Subsidiary (the Person or division, line of business or other business unit of the Person to be acquired in such Acquisition shall be referred to herein as the “</w:t>
      </w:r>
      <w:r>
        <w:rPr>
          <w:rFonts w:ascii="Times New Roman" w:cs="Times New Roman" w:eastAsia="Times New Roman" w:hAnsi="Times New Roman"/>
          <w:sz w:val="20"/>
          <w:szCs w:val="20"/>
          <w:i w:val="1"/>
          <w:iCs w:val="1"/>
          <w:u w:val="single" w:color="auto"/>
          <w:color w:val="auto"/>
        </w:rPr>
        <w:t>Target</w:t>
      </w:r>
      <w:r>
        <w:rPr>
          <w:rFonts w:ascii="Times New Roman" w:cs="Times New Roman" w:eastAsia="Times New Roman" w:hAnsi="Times New Roman"/>
          <w:sz w:val="20"/>
          <w:szCs w:val="20"/>
          <w:color w:val="auto"/>
        </w:rPr>
        <w:t xml:space="preserve">”) of a Target, in each case that is a type of business (or assets used in a type of business) in which the Borrower and its Subsidiaries are not prohibited from engaging pursuant to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(including the formation and funding of Subsidiaries in connection therewith) in each case provided that:</w:t>
      </w:r>
    </w:p>
    <w:p>
      <w:pPr>
        <w:spacing w:after="0" w:line="182" w:lineRule="exact"/>
        <w:rPr>
          <w:sz w:val="20"/>
          <w:szCs w:val="20"/>
          <w:color w:val="auto"/>
        </w:rPr>
      </w:pPr>
    </w:p>
    <w:p>
      <w:pPr>
        <w:jc w:val="both"/>
        <w:ind w:left="760" w:firstLine="745"/>
        <w:spacing w:after="0" w:line="259" w:lineRule="auto"/>
        <w:tabs>
          <w:tab w:leader="none" w:pos="1904"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in the case of a Limited Condition Acquisition, (1) no Default shall exist as of the date the definitive acquisition agreement for such Limited Condition Acquisition is entered into and (2) immediately prior to, and after giving effect to such Limited Condition Acquisition, no Specified Event of Default shall have occurred and be continuing or would result therefrom and</w:t>
      </w:r>
    </w:p>
    <w:p>
      <w:pPr>
        <w:spacing w:after="0" w:line="2" w:lineRule="exact"/>
        <w:rPr>
          <w:rFonts w:ascii="Times New Roman" w:cs="Times New Roman" w:eastAsia="Times New Roman" w:hAnsi="Times New Roman"/>
          <w:sz w:val="19"/>
          <w:szCs w:val="19"/>
          <w:color w:val="auto"/>
        </w:rPr>
      </w:pPr>
    </w:p>
    <w:p>
      <w:pPr>
        <w:ind w:left="1040" w:hanging="283"/>
        <w:spacing w:after="0"/>
        <w:tabs>
          <w:tab w:leader="none" w:pos="10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other Acquisition, no Default shall then exist or would exist immediately after giving effect thereto;</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1.02(f)</w:t>
      </w:r>
      <w:r>
        <w:rPr>
          <w:rFonts w:ascii="Times New Roman" w:cs="Times New Roman" w:eastAsia="Times New Roman" w:hAnsi="Times New Roman"/>
          <w:sz w:val="20"/>
          <w:szCs w:val="20"/>
          <w:color w:val="auto"/>
        </w:rPr>
        <w:t xml:space="preserve">, upon giving effect to such Acquisition on a Pro Forma Basis, the Loan Parties would be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and, during the Specified Period, the Specified Period Conditions, in each case, as of the then most recent Measurement Period;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5" w:name="page86"/>
    <w:bookmarkEnd w:id="85"/>
    <w:p>
      <w:pPr>
        <w:ind w:left="760" w:right="40" w:firstLine="745"/>
        <w:spacing w:after="0" w:line="268" w:lineRule="auto"/>
        <w:tabs>
          <w:tab w:leader="none" w:pos="190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not be a “hostile” Acquisition and shall have been approved by the board of directors (or equivalent) and/or shareholders (or equivalent) of the applicable Loan Party and the Target; and</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62" w:lineRule="auto"/>
        <w:tabs>
          <w:tab w:leader="none" w:pos="1904"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Cost of Acquisition paid by the Loan Parties for all Foreign Acquisitions consummated during any fiscal year shall not exceed $25,000,000 (with fifty percent (50%) of the unused amounts in any fiscal year being carried over to the immediately succeeding fiscal year (but to no further succeeding fiscal year after the immediately succeeding fiscal year);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Cost of Acquisition with respect to Acquisitions consummated in any fiscal year shall be applied first to the aggregate amount permitted for such fiscal year, until utilized in full, and then to any amount carried over from the prior fiscal year).</w:t>
      </w:r>
    </w:p>
    <w:p>
      <w:pPr>
        <w:spacing w:after="0" w:line="165" w:lineRule="exact"/>
        <w:rPr>
          <w:sz w:val="20"/>
          <w:szCs w:val="20"/>
          <w:color w:val="auto"/>
        </w:rPr>
      </w:pPr>
    </w:p>
    <w:p>
      <w:pPr>
        <w:jc w:val="both"/>
        <w:ind w:firstLine="101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Bond Hedge Transaction</w:t>
      </w:r>
      <w:r>
        <w:rPr>
          <w:rFonts w:ascii="Times New Roman" w:cs="Times New Roman" w:eastAsia="Times New Roman" w:hAnsi="Times New Roman"/>
          <w:sz w:val="20"/>
          <w:szCs w:val="20"/>
          <w:color w:val="auto"/>
        </w:rPr>
        <w:t>” means any bond hedge, capped call or similar option transaction purchased by Borrower and entered into in connection with the issuance of Permitted Convertible Indebtedness for the purpose or having the effect of increasing the effective conversion price of such Permitted Convertible Indebtedness and referencing the same Qualified Equity Interests of the Borrower into which the Permitted Convertible Indebtedness converts; provided that the purchase price for such Permitted Bond Hedge Transaction, less the proceeds received by the Borrower from the sale of any related Permitted Warrant Transaction, does not exceed the net proceeds received by Borrower from the issuance of such Permitted Convertible Indebtedness in connection with such Permitted Bond Hedge Transaction.</w:t>
      </w:r>
    </w:p>
    <w:p>
      <w:pPr>
        <w:spacing w:after="0" w:line="184"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Call Spread Transaction</w:t>
      </w:r>
      <w:r>
        <w:rPr>
          <w:rFonts w:ascii="Times New Roman" w:cs="Times New Roman" w:eastAsia="Times New Roman" w:hAnsi="Times New Roman"/>
          <w:sz w:val="20"/>
          <w:szCs w:val="20"/>
          <w:color w:val="auto"/>
        </w:rPr>
        <w:t>” means any Permitted Bond Hedge Transaction together with, if applicable, any Permitted Warrant Transaction.</w:t>
      </w:r>
    </w:p>
    <w:p>
      <w:pPr>
        <w:spacing w:after="0" w:line="153"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Convertible Indebtedness</w:t>
      </w:r>
      <w:r>
        <w:rPr>
          <w:rFonts w:ascii="Times New Roman" w:cs="Times New Roman" w:eastAsia="Times New Roman" w:hAnsi="Times New Roman"/>
          <w:sz w:val="20"/>
          <w:szCs w:val="20"/>
          <w:color w:val="auto"/>
        </w:rPr>
        <w:t>” means any unsecured Convertible Indebtedness of the Borrower constituting Permitted Subordinated Debt.</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Equity Investors</w:t>
      </w:r>
      <w:r>
        <w:rPr>
          <w:rFonts w:ascii="Times New Roman" w:cs="Times New Roman" w:eastAsia="Times New Roman" w:hAnsi="Times New Roman"/>
          <w:sz w:val="20"/>
          <w:szCs w:val="20"/>
          <w:color w:val="auto"/>
        </w:rPr>
        <w:t>” means EagleTree Capital, LP and its Controlled Investment Affiliates.</w:t>
      </w:r>
    </w:p>
    <w:p>
      <w:pPr>
        <w:spacing w:after="0" w:line="215" w:lineRule="exact"/>
        <w:rPr>
          <w:sz w:val="20"/>
          <w:szCs w:val="20"/>
          <w:color w:val="auto"/>
        </w:rPr>
      </w:pPr>
    </w:p>
    <w:p>
      <w:pPr>
        <w:jc w:val="both"/>
        <w:ind w:firstLine="1018"/>
        <w:spacing w:after="0" w:line="29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Permitted Factoring Agreement</w:t>
      </w:r>
      <w:r>
        <w:rPr>
          <w:rFonts w:ascii="Times New Roman" w:cs="Times New Roman" w:eastAsia="Times New Roman" w:hAnsi="Times New Roman"/>
          <w:sz w:val="19"/>
          <w:szCs w:val="19"/>
          <w:color w:val="auto"/>
        </w:rPr>
        <w:t>” means the Factoring Agreement, dated as of the Second Amendment Effective Date, among Corsair Memory and the Permitted Factor, as from time to time amended or otherwise modified with the consent of the Administrative Agent.</w:t>
      </w:r>
    </w:p>
    <w:p>
      <w:pPr>
        <w:spacing w:after="0" w:line="13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Factoring Customer</w:t>
      </w:r>
      <w:r>
        <w:rPr>
          <w:rFonts w:ascii="Times New Roman" w:cs="Times New Roman" w:eastAsia="Times New Roman" w:hAnsi="Times New Roman"/>
          <w:sz w:val="20"/>
          <w:szCs w:val="20"/>
          <w:color w:val="auto"/>
        </w:rPr>
        <w:t>” means each of Amazon.com, Inc., Best Buy Co. Inc., and their respective Subsidiaries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Affiliates.</w:t>
      </w:r>
    </w:p>
    <w:p>
      <w:pPr>
        <w:spacing w:after="0" w:line="189"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Factoring Intercreditor Agreement</w:t>
      </w:r>
      <w:r>
        <w:rPr>
          <w:rFonts w:ascii="Times New Roman" w:cs="Times New Roman" w:eastAsia="Times New Roman" w:hAnsi="Times New Roman"/>
          <w:sz w:val="20"/>
          <w:szCs w:val="20"/>
          <w:color w:val="auto"/>
        </w:rPr>
        <w:t>” means the Assignment of Factoring Proceeds and Intercreditor Agreement, dated as of the Second Amendment Effective Date, among Corsair Memory, the Permitted Factor and the Administrative Agent.</w:t>
      </w:r>
    </w:p>
    <w:p>
      <w:pPr>
        <w:spacing w:after="0" w:line="153"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Factoring Program</w:t>
      </w:r>
      <w:r>
        <w:rPr>
          <w:rFonts w:ascii="Times New Roman" w:cs="Times New Roman" w:eastAsia="Times New Roman" w:hAnsi="Times New Roman"/>
          <w:sz w:val="20"/>
          <w:szCs w:val="20"/>
          <w:color w:val="auto"/>
        </w:rPr>
        <w:t>” means the sale by Corsair Memory of accounts receivable from the Permitted Factoring Customers and related assets (as described in the Permitted Factoring Agreement) to the Permitted Factor, pursuant to the Permitted Factoring Agreement; provided that (i) with respect to Factor Risk Accounts (as defined in the Permitted Factoring Agreement) a true sale opinion has been obtained (if then required by applicable accounting rules or by the Borrower) and the Borrower is accounting for such as a true sale, (ii) such sale occurs on or before September 30, 2023 (or such later date as the Administrative Agent may permit in its sole discretion); and (iii) the Permitted Factoring Intercreditor Agreement shall at the time of any such sale be in full force and effect.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6" w:name="page87"/>
    <w:bookmarkEnd w:id="86"/>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Liens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Permitted Refinancing</w:t>
      </w:r>
      <w:r>
        <w:rPr>
          <w:rFonts w:ascii="Times New Roman" w:cs="Times New Roman" w:eastAsia="Times New Roman" w:hAnsi="Times New Roman"/>
          <w:sz w:val="19"/>
          <w:szCs w:val="19"/>
          <w:color w:val="auto"/>
        </w:rPr>
        <w:t xml:space="preserve">” means, with respect to any Indebtedness of any Person, any modification, refinancing, refunding, replacement, renewal or extension of such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 the principal amount thereof does not exceed the sum of (i) the outstanding principal amount of the Indebtedness so modified, refinanced, refunded, replaced, renewed or extended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prepayment premiums paid, and reasonable and customary fees and expenses incurred, in connection with such modification, refinancing, refunding, replacement, renewal or extension, (b) such modification, refinancing, refunding, replacement, renewal or extension has (i) a final maturity date equal to or later than the final maturity date of the Indebtedness being modified, refinanced, refunded, replaced, renewed or extended, and (ii) subject to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of the definition of Permitted Subordinated Debt, a Weighted Average Life to Maturity equal to or longer than the Weighted Average Life to Maturity of the Indebtedness being modified, refinanced, refunded, replaced, renewed or extended, (c) the direct and contingent obligors of such Indebtedness shall not be changed, as a result of or in connection with such modification, refinancing, refunding, replacement, renewal or extension, (d) the terms (excluding pricing, fees, rate floors, discounts, premiums and optional prepayment or redemption terms) of such Indebtedness shall not be changed in any manner that (as determined by the Borrower in good faith) is materially adverse, taken as a whole, to the Borrower and its Subsidiaries as a result of or in connection with such modification, refinancing, refunding, replacement, renewal or extension, (e) if the Indebtedness being modified, refinanced, refunded, replaced, renewed or extended is a Junior Financing, such modification, refinancing, refunding, replacement, renewal or extension is subordinated to the Secured Obligations on terms at least as favorable to the Lenders (as determined by the Borrower in good faith in consultation with the Administrative Agent) as those contained in the documentation governing the Junior Financing being so modified, refinanced, refunded, renewed or extended, (f) if the Indebtedness being modified, refinanced, refunded, replaced, renewed or extended is unsecured, such modification, refinancing, refunding, replacement, renewal or extension shall be unsecured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limitation contained in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shall not be applicable to the extent that any Liens that would otherwise be prohibited by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are permitted pursuant to any other subclause of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and (g) (i) in the case of any such modification, refinancing, refunding, replacement, renewal or extension entered into in connection with a Limited Condition Acquisition, (1) no Event of Default shall have occurred and be continuing as of the date the definitive acquisition agreement for such Limited Condition Acquisition is entered into and (2) no Specified Event of Default shall have occurred and be continuing at the time of such modification, refinancing, refunding, replacement, renewal or extension and (ii) in the case of any modification, refinancing, refunding, replacement, renewal or extension not in connection with a Limited Condition Acquisition, no Default shall have occurred and be continuing at the time of such modification, refinancing, refunding, replacement, renewal or extension.</w:t>
      </w:r>
    </w:p>
    <w:p>
      <w:pPr>
        <w:spacing w:after="0" w:line="189" w:lineRule="exact"/>
        <w:rPr>
          <w:sz w:val="20"/>
          <w:szCs w:val="20"/>
          <w:color w:val="auto"/>
        </w:rPr>
      </w:pPr>
    </w:p>
    <w:p>
      <w:pPr>
        <w:jc w:val="both"/>
        <w:ind w:firstLine="101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Sale and Leaseback Transaction</w:t>
      </w:r>
      <w:r>
        <w:rPr>
          <w:rFonts w:ascii="Times New Roman" w:cs="Times New Roman" w:eastAsia="Times New Roman" w:hAnsi="Times New Roman"/>
          <w:sz w:val="20"/>
          <w:szCs w:val="20"/>
          <w:color w:val="auto"/>
        </w:rPr>
        <w:t xml:space="preserve">” means any Sale and Leaseback Transaction consummated by a Loan Party with respect to any fee owned real property of such Loan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(a) the real property sold shall be sold for fair market value (as determined by the Borrower in good faith) to a Person that is not an Affiliate of the Borrower or any Subsidiary, (b) the Borrower shall have delivered a certificate of a Responsible Officer of the Borrower certifying that: (i) after giving effect to such Sale and Leaseback Transaction on a Pro Forma Basis, the Loan Parties would be in compliance with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and, during the Specified Period, the Specified Period Conditions, in each case as of the most recent Measurement Period and (ii) no Event of Default shall have occurred and be continuing or would arise upon consummation of such transaction as a result thereof and (c) the Net Cash Proceeds received from the sale of such property shall have been applied in accordance with, and to the extent required by,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Subordinated Debt</w:t>
      </w:r>
      <w:r>
        <w:rPr>
          <w:rFonts w:ascii="Times New Roman" w:cs="Times New Roman" w:eastAsia="Times New Roman" w:hAnsi="Times New Roman"/>
          <w:sz w:val="20"/>
          <w:szCs w:val="20"/>
          <w:color w:val="auto"/>
        </w:rPr>
        <w:t>” means unsecured Indebtedness (which may include, for the avoidance of doubt, Convertible Indebtedness) of the Borrower (and any Permitted Refinancing thereof)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7" w:name="page88"/>
    <w:bookmarkEnd w:id="87"/>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in an aggregate principal amount at any one time outstanding not to exceed $200,000,000;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(a) such Indebtedness (and any Permitted Refinancing thereof) is subordinated to the Secured Obligations on terms and pursuant to documentation reasonably satisfactory to the Administrative Agent, (b) no Default exists at the time of, or will exist immediately after giving effect to, the incurrence of such Indebtedness (or such Permitted Refinancing, as the case may be), (c) no Subsidiary shall Guarantee any such Indebtedness if such Subsidiary is not a Guarantor, (d) such Indebtedness (and any Permitted Refinancing thereof) shall not mature, and no scheduled or mandatory principal payments, prepayments, cash settlements, repurchases, redemptions or sinking fund or like payments of such Indebtedness (except those that are customarily included with respect to Indebtedness of such nature), shall be required at any time on or prior to the date that is ninety-one (91) days after the Latest Maturity Date, (e) such Indebtedness (or any Permitted Refinancing thereof) shall not include terms and conditions (excluding pricing, premiums and optional prepayment or optional redemption provisions) that are, when taken as a whole, in the good faith judgment of the Borrower, materially more restrictive on the Borrower and its Subsidiaries than the terms and conditions of this Agreement (it being understood that the inclusion of a customary delisting prong of the fundamental change definition in any Permitted Convertible Indebtedness shall not be deemed to be materially more restrictive) unless the Loan Parties shall have entered into an amendment to this Agreement with the Administrative Agent (which, notwithstanding anything to the contrary set forth herein, shall not require the consent of any other Lender) to add such more restrictive terms to this Agreement and (f) the Borrower shall have delivered to the Administrative Agent a certificate of a Responsible Officer of the Borrower (in form and substance reasonably satisfactory to the Administrative Agent) certifying as to the satisfaction of the foregoing.</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Supply Chain Financing</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7.02(s)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Transfer</w:t>
      </w:r>
      <w:r>
        <w:rPr>
          <w:rFonts w:ascii="Times New Roman" w:cs="Times New Roman" w:eastAsia="Times New Roman" w:hAnsi="Times New Roman"/>
          <w:sz w:val="20"/>
          <w:szCs w:val="20"/>
          <w:color w:val="auto"/>
        </w:rPr>
        <w:t xml:space="preserve">” means (a) any Disposition by the Borrower or any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(i) at the time of such Disposition, no Event of Default shall exist or would result from such Disposition, (ii) such Disposition shall be for fair market value (as determined by the Borrower in good faith), (iii) the aggregate amount of all Permitted Transfers made in any fiscal year shall not exceed $15,000,000 (with fifty percent (50%) of the unused amounts in any fiscal year being carried over to the immediately succeeding fiscal year (but to no further succeeding fiscal year after the immediately succeeding fiscal year); provided that the aggregate amount of Permitted Transfers in any fiscal year shall be applied first to the aggregate amount for such fiscal year, until utilized in full, and then to any amount carried over from the prior fiscal year) and (iv) the purchase price with respect thereto shall be paid to the Borrower or such Subsidiary, as applicable, for not less than seventy-five percent (75%) cash and Cash Equivalent consideration;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for the purposes of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the following shall be deemed to be cash: (A) any liabilities (as shown on the Borrower’s most recent balance sheet provided hereunder) of the Borrower or such Subsidiary (other than liabilities that are by their terms subordinated to the Secured Obligations) that are assumed by the transferee with respect to the applicable Disposition and for which the Borrower and its Subsidiaries shall have been validly released by all applicable creditors in writing, (B) any securities, notes or other obligations received by the Borrower or such Subsidiary from such transferee that are converted by the Borrower or such Subsidiary into cash or Cash Equivalents (to the extent of the cash or Cash Equivalents received in the conversion) within one hundred eighty (180) days following the closing of the applicable Disposition; and (C) any Designated Non-Cash Consideration in respect of such Disposition having an aggregate fair market value (as determined in good faith by the Borrower), taken together with the Designated Non-Cash Consideration in respect of all other Dispositions, not in excess of $5,000,000 (with the fair market value of each item of Designated Non-Cash Consideration being measured as of the time received (and without giving effect to subsequent changes in value));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at any time the Permitted Factoring Program is in effect, the foregoing basket for permitted Dispositions in this clause (a) may not be utilized in connection with any factoring program of the Borrower or any of its Subsidiaries, (b) Dispositions of non-core assets acquired in connection with Permitted Acquisitions or similar Investments so long as (i) the aggregate fair market value (as determined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8" w:name="page89"/>
    <w:bookmarkEnd w:id="88"/>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good faith by the Borrower) of the asset(s) subject to such Disposition (or series of related Dispositions) shall not exceed ten percent (10%) of the purchase price of the applicable acquired entity, assets or business, (ii) each such Disposition is an arm’s-length transaction, and (iii) the Net Cash Proceeds received by the Borrower or the applicable Subsidiary in connection with any such Disposition (or series of related Dispositions) shall be in an amount at least equal to the fair market value of the asset(s) subject to such Disposition (as determined in good faith by the Borrower), (c) Permitted Sale and Leaseback Transactions, (d) the Disposition by Corsair Memory of accounts receivable from the Permitted Factoring Customers and related assets (as described in the Permitted Factoring Agreement) in connection with the Permitted Factoring Program, and (e) other Dispositions, so long as the Net Cash Proceeds received by the Borrower and its Subsidiaries in connection therewith, when aggregated with the Net Cash Proceeds of all other Dispositions made by the Borrower or any Subsidiary in reliance on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in any fiscal year do not exceed $5,000,000;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at any time the Permitted Factoring Program is in effect, the foregoing basket for permitted Dispositions in this clause (e) may not be utilized in connection with any factoring program of the Borrower or any of its Subsidiaries.</w:t>
      </w:r>
    </w:p>
    <w:p>
      <w:pPr>
        <w:spacing w:after="0" w:line="182"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Warrant Transaction</w:t>
      </w:r>
      <w:r>
        <w:rPr>
          <w:rFonts w:ascii="Times New Roman" w:cs="Times New Roman" w:eastAsia="Times New Roman" w:hAnsi="Times New Roman"/>
          <w:sz w:val="20"/>
          <w:szCs w:val="20"/>
          <w:color w:val="auto"/>
        </w:rPr>
        <w:t>” means any warrant issued by the Borrower concurrently with the purchase, by the Borrower, of a Permitted Bond Hedge Transaction for the purpose of offsetting the cost of such Permitted Bond Hedge Transaction and referencing the same Qualified Equity Interest into which the Permitted Convertible Indebtedness converts.</w:t>
      </w:r>
    </w:p>
    <w:p>
      <w:pPr>
        <w:spacing w:after="0" w:line="170"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Plan</w:t>
      </w:r>
      <w:r>
        <w:rPr>
          <w:rFonts w:ascii="Times New Roman" w:cs="Times New Roman" w:eastAsia="Times New Roman" w:hAnsi="Times New Roman"/>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6.02(p)</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Pledged Equity</w:t>
      </w:r>
      <w:r>
        <w:rPr>
          <w:rFonts w:ascii="Times New Roman" w:cs="Times New Roman" w:eastAsia="Times New Roman" w:hAnsi="Times New Roman"/>
          <w:sz w:val="20"/>
          <w:szCs w:val="20"/>
          <w:color w:val="auto"/>
        </w:rPr>
        <w:t>” has the meaning specified in the Security Agreement.</w:t>
      </w:r>
    </w:p>
    <w:p>
      <w:pPr>
        <w:spacing w:after="0" w:line="215"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Pro Forma Basis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Pro Forma Effect</w:t>
      </w:r>
      <w:r>
        <w:rPr>
          <w:rFonts w:ascii="Times New Roman" w:cs="Times New Roman" w:eastAsia="Times New Roman" w:hAnsi="Times New Roman"/>
          <w:sz w:val="20"/>
          <w:szCs w:val="20"/>
          <w:color w:val="auto"/>
        </w:rPr>
        <w:t xml:space="preserve">” means, for any Specified Transaction, whether actual or proposed, for purposes of determining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or any other applicable test or requirement, each such Specified Transaction or proposed Specified Transaction shall be deemed to have occurred on and as of the first day of the relevant Measurement Period, and the following pro forma adjustments shall be made:</w:t>
      </w:r>
    </w:p>
    <w:p>
      <w:pPr>
        <w:spacing w:after="0" w:line="178" w:lineRule="exact"/>
        <w:rPr>
          <w:sz w:val="20"/>
          <w:szCs w:val="20"/>
          <w:color w:val="auto"/>
        </w:rPr>
      </w:pPr>
    </w:p>
    <w:p>
      <w:pPr>
        <w:jc w:val="both"/>
        <w:ind w:left="760" w:firstLine="745"/>
        <w:spacing w:after="0" w:line="253"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actual or proposed Disposition, all income statement items (whether positive or negative) attributable to the line of business or the Person subject to such Disposition shall be excluded from the results of the Borrower and its Subsidiaries for such Measurement Period;</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actual or proposed Acquisition, income statement items (whether positive or negative) attributable to the property, line of business or the Person subject to such Acquisition shall be included in the results of the Borrower and its Subsidiaries for such Measurement Period;</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accrued during the relevant Measurement Period on, and the principal of, any Indebtedness repaid or to be repaid or refinanced in such transaction shall be excluded from the results of the Borrower and its Subsidiaries for such Measurement Period;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9" w:name="page90"/>
    <w:bookmarkEnd w:id="89"/>
    <w:p>
      <w:pPr>
        <w:jc w:val="both"/>
        <w:ind w:left="760" w:firstLine="745"/>
        <w:spacing w:after="0" w:line="246" w:lineRule="auto"/>
        <w:tabs>
          <w:tab w:leader="none" w:pos="190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Borrower and its Subsidiaries for such Measurement Period;</w:t>
      </w:r>
    </w:p>
    <w:p>
      <w:pPr>
        <w:spacing w:after="0" w:line="183" w:lineRule="exact"/>
        <w:rPr>
          <w:rFonts w:ascii="Times New Roman" w:cs="Times New Roman" w:eastAsia="Times New Roman" w:hAnsi="Times New Roman"/>
          <w:sz w:val="20"/>
          <w:szCs w:val="20"/>
          <w:color w:val="auto"/>
        </w:rPr>
      </w:pPr>
    </w:p>
    <w:p>
      <w:pPr>
        <w:jc w:val="both"/>
        <w:ind w:firstLine="8"/>
        <w:spacing w:after="0" w:line="245" w:lineRule="auto"/>
        <w:tabs>
          <w:tab w:leader="none" w:pos="11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 Pro Forma Basis and Pro Forma Effect in respect of any Specified Transaction shall be calculated in a reasonable and factually supportable manner and certified by a Responsible Officer of the Borrower, it being understood that the Borrower may estimate in good faith GAAP results if the financial statements with respect to a Target are not maintained in accordance with GAAP, and the Borrower may make such further adjustments in good faith as reasonably necessary in connection with the consolidation of such financial statements with those of the Loan Parties and their Subsidiaries, and (B) any such calculation shall be subject to the applicable limitations set forth in (and shall be without duplication of any adjustments made pursuant to) the definition of “Consolidated EBITDA”.</w:t>
      </w:r>
    </w:p>
    <w:p>
      <w:pPr>
        <w:spacing w:after="0" w:line="179"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6.02(p)</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Qualified Acquisition</w:t>
      </w:r>
      <w:r>
        <w:rPr>
          <w:rFonts w:ascii="Times New Roman" w:cs="Times New Roman" w:eastAsia="Times New Roman" w:hAnsi="Times New Roman"/>
          <w:sz w:val="20"/>
          <w:szCs w:val="20"/>
          <w:color w:val="auto"/>
        </w:rPr>
        <w:t xml:space="preserve">” means any acquisition (or series of related acquisitions consummated in any six (6)-month period) for which (a) the aggregate consideration therefor (excluding the amount of any consideration in the form of Qualified Equity Interests of the Borrower) is in excess of $100,000,000, and (b) a Responsible Officer of the Borrower shall have delivered to the Administrative Agent a certificate (i) certifying that such acquisition (or such series of related acquisitions) meet the criteria set forth in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 and (ii) notifying the Administrative Agent that the Borrower has elected to treat such acquisition (or such series of related acquisitions) as a Qualified Acquisition.</w:t>
      </w:r>
    </w:p>
    <w:p>
      <w:pPr>
        <w:spacing w:after="0" w:line="18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Qualified ECP Guarantor</w:t>
      </w:r>
      <w:r>
        <w:rPr>
          <w:rFonts w:ascii="Times New Roman" w:cs="Times New Roman" w:eastAsia="Times New Roman" w:hAnsi="Times New Roman"/>
          <w:sz w:val="20"/>
          <w:szCs w:val="20"/>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Qualified Equity Interest</w:t>
      </w:r>
      <w:r>
        <w:rPr>
          <w:rFonts w:ascii="Times New Roman" w:cs="Times New Roman" w:eastAsia="Times New Roman" w:hAnsi="Times New Roman"/>
          <w:sz w:val="20"/>
          <w:szCs w:val="20"/>
          <w:color w:val="auto"/>
        </w:rPr>
        <w:t>” of any Person means any Equity Interest of such Person that is not a Disqualified Equity Interest.</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Recipient</w:t>
      </w:r>
      <w:r>
        <w:rPr>
          <w:rFonts w:ascii="Times New Roman" w:cs="Times New Roman" w:eastAsia="Times New Roman" w:hAnsi="Times New Roman"/>
          <w:sz w:val="20"/>
          <w:szCs w:val="20"/>
          <w:color w:val="auto"/>
        </w:rPr>
        <w:t>” means the Administrative Agent, any Lender or the L/C Issuer.</w:t>
      </w:r>
    </w:p>
    <w:p>
      <w:pPr>
        <w:spacing w:after="0" w:line="219" w:lineRule="exact"/>
        <w:rPr>
          <w:sz w:val="20"/>
          <w:szCs w:val="20"/>
          <w:color w:val="auto"/>
        </w:rPr>
      </w:pPr>
    </w:p>
    <w:p>
      <w:pPr>
        <w:jc w:val="both"/>
        <w:ind w:right="20" w:firstLine="101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 Convertible Notes</w:t>
      </w:r>
      <w:r>
        <w:rPr>
          <w:rFonts w:ascii="Times New Roman" w:cs="Times New Roman" w:eastAsia="Times New Roman" w:hAnsi="Times New Roman"/>
          <w:sz w:val="20"/>
          <w:szCs w:val="20"/>
          <w:color w:val="auto"/>
        </w:rPr>
        <w:t>” means a different series of Permitted Convertible Indebtedness issues as part of a Permitted Refinancing of Permitted Convertible Indebtedness (it being understood that, following the closing of any Refinance Convertible Notes, such notes shall be treated as and subject to the terms hereof with respect to Permitted Convertible Indebtedness).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0" w:name="page91"/>
    <w:bookmarkEnd w:id="90"/>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Regulation U</w:t>
      </w:r>
      <w:r>
        <w:rPr>
          <w:rFonts w:ascii="Times New Roman" w:cs="Times New Roman" w:eastAsia="Times New Roman" w:hAnsi="Times New Roman"/>
          <w:sz w:val="20"/>
          <w:szCs w:val="20"/>
          <w:color w:val="auto"/>
        </w:rPr>
        <w:t>” means Regulation U of the FRB, as in effect from time to time and all official rulings and interpretations thereunder or thereof.</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70"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Relevant Governmental Body</w:t>
      </w:r>
      <w:r>
        <w:rPr>
          <w:rFonts w:ascii="Times New Roman" w:cs="Times New Roman" w:eastAsia="Times New Roman" w:hAnsi="Times New Roman"/>
          <w:sz w:val="20"/>
          <w:szCs w:val="20"/>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0"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other than events for which the thirty (30) day notice period has been waived.</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Request for Credit Extension</w:t>
      </w:r>
      <w:r>
        <w:rPr>
          <w:rFonts w:ascii="Times New Roman" w:cs="Times New Roman" w:eastAsia="Times New Roman" w:hAnsi="Times New Roman"/>
          <w:sz w:val="20"/>
          <w:szCs w:val="20"/>
          <w:color w:val="auto"/>
        </w:rPr>
        <w:t>” means (a) with respect to a Borrowing, conversion or continuation of Term Loans, Incremental Term Loans or Revolving Loans, a Loan Notice, (b) with respect to an L/C Credit Extension, a Letter of Credit Application, and (c) with respect to a Swingline Loan, a Swingline Loan Notice.</w:t>
      </w:r>
    </w:p>
    <w:p>
      <w:pPr>
        <w:spacing w:after="0" w:line="170"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Required Lenders</w:t>
      </w:r>
      <w:r>
        <w:rPr>
          <w:rFonts w:ascii="Times New Roman" w:cs="Times New Roman" w:eastAsia="Times New Roman" w:hAnsi="Times New Roman"/>
          <w:sz w:val="20"/>
          <w:szCs w:val="20"/>
          <w:color w:val="auto"/>
        </w:rPr>
        <w:t xml:space="preserve">” means, (a) at any time there is one (1) Lender, such Lender, and (b) at any time there is more than one (1) Lender, at least two (2) Lenders having Total Credit Exposures representing more than fifty percent (50%) of the Total Credit Exposures of all Lenders; provided that, in the case of this clause (ii), the Total Credit Exposure of any Defaulting Lender shall be disregarded in determining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any participation in any Swingline Loan and Unreimbursed Amounts that such Defaulting Lender has failed to fund that have not been reallocated to and funded by another Lender shall be deemed to be held by the Lender that is the Swingline Lender or the L/C Issuer, as the case may be, in making such determination.</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Resignation Effective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9.06(a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Resolution Authority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an EEA Resolution Authority or, with respect to any UK Financial Institution, a UK Resolution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Authority.</w:t>
      </w:r>
    </w:p>
    <w:p>
      <w:pPr>
        <w:spacing w:after="0" w:line="189"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Responsible Officer</w:t>
      </w:r>
      <w:r>
        <w:rPr>
          <w:rFonts w:ascii="Times New Roman" w:cs="Times New Roman" w:eastAsia="Times New Roman" w:hAnsi="Times New Roman"/>
          <w:sz w:val="20"/>
          <w:szCs w:val="20"/>
          <w:color w:val="auto"/>
        </w:rPr>
        <w:t xml:space="preserve">” means the chief executive officer, president, chief financial officer, treasurer, assistant treasurer, controller, vice president of finance, or other similar officer or Person performing similar functions of a Loan Party, solely for purposes of the delivery of incumbency certificates pursuant to </w:t>
      </w:r>
      <w:r>
        <w:rPr>
          <w:rFonts w:ascii="Times New Roman" w:cs="Times New Roman" w:eastAsia="Times New Roman" w:hAnsi="Times New Roman"/>
          <w:sz w:val="20"/>
          <w:szCs w:val="20"/>
          <w:u w:val="single" w:color="auto"/>
          <w:color w:val="auto"/>
        </w:rPr>
        <w:t>Section 4.01(b</w:t>
      </w:r>
      <w:r>
        <w:rPr>
          <w:rFonts w:ascii="Times New Roman" w:cs="Times New Roman" w:eastAsia="Times New Roman" w:hAnsi="Times New Roman"/>
          <w:sz w:val="20"/>
          <w:szCs w:val="20"/>
          <w:color w:val="auto"/>
        </w:rPr>
        <w:t xml:space="preserve">), the general counsel, secretary or any assistant secretary of a Loan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reasonably satisfactory to the Administrative Agent.</w:t>
      </w:r>
    </w:p>
    <w:p>
      <w:pPr>
        <w:spacing w:after="0" w:line="186"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Restricted Payment</w:t>
      </w:r>
      <w:r>
        <w:rPr>
          <w:rFonts w:ascii="Times New Roman" w:cs="Times New Roman" w:eastAsia="Times New Roman" w:hAnsi="Times New Roman"/>
          <w:sz w:val="20"/>
          <w:szCs w:val="20"/>
          <w:color w:val="auto"/>
        </w:rPr>
        <w:t>” means (a) any dividend or other distribution, direct or indirect, on account of any shares (or equivalent) of any class of Equity Interests of the Borrower or any of its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1" w:name="page92"/>
    <w:bookmarkEnd w:id="91"/>
    <w:p>
      <w:pPr>
        <w:jc w:val="both"/>
        <w:spacing w:after="0" w:line="241" w:lineRule="auto"/>
        <w:rPr>
          <w:sz w:val="20"/>
          <w:szCs w:val="20"/>
          <w:color w:val="auto"/>
        </w:rPr>
      </w:pPr>
      <w:r>
        <w:rPr>
          <w:rFonts w:ascii="Times New Roman" w:cs="Times New Roman" w:eastAsia="Times New Roman" w:hAnsi="Times New Roman"/>
          <w:sz w:val="20"/>
          <w:szCs w:val="20"/>
          <w:color w:val="auto"/>
        </w:rPr>
        <w:t>Subsidiaries, now or hereafter outstanding, (b) any redemption, retirement, sinking fund or similar payment, purchase or other acquisition for value, direct or indirect, of any shares (or equivalent) of any class of Equity Interests of the Borrower or any of its Subsidiaries, now or hereafter outstanding, (c) any payment made to retire, or to obtain the surrender of, any outstanding warrants, options or other rights to acquire shares of any class of Equity Interests of any Loan Party or any of its Subsidiaries, now or hereafter outstanding, (d) any payment made in cash under a Permitted Warrant Transaction as a result of the election of “cash settlement” (or substantially equivalent term) as the “settlement method” (or substantially equivalent term) thereunder by Borrower or any Subsidiary (including in connection with the exercise and/or early unwind or settlement thereof), and (e) any payment made in cash to the holders of Convertible Bond Indebtedness (excluding any required payment of interest and any payment of cash in lieu of a fractional share due upon conversion thereof) unless, and to the extent that, a corresponding amount is received in cash (whether through a direct cash payment or a settlement in shares of Equity Interests that are immediately sold for cash) substantially contemporaneously with such cash payment, from (i) the substantially concurrent issuance of shares of Qualified Equity Interests of the Borrower, (ii) the issuance of Refinance Convertible Notes, and (iii) the related exercise or early unwind or termination of the related Permitted Bond Hedge Transactions and Permitted Warrant Transactions, if any, entered into in connection with such Convertible Bond Indebtedness.</w:t>
      </w:r>
    </w:p>
    <w:p>
      <w:pPr>
        <w:spacing w:after="0" w:line="190"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Revaluation Date</w:t>
      </w:r>
      <w:r>
        <w:rPr>
          <w:rFonts w:ascii="Times New Roman" w:cs="Times New Roman" w:eastAsia="Times New Roman" w:hAnsi="Times New Roman"/>
          <w:sz w:val="20"/>
          <w:szCs w:val="20"/>
          <w:u w:val="single" w:color="auto"/>
          <w:color w:val="0000FF"/>
        </w:rPr>
        <w:t>” means with respect to any Letter of Credit, each of the following: (a) each date of issuance, amendment and/or extension of a Letter of Credit denominated in an Alternative Currency, (b) each date of any payment by the L/C Issuer under any Letter of Credit denominated in an Alternative Currency, and (c) such additional dates as the Administrative Agent or the L/C Issuer shall determine or the Required Lenders shall require.</w:t>
      </w:r>
    </w:p>
    <w:p>
      <w:pPr>
        <w:spacing w:after="0" w:line="174"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Borrowing</w:t>
      </w:r>
      <w:r>
        <w:rPr>
          <w:rFonts w:ascii="Times New Roman" w:cs="Times New Roman" w:eastAsia="Times New Roman" w:hAnsi="Times New Roman"/>
          <w:sz w:val="20"/>
          <w:szCs w:val="20"/>
          <w:color w:val="auto"/>
        </w:rPr>
        <w:t xml:space="preserve">” means a borrowing consisting of simultaneous Revolving Loans of the same Type and, in the case of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having the same Interest Period made by each of the Revolving Lenders pursuant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2.01(b</w:t>
      </w:r>
      <w:r>
        <w:rPr>
          <w:rFonts w:ascii="Times New Roman" w:cs="Times New Roman" w:eastAsia="Times New Roman" w:hAnsi="Times New Roman"/>
          <w:sz w:val="20"/>
          <w:szCs w:val="20"/>
          <w:color w:val="000000"/>
        </w:rPr>
        <w:t>).</w:t>
      </w:r>
    </w:p>
    <w:p>
      <w:pPr>
        <w:spacing w:after="0" w:line="153"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Commitment</w:t>
      </w:r>
      <w:r>
        <w:rPr>
          <w:rFonts w:ascii="Times New Roman" w:cs="Times New Roman" w:eastAsia="Times New Roman" w:hAnsi="Times New Roman"/>
          <w:sz w:val="20"/>
          <w:szCs w:val="20"/>
          <w:color w:val="auto"/>
        </w:rPr>
        <w:t xml:space="preserve">” means, as to each Revolving Lender, its obligation to (a) make Revolving Loans to the Borrower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(b) purchase participations in L/C Obligations, and (c) purchase participations in Swingline Loans, in an aggregate principal amount at any one time outstanding not to exceed the amount set forth opposite such Lender’s name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under the caption “Revolving Commitment” or opposite such caption in the Assignment and Assumption pursuant to which such Lender becomes a party hereto, as applicable, as such amount may be adjusted from time to time in accordance with this Agreement. The Revolving Commitment of all of the Revolving Lenders on the Closing Date shall be $100,000,000.</w:t>
      </w:r>
    </w:p>
    <w:p>
      <w:pPr>
        <w:spacing w:after="0" w:line="183"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Exposure</w:t>
      </w:r>
      <w:r>
        <w:rPr>
          <w:rFonts w:ascii="Times New Roman" w:cs="Times New Roman" w:eastAsia="Times New Roman" w:hAnsi="Times New Roman"/>
          <w:sz w:val="20"/>
          <w:szCs w:val="20"/>
          <w:color w:val="auto"/>
        </w:rPr>
        <w:t>” means, as to any Lender at any time, the aggregate principal amount at such time of its outstanding Revolving Loans and such Lender’s participation in L/C Obligations and Swingline Loans at such time.</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Revolving Facility</w:t>
      </w:r>
      <w:r>
        <w:rPr>
          <w:rFonts w:ascii="Times New Roman" w:cs="Times New Roman" w:eastAsia="Times New Roman" w:hAnsi="Times New Roman"/>
          <w:sz w:val="19"/>
          <w:szCs w:val="19"/>
          <w:color w:val="auto"/>
        </w:rPr>
        <w:t>” means, at any time, the aggregate amount of the Revolving Lenders’ Revolving Commitments at such time.</w:t>
      </w:r>
    </w:p>
    <w:p>
      <w:pPr>
        <w:spacing w:after="0" w:line="226"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Lender</w:t>
      </w:r>
      <w:r>
        <w:rPr>
          <w:rFonts w:ascii="Times New Roman" w:cs="Times New Roman" w:eastAsia="Times New Roman" w:hAnsi="Times New Roman"/>
          <w:sz w:val="20"/>
          <w:szCs w:val="20"/>
          <w:color w:val="auto"/>
        </w:rPr>
        <w:t>” means, at any time, (a) so long as any Revolving Commitment is in effect, any Lender that has a Revolving Commitment at such time or (b) if the Revolving Commitments have terminated or expired, any Lender that has a Revolving Loan or a participation in L/C Obligations or Swingline Loans at such time.</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2" w:name="page93"/>
    <w:bookmarkEnd w:id="92"/>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Note</w:t>
      </w:r>
      <w:r>
        <w:rPr>
          <w:rFonts w:ascii="Times New Roman" w:cs="Times New Roman" w:eastAsia="Times New Roman" w:hAnsi="Times New Roman"/>
          <w:sz w:val="20"/>
          <w:szCs w:val="20"/>
          <w:color w:val="auto"/>
        </w:rPr>
        <w:t xml:space="preserve">” means a promissory note made by the Borrower in favor of a Revolving Lender evidencing Revolving Loans or Swingline Loans, as the case may be, made by such Revolving Lender,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215"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Sale and Leaseback Transaction</w:t>
      </w:r>
      <w:r>
        <w:rPr>
          <w:rFonts w:ascii="Times New Roman" w:cs="Times New Roman" w:eastAsia="Times New Roman" w:hAnsi="Times New Roman"/>
          <w:sz w:val="20"/>
          <w:szCs w:val="20"/>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74"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Sanction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any sanction administered or enforced by the United States Government (including, without limitation, OFAC), the United Nations Security Council, the European Union, Her Majesty’s Treasury (“</w:t>
      </w:r>
      <w:r>
        <w:rPr>
          <w:rFonts w:ascii="Times New Roman" w:cs="Times New Roman" w:eastAsia="Times New Roman" w:hAnsi="Times New Roman"/>
          <w:sz w:val="20"/>
          <w:szCs w:val="20"/>
          <w:i w:val="1"/>
          <w:iCs w:val="1"/>
          <w:u w:val="single" w:color="auto"/>
          <w:color w:val="auto"/>
        </w:rPr>
        <w:t>HMT</w:t>
      </w:r>
      <w:r>
        <w:rPr>
          <w:rFonts w:ascii="Times New Roman" w:cs="Times New Roman" w:eastAsia="Times New Roman" w:hAnsi="Times New Roman"/>
          <w:sz w:val="20"/>
          <w:szCs w:val="20"/>
          <w:color w:val="auto"/>
        </w:rPr>
        <w:t>”) or other relevant sanctions authority.</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functions.</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Second Amendment Effective Date</w:t>
      </w:r>
      <w:r>
        <w:rPr>
          <w:rFonts w:ascii="Times New Roman" w:cs="Times New Roman" w:eastAsia="Times New Roman" w:hAnsi="Times New Roman"/>
          <w:sz w:val="20"/>
          <w:szCs w:val="20"/>
          <w:color w:val="auto"/>
        </w:rPr>
        <w:t>” means September 29, 2022.</w:t>
      </w:r>
    </w:p>
    <w:p>
      <w:pPr>
        <w:spacing w:after="0" w:line="215"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Cash Management Agreement</w:t>
      </w:r>
      <w:r>
        <w:rPr>
          <w:rFonts w:ascii="Times New Roman" w:cs="Times New Roman" w:eastAsia="Times New Roman" w:hAnsi="Times New Roman"/>
          <w:sz w:val="20"/>
          <w:szCs w:val="20"/>
          <w:color w:val="auto"/>
        </w:rPr>
        <w:t>” means any Cash Management Agreement between any Loan Party and/or its Subsidiaries and any Cash Management Bank.</w:t>
      </w:r>
    </w:p>
    <w:p>
      <w:pPr>
        <w:spacing w:after="0" w:line="15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Hedge Agreement</w:t>
      </w:r>
      <w:r>
        <w:rPr>
          <w:rFonts w:ascii="Times New Roman" w:cs="Times New Roman" w:eastAsia="Times New Roman" w:hAnsi="Times New Roman"/>
          <w:sz w:val="20"/>
          <w:szCs w:val="20"/>
          <w:color w:val="auto"/>
        </w:rPr>
        <w:t xml:space="preserve">” means any interest rate, currency, foreign exchange, or commodity Swap Contract required by or not prohibited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between any Loan Party and/or its Subsidiaries and any Hedge Bank.</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Obligations</w:t>
      </w:r>
      <w:r>
        <w:rPr>
          <w:rFonts w:ascii="Times New Roman" w:cs="Times New Roman" w:eastAsia="Times New Roman" w:hAnsi="Times New Roman"/>
          <w:sz w:val="20"/>
          <w:szCs w:val="20"/>
          <w:color w:val="auto"/>
        </w:rPr>
        <w:t>” means all Obligations and all Additional Secured Obligations.</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Parties</w:t>
      </w:r>
      <w:r>
        <w:rPr>
          <w:rFonts w:ascii="Times New Roman" w:cs="Times New Roman" w:eastAsia="Times New Roman" w:hAnsi="Times New Roman"/>
          <w:sz w:val="20"/>
          <w:szCs w:val="20"/>
          <w:color w:val="auto"/>
        </w:rPr>
        <w:t xml:space="preserve">” means, collectively, the Administrative Agent, the Lenders, the L/C Issuer, the Hedge Banks, the Cash Management Banks, the Indemnitees and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Party Designation Notice</w:t>
      </w:r>
      <w:r>
        <w:rPr>
          <w:rFonts w:ascii="Times New Roman" w:cs="Times New Roman" w:eastAsia="Times New Roman" w:hAnsi="Times New Roman"/>
          <w:sz w:val="20"/>
          <w:szCs w:val="20"/>
          <w:color w:val="auto"/>
        </w:rPr>
        <w:t>” means a notice from any Lender or an Affiliate of a Lender substantially in the form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Securities Act</w:t>
      </w:r>
      <w:r>
        <w:rPr>
          <w:rFonts w:ascii="Times New Roman" w:cs="Times New Roman" w:eastAsia="Times New Roman" w:hAnsi="Times New Roman"/>
          <w:sz w:val="20"/>
          <w:szCs w:val="20"/>
          <w:color w:val="auto"/>
        </w:rPr>
        <w:t>” means the Securities Act of 1933, including all amendments thereto and regulations promulgated thereunder.</w:t>
      </w:r>
    </w:p>
    <w:p>
      <w:pPr>
        <w:spacing w:after="0" w:line="215"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Security Agreement</w:t>
      </w:r>
      <w:r>
        <w:rPr>
          <w:rFonts w:ascii="Times New Roman" w:cs="Times New Roman" w:eastAsia="Times New Roman" w:hAnsi="Times New Roman"/>
          <w:sz w:val="20"/>
          <w:szCs w:val="20"/>
          <w:color w:val="auto"/>
        </w:rPr>
        <w:t>” means the security and pledge agreement, dated as of the Closing Date, executed in favor of the Administrative Agent by each of the Loan Parties.</w:t>
      </w:r>
    </w:p>
    <w:p>
      <w:pPr>
        <w:spacing w:after="0" w:line="153"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Shareholders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Equity</w:t>
      </w:r>
      <w:r>
        <w:rPr>
          <w:rFonts w:ascii="Times New Roman" w:cs="Times New Roman" w:eastAsia="Times New Roman" w:hAnsi="Times New Roman"/>
          <w:sz w:val="20"/>
          <w:szCs w:val="20"/>
          <w:color w:val="auto"/>
        </w:rPr>
        <w:t>” means, as of any date of determination, consolidated shareholders’ equity of the Borrower and its Subsidiaries as of such date, determined in accordance with GAAP.</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i w:val="1"/>
          <w:iCs w:val="1"/>
          <w:color w:val="FF0000"/>
          <w:strike w:val="1"/>
        </w:rPr>
        <w:t>“</w:t>
      </w:r>
      <w:r>
        <w:rPr>
          <w:rFonts w:ascii="Times New Roman" w:cs="Times New Roman" w:eastAsia="Times New Roman" w:hAnsi="Times New Roman"/>
          <w:sz w:val="20"/>
          <w:szCs w:val="20"/>
          <w:i w:val="1"/>
          <w:iCs w:val="1"/>
          <w:u w:val="single" w:color="auto"/>
          <w:color w:val="FF0000"/>
          <w:strike w:val="1"/>
        </w:rPr>
        <w:t>SOFR Adjustment</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color w:val="FF0000"/>
          <w:strike w:val="1"/>
        </w:rPr>
        <w:t>with respect to Daily Simple SOFR means 0.26161% (26.161 basis points); and with respect to Term</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color w:val="FF0000"/>
          <w:strike w:val="1"/>
        </w:rPr>
        <w:t>SOFR means 0.11448% (11.448 basis points) for an interest period of one-month’s duration, 0.26161% (26.161 basis points;) for an interest period of three-month’s duration,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3" w:name="page94"/>
    <w:bookmarkEnd w:id="93"/>
    <w:p>
      <w:pPr>
        <w:jc w:val="both"/>
        <w:spacing w:after="0" w:line="268" w:lineRule="auto"/>
        <w:rPr>
          <w:sz w:val="20"/>
          <w:szCs w:val="20"/>
          <w:color w:val="auto"/>
        </w:rPr>
      </w:pPr>
      <w:r>
        <w:rPr>
          <w:rFonts w:ascii="Times New Roman" w:cs="Times New Roman" w:eastAsia="Times New Roman" w:hAnsi="Times New Roman"/>
          <w:sz w:val="20"/>
          <w:szCs w:val="20"/>
          <w:color w:val="FF0000"/>
          <w:strike w:val="1"/>
        </w:rPr>
        <w:t>0.42826% (42.826 basis points) for an interest period of six-months’ duration, and 0.71513% (71.513 basis points) for an interest period of twelve–months’ duration.</w:t>
      </w:r>
    </w:p>
    <w:p>
      <w:pPr>
        <w:spacing w:after="0" w:line="157"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SOFR</w:t>
      </w:r>
      <w:r>
        <w:rPr>
          <w:rFonts w:ascii="Times New Roman" w:cs="Times New Roman" w:eastAsia="Times New Roman" w:hAnsi="Times New Roman"/>
          <w:sz w:val="20"/>
          <w:szCs w:val="20"/>
          <w:u w:val="single" w:color="auto"/>
          <w:color w:val="0000FF"/>
        </w:rPr>
        <w:t>” means the Secured Overnight Financing Rate as administered by the Federal Reserve Bank of New York (or a successor administrator).</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i w:val="1"/>
          <w:iCs w:val="1"/>
          <w:u w:val="single" w:color="auto"/>
          <w:color w:val="0000FF"/>
        </w:rPr>
        <w:t xml:space="preserve">“SOFR Adjustment” </w:t>
      </w:r>
      <w:r>
        <w:rPr>
          <w:rFonts w:ascii="Times New Roman" w:cs="Times New Roman" w:eastAsia="Times New Roman" w:hAnsi="Times New Roman"/>
          <w:sz w:val="20"/>
          <w:szCs w:val="20"/>
          <w:u w:val="single" w:color="auto"/>
          <w:color w:val="0000FF"/>
        </w:rPr>
        <w:t>means 0.10% (10 basis points).</w:t>
      </w:r>
    </w:p>
    <w:p>
      <w:pPr>
        <w:spacing w:after="0" w:line="215"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Solvency</w:t>
      </w:r>
      <w:r>
        <w:rPr>
          <w:rFonts w:ascii="Times New Roman" w:cs="Times New Roman" w:eastAsia="Times New Roman" w:hAnsi="Times New Roman"/>
          <w:sz w:val="20"/>
          <w:szCs w:val="20"/>
          <w:color w:val="auto"/>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Acquisition</w:t>
      </w:r>
      <w:r>
        <w:rPr>
          <w:rFonts w:ascii="Times New Roman" w:cs="Times New Roman" w:eastAsia="Times New Roman" w:hAnsi="Times New Roman"/>
          <w:sz w:val="20"/>
          <w:szCs w:val="20"/>
          <w:color w:val="auto"/>
        </w:rPr>
        <w:t>” means the acquisition titled “Project Domino” notified to the Administrative Agent prior to the Closing Date (including the formation and funding of Subsidiaries in effectuation thereof).</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Event of Default</w:t>
      </w:r>
      <w:r>
        <w:rPr>
          <w:rFonts w:ascii="Times New Roman" w:cs="Times New Roman" w:eastAsia="Times New Roman" w:hAnsi="Times New Roman"/>
          <w:sz w:val="20"/>
          <w:szCs w:val="20"/>
          <w:color w:val="auto"/>
        </w:rPr>
        <w:t xml:space="preserve">” means any Event of Default pursuant to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8.01(g)</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Loan Party</w:t>
      </w:r>
      <w:r>
        <w:rPr>
          <w:rFonts w:ascii="Times New Roman" w:cs="Times New Roman" w:eastAsia="Times New Roman" w:hAnsi="Times New Roman"/>
          <w:sz w:val="20"/>
          <w:szCs w:val="20"/>
          <w:color w:val="auto"/>
        </w:rPr>
        <w:t xml:space="preserve">” means any Loan Party that is not then an “eligible contract participant” under the Commodity Exchange Act (determined prior to giving effect to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Period</w:t>
      </w:r>
      <w:r>
        <w:rPr>
          <w:rFonts w:ascii="Times New Roman" w:cs="Times New Roman" w:eastAsia="Times New Roman" w:hAnsi="Times New Roman"/>
          <w:sz w:val="20"/>
          <w:szCs w:val="20"/>
          <w:color w:val="auto"/>
        </w:rPr>
        <w:t>” means the period from December 31, 2022 and extending through December 31, 2023.</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Period Conditions</w:t>
      </w:r>
      <w:r>
        <w:rPr>
          <w:rFonts w:ascii="Times New Roman" w:cs="Times New Roman" w:eastAsia="Times New Roman" w:hAnsi="Times New Roman"/>
          <w:sz w:val="20"/>
          <w:szCs w:val="20"/>
          <w:color w:val="auto"/>
        </w:rPr>
        <w:t>” means (a) the Consolidated Total Net Leverage Ratio is less than (x) if such transaction is occurring on or prior to March 31, 2023, 3.50 to 1.00, and (y) if such transaction is occurring after March 31, 2023, 3.00 to 1.00, in each case, calculated as of the most recent Measurement Period, and (b) the Consolidated Interest Coverage Ratio is greater than 3.00 to 1.00.</w:t>
      </w:r>
    </w:p>
    <w:p>
      <w:pPr>
        <w:spacing w:after="0" w:line="170"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Pricing Period</w:t>
      </w:r>
      <w:r>
        <w:rPr>
          <w:rFonts w:ascii="Times New Roman" w:cs="Times New Roman" w:eastAsia="Times New Roman" w:hAnsi="Times New Roman"/>
          <w:sz w:val="20"/>
          <w:szCs w:val="20"/>
          <w:color w:val="auto"/>
        </w:rPr>
        <w:t xml:space="preserve">” means the period beginning on the Third Amendment Effective Date and ending on (but not including)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for the fiscal year ending December 31, 2023.</w:t>
      </w:r>
    </w:p>
    <w:p>
      <w:pPr>
        <w:spacing w:after="0" w:line="170"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Transaction</w:t>
      </w:r>
      <w:r>
        <w:rPr>
          <w:rFonts w:ascii="Times New Roman" w:cs="Times New Roman" w:eastAsia="Times New Roman" w:hAnsi="Times New Roman"/>
          <w:sz w:val="20"/>
          <w:szCs w:val="20"/>
          <w:color w:val="auto"/>
        </w:rPr>
        <w:t>” means (a) any Acquisition, any sale, transfer or other disposition of all or substantially all of a line of business or that results in a Person ceasing to be a Subsidiary and any Investment that results in a Person becoming a Subsidiary, (b) any incurrence or repayment of Indebtedness, or (c) any other event or transaction that by the terms of the Loan Documents requires compliance with a test or covenant on a Pro Forma Basis or calculation as to Pro Forma Effect with respect to a test or covenant.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4" w:name="page95"/>
    <w:bookmarkEnd w:id="94"/>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i w:val="1"/>
          <w:iCs w:val="1"/>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89"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Swap Obligations</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53" w:lineRule="exact"/>
        <w:rPr>
          <w:sz w:val="20"/>
          <w:szCs w:val="20"/>
          <w:color w:val="auto"/>
        </w:rPr>
      </w:pPr>
    </w:p>
    <w:p>
      <w:pPr>
        <w:jc w:val="both"/>
        <w:ind w:firstLine="101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Swap Termination Value</w:t>
      </w:r>
      <w:r>
        <w:rPr>
          <w:rFonts w:ascii="Times New Roman" w:cs="Times New Roman" w:eastAsia="Times New Roman" w:hAnsi="Times New Roman"/>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any unpaid amounts thereunder, and</w:t>
      </w:r>
    </w:p>
    <w:p>
      <w:pPr>
        <w:spacing w:after="0" w:line="1" w:lineRule="exact"/>
        <w:rPr>
          <w:sz w:val="20"/>
          <w:szCs w:val="20"/>
          <w:color w:val="auto"/>
        </w:rPr>
      </w:pPr>
    </w:p>
    <w:p>
      <w:pPr>
        <w:jc w:val="both"/>
        <w:ind w:firstLine="8"/>
        <w:spacing w:after="0" w:line="242" w:lineRule="auto"/>
        <w:tabs>
          <w:tab w:leader="none" w:pos="28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Borrowing</w:t>
      </w:r>
      <w:r>
        <w:rPr>
          <w:rFonts w:ascii="Times New Roman" w:cs="Times New Roman" w:eastAsia="Times New Roman" w:hAnsi="Times New Roman"/>
          <w:sz w:val="20"/>
          <w:szCs w:val="20"/>
          <w:color w:val="auto"/>
        </w:rPr>
        <w:t xml:space="preserve">” means a borrowing of a Swingline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Commitment</w:t>
      </w:r>
      <w:r>
        <w:rPr>
          <w:rFonts w:ascii="Times New Roman" w:cs="Times New Roman" w:eastAsia="Times New Roman" w:hAnsi="Times New Roman"/>
          <w:sz w:val="20"/>
          <w:szCs w:val="20"/>
          <w:color w:val="auto"/>
        </w:rPr>
        <w:t xml:space="preserve">” means, as to any Lender (a) the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hereof or (b) if such Lender has entered into an Assignment and Assumption or has otherwise assumed a Swingline Commitment after the Closing Date, the amount set forth for such Lender as its Swingline Commitment in the Register maintained by the Administrative Agent pursuant to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Lender</w:t>
      </w:r>
      <w:r>
        <w:rPr>
          <w:rFonts w:ascii="Times New Roman" w:cs="Times New Roman" w:eastAsia="Times New Roman" w:hAnsi="Times New Roman"/>
          <w:sz w:val="20"/>
          <w:szCs w:val="20"/>
          <w:color w:val="auto"/>
        </w:rPr>
        <w:t>” means Bank of America in its capacity as provider of Swingline Loans, or any successor swingline lender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hereunder.</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5" w:name="page96"/>
    <w:bookmarkEnd w:id="95"/>
    <w:p>
      <w:pPr>
        <w:jc w:val="both"/>
        <w:ind w:right="20"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Loan Notice</w:t>
      </w:r>
      <w:r>
        <w:rPr>
          <w:rFonts w:ascii="Times New Roman" w:cs="Times New Roman" w:eastAsia="Times New Roman" w:hAnsi="Times New Roman"/>
          <w:sz w:val="20"/>
          <w:szCs w:val="20"/>
          <w:color w:val="auto"/>
        </w:rPr>
        <w:t xml:space="preserve">” means a notice of a Swingline Borrowing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4"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Sublimit</w:t>
      </w:r>
      <w:r>
        <w:rPr>
          <w:rFonts w:ascii="Times New Roman" w:cs="Times New Roman" w:eastAsia="Times New Roman" w:hAnsi="Times New Roman"/>
          <w:sz w:val="20"/>
          <w:szCs w:val="20"/>
          <w:color w:val="auto"/>
        </w:rPr>
        <w:t>” means an amount equal to the lesser of (a) $10,000,000 and (b) the Revolving Facility. The Swingline Sublimit is part of, and not in addition to, the Revolving Facility.</w:t>
      </w:r>
    </w:p>
    <w:p>
      <w:pPr>
        <w:spacing w:after="0" w:line="153"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Target</w:t>
      </w:r>
      <w:r>
        <w:rPr>
          <w:rFonts w:ascii="Times New Roman" w:cs="Times New Roman" w:eastAsia="Times New Roman" w:hAnsi="Times New Roman"/>
          <w:sz w:val="20"/>
          <w:szCs w:val="20"/>
          <w:color w:val="auto"/>
        </w:rPr>
        <w:t>” has the meaning set forth in the definition of “Permitted Acquisition.”</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0"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Borrowing</w:t>
      </w:r>
      <w:r>
        <w:rPr>
          <w:rFonts w:ascii="Times New Roman" w:cs="Times New Roman" w:eastAsia="Times New Roman" w:hAnsi="Times New Roman"/>
          <w:sz w:val="20"/>
          <w:szCs w:val="20"/>
          <w:color w:val="auto"/>
        </w:rPr>
        <w:t xml:space="preserve">” means a borrowing consisting of simultaneous Term Loans of the same Type and, in the case of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having the same Interest Period made by each of the Term Lenders pursuant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2.01(a</w:t>
      </w:r>
      <w:r>
        <w:rPr>
          <w:rFonts w:ascii="Times New Roman" w:cs="Times New Roman" w:eastAsia="Times New Roman" w:hAnsi="Times New Roman"/>
          <w:sz w:val="20"/>
          <w:szCs w:val="20"/>
          <w:color w:val="000000"/>
        </w:rPr>
        <w:t>).</w:t>
      </w:r>
    </w:p>
    <w:p>
      <w:pPr>
        <w:spacing w:after="0" w:line="153" w:lineRule="exact"/>
        <w:rPr>
          <w:sz w:val="20"/>
          <w:szCs w:val="20"/>
          <w:color w:val="auto"/>
        </w:rPr>
      </w:pPr>
    </w:p>
    <w:p>
      <w:pPr>
        <w:jc w:val="both"/>
        <w:ind w:firstLine="101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Commitment</w:t>
      </w:r>
      <w:r>
        <w:rPr>
          <w:rFonts w:ascii="Times New Roman" w:cs="Times New Roman" w:eastAsia="Times New Roman" w:hAnsi="Times New Roman"/>
          <w:sz w:val="20"/>
          <w:szCs w:val="20"/>
          <w:color w:val="auto"/>
        </w:rPr>
        <w:t xml:space="preserve">” means, as to each Term Lender, its obligation to make Term Loans to the Borrower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2.01(a</w:t>
      </w:r>
      <w:r>
        <w:rPr>
          <w:rFonts w:ascii="Times New Roman" w:cs="Times New Roman" w:eastAsia="Times New Roman" w:hAnsi="Times New Roman"/>
          <w:sz w:val="20"/>
          <w:szCs w:val="20"/>
          <w:color w:val="auto"/>
        </w:rPr>
        <w:t xml:space="preserve">) in an aggregate principal amount at any one time outstanding not to exceed the amount set forth opposite such Term Lender’s name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xml:space="preserve"> under the caption “Term Commitment” or opposite such caption in the Assignment and Assumption pursuant to which such Term Lender becomes a party hereto, as applicable, as such amount may be adjusted from time to time in accordance with this Agreement. The Term Commitment of all of the Term Lenders on the Closing Date shall be $250,000,000.</w:t>
      </w:r>
    </w:p>
    <w:p>
      <w:pPr>
        <w:spacing w:after="0" w:line="178"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Facility</w:t>
      </w:r>
      <w:r>
        <w:rPr>
          <w:rFonts w:ascii="Times New Roman" w:cs="Times New Roman" w:eastAsia="Times New Roman" w:hAnsi="Times New Roman"/>
          <w:sz w:val="20"/>
          <w:szCs w:val="20"/>
          <w:color w:val="auto"/>
        </w:rPr>
        <w:t>” means, at any time, (a) on or prior to the Closing Date, the aggregate amount of the Term Commitments at such time and (b) thereafter, the aggregate principal amount of the Term Loans of all Term Lenders outstanding at such time.</w:t>
      </w:r>
    </w:p>
    <w:p>
      <w:pPr>
        <w:spacing w:after="0" w:line="153" w:lineRule="exact"/>
        <w:rPr>
          <w:sz w:val="20"/>
          <w:szCs w:val="20"/>
          <w:color w:val="auto"/>
        </w:rPr>
      </w:pPr>
    </w:p>
    <w:p>
      <w:pPr>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Lender</w:t>
      </w:r>
      <w:r>
        <w:rPr>
          <w:rFonts w:ascii="Times New Roman" w:cs="Times New Roman" w:eastAsia="Times New Roman" w:hAnsi="Times New Roman"/>
          <w:sz w:val="20"/>
          <w:szCs w:val="20"/>
          <w:color w:val="auto"/>
        </w:rPr>
        <w:t>” means (a) at any time on or prior to the Closing Date, any Lender that has a Term Commitment at such time and (b) at any time after the Closing Date, any Lender that holds Term Loans at such time.</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Loan</w:t>
      </w:r>
      <w:r>
        <w:rPr>
          <w:rFonts w:ascii="Times New Roman" w:cs="Times New Roman" w:eastAsia="Times New Roman" w:hAnsi="Times New Roman"/>
          <w:sz w:val="20"/>
          <w:szCs w:val="20"/>
          <w:color w:val="auto"/>
        </w:rPr>
        <w:t>” means an advance made by any Term Lender under the Term Facility.</w:t>
      </w:r>
    </w:p>
    <w:p>
      <w:pPr>
        <w:spacing w:after="0" w:line="215"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Note</w:t>
      </w:r>
      <w:r>
        <w:rPr>
          <w:rFonts w:ascii="Times New Roman" w:cs="Times New Roman" w:eastAsia="Times New Roman" w:hAnsi="Times New Roman"/>
          <w:sz w:val="20"/>
          <w:szCs w:val="20"/>
          <w:color w:val="auto"/>
        </w:rPr>
        <w:t xml:space="preserve">” means a promissory note made by the Borrower in favor of a Term Lender evidencing Term Loans made by such Term Lender,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Term SOFR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w:t>
      </w:r>
      <w:r>
        <w:rPr>
          <w:rFonts w:ascii="Times New Roman" w:cs="Times New Roman" w:eastAsia="Times New Roman" w:hAnsi="Times New Roman"/>
          <w:sz w:val="20"/>
          <w:szCs w:val="20"/>
          <w:color w:val="FF0000"/>
          <w:strike w:val="1"/>
        </w:rPr>
        <w:t>, for the applicable corresponding Interest Period of BSBY (or if any Interest Period does not correspond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FF0000"/>
          <w:strike w:val="1"/>
        </w:rPr>
        <w:t xml:space="preserve">an interest period applicable to SOFR, the closest corresponding interest period of SOFR, and if such interest period of SOFR corresponds equally to two Interest Periods of BSBY, the corresponding interest period of the shorter duration shall be applied) </w:t>
      </w:r>
      <w:r>
        <w:rPr>
          <w:rFonts w:ascii="Times New Roman" w:cs="Times New Roman" w:eastAsia="Times New Roman" w:hAnsi="Times New Roman"/>
          <w:sz w:val="20"/>
          <w:szCs w:val="20"/>
          <w:u w:val="single" w:color="auto"/>
          <w:color w:val="0000FF"/>
          <w:strike w:val="1"/>
        </w:rPr>
        <w: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6" w:name="page97"/>
    <w:bookmarkEnd w:id="96"/>
    <w:p>
      <w:pPr>
        <w:jc w:val="both"/>
        <w:ind w:left="760" w:firstLine="1284"/>
        <w:spacing w:after="0" w:line="246" w:lineRule="auto"/>
        <w:tabs>
          <w:tab w:leader="none" w:pos="2299" w:val="left"/>
        </w:tabs>
        <w:numPr>
          <w:ilvl w:val="0"/>
          <w:numId w:val="4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0"/>
          <w:szCs w:val="20"/>
          <w:i w:val="1"/>
          <w:iCs w:val="1"/>
          <w:u w:val="single" w:color="auto"/>
          <w:color w:val="0000FF"/>
        </w:rPr>
        <w:t>provided</w:t>
      </w:r>
      <w:r>
        <w:rPr>
          <w:rFonts w:ascii="Times New Roman" w:cs="Times New Roman" w:eastAsia="Times New Roman" w:hAnsi="Times New Roman"/>
          <w:sz w:val="20"/>
          <w:szCs w:val="20"/>
          <w:u w:val="single" w:color="auto"/>
          <w:color w:val="0000FF"/>
        </w:rPr>
        <w:t xml:space="preserve"> that if the rate is not published prior to 11:00 a.m. on such determination date then Term SOFR means the Term SOFR Screen Rate for such term on the first U.S. Government Securities Business Day immediately prior thereto, in each case, plus the SOFR Adjustment; and</w:t>
      </w:r>
    </w:p>
    <w:p>
      <w:pPr>
        <w:spacing w:after="0" w:line="183" w:lineRule="exact"/>
        <w:rPr>
          <w:rFonts w:ascii="Times New Roman" w:cs="Times New Roman" w:eastAsia="Times New Roman" w:hAnsi="Times New Roman"/>
          <w:sz w:val="20"/>
          <w:szCs w:val="20"/>
          <w:u w:val="single" w:color="auto"/>
          <w:color w:val="0000FF"/>
        </w:rPr>
      </w:pPr>
    </w:p>
    <w:p>
      <w:pPr>
        <w:jc w:val="both"/>
        <w:ind w:left="760" w:firstLine="1284"/>
        <w:spacing w:after="0" w:line="246" w:lineRule="auto"/>
        <w:tabs>
          <w:tab w:leader="none" w:pos="2694" w:val="left"/>
        </w:tabs>
        <w:numPr>
          <w:ilvl w:val="0"/>
          <w:numId w:val="4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20"/>
          <w:szCs w:val="20"/>
          <w:i w:val="1"/>
          <w:iCs w:val="1"/>
          <w:u w:val="single" w:color="auto"/>
          <w:color w:val="0000FF"/>
        </w:rPr>
        <w:t>provided</w:t>
      </w:r>
      <w:r>
        <w:rPr>
          <w:rFonts w:ascii="Times New Roman" w:cs="Times New Roman" w:eastAsia="Times New Roman" w:hAnsi="Times New Roman"/>
          <w:sz w:val="20"/>
          <w:szCs w:val="20"/>
          <w:u w:val="single" w:color="auto"/>
          <w:color w:val="0000FF"/>
        </w:rPr>
        <w:t xml:space="preserve"> that if the rate is not published prior to 11:00 a.m. on such determination date then Term SOFR means the Term SOFR Screen Rate for such term on the first U.S. Government Securities Business Day immediately prior thereto, in each case, plus the SOFR Adjustment;</w:t>
      </w:r>
    </w:p>
    <w:p>
      <w:pPr>
        <w:spacing w:after="0" w:line="179" w:lineRule="exact"/>
        <w:rPr>
          <w:sz w:val="20"/>
          <w:szCs w:val="20"/>
          <w:color w:val="auto"/>
        </w:rPr>
      </w:pPr>
    </w:p>
    <w:p>
      <w:pPr>
        <w:ind w:left="760" w:firstLine="1288"/>
        <w:spacing w:after="0" w:line="272" w:lineRule="auto"/>
        <w:rPr>
          <w:sz w:val="20"/>
          <w:szCs w:val="20"/>
          <w:color w:val="auto"/>
        </w:rPr>
      </w:pPr>
      <w:r>
        <w:rPr>
          <w:rFonts w:ascii="Times New Roman" w:cs="Times New Roman" w:eastAsia="Times New Roman" w:hAnsi="Times New Roman"/>
          <w:sz w:val="20"/>
          <w:szCs w:val="20"/>
          <w:i w:val="1"/>
          <w:iCs w:val="1"/>
          <w:u w:val="single" w:color="auto"/>
          <w:color w:val="0000FF"/>
        </w:rPr>
        <w:t xml:space="preserve">provided </w:t>
      </w:r>
      <w:r>
        <w:rPr>
          <w:rFonts w:ascii="Times New Roman" w:cs="Times New Roman" w:eastAsia="Times New Roman" w:hAnsi="Times New Roman"/>
          <w:sz w:val="20"/>
          <w:szCs w:val="20"/>
          <w:u w:val="single" w:color="auto"/>
          <w:color w:val="0000FF"/>
        </w:rPr>
        <w:t>that if Term SOFR determined in accordance with either of the foregoing provisions (a) or (b) of this</w:t>
      </w:r>
      <w:r>
        <w:rPr>
          <w:rFonts w:ascii="Times New Roman" w:cs="Times New Roman" w:eastAsia="Times New Roman" w:hAnsi="Times New Roman"/>
          <w:sz w:val="20"/>
          <w:szCs w:val="20"/>
          <w:i w:val="1"/>
          <w:iCs w:val="1"/>
          <w:u w:val="single" w:color="auto"/>
          <w:color w:val="0000FF"/>
        </w:rPr>
        <w:t xml:space="preserve"> </w:t>
      </w:r>
      <w:r>
        <w:rPr>
          <w:rFonts w:ascii="Times New Roman" w:cs="Times New Roman" w:eastAsia="Times New Roman" w:hAnsi="Times New Roman"/>
          <w:sz w:val="20"/>
          <w:szCs w:val="20"/>
          <w:u w:val="single" w:color="auto"/>
          <w:color w:val="0000FF"/>
        </w:rPr>
        <w:t>definition would otherwise be less than zero, Term SOFR shall be deemed zero for purposes of this Agreement.</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i w:val="1"/>
          <w:iCs w:val="1"/>
          <w:u w:val="single" w:color="auto"/>
          <w:color w:val="0000FF"/>
        </w:rPr>
        <w:t xml:space="preserve">“Term SOFR Loan” </w:t>
      </w:r>
      <w:r>
        <w:rPr>
          <w:rFonts w:ascii="Times New Roman" w:cs="Times New Roman" w:eastAsia="Times New Roman" w:hAnsi="Times New Roman"/>
          <w:sz w:val="20"/>
          <w:szCs w:val="20"/>
          <w:u w:val="single" w:color="auto"/>
          <w:color w:val="0000FF"/>
        </w:rPr>
        <w:t>means a Loan that bears interest at a rate based on clause (a) of the definition of Term SOFR.</w:t>
      </w:r>
    </w:p>
    <w:p>
      <w:pPr>
        <w:spacing w:after="0" w:line="215"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Term SOFR Screen Rate</w:t>
      </w:r>
      <w:r>
        <w:rPr>
          <w:rFonts w:ascii="Times New Roman" w:cs="Times New Roman" w:eastAsia="Times New Roman" w:hAnsi="Times New Roman"/>
          <w:sz w:val="20"/>
          <w:szCs w:val="20"/>
          <w:u w:val="single" w:color="auto"/>
          <w:color w:val="0000FF"/>
        </w:rPr>
        <w:t>” means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forward-looking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term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based on SOFR that has been selected or recommended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by the Relevant Governmental Body.</w:t>
      </w:r>
      <w:r>
        <w:rPr>
          <w:rFonts w:ascii="Times New Roman" w:cs="Times New Roman" w:eastAsia="Times New Roman" w:hAnsi="Times New Roman"/>
          <w:sz w:val="20"/>
          <w:szCs w:val="20"/>
          <w:u w:val="single" w:color="auto"/>
          <w:color w:val="0000FF"/>
          <w:strike w:val="1"/>
        </w:rPr>
        <w:t>administered by CME (or any successor administrator satisfactory to the Administrative Agent) and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published on the applicable Reuters screen page (or such other commercially available source providing such quotations as may be designated by the Administrative Agent from time to time).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Third Amendment Effective Date</w:t>
      </w:r>
      <w:r>
        <w:rPr>
          <w:rFonts w:ascii="Times New Roman" w:cs="Times New Roman" w:eastAsia="Times New Roman" w:hAnsi="Times New Roman"/>
          <w:sz w:val="20"/>
          <w:szCs w:val="20"/>
          <w:color w:val="auto"/>
        </w:rPr>
        <w:t>” means November 28, 2022.</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Threshold Amount</w:t>
      </w:r>
      <w:r>
        <w:rPr>
          <w:rFonts w:ascii="Times New Roman" w:cs="Times New Roman" w:eastAsia="Times New Roman" w:hAnsi="Times New Roman"/>
          <w:sz w:val="20"/>
          <w:szCs w:val="20"/>
          <w:color w:val="auto"/>
        </w:rPr>
        <w:t>” means $25,000,000.</w:t>
      </w:r>
    </w:p>
    <w:p>
      <w:pPr>
        <w:spacing w:after="0" w:line="215"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Total Credit Exposure</w:t>
      </w:r>
      <w:r>
        <w:rPr>
          <w:rFonts w:ascii="Times New Roman" w:cs="Times New Roman" w:eastAsia="Times New Roman" w:hAnsi="Times New Roman"/>
          <w:sz w:val="20"/>
          <w:szCs w:val="20"/>
          <w:color w:val="auto"/>
        </w:rPr>
        <w:t>” means, as to any Lender at any time, without duplication, the unused Commitments, Revolving Exposure, Outstanding Amount of all Term Loans and Outstanding Amount of all Incremental Term Loans of such Lender at such time.</w:t>
      </w:r>
    </w:p>
    <w:p>
      <w:pPr>
        <w:spacing w:after="0" w:line="153"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Total Revolving Exposure</w:t>
      </w:r>
      <w:r>
        <w:rPr>
          <w:rFonts w:ascii="Times New Roman" w:cs="Times New Roman" w:eastAsia="Times New Roman" w:hAnsi="Times New Roman"/>
          <w:sz w:val="20"/>
          <w:szCs w:val="20"/>
          <w:color w:val="auto"/>
        </w:rPr>
        <w:t>” means, as to any Revolving Lender at any time, the unused Commitments and Revolving Exposure of such Revolving Lender at such time.</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Total Revolving Outstandings</w:t>
      </w:r>
      <w:r>
        <w:rPr>
          <w:rFonts w:ascii="Times New Roman" w:cs="Times New Roman" w:eastAsia="Times New Roman" w:hAnsi="Times New Roman"/>
          <w:sz w:val="20"/>
          <w:szCs w:val="20"/>
          <w:color w:val="auto"/>
        </w:rPr>
        <w:t>” means the aggregate Outstanding Amount of all Revolving Loans, Swingline Loans and 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Trade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11.06(g)(i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Type</w:t>
      </w:r>
      <w:r>
        <w:rPr>
          <w:rFonts w:ascii="Times New Roman" w:cs="Times New Roman" w:eastAsia="Times New Roman" w:hAnsi="Times New Roman"/>
          <w:sz w:val="20"/>
          <w:szCs w:val="20"/>
          <w:color w:val="auto"/>
        </w:rPr>
        <w:t xml:space="preserve">” means, with respect to a Loan, its character as a Base Rate Loan or a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w:t>
      </w:r>
    </w:p>
    <w:p>
      <w:pPr>
        <w:spacing w:after="0" w:line="215" w:lineRule="exact"/>
        <w:rPr>
          <w:sz w:val="20"/>
          <w:szCs w:val="20"/>
          <w:color w:val="auto"/>
        </w:rPr>
      </w:pPr>
    </w:p>
    <w:p>
      <w:pPr>
        <w:jc w:val="both"/>
        <w:ind w:firstLine="101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UCC</w:t>
      </w:r>
      <w:r>
        <w:rPr>
          <w:rFonts w:ascii="Times New Roman" w:cs="Times New Roman" w:eastAsia="Times New Roman" w:hAnsi="Times New Roman"/>
          <w:sz w:val="19"/>
          <w:szCs w:val="19"/>
          <w:color w:val="auto"/>
        </w:rPr>
        <w:t xml:space="preserve">” means the Uniform Commercial Code as in effect in the State of New York;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19"/>
          <w:szCs w:val="19"/>
          <w:i w:val="1"/>
          <w:iCs w:val="1"/>
          <w:u w:val="single" w:color="auto"/>
          <w:color w:val="auto"/>
        </w:rPr>
        <w:t>UCC</w:t>
      </w:r>
      <w:r>
        <w:rPr>
          <w:rFonts w:ascii="Times New Roman" w:cs="Times New Roman" w:eastAsia="Times New Roman" w:hAnsi="Times New Roman"/>
          <w:sz w:val="19"/>
          <w:szCs w:val="19"/>
          <w:color w:val="auto"/>
        </w:rPr>
        <w:t>” means the Uniform Commercial Code as in effect from time to time in such</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other jurisdiction for purposes of the provisions hereof relating to such perfection, effect of perfection or non-perfection or priority.</w:t>
      </w:r>
    </w:p>
    <w:p>
      <w:pPr>
        <w:spacing w:after="0" w:line="211"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UCP</w:t>
      </w:r>
      <w:r>
        <w:rPr>
          <w:rFonts w:ascii="Times New Roman" w:cs="Times New Roman" w:eastAsia="Times New Roman" w:hAnsi="Times New Roman"/>
          <w:sz w:val="20"/>
          <w:szCs w:val="20"/>
          <w:color w:val="auto"/>
        </w:rPr>
        <w:t>” means the Uniform Customs and Practice for Documentary Credits, International Chamber of Commerce Publication No. 600 (or such later version thereof as may be in effect at the applicable time).</w:t>
      </w:r>
    </w:p>
    <w:p>
      <w:pPr>
        <w:spacing w:after="0" w:line="153"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UK Financial Institution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any BRRD Undertaking (as such term is defined under the PRA Rulebook (as amended form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4" w:lineRule="exact"/>
        <w:rPr>
          <w:sz w:val="20"/>
          <w:szCs w:val="20"/>
          <w:color w:val="auto"/>
        </w:rPr>
      </w:pPr>
    </w:p>
    <w:p>
      <w:pPr>
        <w:jc w:val="both"/>
        <w:ind w:firstLine="1018"/>
        <w:spacing w:after="0" w:line="272"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UK Resolution Authority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the Bank of England or any other public administrative authority having responsibility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resolution of any UK Financial Institution.</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United States of America.</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Unrestricted Cash</w:t>
      </w:r>
      <w:r>
        <w:rPr>
          <w:rFonts w:ascii="Times New Roman" w:cs="Times New Roman" w:eastAsia="Times New Roman" w:hAnsi="Times New Roman"/>
          <w:sz w:val="20"/>
          <w:szCs w:val="20"/>
          <w:color w:val="auto"/>
        </w:rPr>
        <w:t>” means the aggregate amount of unrestricted cash and Cash Equivalents of the Loan Parties maintained in domestic accounts, not to exceed (other than, solely for purposes of calculating the Consolidated Total Net Leverage Ratio solely for purposes of determining the Applicable Rate for a period not to exceed twelve (12) months from the incurrence thereof, any such cash representing Net Cash Proceeds from the incurrence of Permitted Convertible Indebtedness to the extent such Permitted Convertible Indebtedness remains outstanding) $75,000,000 (the “</w:t>
      </w:r>
      <w:r>
        <w:rPr>
          <w:rFonts w:ascii="Times New Roman" w:cs="Times New Roman" w:eastAsia="Times New Roman" w:hAnsi="Times New Roman"/>
          <w:sz w:val="20"/>
          <w:szCs w:val="20"/>
          <w:i w:val="1"/>
          <w:iCs w:val="1"/>
          <w:u w:val="single" w:color="auto"/>
          <w:color w:val="auto"/>
        </w:rPr>
        <w:t>Cash Netting Threshold</w:t>
      </w:r>
      <w:r>
        <w:rPr>
          <w:rFonts w:ascii="Times New Roman" w:cs="Times New Roman" w:eastAsia="Times New Roman" w:hAnsi="Times New Roman"/>
          <w:sz w:val="20"/>
          <w:szCs w:val="20"/>
          <w:color w:val="auto"/>
        </w:rPr>
        <w:t xml:space="preserve">”) in the aggregate;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during the Specified Period, solely for purposes of calculating the Consolidated Total Net Leverage Ratio in connection with the determination of compliance by the Loan Parties with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 xml:space="preserve"> of the Credit Agreement (and not for any other purpose, including, without limitation, the determination of the Applicable Rate and whether the Specified Period Conditions are satisfied with respect to any transaction), the Cash Netting Threshold shall be increased to $125,000,000;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cash or Cash Equivalents representing the proceeds of Indebtedness (i) incurred for the sole purpose to finance the consideration (and the payment of fees and expenses in connection therewith) for a not yet consummated Permitted Acquisition that are segregated or held in escrow pending the consummation of such Permitted Acquisition within five (5) Business Days of such incurrence (as determined in good faith by the Borrower) or (y) incurred for the sole purpose of refinancing Indebtedness permitted hereunder (and the payment of fees and expenses in connection therewith) that are segregated or held in escrow pending such refinancing within five (5) Business Days of such incurrence (as determined in good faith by the Borrower), in each case, shall not be disqualified from being considered Unrestricted Cash solely due to Liens or restrictions arising from such escrow arrangement or restricted usage.</w:t>
      </w:r>
    </w:p>
    <w:p>
      <w:pPr>
        <w:spacing w:after="0" w:line="188"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U.S. Government Securities Business Day</w:t>
      </w:r>
      <w:r>
        <w:rPr>
          <w:rFonts w:ascii="Times New Roman" w:cs="Times New Roman" w:eastAsia="Times New Roman" w:hAnsi="Times New Roman"/>
          <w:sz w:val="20"/>
          <w:szCs w:val="20"/>
          <w:u w:val="single" w:color="auto"/>
          <w:color w:val="0000FF"/>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0" w:lineRule="exact"/>
        <w:rPr>
          <w:sz w:val="20"/>
          <w:szCs w:val="20"/>
          <w:color w:val="auto"/>
        </w:rPr>
      </w:pPr>
    </w:p>
    <w:p>
      <w:pPr>
        <w:jc w:val="both"/>
        <w:ind w:right="20" w:firstLine="101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Loan Party</w:t>
      </w:r>
      <w:r>
        <w:rPr>
          <w:rFonts w:ascii="Times New Roman" w:cs="Times New Roman" w:eastAsia="Times New Roman" w:hAnsi="Times New Roman"/>
          <w:sz w:val="20"/>
          <w:szCs w:val="20"/>
          <w:color w:val="auto"/>
        </w:rPr>
        <w:t>” means any Loan Party that is organized under the laws of the United States, any state or commonwealth thereof or the District of Columbia.</w:t>
      </w:r>
    </w:p>
    <w:p>
      <w:pPr>
        <w:spacing w:after="0" w:line="1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8" w:name="page99"/>
    <w:bookmarkEnd w:id="98"/>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3.01(f)(ii)(B)(3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01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Voting Stock</w:t>
      </w:r>
      <w:r>
        <w:rPr>
          <w:rFonts w:ascii="Times New Roman" w:cs="Times New Roman" w:eastAsia="Times New Roman" w:hAnsi="Times New Roman"/>
          <w:sz w:val="20"/>
          <w:szCs w:val="20"/>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70" w:lineRule="exact"/>
        <w:rPr>
          <w:sz w:val="20"/>
          <w:szCs w:val="20"/>
          <w:color w:val="auto"/>
        </w:rPr>
      </w:pPr>
    </w:p>
    <w:p>
      <w:pPr>
        <w:jc w:val="both"/>
        <w:ind w:firstLine="101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Weighted Average Life to Maturity</w:t>
      </w:r>
      <w:r>
        <w:rPr>
          <w:rFonts w:ascii="Times New Roman" w:cs="Times New Roman" w:eastAsia="Times New Roman" w:hAnsi="Times New Roman"/>
          <w:sz w:val="20"/>
          <w:szCs w:val="20"/>
          <w:color w:val="auto"/>
        </w:rPr>
        <w:t xml:space="preserve">” means, when applied to any Indebtedness at any date of determination,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 twelfth) that will elapse between such date of determination and the making of such payment </w:t>
      </w:r>
      <w:r>
        <w:rPr>
          <w:rFonts w:ascii="Times New Roman" w:cs="Times New Roman" w:eastAsia="Times New Roman" w:hAnsi="Times New Roman"/>
          <w:sz w:val="20"/>
          <w:szCs w:val="20"/>
          <w:u w:val="single" w:color="auto"/>
          <w:color w:val="auto"/>
        </w:rPr>
        <w:t>by</w:t>
      </w:r>
      <w:r>
        <w:rPr>
          <w:rFonts w:ascii="Times New Roman" w:cs="Times New Roman" w:eastAsia="Times New Roman" w:hAnsi="Times New Roman"/>
          <w:sz w:val="20"/>
          <w:szCs w:val="20"/>
          <w:color w:val="auto"/>
        </w:rPr>
        <w:t xml:space="preserve"> (b) the then outstanding principal amount of such Indebtedness as of such date of determination.</w:t>
      </w:r>
    </w:p>
    <w:p>
      <w:pPr>
        <w:spacing w:after="0" w:line="178" w:lineRule="exact"/>
        <w:rPr>
          <w:sz w:val="20"/>
          <w:szCs w:val="20"/>
          <w:color w:val="auto"/>
        </w:rPr>
      </w:pPr>
    </w:p>
    <w:p>
      <w:pPr>
        <w:jc w:val="both"/>
        <w:ind w:firstLine="101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Wholly Owned Subsidiary</w:t>
      </w:r>
      <w:r>
        <w:rPr>
          <w:rFonts w:ascii="Times New Roman" w:cs="Times New Roman" w:eastAsia="Times New Roman" w:hAnsi="Times New Roman"/>
          <w:sz w:val="20"/>
          <w:szCs w:val="20"/>
          <w:color w:val="auto"/>
        </w:rPr>
        <w:t>” means, as to any Person, (a) any corporation one hundred percent (100%) of whose Equity Interests is at the time owned by such Person and/or one or more Wholly Owned Subsidiaries of such Person and (b) any partnership, association, joint venture, limited liability company or other entity in which such Person and/or one or more Wholly Owned Subsidiaries of such Person have a one hundred percent (100%) equity interest at such time, in each case, other than directors’ qualifying shares or Equity Interests that are required to be held by another person in order to satisfy a foreign requirement of Law prescribing an equity owner resident in the local jurisdiction. Unless otherwise specified, all references herein to a “Wholly Owned Subsidiary” or to “Wholly Owned Subsidiaries” shall refer to a Wholly Owned Subsidiary or Wholly Owned Subsidiaries of the Borrower.</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Withholding Agent</w:t>
      </w:r>
      <w:r>
        <w:rPr>
          <w:rFonts w:ascii="Times New Roman" w:cs="Times New Roman" w:eastAsia="Times New Roman" w:hAnsi="Times New Roman"/>
          <w:sz w:val="20"/>
          <w:szCs w:val="20"/>
          <w:color w:val="auto"/>
        </w:rPr>
        <w:t>” means any Loan Party and the Administrative Agent.</w:t>
      </w:r>
    </w:p>
    <w:p>
      <w:pPr>
        <w:spacing w:after="0" w:line="215" w:lineRule="exact"/>
        <w:rPr>
          <w:sz w:val="20"/>
          <w:szCs w:val="20"/>
          <w:color w:val="auto"/>
        </w:rPr>
      </w:pPr>
    </w:p>
    <w:p>
      <w:pPr>
        <w:jc w:val="both"/>
        <w:ind w:firstLine="1018"/>
        <w:spacing w:after="0" w:line="23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Write</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1.02 </w:t>
      </w:r>
      <w:r>
        <w:rPr>
          <w:rFonts w:ascii="Times New Roman" w:cs="Times New Roman" w:eastAsia="Times New Roman" w:hAnsi="Times New Roman"/>
          <w:sz w:val="20"/>
          <w:szCs w:val="20"/>
          <w:b w:val="1"/>
          <w:bCs w:val="1"/>
          <w:u w:val="single" w:color="auto"/>
          <w:color w:val="auto"/>
        </w:rPr>
        <w:t>Other Interpretive Provisions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With reference to this Agreement and each other Loan Document, unless otherwise specified herein or in such other Loan Document:</w:t>
      </w:r>
    </w:p>
    <w:p>
      <w:pPr>
        <w:spacing w:after="0" w:line="161" w:lineRule="exact"/>
        <w:rPr>
          <w:sz w:val="20"/>
          <w:szCs w:val="20"/>
          <w:color w:val="auto"/>
        </w:rPr>
      </w:pPr>
    </w:p>
    <w:p>
      <w:pPr>
        <w:jc w:val="both"/>
        <w:ind w:left="760" w:firstLine="745"/>
        <w:spacing w:after="0" w:line="246" w:lineRule="auto"/>
        <w:tabs>
          <w:tab w:leader="none" w:pos="190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9" w:name="page100"/>
    <w:bookmarkEnd w:id="99"/>
    <w:p>
      <w:pPr>
        <w:jc w:val="both"/>
        <w:spacing w:after="0" w:line="241" w:lineRule="auto"/>
        <w:rPr>
          <w:sz w:val="20"/>
          <w:szCs w:val="20"/>
          <w:color w:val="auto"/>
        </w:rPr>
      </w:pPr>
      <w:r>
        <w:rPr>
          <w:rFonts w:ascii="Times New Roman" w:cs="Times New Roman" w:eastAsia="Times New Roman" w:hAnsi="Times New Roman"/>
          <w:sz w:val="20"/>
          <w:szCs w:val="20"/>
          <w:color w:val="auto"/>
        </w:rPr>
        <w:t>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94" w:lineRule="exact"/>
        <w:rPr>
          <w:sz w:val="20"/>
          <w:szCs w:val="20"/>
          <w:color w:val="auto"/>
        </w:rPr>
      </w:pPr>
    </w:p>
    <w:p>
      <w:pPr>
        <w:ind w:right="20" w:firstLine="745"/>
        <w:spacing w:after="0" w:line="268"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60" w:lineRule="exact"/>
        <w:rPr>
          <w:rFonts w:ascii="Times New Roman" w:cs="Times New Roman" w:eastAsia="Times New Roman" w:hAnsi="Times New Roman"/>
          <w:sz w:val="20"/>
          <w:szCs w:val="20"/>
          <w:color w:val="auto"/>
        </w:rPr>
      </w:pPr>
    </w:p>
    <w:p>
      <w:pPr>
        <w:ind w:right="20" w:firstLine="745"/>
        <w:spacing w:after="0" w:line="268"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60"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2" w:lineRule="exact"/>
        <w:rPr>
          <w:rFonts w:ascii="Times New Roman" w:cs="Times New Roman" w:eastAsia="Times New Roman" w:hAnsi="Times New Roman"/>
          <w:sz w:val="20"/>
          <w:szCs w:val="20"/>
          <w:color w:val="auto"/>
        </w:rPr>
      </w:pPr>
    </w:p>
    <w:p>
      <w:pPr>
        <w:jc w:val="both"/>
        <w:ind w:firstLine="745"/>
        <w:spacing w:after="0" w:line="242"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compliance at any time with Section 7.01, 7.02, 7.03, 7.04, 7.05, 7.06, 7.08, or 7.13, if any Lien, Indebtedness, Investment, fundamental change, Disposition, Restricted Payment, affiliate transaction, or prepayment, as applicable, meets the criteria of more than one of the categories of transactions or items permitted pursuant to any clause of such Section 7.01 (other than Section 7.01(a)), 7.02 (other than Section 7.02(a)), 7.03, 7.04, 7.05, 7.06, 7.08, or 7.13, respectively, the Borrower, in its sole discretion, may upon the incurrence or occurrence, as applicable, of such Lien, Indebtedness, Investment, fundamental change, Disposition, Restricted Payment, affiliate transaction, or prepayment, classify and divide any such transaction or item (or portion thereof) and will be entitled to include the amount and type of any such transaction or item (or portion thereof) in any one or more of the above categories as it so elects at such time, and such transaction or item (or portion thereof) will be treated for all purposes hereunder after such occurrence or incurrence, as applicable, as being incurred or existing pursuant to only such category or categories.</w:t>
      </w:r>
    </w:p>
    <w:p>
      <w:pPr>
        <w:spacing w:after="0" w:line="189" w:lineRule="exact"/>
        <w:rPr>
          <w:rFonts w:ascii="Times New Roman" w:cs="Times New Roman" w:eastAsia="Times New Roman" w:hAnsi="Times New Roman"/>
          <w:sz w:val="20"/>
          <w:szCs w:val="20"/>
          <w:color w:val="auto"/>
        </w:rPr>
      </w:pPr>
    </w:p>
    <w:p>
      <w:pPr>
        <w:ind w:right="20" w:firstLine="745"/>
        <w:spacing w:after="0" w:line="268"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any other Loan Document to the contrary, if any Indebtedness (other than with respect to the incurrence of Revolving Loans,</w:t>
      </w:r>
    </w:p>
    <w:p>
      <w:pPr>
        <w:spacing w:after="0" w:line="200" w:lineRule="exact"/>
        <w:rPr>
          <w:sz w:val="20"/>
          <w:szCs w:val="20"/>
          <w:color w:val="auto"/>
        </w:rPr>
      </w:pPr>
    </w:p>
    <w:p>
      <w:pPr>
        <w:spacing w:after="0" w:line="36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00" w:name="page101"/>
    <w:bookmarkEnd w:id="100"/>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Swingline Loans or any L/C Credit Extension) is incurred, acquired, or assumed in connection with a Limited Condition Acquisition, then compliance with any applicable ratio, test or other basket hereunder on a Pro Forma Basis may be determined, at the option of the Borrower, either (x) as of the time of entry into the applicable acquisition agreement or (y) at the time of incurrence, acquisition or assumption, as applicable, of such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if the Borrower elects to have such determination occur at the time of entry into such applicable acquisition agreement, the Indebtedness to be incurred (and any associated Lien) shall be deemed incurred at the time of such determination and outstanding thereafter for purposes of determining compliance on a Pro Forma Basis with any applicable ratio, test or other basket tested after such time of entry, which ratio, test or other basket shall be calculated both (I) on a Pro Forma Basis assuming such Limited Condition Acquisition and other transactions in connection therewith (including any incurrence of Indebtedness and the use of proceeds thereof) have been consummated and (II) on a Pro Forma Basis assuming such Limited Condition Acquisition and the other transactions in connection therewith (including any incurrence of Indebtedness and the use of proceeds thereof) have not been consummated (and Indebtedness not incurred) until such time as either (i) such acquisition agreement is terminated without actually consummating such Limited Condition Acquisition, or (ii) such Limited Condition Acquisition is consummated. For the avoidance of doubt no pro forma adjustments for Limited Condition Acquisitions pursuant to this Section 1.02(f) will apply for purposes of determining compliance with Section 7.11 hereof.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1.03 </w:t>
      </w:r>
      <w:r>
        <w:rPr>
          <w:rFonts w:ascii="Times New Roman" w:cs="Times New Roman" w:eastAsia="Times New Roman" w:hAnsi="Times New Roman"/>
          <w:sz w:val="20"/>
          <w:szCs w:val="20"/>
          <w:b w:val="1"/>
          <w:bCs w:val="1"/>
          <w:u w:val="single" w:color="auto"/>
          <w:color w:val="auto"/>
        </w:rPr>
        <w:t>Accounting Terms.</w:t>
      </w:r>
    </w:p>
    <w:p>
      <w:pPr>
        <w:spacing w:after="0" w:line="219" w:lineRule="exact"/>
        <w:rPr>
          <w:sz w:val="20"/>
          <w:szCs w:val="20"/>
          <w:color w:val="auto"/>
        </w:rPr>
      </w:pPr>
    </w:p>
    <w:p>
      <w:pPr>
        <w:jc w:val="both"/>
        <w:ind w:firstLine="745"/>
        <w:spacing w:after="0"/>
        <w:tabs>
          <w:tab w:leader="none" w:pos="114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Borrower and its Subsidiaries shall be deemed to be carried at 100% of the outstanding principal amount thereof, and the effects of FASB ASC 825 and FASB ASC 470–20 on financial liabilities shall be disregarded and (ii)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the Borrower or any Subsidiary at “fair value”, as defined therein. For purposes of determining the amount of any outstanding Indebtedness, no effect shall be given to any election by the Borrower to measure an item of Indebtedness using fair value (as permitted by Financial Accounting Standards Board Accounting Standards Codification 825–10–25 (formerly known as FASB 159) or any similar accounting standard). In addition, in the case of any Permitted Convertible Indebtedness for which the embedded conversion obligation must be settled by paying solely cash, so long as substantially concurrently with the offering of such Permitted Convertible Indebtedness, the Borrower enters into a cash-settled Permitted Bond Hedge Transaction relating to such Permitted Convertible Indebtedness, notwithstanding any other provision contained herein, for so long as such Permitted Bond Hedge Transaction (or a portion thereof) corresponding to the maximum cash-settled amount owed under such Permitted Convertible Indebtedness remains in effect, all computations of amounts and ratios referred to herein shall be made as if the amount of Indebtedness represented by such Permitted Convertible Indebtedness were equal to the face principal amount thereof without regard to any mark-to-market derivative accounting for such Indebtedness.</w:t>
      </w:r>
    </w:p>
    <w:p>
      <w:pPr>
        <w:spacing w:after="0" w:line="200" w:lineRule="exact"/>
        <w:rPr>
          <w:sz w:val="20"/>
          <w:szCs w:val="20"/>
          <w:color w:val="auto"/>
        </w:rPr>
      </w:pPr>
    </w:p>
    <w:p>
      <w:pPr>
        <w:spacing w:after="0" w:line="40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01" w:name="page102"/>
    <w:bookmarkEnd w:id="101"/>
    <w:p>
      <w:pPr>
        <w:jc w:val="both"/>
        <w:ind w:left="3" w:firstLine="745"/>
        <w:spacing w:after="0" w:line="243" w:lineRule="auto"/>
        <w:tabs>
          <w:tab w:leader="none" w:pos="117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6"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14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Consolidation of Variable Interest Entities</w:t>
      </w:r>
      <w:r>
        <w:rPr>
          <w:rFonts w:ascii="Times New Roman" w:cs="Times New Roman" w:eastAsia="Times New Roman" w:hAnsi="Times New Roman"/>
          <w:sz w:val="20"/>
          <w:szCs w:val="20"/>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78" w:lineRule="exact"/>
        <w:rPr>
          <w:rFonts w:ascii="Times New Roman" w:cs="Times New Roman" w:eastAsia="Times New Roman" w:hAnsi="Times New Roman"/>
          <w:sz w:val="20"/>
          <w:szCs w:val="20"/>
          <w:color w:val="auto"/>
        </w:rPr>
      </w:pPr>
    </w:p>
    <w:p>
      <w:pPr>
        <w:jc w:val="both"/>
        <w:ind w:left="3" w:firstLine="745"/>
        <w:spacing w:after="0" w:line="255" w:lineRule="auto"/>
        <w:tabs>
          <w:tab w:leader="none" w:pos="1148"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Forma Calculations</w:t>
      </w:r>
      <w:r>
        <w:rPr>
          <w:rFonts w:ascii="Times New Roman" w:cs="Times New Roman" w:eastAsia="Times New Roman" w:hAnsi="Times New Roman"/>
          <w:sz w:val="19"/>
          <w:szCs w:val="19"/>
          <w:color w:val="auto"/>
        </w:rPr>
        <w:t>. Notwithstanding anything to the contrary contained herein, all calculations of Consolidated EBITDA, the Consolidated Total Net Leverage Ratio (including for purposes of determining the Applicable Rate), and the Consolidated Interest Coverage Ratio shall be made on a Pro Forma Basis with respect to all Specified Transactions occurring during the applicable Measurement Period to which such calculation relates, and/or subsequent to the end of such Measurement Period but not later than the date of such calculation; provided, that, notwithstanding the foregoing, when calculating Consolidated EBITDA, the Consolidated Total Net Leverage Ratio, and/or the Consolidated Interest Coverage Ratio for purposes of determining</w:t>
      </w:r>
    </w:p>
    <w:p>
      <w:pPr>
        <w:spacing w:after="0" w:line="4" w:lineRule="exact"/>
        <w:rPr>
          <w:rFonts w:ascii="Times New Roman" w:cs="Times New Roman" w:eastAsia="Times New Roman" w:hAnsi="Times New Roman"/>
          <w:sz w:val="19"/>
          <w:szCs w:val="19"/>
          <w:color w:val="auto"/>
        </w:rPr>
      </w:pPr>
    </w:p>
    <w:p>
      <w:pPr>
        <w:jc w:val="both"/>
        <w:ind w:left="3" w:hanging="3"/>
        <w:spacing w:after="0" w:line="239" w:lineRule="auto"/>
        <w:tabs>
          <w:tab w:leader="none" w:pos="30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compliance with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and/or (ii) the Applicable Rate, any Specified Transaction and any related adjustment contemplated in the definition of “Pro Forma Basis” that occurred subsequent to the end of the applicable Measurement Period shall not be given Pro Forma Effect. For purposes of determining compliance with any provision of this Agreement which requires compliance on a Pro Forma Basis with any financial covenant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(A) in the case of any such compliance required after delivery of financial statements for the fiscal quarter of the Borrowing ending September 30, 2021, such compliance on a Pro Forma Basis shall be determined by reference to minimum Consolidated EBITDA, the maximum Consolidated Total Net Leverage Ratio, and/or the minimum Consolidated Interest Coverage Ratio, as applicable, permitted for the fiscal quarter most recently then ended for which financial statements have been delivered (or were required to have been delivered) in accordance with Section 6.01(a) or (b), or (B) in the case of any such compliance required prior to the delivery referred to in clause (A) above, such compliance on a Pro Forma Basis shall be determined by reference to minimum Consolidated EBITDA, the maximum Consolidated Total Net Leverage Ratio, and/or the minimum Consolidated Interest Coverage Ratio, as applicable, permitted for the fiscal quarter of the Borrower ending September 30, 2021.</w:t>
      </w:r>
    </w:p>
    <w:p>
      <w:pPr>
        <w:spacing w:after="0" w:line="196"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14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Netting</w:t>
      </w:r>
      <w:r>
        <w:rPr>
          <w:rFonts w:ascii="Times New Roman" w:cs="Times New Roman" w:eastAsia="Times New Roman" w:hAnsi="Times New Roman"/>
          <w:sz w:val="20"/>
          <w:szCs w:val="20"/>
          <w:color w:val="auto"/>
        </w:rPr>
        <w:t>. Notwithstanding anything in this Agreement or any Loan Document to the contrary if the Borrower or any Subsidiary incurs Indebtedness under a ratio-based basket, such ratio-based basket (together with any other ratio-based basket utilized in connection therewith, including in respect of other Indebtedness, Liens, Dispositions, Investments or Restricted Payments) will be calculated excluding the cash proceeds of such Indebtedness for netting purposes (i.e., such cash proceeds shall not reduce the numerator of the Consolidated Total Net Leverage Ratio pursuant to clause (a)(ii) of the definition of such term).</w:t>
      </w:r>
    </w:p>
    <w:p>
      <w:pPr>
        <w:spacing w:after="0" w:line="200" w:lineRule="exact"/>
        <w:rPr>
          <w:sz w:val="20"/>
          <w:szCs w:val="20"/>
          <w:color w:val="auto"/>
        </w:rPr>
      </w:pPr>
    </w:p>
    <w:p>
      <w:pPr>
        <w:spacing w:after="0" w:line="383"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477520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1" w:right="339" w:bottom="1440" w:gutter="0" w:footer="0" w:header="0"/>
        </w:sectPr>
      </w:pPr>
    </w:p>
    <w:bookmarkStart w:id="102" w:name="page103"/>
    <w:bookmarkEnd w:id="102"/>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1.04 </w:t>
      </w:r>
      <w:r>
        <w:rPr>
          <w:rFonts w:ascii="Times New Roman" w:cs="Times New Roman" w:eastAsia="Times New Roman" w:hAnsi="Times New Roman"/>
          <w:sz w:val="20"/>
          <w:szCs w:val="20"/>
          <w:b w:val="1"/>
          <w:bCs w:val="1"/>
          <w:u w:val="single" w:color="auto"/>
          <w:color w:val="auto"/>
        </w:rPr>
        <w:t>Rounding.</w:t>
      </w:r>
    </w:p>
    <w:p>
      <w:pPr>
        <w:spacing w:after="0" w:line="219"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0"/>
          <w:szCs w:val="20"/>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r>
        <w:rPr>
          <w:rFonts w:ascii="Times New Roman" w:cs="Times New Roman" w:eastAsia="Times New Roman" w:hAnsi="Times New Roman"/>
          <w:sz w:val="26"/>
          <w:szCs w:val="26"/>
          <w:color w:val="auto"/>
          <w:vertAlign w:val="superscript"/>
        </w:rPr>
        <w:t>.</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1.05 </w:t>
      </w:r>
      <w:r>
        <w:rPr>
          <w:rFonts w:ascii="Times New Roman" w:cs="Times New Roman" w:eastAsia="Times New Roman" w:hAnsi="Times New Roman"/>
          <w:sz w:val="20"/>
          <w:szCs w:val="20"/>
          <w:b w:val="1"/>
          <w:bCs w:val="1"/>
          <w:u w:val="single" w:color="auto"/>
          <w:color w:val="auto"/>
        </w:rPr>
        <w:t>Times of Day.</w:t>
      </w:r>
    </w:p>
    <w:p>
      <w:pPr>
        <w:spacing w:after="0" w:line="21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Eastern time (daylight or standard, as applicable).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1.06 </w:t>
      </w:r>
      <w:r>
        <w:rPr>
          <w:rFonts w:ascii="Times New Roman" w:cs="Times New Roman" w:eastAsia="Times New Roman" w:hAnsi="Times New Roman"/>
          <w:sz w:val="20"/>
          <w:szCs w:val="20"/>
          <w:b w:val="1"/>
          <w:bCs w:val="1"/>
          <w:u w:val="single" w:color="auto"/>
          <w:color w:val="auto"/>
        </w:rPr>
        <w:t>Letter of Credit Amounts.</w:t>
      </w:r>
    </w:p>
    <w:p>
      <w:pPr>
        <w:spacing w:after="0" w:line="21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1.07 </w:t>
      </w:r>
      <w:r>
        <w:rPr>
          <w:rFonts w:ascii="Times New Roman" w:cs="Times New Roman" w:eastAsia="Times New Roman" w:hAnsi="Times New Roman"/>
          <w:sz w:val="20"/>
          <w:szCs w:val="20"/>
          <w:b w:val="1"/>
          <w:bCs w:val="1"/>
          <w:u w:val="single" w:color="auto"/>
          <w:color w:val="auto"/>
        </w:rPr>
        <w:t>UCC Terms.</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1.08 </w:t>
      </w:r>
      <w:r>
        <w:rPr>
          <w:rFonts w:ascii="Times New Roman" w:cs="Times New Roman" w:eastAsia="Times New Roman" w:hAnsi="Times New Roman"/>
          <w:sz w:val="20"/>
          <w:szCs w:val="20"/>
          <w:b w:val="1"/>
          <w:bCs w:val="1"/>
          <w:u w:val="single" w:color="auto"/>
          <w:color w:val="auto"/>
        </w:rPr>
        <w:t>Rates.</w:t>
      </w:r>
    </w:p>
    <w:p>
      <w:pPr>
        <w:spacing w:after="0" w:line="219" w:lineRule="exact"/>
        <w:rPr>
          <w:sz w:val="20"/>
          <w:szCs w:val="20"/>
          <w:color w:val="auto"/>
        </w:rPr>
      </w:pPr>
    </w:p>
    <w:p>
      <w:pPr>
        <w:jc w:val="both"/>
        <w:ind w:left="760" w:firstLine="745"/>
        <w:spacing w:after="0" w:line="245" w:lineRule="auto"/>
        <w:tabs>
          <w:tab w:leader="none" w:pos="1931" w:val="left"/>
        </w:tabs>
        <w:numPr>
          <w:ilvl w:val="0"/>
          <w:numId w:val="5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Administrative Agent or the L/C Issuer, as applicable, shall determine the Dollar Equivalent amount of L/C Obligations denominated in Alternative Currencies. Such Dollar Equivalent shall become effective as of such Revaluation Date and shall be the Dollar Equivalent of such amount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82" w:lineRule="exact"/>
        <w:rPr>
          <w:rFonts w:ascii="Times New Roman" w:cs="Times New Roman" w:eastAsia="Times New Roman" w:hAnsi="Times New Roman"/>
          <w:sz w:val="20"/>
          <w:szCs w:val="20"/>
          <w:u w:val="single" w:color="auto"/>
          <w:color w:val="0000FF"/>
        </w:rPr>
      </w:pPr>
    </w:p>
    <w:p>
      <w:pPr>
        <w:jc w:val="both"/>
        <w:ind w:left="760" w:firstLine="745"/>
        <w:spacing w:after="0" w:line="246" w:lineRule="auto"/>
        <w:tabs>
          <w:tab w:leader="none" w:pos="1931" w:val="left"/>
        </w:tabs>
        <w:numPr>
          <w:ilvl w:val="0"/>
          <w:numId w:val="5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Wherever in this Agreement in connection with the issuance, amendment or extension of a Letter of Credit, an amount, such as a required minimum or multiple amount, is expressed in Dollars, but such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83" w:lineRule="exact"/>
        <w:rPr>
          <w:rFonts w:ascii="Times New Roman" w:cs="Times New Roman" w:eastAsia="Times New Roman" w:hAnsi="Times New Roman"/>
          <w:sz w:val="20"/>
          <w:szCs w:val="20"/>
          <w:u w:val="single" w:color="auto"/>
          <w:color w:val="0000FF"/>
        </w:rPr>
      </w:pPr>
    </w:p>
    <w:p>
      <w:pPr>
        <w:jc w:val="both"/>
        <w:ind w:left="760" w:firstLine="745"/>
        <w:spacing w:after="0" w:line="246" w:lineRule="auto"/>
        <w:tabs>
          <w:tab w:leader="none" w:pos="1904" w:val="left"/>
        </w:tabs>
        <w:numPr>
          <w:ilvl w:val="0"/>
          <w:numId w:val="5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3" w:name="page104"/>
    <w:bookmarkEnd w:id="103"/>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u w:val="single" w:color="auto"/>
          <w:color w:val="auto"/>
        </w:rPr>
        <w:t>COMMITMENTS AND CREDIT EXTENSIONS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2.01 </w:t>
      </w:r>
      <w:r>
        <w:rPr>
          <w:rFonts w:ascii="Times New Roman" w:cs="Times New Roman" w:eastAsia="Times New Roman" w:hAnsi="Times New Roman"/>
          <w:sz w:val="20"/>
          <w:szCs w:val="20"/>
          <w:b w:val="1"/>
          <w:bCs w:val="1"/>
          <w:u w:val="single" w:color="auto"/>
          <w:color w:val="auto"/>
        </w:rPr>
        <w:t>Loans.</w:t>
      </w:r>
    </w:p>
    <w:p>
      <w:pPr>
        <w:spacing w:after="0" w:line="219" w:lineRule="exact"/>
        <w:rPr>
          <w:sz w:val="20"/>
          <w:szCs w:val="20"/>
          <w:color w:val="auto"/>
        </w:rPr>
      </w:pPr>
    </w:p>
    <w:p>
      <w:pPr>
        <w:jc w:val="both"/>
        <w:ind w:firstLine="745"/>
        <w:spacing w:after="0" w:line="243" w:lineRule="auto"/>
        <w:tabs>
          <w:tab w:leader="none" w:pos="114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Borrowing</w:t>
      </w:r>
      <w:r>
        <w:rPr>
          <w:rFonts w:ascii="Times New Roman" w:cs="Times New Roman" w:eastAsia="Times New Roman" w:hAnsi="Times New Roman"/>
          <w:sz w:val="20"/>
          <w:szCs w:val="20"/>
          <w:color w:val="auto"/>
        </w:rPr>
        <w:t xml:space="preserve">. Subject to the terms and conditions set forth herein, each Term Lender severally agrees to make a single loan to the Borrower, in Dollars, on the Closing Date in an amount not to exceed such Term Lender’s Applicable Percentage of the Term Facility. The Term Borrowing shall consist of Term Loans made simultaneously by the Term Lenders in accordance with their respective Applicable Percentage of the Term Facility. Term Borrowings repaid or prepaid may not be reborrowed. Term Loans may be Base Rate Loans or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as further provided 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any Term Borrowing made on the Closing Date or any of the three (3) Business Days following the Closing Date shall be made as Base Rate Loans unless the Borrower delivers a Funding Indemnity Letter not less than three (3) Business Days prior to the date of such Term Borrowing.</w:t>
      </w:r>
    </w:p>
    <w:p>
      <w:pPr>
        <w:spacing w:after="0" w:line="186" w:lineRule="exact"/>
        <w:rPr>
          <w:rFonts w:ascii="Times New Roman" w:cs="Times New Roman" w:eastAsia="Times New Roman" w:hAnsi="Times New Roman"/>
          <w:sz w:val="20"/>
          <w:szCs w:val="20"/>
          <w:color w:val="auto"/>
        </w:rPr>
      </w:pPr>
    </w:p>
    <w:p>
      <w:pPr>
        <w:jc w:val="both"/>
        <w:ind w:firstLine="745"/>
        <w:spacing w:after="0" w:line="242" w:lineRule="auto"/>
        <w:tabs>
          <w:tab w:leader="none" w:pos="114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Borrowings</w:t>
      </w:r>
      <w:r>
        <w:rPr>
          <w:rFonts w:ascii="Times New Roman" w:cs="Times New Roman" w:eastAsia="Times New Roman" w:hAnsi="Times New Roman"/>
          <w:sz w:val="20"/>
          <w:szCs w:val="20"/>
          <w:color w:val="auto"/>
        </w:rPr>
        <w:t>. Subject to the terms and conditions set forth herein, each Revolving Lender severally agrees to make loans (each such loan, a “</w:t>
      </w:r>
      <w:r>
        <w:rPr>
          <w:rFonts w:ascii="Times New Roman" w:cs="Times New Roman" w:eastAsia="Times New Roman" w:hAnsi="Times New Roman"/>
          <w:sz w:val="20"/>
          <w:szCs w:val="20"/>
          <w:i w:val="1"/>
          <w:iCs w:val="1"/>
          <w:u w:val="single" w:color="auto"/>
          <w:color w:val="auto"/>
        </w:rPr>
        <w:t>Revolving Loan</w:t>
      </w:r>
      <w:r>
        <w:rPr>
          <w:rFonts w:ascii="Times New Roman" w:cs="Times New Roman" w:eastAsia="Times New Roman" w:hAnsi="Times New Roman"/>
          <w:sz w:val="20"/>
          <w:szCs w:val="20"/>
          <w:color w:val="auto"/>
        </w:rPr>
        <w:t xml:space="preserve">”) to the Borrower, in Dollars, from time to time, on any Business Day during the Availability Period, in an aggregate amount not to exceed at any time outstanding the amount of such Lender’s Revolving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after giving effect to any Revolving Borrowing, (i) the Total Revolving Outstandings shall not exceed the Revolving Facility, and (ii) the Revolving Exposure of any Lender shall not exceed such Revolving Lender’s Revolving Commitment. Within the limits of each Revolving Lender’s Revolving Commitment, and subject to the other terms and conditions hereof, the Borrower may borrow Revolving Loans,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Revolving Loans may be Base Rate Loans or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as further provided 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any Revolving Borrowings made on the Closing Date or any of the three (3) Business Days following the Closing Date shall be made as Base Rate Loans unless the Borrower delivers a Funding Indemnity Letter not less than three (3) Business Days prior to the date of such Revolving Borrowing.</w:t>
      </w:r>
    </w:p>
    <w:p>
      <w:pPr>
        <w:spacing w:after="0" w:line="186" w:lineRule="exact"/>
        <w:rPr>
          <w:rFonts w:ascii="Times New Roman" w:cs="Times New Roman" w:eastAsia="Times New Roman" w:hAnsi="Times New Roman"/>
          <w:sz w:val="20"/>
          <w:szCs w:val="20"/>
          <w:color w:val="auto"/>
        </w:rPr>
      </w:pPr>
    </w:p>
    <w:p>
      <w:pPr>
        <w:jc w:val="both"/>
        <w:ind w:firstLine="745"/>
        <w:spacing w:after="0" w:line="249" w:lineRule="auto"/>
        <w:tabs>
          <w:tab w:leader="none" w:pos="118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2.02(g)</w:t>
      </w:r>
      <w:r>
        <w:rPr>
          <w:rFonts w:ascii="Times New Roman" w:cs="Times New Roman" w:eastAsia="Times New Roman" w:hAnsi="Times New Roman"/>
          <w:sz w:val="20"/>
          <w:szCs w:val="20"/>
          <w:color w:val="auto"/>
        </w:rPr>
        <w:t xml:space="preserve">, on the effective date of any Incremental Term Facility Agreement for any Incremental Term Facility, each Incremental Term Lender under such Incremental Term Facility severally agrees to make an Incremental Term Loan to the Borrower in Dollars and in the amount of such Incremental Term Lender’s Incremental Term Commitment for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after giving effect to such</w:t>
      </w:r>
    </w:p>
    <w:p>
      <w:pPr>
        <w:spacing w:after="0" w:line="200" w:lineRule="exact"/>
        <w:rPr>
          <w:sz w:val="20"/>
          <w:szCs w:val="20"/>
          <w:color w:val="auto"/>
        </w:rPr>
      </w:pPr>
    </w:p>
    <w:p>
      <w:pPr>
        <w:spacing w:after="0" w:line="37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04" w:name="page105"/>
    <w:bookmarkEnd w:id="104"/>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Incremental Term Loans, the Outstanding Amount of such Incremental Term Loans under such Incremental Term Facility shall not exceed the aggregate amount of the Incremental Term Commitments for such Incremental Term Facility. Each Incremental Term Borrowing under an Incremental Term Facility shall consist of Incremental Term Loans made simultaneously by the Incremental Term Lenders under such Incremental Term Facility in accordance with their respective Incremental Term Commitments for such Incremental Term Facility. Incremental Term Borrowings prepaid or repaid may not be reborrowed. Incremental Term Loans may be Base Rate Loans or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as further provided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2.02 </w:t>
      </w:r>
      <w:r>
        <w:rPr>
          <w:rFonts w:ascii="Times New Roman" w:cs="Times New Roman" w:eastAsia="Times New Roman" w:hAnsi="Times New Roman"/>
          <w:sz w:val="20"/>
          <w:szCs w:val="20"/>
          <w:b w:val="1"/>
          <w:bCs w:val="1"/>
          <w:u w:val="single" w:color="auto"/>
          <w:color w:val="auto"/>
        </w:rPr>
        <w:t>Borrowings, Conversions and Continuations of Loans.</w:t>
      </w:r>
    </w:p>
    <w:p>
      <w:pPr>
        <w:spacing w:after="0" w:line="219" w:lineRule="exact"/>
        <w:rPr>
          <w:sz w:val="20"/>
          <w:szCs w:val="20"/>
          <w:color w:val="auto"/>
        </w:rPr>
      </w:pPr>
    </w:p>
    <w:p>
      <w:pPr>
        <w:jc w:val="both"/>
        <w:ind w:firstLine="745"/>
        <w:spacing w:after="0"/>
        <w:tabs>
          <w:tab w:leader="none" w:pos="114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Each Borrowing, each conversion of Loans from one Type to the other, and each continuation of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shall be made upon the Borrower’s irrevocable notice to the Administrative Agent, which may be given by: (i) telephone or (ii) a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telephonic notice must be confirmed immediately by delivery to the Administrative Agent of a Loan Notice. Each such Loan Notice must be received by the Administrative Agent not later than 11:00 a.m. (A) three (3) Business Days prior to the requested date of any Borrowing of, conversion to or continuation of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or of any conversion 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to Base Rate Loans, and (B) on the requested date of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Borrowing of Base Rate Loans</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u w:val="single" w:color="auto"/>
          <w:color w:val="0000FF"/>
        </w:rPr>
        <w:t>provided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u w:val="single" w:color="auto"/>
          <w:color w:val="0000FF"/>
        </w:rPr>
        <w:t>however</w:t>
      </w:r>
      <w:r>
        <w:rPr>
          <w:rFonts w:ascii="Times New Roman" w:cs="Times New Roman" w:eastAsia="Times New Roman" w:hAnsi="Times New Roman"/>
          <w:sz w:val="20"/>
          <w:szCs w:val="20"/>
          <w:u w:val="single" w:color="auto"/>
          <w:color w:val="0000FF"/>
        </w:rPr>
        <w:t>, that if the Borrower wishes to request Term SOFR Loans having an Interest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Period other than one,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Appropriate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Appropriate Lenders and the Administrative Agent</w:t>
      </w:r>
      <w:r>
        <w:rPr>
          <w:rFonts w:ascii="Times New Roman" w:cs="Times New Roman" w:eastAsia="Times New Roman" w:hAnsi="Times New Roman"/>
          <w:sz w:val="20"/>
          <w:szCs w:val="20"/>
          <w:color w:val="000000"/>
        </w:rPr>
        <w:t>. Each Borrowing of, conversion to or continuation 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shall be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in a principal amount of $1,000,000 or a whole multiple of $500,000 in excess thereof (or, in connection with any conversion or continuation of a Term Loan or an Incremental Term Loan, if less, the entire principal thereof then outstanding). Except as provided in </w:t>
      </w:r>
      <w:r>
        <w:rPr>
          <w:rFonts w:ascii="Times New Roman" w:cs="Times New Roman" w:eastAsia="Times New Roman" w:hAnsi="Times New Roman"/>
          <w:sz w:val="20"/>
          <w:szCs w:val="20"/>
          <w:u w:val="single" w:color="auto"/>
          <w:color w:val="000000"/>
        </w:rPr>
        <w:t>Sections 2.03(c</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2.04(c</w:t>
      </w:r>
      <w:r>
        <w:rPr>
          <w:rFonts w:ascii="Times New Roman" w:cs="Times New Roman" w:eastAsia="Times New Roman" w:hAnsi="Times New Roman"/>
          <w:sz w:val="20"/>
          <w:szCs w:val="20"/>
          <w:color w:val="000000"/>
        </w:rPr>
        <w:t xml:space="preserve">), each Borrowing of or conversion to Base Rate Loans shall be in a principal amount of $500,000 or a whole multiple of $100,000 in excess thereof (or, in connection with any conversion or continuation of a Term Loan or an Incremental Term Loan, if less, the entire principal thereof then outstanding). Each Loan Notice and each telephonic notice shall specify (I) the applicable Facility and whether the Borrower is requesting a Borrowing, a conversion of Loans from one Type to the other, or a continuation of Loans, as the case may be, under such Facility,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Loans. If the Borrower requests a Borrowing of, conversion to, or continuation of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Loans in any such Loan Notice, but fails to specify an Interest Period, it will be deemed to have specified an Interest Period of one (1) month. Notwithstanding anything to the contrary herein, a Swingline Loan may not be converted to a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w:t>
      </w:r>
    </w:p>
    <w:p>
      <w:pPr>
        <w:spacing w:after="0" w:line="200" w:lineRule="exact"/>
        <w:rPr>
          <w:sz w:val="20"/>
          <w:szCs w:val="20"/>
          <w:color w:val="auto"/>
        </w:rPr>
      </w:pPr>
    </w:p>
    <w:p>
      <w:pPr>
        <w:spacing w:after="0" w:line="39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05" w:name="page106"/>
    <w:bookmarkEnd w:id="105"/>
    <w:p>
      <w:pPr>
        <w:jc w:val="both"/>
        <w:ind w:left="-360" w:firstLine="745"/>
        <w:spacing w:after="0" w:line="255" w:lineRule="auto"/>
        <w:tabs>
          <w:tab w:leader="none" w:pos="79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xml:space="preserve">. Following receipt of a Loan Notice for a Facility, the Administrative Agent shall promptly notify each Appropriate Lender of the amount of its Applicable Percentage under such Facility of the applicable Loans, and if no timely notice of a conversion or continuation is provided by the Borrower, the Administrative Agent shall notify each Appropriate Lender of the details of any automatic conversion to Base Rate Loans described in </w:t>
      </w:r>
      <w:r>
        <w:rPr>
          <w:rFonts w:ascii="Times New Roman" w:cs="Times New Roman" w:eastAsia="Times New Roman" w:hAnsi="Times New Roman"/>
          <w:sz w:val="19"/>
          <w:szCs w:val="19"/>
          <w:u w:val="single" w:color="auto"/>
          <w:color w:val="auto"/>
        </w:rPr>
        <w:t>Section 2.02(a</w:t>
      </w:r>
      <w:r>
        <w:rPr>
          <w:rFonts w:ascii="Times New Roman" w:cs="Times New Roman" w:eastAsia="Times New Roman" w:hAnsi="Times New Roman"/>
          <w:sz w:val="19"/>
          <w:szCs w:val="19"/>
          <w:color w:val="auto"/>
        </w:rPr>
        <w:t xml:space="preserve">). In the case of a Borrowing,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(and, if such Borrowing is the initial Credit Extension,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4.01</w:t>
      </w:r>
      <w:r>
        <w:rPr>
          <w:rFonts w:ascii="Times New Roman" w:cs="Times New Roman" w:eastAsia="Times New Roman" w:hAnsi="Times New Roman"/>
          <w:sz w:val="19"/>
          <w:szCs w:val="19"/>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if, on the date a Loan Notice with respect to a Revolving Borrowing is given by the Borrower, there are L/C Borrowings outstanding, then the proceeds of such Revolving Borrowing, </w:t>
      </w:r>
      <w:r>
        <w:rPr>
          <w:rFonts w:ascii="Times New Roman" w:cs="Times New Roman" w:eastAsia="Times New Roman" w:hAnsi="Times New Roman"/>
          <w:sz w:val="19"/>
          <w:szCs w:val="19"/>
          <w:i w:val="1"/>
          <w:iCs w:val="1"/>
          <w:u w:val="single" w:color="auto"/>
          <w:color w:val="auto"/>
        </w:rPr>
        <w:t>first</w:t>
      </w:r>
      <w:r>
        <w:rPr>
          <w:rFonts w:ascii="Times New Roman" w:cs="Times New Roman" w:eastAsia="Times New Roman" w:hAnsi="Times New Roman"/>
          <w:sz w:val="19"/>
          <w:szCs w:val="19"/>
          <w:color w:val="auto"/>
        </w:rPr>
        <w:t xml:space="preserve">, shall be applied to the payment in full of any such L/C Borrowings, and </w:t>
      </w:r>
      <w:r>
        <w:rPr>
          <w:rFonts w:ascii="Times New Roman" w:cs="Times New Roman" w:eastAsia="Times New Roman" w:hAnsi="Times New Roman"/>
          <w:sz w:val="19"/>
          <w:szCs w:val="19"/>
          <w:i w:val="1"/>
          <w:iCs w:val="1"/>
          <w:u w:val="single" w:color="auto"/>
          <w:color w:val="auto"/>
        </w:rPr>
        <w:t>second</w:t>
      </w:r>
      <w:r>
        <w:rPr>
          <w:rFonts w:ascii="Times New Roman" w:cs="Times New Roman" w:eastAsia="Times New Roman" w:hAnsi="Times New Roman"/>
          <w:sz w:val="19"/>
          <w:szCs w:val="19"/>
          <w:color w:val="auto"/>
        </w:rPr>
        <w:t>, shall be made available to the Borrower as provided above.</w:t>
      </w:r>
    </w:p>
    <w:p>
      <w:pPr>
        <w:spacing w:after="0" w:line="178" w:lineRule="exact"/>
        <w:rPr>
          <w:rFonts w:ascii="Times New Roman" w:cs="Times New Roman" w:eastAsia="Times New Roman" w:hAnsi="Times New Roman"/>
          <w:sz w:val="19"/>
          <w:szCs w:val="19"/>
          <w:color w:val="auto"/>
        </w:rPr>
      </w:pPr>
    </w:p>
    <w:p>
      <w:pPr>
        <w:jc w:val="both"/>
        <w:ind w:left="-360" w:firstLine="745"/>
        <w:spacing w:after="0" w:line="246" w:lineRule="auto"/>
        <w:tabs>
          <w:tab w:leader="none" w:pos="82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Except as otherwise provided herein, 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may 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continued or converted only on the last day of an Interest Period for such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 During the existence of a Default, no Loans may be requested as, converted to or continued as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Loans without the consent of the Required Lenders, and the Required Lenders may demand that any or all of the outstanding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Loans be converted immediately to Base Rate Loans.</w:t>
      </w:r>
    </w:p>
    <w:p>
      <w:pPr>
        <w:spacing w:after="0" w:line="183" w:lineRule="exact"/>
        <w:rPr>
          <w:rFonts w:ascii="Times New Roman" w:cs="Times New Roman" w:eastAsia="Times New Roman" w:hAnsi="Times New Roman"/>
          <w:sz w:val="20"/>
          <w:szCs w:val="20"/>
          <w:color w:val="auto"/>
        </w:rPr>
      </w:pPr>
    </w:p>
    <w:p>
      <w:pPr>
        <w:jc w:val="both"/>
        <w:ind w:left="-360" w:firstLine="745"/>
        <w:spacing w:after="0" w:line="253" w:lineRule="auto"/>
        <w:tabs>
          <w:tab w:leader="none" w:pos="79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Rates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Each determination of an interest rate by the</w:t>
      </w:r>
      <w:r>
        <w:rPr>
          <w:rFonts w:ascii="Times New Roman" w:cs="Times New Roman" w:eastAsia="Times New Roman" w:hAnsi="Times New Roman"/>
          <w:sz w:val="20"/>
          <w:szCs w:val="20"/>
          <w:u w:val="single" w:color="auto"/>
          <w:color w:val="0000FF"/>
        </w:rPr>
        <w:t>The</w:t>
      </w:r>
      <w:r>
        <w:rPr>
          <w:rFonts w:ascii="Times New Roman" w:cs="Times New Roman" w:eastAsia="Times New Roman" w:hAnsi="Times New Roman"/>
          <w:sz w:val="20"/>
          <w:szCs w:val="20"/>
          <w:color w:val="auto"/>
        </w:rPr>
        <w:t xml:space="preserve"> Administrative Agent </w:t>
      </w:r>
      <w:r>
        <w:rPr>
          <w:rFonts w:ascii="Times New Roman" w:cs="Times New Roman" w:eastAsia="Times New Roman" w:hAnsi="Times New Roman"/>
          <w:sz w:val="20"/>
          <w:szCs w:val="20"/>
          <w:color w:val="FF0000"/>
          <w:strike w:val="1"/>
        </w:rPr>
        <w:t>pursuant to any provision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this Agreement shall be conclusive and binding on</w:t>
      </w:r>
      <w:r>
        <w:rPr>
          <w:rFonts w:ascii="Times New Roman" w:cs="Times New Roman" w:eastAsia="Times New Roman" w:hAnsi="Times New Roman"/>
          <w:sz w:val="20"/>
          <w:szCs w:val="20"/>
          <w:u w:val="single" w:color="auto"/>
          <w:color w:val="0000FF"/>
        </w:rPr>
        <w:t>shall promptly notify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Borrower and the Lenders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in the absence of manifest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error</w:t>
      </w:r>
      <w:r>
        <w:rPr>
          <w:rFonts w:ascii="Times New Roman" w:cs="Times New Roman" w:eastAsia="Times New Roman" w:hAnsi="Times New Roman"/>
          <w:sz w:val="20"/>
          <w:szCs w:val="20"/>
          <w:u w:val="single" w:color="auto"/>
          <w:color w:val="0000FF"/>
        </w:rPr>
        <w:t>of the interest rate applicable to any Interest Period for Term SOFR Loans upon determination of such interest rate</w:t>
      </w:r>
      <w:r>
        <w:rPr>
          <w:rFonts w:ascii="Times New Roman" w:cs="Times New Roman" w:eastAsia="Times New Roman" w:hAnsi="Times New Roman"/>
          <w:sz w:val="20"/>
          <w:szCs w:val="20"/>
          <w:color w:val="000000"/>
        </w:rPr>
        <w:t>.</w:t>
      </w:r>
    </w:p>
    <w:p>
      <w:pPr>
        <w:spacing w:after="0" w:line="176" w:lineRule="exact"/>
        <w:rPr>
          <w:rFonts w:ascii="Times New Roman" w:cs="Times New Roman" w:eastAsia="Times New Roman" w:hAnsi="Times New Roman"/>
          <w:sz w:val="20"/>
          <w:szCs w:val="20"/>
          <w:color w:val="auto"/>
        </w:rPr>
      </w:pPr>
    </w:p>
    <w:p>
      <w:pPr>
        <w:jc w:val="both"/>
        <w:ind w:left="-360" w:firstLine="745"/>
        <w:spacing w:after="0" w:line="259" w:lineRule="auto"/>
        <w:tabs>
          <w:tab w:leader="none" w:pos="79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Periods</w:t>
      </w:r>
      <w:r>
        <w:rPr>
          <w:rFonts w:ascii="Times New Roman" w:cs="Times New Roman" w:eastAsia="Times New Roman" w:hAnsi="Times New Roman"/>
          <w:sz w:val="19"/>
          <w:szCs w:val="19"/>
          <w:color w:val="auto"/>
        </w:rPr>
        <w:t>. After giving effect to all Term Borrowings, all conversions of Term Loans from one Type to the other, and all continuations of Term Loans as the same Type, there shall not be more than five (5) Interest Periods in effect in respect of the Term Facility. After giving effect to all Revolving Borrowings, all conversions of Revolving Loans from one Type to the other, and all continuations of Revolving Loans as the same Type, there shall not be more than five (5) Interest Periods in effect in respect of the Revolving Facility. With respect to each Incremental Term Facility, after giving effect to all Incremental Term Borrowings, all conversions of Incremental Term Loans from one Type to the other, and all continuations of Incremental Term Loans as the same Type, there shall not be more than five (5) Interest Periods in effect in respect of such Incremental Term Facility.</w:t>
      </w:r>
    </w:p>
    <w:p>
      <w:pPr>
        <w:spacing w:after="0" w:line="169" w:lineRule="exact"/>
        <w:rPr>
          <w:rFonts w:ascii="Times New Roman" w:cs="Times New Roman" w:eastAsia="Times New Roman" w:hAnsi="Times New Roman"/>
          <w:sz w:val="19"/>
          <w:szCs w:val="19"/>
          <w:color w:val="auto"/>
        </w:rPr>
      </w:pPr>
    </w:p>
    <w:p>
      <w:pPr>
        <w:jc w:val="both"/>
        <w:ind w:left="-360" w:firstLine="745"/>
        <w:spacing w:after="0" w:line="249" w:lineRule="auto"/>
        <w:tabs>
          <w:tab w:leader="none" w:pos="82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Cashless Settlement Mechanism</w:t>
      </w:r>
      <w:r>
        <w:rPr>
          <w:rFonts w:ascii="Times New Roman" w:cs="Times New Roman" w:eastAsia="Times New Roman" w:hAnsi="Times New Roman"/>
          <w:sz w:val="20"/>
          <w:szCs w:val="20"/>
          <w:color w:val="auto"/>
        </w:rPr>
        <w:t xml:space="preserve">. Notwithstanding anything to the contrary in this Agreement, any Lender may exchange, continue or rollover all or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u w:val="single" w:color="auto"/>
          <w:color w:val="0000FF"/>
        </w:rPr>
        <w:t>any</w:t>
      </w:r>
      <w:r>
        <w:rPr>
          <w:rFonts w:ascii="Times New Roman" w:cs="Times New Roman" w:eastAsia="Times New Roman" w:hAnsi="Times New Roman"/>
          <w:sz w:val="20"/>
          <w:szCs w:val="20"/>
          <w:color w:val="auto"/>
        </w:rPr>
        <w:t xml:space="preserve"> portion of its Loans in connection with any refinancing, extension, loan modification or similar transaction permitted by the terms of this Agreement, pursuant to a cashless settlement mechanism approved by the Borrower, the Administrative Agent</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and such Lender.</w:t>
      </w:r>
    </w:p>
    <w:p>
      <w:pPr>
        <w:spacing w:after="0" w:line="178" w:lineRule="exact"/>
        <w:rPr>
          <w:rFonts w:ascii="Times New Roman" w:cs="Times New Roman" w:eastAsia="Times New Roman" w:hAnsi="Times New Roman"/>
          <w:sz w:val="20"/>
          <w:szCs w:val="20"/>
          <w:color w:val="auto"/>
        </w:rPr>
      </w:pPr>
    </w:p>
    <w:p>
      <w:pPr>
        <w:jc w:val="both"/>
        <w:ind w:left="-360" w:firstLine="745"/>
        <w:spacing w:after="0" w:line="253" w:lineRule="auto"/>
        <w:tabs>
          <w:tab w:leader="none" w:pos="79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With respect to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SOFR or Term SOFR,</w:t>
      </w:r>
      <w:r>
        <w:rPr>
          <w:rFonts w:ascii="Times New Roman" w:cs="Times New Roman" w:eastAsia="Times New Roman" w:hAnsi="Times New Roman"/>
          <w:sz w:val="20"/>
          <w:szCs w:val="20"/>
          <w:color w:val="auto"/>
        </w:rPr>
        <w:t xml:space="preserve"> the Administrative Agent will have the right to make Conforming Changes from time to time and, notwithstanding anything to the contrary herein or in any other Loan Document, any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1770380</wp:posOffset>
            </wp:positionH>
            <wp:positionV relativeFrom="paragraph">
              <wp:posOffset>-3640455</wp:posOffset>
            </wp:positionV>
            <wp:extent cx="3638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extLst>
                    </a:blip>
                    <a:srcRect/>
                    <a:stretch>
                      <a:fillRect/>
                    </a:stretch>
                  </pic:blipFill>
                  <pic:spPr bwMode="auto">
                    <a:xfrm>
                      <a:off x="0" y="0"/>
                      <a:ext cx="3638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06" w:name="page107"/>
    <w:bookmarkEnd w:id="106"/>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78" w:lineRule="exact"/>
        <w:rPr>
          <w:sz w:val="20"/>
          <w:szCs w:val="20"/>
          <w:color w:val="auto"/>
        </w:rPr>
      </w:pPr>
    </w:p>
    <w:p>
      <w:pPr>
        <w:jc w:val="both"/>
        <w:ind w:firstLine="745"/>
        <w:spacing w:after="0" w:line="246" w:lineRule="auto"/>
        <w:tabs>
          <w:tab w:leader="none" w:pos="114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Increases in Revolving Facility; Incremental Term Facilities</w:t>
      </w:r>
      <w:r>
        <w:rPr>
          <w:rFonts w:ascii="Times New Roman" w:cs="Times New Roman" w:eastAsia="Times New Roman" w:hAnsi="Times New Roman"/>
          <w:sz w:val="20"/>
          <w:szCs w:val="20"/>
          <w:color w:val="auto"/>
        </w:rPr>
        <w:t>. The Borrower may increase the Revolving Facility (but not the Letter of Credit Sublimit or the Swingline Sublimit) and/or establish one or more new tranches of term loans (each such new tranche of term loans being an “</w:t>
      </w:r>
      <w:r>
        <w:rPr>
          <w:rFonts w:ascii="Times New Roman" w:cs="Times New Roman" w:eastAsia="Times New Roman" w:hAnsi="Times New Roman"/>
          <w:sz w:val="20"/>
          <w:szCs w:val="20"/>
          <w:i w:val="1"/>
          <w:iCs w:val="1"/>
          <w:u w:val="single" w:color="auto"/>
          <w:color w:val="auto"/>
        </w:rPr>
        <w:t>Incremental Term Facility</w:t>
      </w:r>
      <w:r>
        <w:rPr>
          <w:rFonts w:ascii="Times New Roman" w:cs="Times New Roman" w:eastAsia="Times New Roman" w:hAnsi="Times New Roman"/>
          <w:sz w:val="20"/>
          <w:szCs w:val="20"/>
          <w:color w:val="auto"/>
        </w:rPr>
        <w:t>”; each such increase in the Revolving Facility and each Incremental Term Facility, an “</w:t>
      </w:r>
      <w:r>
        <w:rPr>
          <w:rFonts w:ascii="Times New Roman" w:cs="Times New Roman" w:eastAsia="Times New Roman" w:hAnsi="Times New Roman"/>
          <w:sz w:val="20"/>
          <w:szCs w:val="20"/>
          <w:i w:val="1"/>
          <w:iCs w:val="1"/>
          <w:u w:val="single" w:color="auto"/>
          <w:color w:val="auto"/>
        </w:rPr>
        <w:t>Incremental Facility</w:t>
      </w:r>
      <w:r>
        <w:rPr>
          <w:rFonts w:ascii="Times New Roman" w:cs="Times New Roman" w:eastAsia="Times New Roman" w:hAnsi="Times New Roman"/>
          <w:sz w:val="20"/>
          <w:szCs w:val="20"/>
          <w:color w:val="auto"/>
        </w:rPr>
        <w:t>”), by a maximum aggregate amount for all such Incremental Facilities not to exceed $250,000,000.</w:t>
      </w:r>
    </w:p>
    <w:p>
      <w:pPr>
        <w:spacing w:after="0" w:line="183" w:lineRule="exact"/>
        <w:rPr>
          <w:rFonts w:ascii="Times New Roman" w:cs="Times New Roman" w:eastAsia="Times New Roman" w:hAnsi="Times New Roman"/>
          <w:sz w:val="20"/>
          <w:szCs w:val="20"/>
          <w:color w:val="auto"/>
        </w:rPr>
      </w:pPr>
    </w:p>
    <w:p>
      <w:pPr>
        <w:jc w:val="both"/>
        <w:ind w:left="740" w:firstLine="754"/>
        <w:spacing w:after="0" w:line="244" w:lineRule="auto"/>
        <w:tabs>
          <w:tab w:leader="none" w:pos="189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Increases in Revolving Facility</w:t>
      </w:r>
      <w:r>
        <w:rPr>
          <w:rFonts w:ascii="Times New Roman" w:cs="Times New Roman" w:eastAsia="Times New Roman" w:hAnsi="Times New Roman"/>
          <w:sz w:val="20"/>
          <w:szCs w:val="20"/>
          <w:color w:val="auto"/>
        </w:rPr>
        <w:t xml:space="preserve">. The Borrower may at any time after the Closing Date and prior to the Maturity Date with respect to the Revolving Facility, upon prior written notice by the Borrower to the Administrative Agent, increase the Revolving Facility (but not the Letter of Credit Sublimit or the Swingline Sublimit) with additional Revolving Commitments from any Revolving Lender or new Revolving Commitments from one or more other Persons selected by the Borrower and acceptable to the Administrative Agent (such consent not to be unreasonably withheld, conditioned or delayed), the L/C Issuer, and the Swingline Lender (so long as such Persons would be Eligible Assignees);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left="1500" w:firstLine="743"/>
        <w:spacing w:after="0" w:line="253" w:lineRule="auto"/>
        <w:tabs>
          <w:tab w:leader="none" w:pos="264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increase shall be in a minimum principal amount of $10,000,000 and in integral multiples of $1,000,000 in excess thereof (or such other amount as the Administrative Agent shall agree in its sole discretion);</w:t>
      </w:r>
    </w:p>
    <w:p>
      <w:pPr>
        <w:spacing w:after="0" w:line="176" w:lineRule="exact"/>
        <w:rPr>
          <w:rFonts w:ascii="Times New Roman" w:cs="Times New Roman" w:eastAsia="Times New Roman" w:hAnsi="Times New Roman"/>
          <w:sz w:val="20"/>
          <w:szCs w:val="20"/>
          <w:color w:val="auto"/>
        </w:rPr>
      </w:pPr>
    </w:p>
    <w:p>
      <w:pPr>
        <w:ind w:left="1500" w:right="20" w:firstLine="743"/>
        <w:spacing w:after="0" w:line="268" w:lineRule="auto"/>
        <w:tabs>
          <w:tab w:leader="none" w:pos="264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shall exist and be continuing at the time of any such increase or would exist immediately after giving effect thereto;</w:t>
      </w:r>
    </w:p>
    <w:p>
      <w:pPr>
        <w:spacing w:after="0" w:line="160" w:lineRule="exact"/>
        <w:rPr>
          <w:rFonts w:ascii="Times New Roman" w:cs="Times New Roman" w:eastAsia="Times New Roman" w:hAnsi="Times New Roman"/>
          <w:sz w:val="20"/>
          <w:szCs w:val="20"/>
          <w:color w:val="auto"/>
        </w:rPr>
      </w:pPr>
    </w:p>
    <w:p>
      <w:pPr>
        <w:jc w:val="both"/>
        <w:ind w:left="1500" w:firstLine="743"/>
        <w:spacing w:after="0" w:line="253" w:lineRule="auto"/>
        <w:tabs>
          <w:tab w:leader="none" w:pos="264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provide a Revolving Commitment in connection with such increase (or to increase its Revolving Commitment, as applicable) and any such decision whether to participate in such increase shall be in such Lender’s sole and absolute discretion;</w:t>
      </w:r>
    </w:p>
    <w:p>
      <w:pPr>
        <w:spacing w:after="0" w:line="176" w:lineRule="exact"/>
        <w:rPr>
          <w:rFonts w:ascii="Times New Roman" w:cs="Times New Roman" w:eastAsia="Times New Roman" w:hAnsi="Times New Roman"/>
          <w:sz w:val="20"/>
          <w:szCs w:val="20"/>
          <w:color w:val="auto"/>
        </w:rPr>
      </w:pPr>
    </w:p>
    <w:p>
      <w:pPr>
        <w:jc w:val="both"/>
        <w:ind w:left="1500" w:firstLine="743"/>
        <w:spacing w:after="0" w:line="249" w:lineRule="auto"/>
        <w:tabs>
          <w:tab w:leader="none" w:pos="264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any new Lender shall join this Agreement by executing such joinder documents as are required by the Administrative Agent, and/or (2) any existing Lender electing to provide a Revolving Commitment in connection with such increase (or to increase its Revolving Commitment, as applicable) shall have executed a commitment agreement satisfactory to the Administrative Agent;</w:t>
      </w:r>
    </w:p>
    <w:p>
      <w:pPr>
        <w:spacing w:after="0" w:line="178" w:lineRule="exact"/>
        <w:rPr>
          <w:rFonts w:ascii="Times New Roman" w:cs="Times New Roman" w:eastAsia="Times New Roman" w:hAnsi="Times New Roman"/>
          <w:sz w:val="20"/>
          <w:szCs w:val="20"/>
          <w:color w:val="auto"/>
        </w:rPr>
      </w:pPr>
    </w:p>
    <w:p>
      <w:pPr>
        <w:jc w:val="both"/>
        <w:ind w:left="1500" w:firstLine="743"/>
        <w:spacing w:after="0" w:line="243" w:lineRule="auto"/>
        <w:tabs>
          <w:tab w:leader="none" w:pos="264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before and after giving effect to such increase, the representations and warranties contained in this Agreement and the other Loan Documents, or which are contained in any certificate, Loan Notice, or Swingline Loan Notice delivered in connection therewith, shall be true and correct in all material respects (and in all respects if any such representation or warranty is already qualified by materiality) on and as of the date of such increase,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20"/>
          <w:szCs w:val="20"/>
          <w:u w:val="single" w:color="auto"/>
          <w:color w:val="auto"/>
        </w:rPr>
        <w:t>Section 2.02(g)(i)(E)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8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07" w:name="page108"/>
    <w:bookmarkEnd w:id="107"/>
    <w:p>
      <w:pPr>
        <w:ind w:left="1140"/>
        <w:spacing w:after="0" w:line="268" w:lineRule="auto"/>
        <w:rPr>
          <w:sz w:val="20"/>
          <w:szCs w:val="20"/>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Sections 5.05(a)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respectively;</w:t>
      </w:r>
    </w:p>
    <w:p>
      <w:pPr>
        <w:spacing w:after="0" w:line="161" w:lineRule="exact"/>
        <w:rPr>
          <w:sz w:val="20"/>
          <w:szCs w:val="20"/>
          <w:color w:val="auto"/>
        </w:rPr>
      </w:pPr>
    </w:p>
    <w:p>
      <w:pPr>
        <w:jc w:val="both"/>
        <w:ind w:left="1140" w:firstLine="743"/>
        <w:spacing w:after="0" w:line="243" w:lineRule="auto"/>
        <w:tabs>
          <w:tab w:leader="none" w:pos="228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(1) a certificate from a Responsible Officer of the Borrower certifying that (x) the conditions set forth in </w:t>
      </w:r>
      <w:r>
        <w:rPr>
          <w:rFonts w:ascii="Times New Roman" w:cs="Times New Roman" w:eastAsia="Times New Roman" w:hAnsi="Times New Roman"/>
          <w:sz w:val="20"/>
          <w:szCs w:val="20"/>
          <w:u w:val="single" w:color="auto"/>
          <w:color w:val="auto"/>
        </w:rPr>
        <w:t>Sections 2.02(g)(i)(B)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(g)(i)(E)</w:t>
      </w:r>
      <w:r>
        <w:rPr>
          <w:rFonts w:ascii="Times New Roman" w:cs="Times New Roman" w:eastAsia="Times New Roman" w:hAnsi="Times New Roman"/>
          <w:sz w:val="20"/>
          <w:szCs w:val="20"/>
          <w:color w:val="auto"/>
        </w:rPr>
        <w:t xml:space="preserve"> have been satisfied, and (y) the condition set forth in </w:t>
      </w:r>
      <w:r>
        <w:rPr>
          <w:rFonts w:ascii="Times New Roman" w:cs="Times New Roman" w:eastAsia="Times New Roman" w:hAnsi="Times New Roman"/>
          <w:sz w:val="20"/>
          <w:szCs w:val="20"/>
          <w:u w:val="single" w:color="auto"/>
          <w:color w:val="auto"/>
        </w:rPr>
        <w:t>Section 2.02(g)(i)(G)</w:t>
      </w:r>
      <w:r>
        <w:rPr>
          <w:rFonts w:ascii="Times New Roman" w:cs="Times New Roman" w:eastAsia="Times New Roman" w:hAnsi="Times New Roman"/>
          <w:sz w:val="20"/>
          <w:szCs w:val="20"/>
          <w:color w:val="auto"/>
        </w:rPr>
        <w:t xml:space="preserve"> has been satisfied (which certification shall include reasonably detailed calculations, including quarterly detail, to demonstrate the satisfaction of such condition), (2) a certificate from a Responsible Officer of each Loan Party certifying and attaching the resolutions adopted by such Loan Party approving or consenting to such increase, and (3) if requested by the Administrative Agent, an opinion or opinions of counsel for the Loan Parties, dated as of the date of such increase and addressed to the Administrative Agent and each Lender, in form and substance satisfactory to the Administrative Agent;</w:t>
      </w:r>
    </w:p>
    <w:p>
      <w:pPr>
        <w:spacing w:after="0" w:line="186"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giving effect to any such increase on a Pro Forma Basis (and assuming for such calculation that such increase is fully drawn), the Loan Parties would be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and, during the Specified Period, the Specified Period Conditions, in each case, as of the most recent Measurement Period;</w:t>
      </w:r>
    </w:p>
    <w:p>
      <w:pPr>
        <w:spacing w:after="0" w:line="178" w:lineRule="exact"/>
        <w:rPr>
          <w:sz w:val="20"/>
          <w:szCs w:val="20"/>
          <w:color w:val="auto"/>
        </w:rPr>
      </w:pPr>
    </w:p>
    <w:p>
      <w:pPr>
        <w:ind w:left="1140" w:firstLine="743"/>
        <w:spacing w:after="0" w:line="268" w:lineRule="auto"/>
        <w:tabs>
          <w:tab w:leader="none" w:pos="228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increase shall be on the same terms and pursuant to the same documentation applicable to the Revolving Facility; and</w:t>
      </w:r>
    </w:p>
    <w:p>
      <w:pPr>
        <w:spacing w:after="0" w:line="160"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such increase, the Borrower shall prepay any Revolving Loans outstanding on the date of such increase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to the extent necessary to keep the outstanding Revolving Loans ratable with any revised Revolving Commitments arising from any non-ratable increase in the Revolving Facility pursuant to this </w:t>
      </w:r>
      <w:r>
        <w:rPr>
          <w:rFonts w:ascii="Times New Roman" w:cs="Times New Roman" w:eastAsia="Times New Roman" w:hAnsi="Times New Roman"/>
          <w:sz w:val="20"/>
          <w:szCs w:val="20"/>
          <w:u w:val="single" w:color="auto"/>
          <w:color w:val="auto"/>
        </w:rPr>
        <w:t>Section 2.02(g)(i)</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380" w:firstLine="754"/>
        <w:spacing w:after="0" w:line="253" w:lineRule="auto"/>
        <w:tabs>
          <w:tab w:leader="none" w:pos="152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Institution of Incremental Term Facilities</w:t>
      </w:r>
      <w:r>
        <w:rPr>
          <w:rFonts w:ascii="Times New Roman" w:cs="Times New Roman" w:eastAsia="Times New Roman" w:hAnsi="Times New Roman"/>
          <w:sz w:val="20"/>
          <w:szCs w:val="20"/>
          <w:color w:val="auto"/>
        </w:rPr>
        <w:t xml:space="preserve">. The Borrower may at any time after the Closing Date, upon prior written notice to the Administrative Agent, establish an Incremental Term Facility to be provided by one or more Incremental Term Lenders for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left="1140" w:firstLine="743"/>
        <w:spacing w:after="0" w:line="253" w:lineRule="auto"/>
        <w:tabs>
          <w:tab w:leader="none" w:pos="228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Incremental Term Facility shall be in a minimum aggregate principal amount of $10,000,000 and integral multiples of $1,000,000 in excess thereof (or such other amount as the Administrative Agent shall agree in its sole discretion);</w:t>
      </w:r>
    </w:p>
    <w:p>
      <w:pPr>
        <w:spacing w:after="0" w:line="176" w:lineRule="exact"/>
        <w:rPr>
          <w:rFonts w:ascii="Times New Roman" w:cs="Times New Roman" w:eastAsia="Times New Roman" w:hAnsi="Times New Roman"/>
          <w:sz w:val="20"/>
          <w:szCs w:val="20"/>
          <w:color w:val="auto"/>
        </w:rPr>
      </w:pPr>
    </w:p>
    <w:p>
      <w:pPr>
        <w:jc w:val="both"/>
        <w:ind w:left="1140" w:firstLine="743"/>
        <w:spacing w:after="0" w:line="244" w:lineRule="auto"/>
        <w:tabs>
          <w:tab w:leader="none" w:pos="228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the proceeds of such Incremental Term Facility are intended to be applied to consummate a Limited Condition Acquisition, and it is agreed to by the Lenders providing such Incremental Term Facility,(x) no Event of Default shall exist and be continuing at the time that the definitive acquisition agreement is entered into with respect to such Limited Condition Acquisition, and (y) no Specified Event of Default shall exist and be continuing at the time of the establishment of such Incremental Term Facility, immediately prior to, and after giving effect to, such Incremental Term Facility and such Limited Condition Acquisition, and (ii) in all other cases, no Event of Default shall exist and be</w:t>
      </w:r>
    </w:p>
    <w:p>
      <w:pPr>
        <w:spacing w:after="0" w:line="200" w:lineRule="exact"/>
        <w:rPr>
          <w:sz w:val="20"/>
          <w:szCs w:val="20"/>
          <w:color w:val="auto"/>
        </w:rPr>
      </w:pPr>
    </w:p>
    <w:p>
      <w:pPr>
        <w:spacing w:after="0" w:line="38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08" w:name="page109"/>
    <w:bookmarkEnd w:id="108"/>
    <w:p>
      <w:pPr>
        <w:ind w:left="1140"/>
        <w:spacing w:after="0" w:line="268" w:lineRule="auto"/>
        <w:rPr>
          <w:sz w:val="20"/>
          <w:szCs w:val="20"/>
          <w:color w:val="auto"/>
        </w:rPr>
      </w:pPr>
      <w:r>
        <w:rPr>
          <w:rFonts w:ascii="Times New Roman" w:cs="Times New Roman" w:eastAsia="Times New Roman" w:hAnsi="Times New Roman"/>
          <w:sz w:val="20"/>
          <w:szCs w:val="20"/>
          <w:color w:val="auto"/>
        </w:rPr>
        <w:t>continuing at the time of the establishment of any such Incremental Term Facility or would exist immediately after giving effect thereto;</w:t>
      </w:r>
    </w:p>
    <w:p>
      <w:pPr>
        <w:spacing w:after="0" w:line="161" w:lineRule="exact"/>
        <w:rPr>
          <w:sz w:val="20"/>
          <w:szCs w:val="20"/>
          <w:color w:val="auto"/>
        </w:rPr>
      </w:pPr>
    </w:p>
    <w:p>
      <w:pPr>
        <w:jc w:val="both"/>
        <w:ind w:left="1140" w:firstLine="743"/>
        <w:spacing w:after="0" w:line="253" w:lineRule="auto"/>
        <w:tabs>
          <w:tab w:leader="none" w:pos="228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become an Incremental Term Lender and any such decision whether to become an Incremental Term Lender shall be in such Lender’s sole and absolute discretion;</w:t>
      </w:r>
    </w:p>
    <w:p>
      <w:pPr>
        <w:spacing w:after="0" w:line="176" w:lineRule="exact"/>
        <w:rPr>
          <w:rFonts w:ascii="Times New Roman" w:cs="Times New Roman" w:eastAsia="Times New Roman" w:hAnsi="Times New Roman"/>
          <w:sz w:val="20"/>
          <w:szCs w:val="20"/>
          <w:color w:val="auto"/>
        </w:rPr>
      </w:pPr>
    </w:p>
    <w:p>
      <w:pPr>
        <w:jc w:val="both"/>
        <w:ind w:left="1140" w:firstLine="743"/>
        <w:spacing w:after="0" w:line="242" w:lineRule="auto"/>
        <w:tabs>
          <w:tab w:leader="none" w:pos="228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obtain Incremental Term Commitments for such Incremental Term Facility from existing Lenders or other Persons reasonably acceptable to the Administrative Agent (such consent not to be unreasonably withheld, conditioned or delayed), which Persons shall join in this Agreement as Incremental Term Lenders by executing an agreement, in form and substance reasonably satisfactory to the Administrative Agent, setting forth the terms applicable to such Incremental Term Facility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2.02(g)(ii)</w:t>
      </w:r>
      <w:r>
        <w:rPr>
          <w:rFonts w:ascii="Times New Roman" w:cs="Times New Roman" w:eastAsia="Times New Roman" w:hAnsi="Times New Roman"/>
          <w:sz w:val="20"/>
          <w:szCs w:val="20"/>
          <w:color w:val="auto"/>
        </w:rPr>
        <w:t xml:space="preserve"> (any such agreement, an “</w:t>
      </w:r>
      <w:r>
        <w:rPr>
          <w:rFonts w:ascii="Times New Roman" w:cs="Times New Roman" w:eastAsia="Times New Roman" w:hAnsi="Times New Roman"/>
          <w:sz w:val="20"/>
          <w:szCs w:val="20"/>
          <w:u w:val="single" w:color="auto"/>
          <w:color w:val="auto"/>
        </w:rPr>
        <w:t>Incremental Term Facility Agreement</w:t>
      </w:r>
      <w:r>
        <w:rPr>
          <w:rFonts w:ascii="Times New Roman" w:cs="Times New Roman" w:eastAsia="Times New Roman" w:hAnsi="Times New Roman"/>
          <w:sz w:val="20"/>
          <w:szCs w:val="20"/>
          <w:color w:val="auto"/>
        </w:rPr>
        <w:t>”), it being understood and agreed that in connection with any Incremental Term Facility, the Incremental Term Facility Agreement for such Incremental Term Facility shall only be required to be executed by the Incremental Term Lenders for such Incremental Term Facility, the Loan Parties, and the Administrative Agent (and, for the avoidance of doubt, shall not require the consent of any other Person (including any Lender));</w:t>
      </w:r>
    </w:p>
    <w:p>
      <w:pPr>
        <w:spacing w:after="0" w:line="189" w:lineRule="exact"/>
        <w:rPr>
          <w:rFonts w:ascii="Times New Roman" w:cs="Times New Roman" w:eastAsia="Times New Roman" w:hAnsi="Times New Roman"/>
          <w:sz w:val="20"/>
          <w:szCs w:val="20"/>
          <w:color w:val="auto"/>
        </w:rPr>
      </w:pPr>
    </w:p>
    <w:p>
      <w:pPr>
        <w:jc w:val="both"/>
        <w:ind w:left="1140" w:firstLine="743"/>
        <w:spacing w:after="0" w:line="255" w:lineRule="auto"/>
        <w:tabs>
          <w:tab w:leader="none" w:pos="2284"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before and after giving effect to the establishment of such Incremental Term Facility, the representations and warranties contained in this Agreement and the other Loan Documents, or which are contained in any certificate, Loan Notice, or Swingline Loan Notice delivered in connection therewith, shall be true and correct in all material respects (and in all respects if any such representation or warranty is already qualified by materiality) on and as of the date of incurrence of such Incremental Term Facility,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19"/>
          <w:szCs w:val="19"/>
          <w:u w:val="single" w:color="auto"/>
          <w:color w:val="auto"/>
        </w:rPr>
        <w:t>Section 2.02(g)(ii)(E)</w:t>
      </w:r>
      <w:r>
        <w:rPr>
          <w:rFonts w:ascii="Times New Roman" w:cs="Times New Roman" w:eastAsia="Times New Roman" w:hAnsi="Times New Roman"/>
          <w:sz w:val="19"/>
          <w:szCs w:val="19"/>
          <w:color w:val="auto"/>
        </w:rPr>
        <w:t xml:space="preserve">, the representations and warranties contained in </w:t>
      </w:r>
      <w:r>
        <w:rPr>
          <w:rFonts w:ascii="Times New Roman" w:cs="Times New Roman" w:eastAsia="Times New Roman" w:hAnsi="Times New Roman"/>
          <w:sz w:val="19"/>
          <w:szCs w:val="19"/>
          <w:u w:val="single" w:color="auto"/>
          <w:color w:val="auto"/>
        </w:rPr>
        <w:t>Sections 5.05(a)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shall be deemed to refer to the most recent statements furnished pursuant to </w:t>
      </w:r>
      <w:r>
        <w:rPr>
          <w:rFonts w:ascii="Times New Roman" w:cs="Times New Roman" w:eastAsia="Times New Roman" w:hAnsi="Times New Roman"/>
          <w:sz w:val="19"/>
          <w:szCs w:val="19"/>
          <w:u w:val="single" w:color="auto"/>
          <w:color w:val="auto"/>
        </w:rPr>
        <w:t>Sections 6.01(a)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respectively;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with respect to this clause (E), to the extent that the proceeds of Loans under any Incremental Term Facility are to be used to finance a Limited Condition Acquisition, the availability thereof instead may be subject to customary “SunGard” or “certain funds” conditionality to the extent agreed by the Lenders providing such Loans;</w:t>
      </w:r>
    </w:p>
    <w:p>
      <w:pPr>
        <w:spacing w:after="0" w:line="178" w:lineRule="exact"/>
        <w:rPr>
          <w:rFonts w:ascii="Times New Roman" w:cs="Times New Roman" w:eastAsia="Times New Roman" w:hAnsi="Times New Roman"/>
          <w:sz w:val="19"/>
          <w:szCs w:val="19"/>
          <w:color w:val="auto"/>
        </w:rPr>
      </w:pPr>
    </w:p>
    <w:p>
      <w:pPr>
        <w:jc w:val="both"/>
        <w:ind w:left="1140" w:firstLine="743"/>
        <w:spacing w:after="0" w:line="243" w:lineRule="auto"/>
        <w:tabs>
          <w:tab w:leader="none" w:pos="228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(1) a certificate from a Responsible Officer of the Borrower certifying that (x) the conditions set forth in </w:t>
      </w:r>
      <w:r>
        <w:rPr>
          <w:rFonts w:ascii="Times New Roman" w:cs="Times New Roman" w:eastAsia="Times New Roman" w:hAnsi="Times New Roman"/>
          <w:sz w:val="20"/>
          <w:szCs w:val="20"/>
          <w:u w:val="single" w:color="auto"/>
          <w:color w:val="auto"/>
        </w:rPr>
        <w:t>Sections 2.02(g)(ii)(B)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(g)(ii)(E)</w:t>
      </w:r>
      <w:r>
        <w:rPr>
          <w:rFonts w:ascii="Times New Roman" w:cs="Times New Roman" w:eastAsia="Times New Roman" w:hAnsi="Times New Roman"/>
          <w:sz w:val="20"/>
          <w:szCs w:val="20"/>
          <w:color w:val="auto"/>
        </w:rPr>
        <w:t xml:space="preserve"> have been satisfied, and (y) the condition set forth in </w:t>
      </w:r>
      <w:r>
        <w:rPr>
          <w:rFonts w:ascii="Times New Roman" w:cs="Times New Roman" w:eastAsia="Times New Roman" w:hAnsi="Times New Roman"/>
          <w:sz w:val="20"/>
          <w:szCs w:val="20"/>
          <w:u w:val="single" w:color="auto"/>
          <w:color w:val="auto"/>
        </w:rPr>
        <w:t>Section 2.02(g)(ii)(G)</w:t>
      </w:r>
      <w:r>
        <w:rPr>
          <w:rFonts w:ascii="Times New Roman" w:cs="Times New Roman" w:eastAsia="Times New Roman" w:hAnsi="Times New Roman"/>
          <w:sz w:val="20"/>
          <w:szCs w:val="20"/>
          <w:color w:val="auto"/>
        </w:rPr>
        <w:t xml:space="preserve"> has been satisfied (which certification shall include reasonably detailed calculations, including quarterly detail, to demonstrate the satisfaction of such condition), (2) a certificate from a Responsible Officer of each Loan Party certifying and attaching the resolutions adopted by such Loan Party approving or consenting to the incurrence of such Incremental Term Facility, and (3) if requested by the Administrative Agent, an opinion or opinions of counsel for the Loan Parties, dated as of the date of incurrence of such Incremental Term</w:t>
      </w:r>
    </w:p>
    <w:p>
      <w:pPr>
        <w:spacing w:after="0" w:line="200" w:lineRule="exact"/>
        <w:rPr>
          <w:sz w:val="20"/>
          <w:szCs w:val="20"/>
          <w:color w:val="auto"/>
        </w:rPr>
      </w:pP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09" w:name="page110"/>
    <w:bookmarkEnd w:id="109"/>
    <w:p>
      <w:pPr>
        <w:ind w:left="1140"/>
        <w:spacing w:after="0" w:line="268" w:lineRule="auto"/>
        <w:rPr>
          <w:sz w:val="20"/>
          <w:szCs w:val="20"/>
          <w:color w:val="auto"/>
        </w:rPr>
      </w:pPr>
      <w:r>
        <w:rPr>
          <w:rFonts w:ascii="Times New Roman" w:cs="Times New Roman" w:eastAsia="Times New Roman" w:hAnsi="Times New Roman"/>
          <w:sz w:val="20"/>
          <w:szCs w:val="20"/>
          <w:color w:val="auto"/>
        </w:rPr>
        <w:t>Facility and addressed to the Administrative Agent and each Lender, in form and substance satisfactory to the Administrative Agent;</w:t>
      </w:r>
    </w:p>
    <w:p>
      <w:pPr>
        <w:spacing w:after="0" w:line="161" w:lineRule="exact"/>
        <w:rPr>
          <w:sz w:val="20"/>
          <w:szCs w:val="20"/>
          <w:color w:val="auto"/>
        </w:rPr>
      </w:pPr>
    </w:p>
    <w:p>
      <w:pPr>
        <w:jc w:val="both"/>
        <w:ind w:left="1140" w:firstLine="743"/>
        <w:spacing w:after="0" w:line="249" w:lineRule="auto"/>
        <w:tabs>
          <w:tab w:leader="none" w:pos="228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1.02(f)</w:t>
      </w:r>
      <w:r>
        <w:rPr>
          <w:rFonts w:ascii="Times New Roman" w:cs="Times New Roman" w:eastAsia="Times New Roman" w:hAnsi="Times New Roman"/>
          <w:sz w:val="20"/>
          <w:szCs w:val="20"/>
          <w:color w:val="auto"/>
        </w:rPr>
        <w:t xml:space="preserve">, upon giving effect to the incurrence of any such Incremental Term Facility on a Pro Forma Basis, the Loan Parties would be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and, during the Specified Period, the Specified Period Conditions, in each case, as of the most recent Measurement Period;</w:t>
      </w:r>
    </w:p>
    <w:p>
      <w:pPr>
        <w:spacing w:after="0" w:line="178" w:lineRule="exact"/>
        <w:rPr>
          <w:rFonts w:ascii="Times New Roman" w:cs="Times New Roman" w:eastAsia="Times New Roman" w:hAnsi="Times New Roman"/>
          <w:sz w:val="20"/>
          <w:szCs w:val="20"/>
          <w:color w:val="auto"/>
        </w:rPr>
      </w:pPr>
    </w:p>
    <w:p>
      <w:pPr>
        <w:jc w:val="both"/>
        <w:ind w:left="1140" w:firstLine="743"/>
        <w:spacing w:after="0" w:line="255" w:lineRule="auto"/>
        <w:tabs>
          <w:tab w:leader="none" w:pos="2284"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interest rate margins with respect to such Incremental Term Facility shall be as agreed by the Borrower and the Incremental Term Lenders for such Incremental Term Facility;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All-in-Yield for any Incremental Term Loan is greater than the All-in-Yield for the Term Facility or any then-existing Incremental Term Facility by more than 50 basis points, then the Applicable Rate for the Term Facility or such Incremental Term Facility, as applicable, shall be increased to the extent necessary so that the All-in-Yield for the applicable Incremental Term Loan is 50 basis points higher than the All-in-Yield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in determining the All-in-Yield applicable to the Term Facility and any Incremental Term Facility, (x) original issue discount (“OID”) or upfront fees (which shall be deemed to constitute like amounts of OID) payable by the Borrower to the Lenders thereof in the primary syndication thereof shall be included (with OID being equated to interest based on an assumed four-year life to maturity), (y) customary arrangement or commitment fees payable to any arranger (or its affiliates) in connection therewith shall be excluded and (z) if the </w:t>
      </w:r>
      <w:r>
        <w:rPr>
          <w:rFonts w:ascii="Times New Roman" w:cs="Times New Roman" w:eastAsia="Times New Roman" w:hAnsi="Times New Roman"/>
          <w:sz w:val="19"/>
          <w:szCs w:val="19"/>
          <w:color w:val="FF0000"/>
          <w:strike w:val="1"/>
        </w:rPr>
        <w:t>BSBY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or Base Rate “floor” for the applicable Incremental Term Loan is greater than the </w:t>
      </w:r>
      <w:r>
        <w:rPr>
          <w:rFonts w:ascii="Times New Roman" w:cs="Times New Roman" w:eastAsia="Times New Roman" w:hAnsi="Times New Roman"/>
          <w:sz w:val="19"/>
          <w:szCs w:val="19"/>
          <w:color w:val="FF0000"/>
          <w:strike w:val="1"/>
        </w:rPr>
        <w:t>BSBY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or Base Rate “floor,” respectively, for the Term Facility or any then-existing Incremental Term Facility, the difference between such floor shall be equated to an increase in the All-in-Yield for purposes of this clause (iii);</w:t>
      </w:r>
    </w:p>
    <w:p>
      <w:pPr>
        <w:spacing w:after="0" w:line="175" w:lineRule="exact"/>
        <w:rPr>
          <w:rFonts w:ascii="Times New Roman" w:cs="Times New Roman" w:eastAsia="Times New Roman" w:hAnsi="Times New Roman"/>
          <w:sz w:val="19"/>
          <w:szCs w:val="19"/>
          <w:color w:val="auto"/>
        </w:rPr>
      </w:pPr>
    </w:p>
    <w:p>
      <w:pPr>
        <w:jc w:val="both"/>
        <w:ind w:left="1140" w:firstLine="743"/>
        <w:spacing w:after="0" w:line="253" w:lineRule="auto"/>
        <w:tabs>
          <w:tab w:leader="none" w:pos="228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Incremental Term Facility Maturity Date for such Incremental Term Facility shall be as set forth in the Incremental Term Facility Agreement relating to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date shall not be earlier than the then-Latest Maturity Date;</w:t>
      </w:r>
    </w:p>
    <w:p>
      <w:pPr>
        <w:spacing w:after="0" w:line="176"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the Incremental Term Loans advanced under such Incremental Term Facility shall be no shorter than the then-remaining Weighted Average Life to Maturity of the Term Loan and any other then-existing Incremental Term Loans under any other then-existing Incremental Term Facility;</w:t>
      </w:r>
    </w:p>
    <w:p>
      <w:pPr>
        <w:spacing w:after="0" w:line="178" w:lineRule="exact"/>
        <w:rPr>
          <w:rFonts w:ascii="Times New Roman" w:cs="Times New Roman" w:eastAsia="Times New Roman" w:hAnsi="Times New Roman"/>
          <w:sz w:val="20"/>
          <w:szCs w:val="20"/>
          <w:color w:val="auto"/>
        </w:rPr>
      </w:pPr>
    </w:p>
    <w:p>
      <w:pPr>
        <w:jc w:val="both"/>
        <w:ind w:left="1140" w:firstLine="743"/>
        <w:spacing w:after="0" w:line="253" w:lineRule="auto"/>
        <w:tabs>
          <w:tab w:leader="none" w:pos="228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2.02(g)(ii)(I)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(g)(ii)(J)</w:t>
      </w:r>
      <w:r>
        <w:rPr>
          <w:rFonts w:ascii="Times New Roman" w:cs="Times New Roman" w:eastAsia="Times New Roman" w:hAnsi="Times New Roman"/>
          <w:sz w:val="20"/>
          <w:szCs w:val="20"/>
          <w:color w:val="auto"/>
        </w:rPr>
        <w:t>, the amortization schedule applicable to the Incremental Term Loans advanced under such Incremental Term Facility shall be as determined by the Borrower and the Incremental Term Lenders for such Incremental Term Facility; and</w:t>
      </w:r>
    </w:p>
    <w:p>
      <w:pPr>
        <w:spacing w:after="0" w:line="176"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Incremental Term Facility shall (1) rank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in right of payment with the Obligations and in respect of the Collateral, and (2) except as permitted by </w:t>
      </w:r>
      <w:r>
        <w:rPr>
          <w:rFonts w:ascii="Times New Roman" w:cs="Times New Roman" w:eastAsia="Times New Roman" w:hAnsi="Times New Roman"/>
          <w:sz w:val="20"/>
          <w:szCs w:val="20"/>
          <w:u w:val="single" w:color="auto"/>
          <w:color w:val="auto"/>
        </w:rPr>
        <w:t>Sections 2.02(g)(ii)(H)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(g)(ii)(K)</w:t>
      </w:r>
      <w:r>
        <w:rPr>
          <w:rFonts w:ascii="Times New Roman" w:cs="Times New Roman" w:eastAsia="Times New Roman" w:hAnsi="Times New Roman"/>
          <w:sz w:val="20"/>
          <w:szCs w:val="20"/>
          <w:color w:val="auto"/>
        </w:rPr>
        <w:t>, be on terms that are reasonably satisfactory to the Administrative Agent (it being understood and agreed that the following shall be deemed to be satisfactory to the</w:t>
      </w:r>
    </w:p>
    <w:p>
      <w:pPr>
        <w:spacing w:after="0" w:line="200" w:lineRule="exact"/>
        <w:rPr>
          <w:sz w:val="20"/>
          <w:szCs w:val="20"/>
          <w:color w:val="auto"/>
        </w:rPr>
      </w:pPr>
    </w:p>
    <w:p>
      <w:pPr>
        <w:spacing w:after="0" w:line="3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10" w:name="page111"/>
    <w:bookmarkEnd w:id="110"/>
    <w:p>
      <w:pPr>
        <w:jc w:val="both"/>
        <w:ind w:left="1500"/>
        <w:spacing w:after="0" w:line="242" w:lineRule="auto"/>
        <w:rPr>
          <w:sz w:val="20"/>
          <w:szCs w:val="20"/>
          <w:color w:val="auto"/>
        </w:rPr>
      </w:pPr>
      <w:r>
        <w:rPr>
          <w:rFonts w:ascii="Times New Roman" w:cs="Times New Roman" w:eastAsia="Times New Roman" w:hAnsi="Times New Roman"/>
          <w:sz w:val="20"/>
          <w:szCs w:val="20"/>
          <w:color w:val="auto"/>
        </w:rPr>
        <w:t xml:space="preserve">Administrative Agent: (x) covenants or other provisions applicable only to periods after the then-Latest Maturity Date; (y) to the extent required by any Incremental Term Lender for such Incremental Term Facility, covenants or other provisions that are not set forth in Loan Documents at the time of incurrence of such Incremental Term Facility, so long as the Loan Documents are amended to include such covenants or other provisions for the benefit of the Administrative Agent and the Lenders at the time of the incurrence of such Incremental Term Facility; and (z) to the extent required by any Incremental Term Lender for such Incremental Term Facility, customary call protection and mandatory prepayments, in each case, which may be applicable solely with respect to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with respect to any mandatory prepayment required in connection with the establishment of such Incremental Term Facility, such mandatory prepayment shall apply ratably to the Term Loan any other then-existing Incremental Term Loans under any then-existing Incremental Term Facility).</w:t>
      </w:r>
    </w:p>
    <w:p>
      <w:pPr>
        <w:spacing w:after="0" w:line="1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Agreement and the other Loan Documents shall be amended to give effect to any Incremental Facility pursuant to documentation executed by lenders providing such Incremental Facility, the Administrative Agent and the Loan Parties, without the consent of any other Person (including any existing Lender), including amendments (I) to reflect the existence and terms of such Incremental Facility, (II) to make such other changes to this Agreement and the other Loan Documents consistent with the provisions and intent of such Incremental Facility, including adding provisions to permit such Incremental Facility to share in the benefits of this Agreement and the other Loan Documents (including to permit any such Incremental Term Facility to share in any mandatory prepayment provided herein) and to include the lenders for such Incremental Facility in the definition of “Required Lenders”, (III) notwithstanding any other provisions of this Agreement or any other Loan Documents to the contrary, if applicable, to permit the loans under such Incremental Facility to be “fungible” (including for purposes of the Code) with any other then-existing Loans under this Agreement, and (IV) to effect such other amendments to the this Agreement and the other Loan Documents as may be necessary or appropriate, in the reasonable opinion of the Administrative Agent, to effect the provisions of any such Incremental Facility.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2.03 </w:t>
      </w:r>
      <w:r>
        <w:rPr>
          <w:rFonts w:ascii="Times New Roman" w:cs="Times New Roman" w:eastAsia="Times New Roman" w:hAnsi="Times New Roman"/>
          <w:sz w:val="20"/>
          <w:szCs w:val="20"/>
          <w:b w:val="1"/>
          <w:bCs w:val="1"/>
          <w:u w:val="single" w:color="auto"/>
          <w:color w:val="auto"/>
        </w:rPr>
        <w:t>Letters of Credit.</w:t>
      </w:r>
    </w:p>
    <w:p>
      <w:pPr>
        <w:spacing w:after="0" w:line="219" w:lineRule="exact"/>
        <w:rPr>
          <w:sz w:val="20"/>
          <w:szCs w:val="20"/>
          <w:color w:val="auto"/>
        </w:rPr>
      </w:pPr>
    </w:p>
    <w:p>
      <w:pPr>
        <w:jc w:val="both"/>
        <w:ind w:firstLine="745"/>
        <w:spacing w:after="0" w:line="245" w:lineRule="auto"/>
        <w:tabs>
          <w:tab w:leader="none" w:pos="117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 xml:space="preserve">. Subject to the terms and conditions set forth herein, in addition to the Loans provided for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the Borrower may request that the L/C Issuer, in reliance on the agreements of the Revolving Lenders set forth in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issue, at any time and from time to time during the Availability Period, Letters of Credit denominated </w:t>
      </w:r>
      <w:r>
        <w:rPr>
          <w:rFonts w:ascii="Times New Roman" w:cs="Times New Roman" w:eastAsia="Times New Roman" w:hAnsi="Times New Roman"/>
          <w:sz w:val="20"/>
          <w:szCs w:val="20"/>
          <w:u w:val="single" w:color="auto"/>
          <w:color w:val="0000FF"/>
        </w:rPr>
        <w:t>in Dollars or any Alternative Currency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for its own account or the account of any of its Subsidiaries in such form as is acceptable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Administrative Agent and the L/C Issuer in its reasonable determination. Letters of Credit issued hereunder shall constitute utilization of the Revolving Commitments.</w:t>
      </w:r>
    </w:p>
    <w:p>
      <w:pPr>
        <w:spacing w:after="0" w:line="182"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Extension, Reinstatement or Renewal</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740" w:firstLine="754"/>
        <w:spacing w:after="0" w:line="244" w:lineRule="auto"/>
        <w:tabs>
          <w:tab w:leader="none" w:pos="188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11:00 a.m. at least two</w:t>
      </w:r>
    </w:p>
    <w:p>
      <w:pPr>
        <w:spacing w:after="0" w:line="3" w:lineRule="exact"/>
        <w:rPr>
          <w:rFonts w:ascii="Times New Roman" w:cs="Times New Roman" w:eastAsia="Times New Roman" w:hAnsi="Times New Roman"/>
          <w:sz w:val="20"/>
          <w:szCs w:val="20"/>
          <w:color w:val="auto"/>
        </w:rPr>
      </w:pPr>
    </w:p>
    <w:p>
      <w:pPr>
        <w:ind w:left="74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Business Days (or such later date and time as the Administrative Agent and the L/C Issuer may agree in a particular instance in their sole</w:t>
      </w:r>
    </w:p>
    <w:p>
      <w:pPr>
        <w:spacing w:after="0" w:line="200" w:lineRule="exact"/>
        <w:rPr>
          <w:sz w:val="20"/>
          <w:szCs w:val="20"/>
          <w:color w:val="auto"/>
        </w:rPr>
      </w:pPr>
    </w:p>
    <w:p>
      <w:pPr>
        <w:spacing w:after="0" w:line="38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11" w:name="page112"/>
    <w:bookmarkEnd w:id="111"/>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 xml:space="preserve">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p>
      <w:pPr>
        <w:spacing w:after="0" w:line="186" w:lineRule="exact"/>
        <w:rPr>
          <w:sz w:val="20"/>
          <w:szCs w:val="20"/>
          <w:color w:val="auto"/>
        </w:rPr>
      </w:pPr>
    </w:p>
    <w:p>
      <w:pPr>
        <w:jc w:val="both"/>
        <w:ind w:left="380" w:firstLine="754"/>
        <w:spacing w:after="0" w:line="254" w:lineRule="auto"/>
        <w:tabs>
          <w:tab w:leader="none" w:pos="1524"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so requests in any applicable Letter of Credit Application (or the amendment of an outstanding Letter of Credit), the L/C Issuer may, in its sole discretion, agree to issue a Letter of Credit that has automatic extension provisions (each, an “</w:t>
      </w:r>
      <w:r>
        <w:rPr>
          <w:rFonts w:ascii="Times New Roman" w:cs="Times New Roman" w:eastAsia="Times New Roman" w:hAnsi="Times New Roman"/>
          <w:sz w:val="19"/>
          <w:szCs w:val="19"/>
          <w:i w:val="1"/>
          <w:iCs w:val="1"/>
          <w:u w:val="single" w:color="auto"/>
          <w:color w:val="auto"/>
        </w:rPr>
        <w:t>Auto</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i w:val="1"/>
          <w:iCs w:val="1"/>
          <w:u w:val="single" w:color="auto"/>
          <w:color w:val="auto"/>
        </w:rPr>
        <w:t>Extension Letter of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Auto-Extension Letter of Credit shall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9"/>
          <w:szCs w:val="19"/>
          <w:i w:val="1"/>
          <w:iCs w:val="1"/>
          <w:u w:val="single" w:color="auto"/>
          <w:color w:val="auto"/>
        </w:rPr>
        <w:t>Non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i w:val="1"/>
          <w:iCs w:val="1"/>
          <w:u w:val="single" w:color="auto"/>
          <w:color w:val="auto"/>
        </w:rPr>
        <w:t>Extension Notice Date</w:t>
      </w:r>
      <w:r>
        <w:rPr>
          <w:rFonts w:ascii="Times New Roman" w:cs="Times New Roman" w:eastAsia="Times New Roman" w:hAnsi="Times New Roman"/>
          <w:sz w:val="19"/>
          <w:szCs w:val="19"/>
          <w:color w:val="auto"/>
        </w:rPr>
        <w:t>”) in each such twelve-month period to be agreed upon by the Borrower and the L/C Issuer at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time such Letter of Credit is issued. Unless otherwise directed by the L/C Issuer, the Borrower shall not be required to make a specific request to the L/C Issuer for any such extension. Once an Auto-Extension Letter of Credit has been issued, the Revolving Lenders shall be deemed to have authorized (but may not require) the L/C Issuer to permit the extension of such Letter of Credit at any time to an expiration date not later than the date permitted pursuant to </w:t>
      </w:r>
      <w:r>
        <w:rPr>
          <w:rFonts w:ascii="Times New Roman" w:cs="Times New Roman" w:eastAsia="Times New Roman" w:hAnsi="Times New Roman"/>
          <w:sz w:val="19"/>
          <w:szCs w:val="19"/>
          <w:u w:val="single" w:color="auto"/>
          <w:color w:val="auto"/>
        </w:rPr>
        <w:t>Section 2.03(d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L/C Issuer shall not (A) permit any such extension if (1) the L/C Issuer has determined that it would 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be permitted, or would have no obligation, at such time to issue such Letter of Credit in its extended form under the terms hereof (except that the expiration date may be extended to a date that is no more than one (1) year from the then-current expiration date) or (2) it has received notice (which may be in writing or by telephone (if promptly confirmed in writing)) on or before the day that is seven (7) Business Days before the Non-Extension Notice Date from the Administrative Agent that the majority of the Revolving Lenders have elected not to permit such extension or (B) be obligated to permit such extension if it has received notice (which may be in writing or by telephone (if promptly confirmed in writing)) on or before the day that is seven (7) Business Days before the Non-Extension Notice Date from the Administrative Agent, any Revolving Lender or the Borrower that one or more of the applicable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is not then satisfied, and in each such case directing the L/C Issuer not to permit such extension.</w:t>
      </w:r>
    </w:p>
    <w:p>
      <w:pPr>
        <w:spacing w:after="0" w:line="175" w:lineRule="exact"/>
        <w:rPr>
          <w:rFonts w:ascii="Times New Roman" w:cs="Times New Roman" w:eastAsia="Times New Roman" w:hAnsi="Times New Roman"/>
          <w:sz w:val="19"/>
          <w:szCs w:val="19"/>
          <w:color w:val="auto"/>
        </w:rPr>
      </w:pPr>
    </w:p>
    <w:p>
      <w:pPr>
        <w:jc w:val="both"/>
        <w:ind w:left="-360" w:firstLine="745"/>
        <w:spacing w:after="0" w:line="245" w:lineRule="auto"/>
        <w:tabs>
          <w:tab w:leader="none" w:pos="78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on Amounts, Issuance and Amendment</w:t>
      </w:r>
      <w:r>
        <w:rPr>
          <w:rFonts w:ascii="Times New Roman" w:cs="Times New Roman" w:eastAsia="Times New Roman" w:hAnsi="Times New Roman"/>
          <w:sz w:val="20"/>
          <w:szCs w:val="20"/>
          <w:color w:val="auto"/>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(w) the aggregate amount of the outstanding Letters of Credit issued by the L/C Issuer shall not exceed its L/C Commitment, (x) the aggregate L/C Obligations shall not exceed the L/C Sublimit, (y) the Revolving Exposure of any Lender shall not exceed its Revolving</w:t>
      </w: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12" w:name="page113"/>
    <w:bookmarkEnd w:id="112"/>
    <w:p>
      <w:pPr>
        <w:ind w:left="3"/>
        <w:spacing w:after="0"/>
        <w:rPr>
          <w:sz w:val="20"/>
          <w:szCs w:val="20"/>
          <w:color w:val="auto"/>
        </w:rPr>
      </w:pPr>
      <w:r>
        <w:rPr>
          <w:rFonts w:ascii="Times New Roman" w:cs="Times New Roman" w:eastAsia="Times New Roman" w:hAnsi="Times New Roman"/>
          <w:sz w:val="20"/>
          <w:szCs w:val="20"/>
          <w:color w:val="auto"/>
        </w:rPr>
        <w:t>Commitment and (z) the Total Revolving Exposure shall not exceed the total Revolving Commitments.</w:t>
      </w:r>
    </w:p>
    <w:p>
      <w:pPr>
        <w:spacing w:after="0" w:line="215" w:lineRule="exact"/>
        <w:rPr>
          <w:sz w:val="20"/>
          <w:szCs w:val="20"/>
          <w:color w:val="auto"/>
        </w:rPr>
      </w:pPr>
    </w:p>
    <w:p>
      <w:pPr>
        <w:ind w:left="1883" w:hanging="386"/>
        <w:spacing w:after="0"/>
        <w:tabs>
          <w:tab w:leader="none" w:pos="188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 Credit if:</w:t>
      </w:r>
    </w:p>
    <w:p>
      <w:pPr>
        <w:spacing w:after="0" w:line="214" w:lineRule="exact"/>
        <w:rPr>
          <w:rFonts w:ascii="Times New Roman" w:cs="Times New Roman" w:eastAsia="Times New Roman" w:hAnsi="Times New Roman"/>
          <w:sz w:val="20"/>
          <w:szCs w:val="20"/>
          <w:color w:val="auto"/>
        </w:rPr>
      </w:pPr>
    </w:p>
    <w:p>
      <w:pPr>
        <w:jc w:val="both"/>
        <w:ind w:left="1503" w:firstLine="743"/>
        <w:spacing w:after="0" w:line="242" w:lineRule="auto"/>
        <w:tabs>
          <w:tab w:leader="none" w:pos="2647"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91" w:lineRule="exact"/>
        <w:rPr>
          <w:rFonts w:ascii="Times New Roman" w:cs="Times New Roman" w:eastAsia="Times New Roman" w:hAnsi="Times New Roman"/>
          <w:sz w:val="20"/>
          <w:szCs w:val="20"/>
          <w:color w:val="auto"/>
        </w:rPr>
      </w:pPr>
    </w:p>
    <w:p>
      <w:pPr>
        <w:ind w:left="1503" w:right="60" w:firstLine="743"/>
        <w:spacing w:after="0" w:line="268" w:lineRule="auto"/>
        <w:tabs>
          <w:tab w:leader="none" w:pos="2647"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60" w:lineRule="exact"/>
        <w:rPr>
          <w:rFonts w:ascii="Times New Roman" w:cs="Times New Roman" w:eastAsia="Times New Roman" w:hAnsi="Times New Roman"/>
          <w:sz w:val="20"/>
          <w:szCs w:val="20"/>
          <w:color w:val="auto"/>
        </w:rPr>
      </w:pPr>
    </w:p>
    <w:p>
      <w:pPr>
        <w:ind w:left="1503" w:right="20" w:firstLine="743"/>
        <w:spacing w:after="0" w:line="268" w:lineRule="auto"/>
        <w:tabs>
          <w:tab w:leader="none" w:pos="2647"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the Letter of Credit is in an initial stated amount less than $100,000;</w:t>
      </w:r>
    </w:p>
    <w:p>
      <w:pPr>
        <w:spacing w:after="0" w:line="160" w:lineRule="exact"/>
        <w:rPr>
          <w:rFonts w:ascii="Times New Roman" w:cs="Times New Roman" w:eastAsia="Times New Roman" w:hAnsi="Times New Roman"/>
          <w:sz w:val="20"/>
          <w:szCs w:val="20"/>
          <w:color w:val="auto"/>
        </w:rPr>
      </w:pPr>
    </w:p>
    <w:p>
      <w:pPr>
        <w:jc w:val="both"/>
        <w:ind w:left="1503" w:firstLine="743"/>
        <w:spacing w:after="0" w:line="245" w:lineRule="auto"/>
        <w:tabs>
          <w:tab w:leader="none" w:pos="2647"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Revolving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82" w:lineRule="exact"/>
        <w:rPr>
          <w:rFonts w:ascii="Times New Roman" w:cs="Times New Roman" w:eastAsia="Times New Roman" w:hAnsi="Times New Roman"/>
          <w:sz w:val="20"/>
          <w:szCs w:val="20"/>
          <w:color w:val="auto"/>
        </w:rPr>
      </w:pPr>
    </w:p>
    <w:p>
      <w:pPr>
        <w:ind w:left="1503" w:right="20" w:firstLine="743"/>
        <w:spacing w:after="0" w:line="268" w:lineRule="auto"/>
        <w:tabs>
          <w:tab w:leader="none" w:pos="2647"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contains any provisions for automatic reinstatement of the stated amount after any drawing thereunder.</w:t>
      </w:r>
    </w:p>
    <w:p>
      <w:pPr>
        <w:spacing w:after="0" w:line="160" w:lineRule="exact"/>
        <w:rPr>
          <w:rFonts w:ascii="Times New Roman" w:cs="Times New Roman" w:eastAsia="Times New Roman" w:hAnsi="Times New Roman"/>
          <w:sz w:val="20"/>
          <w:szCs w:val="20"/>
          <w:color w:val="auto"/>
        </w:rPr>
      </w:pPr>
    </w:p>
    <w:p>
      <w:pPr>
        <w:jc w:val="both"/>
        <w:ind w:left="743" w:firstLine="754"/>
        <w:spacing w:after="0" w:line="253" w:lineRule="auto"/>
        <w:tabs>
          <w:tab w:leader="none" w:pos="188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76" w:lineRule="exact"/>
        <w:rPr>
          <w:sz w:val="20"/>
          <w:szCs w:val="20"/>
          <w:color w:val="auto"/>
        </w:rPr>
      </w:pPr>
    </w:p>
    <w:p>
      <w:pPr>
        <w:ind w:left="1143" w:hanging="395"/>
        <w:spacing w:after="0"/>
        <w:tabs>
          <w:tab w:leader="none" w:pos="1143"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Each Letter of Credit shall have a stated expiration date no later than the earlier of (i) the date twelve</w:t>
      </w:r>
    </w:p>
    <w:p>
      <w:pPr>
        <w:spacing w:after="0" w:line="32" w:lineRule="exact"/>
        <w:rPr>
          <w:rFonts w:ascii="Times New Roman" w:cs="Times New Roman" w:eastAsia="Times New Roman" w:hAnsi="Times New Roman"/>
          <w:sz w:val="19"/>
          <w:szCs w:val="19"/>
          <w:color w:val="auto"/>
        </w:rPr>
      </w:pPr>
    </w:p>
    <w:p>
      <w:pPr>
        <w:ind w:left="403" w:hanging="403"/>
        <w:spacing w:after="0"/>
        <w:tabs>
          <w:tab w:leader="none" w:pos="40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after the date of the issuance of such Letter of Credit (or, in the case of any extension of the expiration date thereof,</w:t>
      </w:r>
    </w:p>
    <w:p>
      <w:pPr>
        <w:spacing w:after="0" w:line="5" w:lineRule="exact"/>
        <w:rPr>
          <w:sz w:val="20"/>
          <w:szCs w:val="20"/>
          <w:color w:val="auto"/>
        </w:rPr>
      </w:pPr>
    </w:p>
    <w:p>
      <w:pPr>
        <w:ind w:left="3"/>
        <w:spacing w:after="0" w:line="236" w:lineRule="exact"/>
        <w:rPr>
          <w:sz w:val="20"/>
          <w:szCs w:val="20"/>
          <w:color w:val="auto"/>
        </w:rPr>
      </w:pPr>
      <w:r>
        <w:rPr>
          <w:rFonts w:ascii="Times New Roman" w:cs="Times New Roman" w:eastAsia="Times New Roman" w:hAnsi="Times New Roman"/>
          <w:sz w:val="20"/>
          <w:szCs w:val="20"/>
          <w:color w:val="auto"/>
        </w:rPr>
        <w:t>whether automatic or by amendment, twelve months after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expiration date of such Letter of Credit) and (ii) the date that is five (5) Business Days prior to the Maturity Date.</w:t>
      </w:r>
    </w:p>
    <w:p>
      <w:pPr>
        <w:spacing w:after="0" w:line="188" w:lineRule="exact"/>
        <w:rPr>
          <w:sz w:val="20"/>
          <w:szCs w:val="20"/>
          <w:color w:val="auto"/>
        </w:rPr>
      </w:pPr>
    </w:p>
    <w:p>
      <w:pPr>
        <w:ind w:left="1143" w:hanging="395"/>
        <w:spacing w:after="0"/>
        <w:tabs>
          <w:tab w:leader="none" w:pos="114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477520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1" w:right="339" w:bottom="1440" w:gutter="0" w:footer="0" w:header="0"/>
        </w:sectPr>
      </w:pPr>
    </w:p>
    <w:bookmarkStart w:id="113" w:name="page114"/>
    <w:bookmarkEnd w:id="113"/>
    <w:p>
      <w:pPr>
        <w:jc w:val="both"/>
        <w:ind w:left="380" w:firstLine="754"/>
        <w:spacing w:after="0" w:line="242" w:lineRule="auto"/>
        <w:tabs>
          <w:tab w:leader="none" w:pos="152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the issuance of a Letter of Credit (or an amendment to a Letter of Credit increasing the amount or extending the expiration date thereof), and without any further action on the part of the L/C Issuer or the Lenders, the L/C Issuer hereby grants to each Revolving Lender, and each Revolving Lender hereby acquires from the L/C Issuer, a participation in such Letter of Credit equal to such Lender’s Applicable Percentage of the aggregate amount available to be drawn under such Letter of Credit. Each Revolving Lender acknowledges and agrees that its obligation to acquire participations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p>
      <w:pPr>
        <w:spacing w:after="0" w:line="191" w:lineRule="exact"/>
        <w:rPr>
          <w:rFonts w:ascii="Times New Roman" w:cs="Times New Roman" w:eastAsia="Times New Roman" w:hAnsi="Times New Roman"/>
          <w:sz w:val="20"/>
          <w:szCs w:val="20"/>
          <w:color w:val="auto"/>
        </w:rPr>
      </w:pPr>
    </w:p>
    <w:p>
      <w:pPr>
        <w:ind w:left="380" w:firstLine="754"/>
        <w:spacing w:after="0" w:line="241" w:lineRule="auto"/>
        <w:tabs>
          <w:tab w:leader="none" w:pos="152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consideration and in furtherance of the foregoing, each Revolving Lender hereby absolutely, unconditionally and irrevocably agrees to pay to the Administrative Agent, </w:t>
      </w:r>
      <w:r>
        <w:rPr>
          <w:rFonts w:ascii="Times New Roman" w:cs="Times New Roman" w:eastAsia="Times New Roman" w:hAnsi="Times New Roman"/>
          <w:sz w:val="20"/>
          <w:szCs w:val="20"/>
          <w:u w:val="single" w:color="auto"/>
          <w:color w:val="0000FF"/>
        </w:rPr>
        <w:t>in Dollars,</w:t>
      </w:r>
      <w:r>
        <w:rPr>
          <w:rFonts w:ascii="Times New Roman" w:cs="Times New Roman" w:eastAsia="Times New Roman" w:hAnsi="Times New Roman"/>
          <w:sz w:val="20"/>
          <w:szCs w:val="20"/>
          <w:color w:val="auto"/>
        </w:rPr>
        <w:t xml:space="preserve"> for account of the L/C Issuer, such Lender’s Applicable Percentage of each L/C Disbursement made by the L/C Issuer </w:t>
      </w:r>
      <w:r>
        <w:rPr>
          <w:rFonts w:ascii="Times New Roman" w:cs="Times New Roman" w:eastAsia="Times New Roman" w:hAnsi="Times New Roman"/>
          <w:sz w:val="20"/>
          <w:szCs w:val="20"/>
          <w:u w:val="single" w:color="auto"/>
          <w:color w:val="0000FF"/>
        </w:rPr>
        <w:t>(expressed in Dollars in the amount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Dollar Equivalent thereof)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not later than 1:00 p.m. on the Business Day specified in the notice provided by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Administrative Agent to the Revolving Lenders pursuant to </w:t>
      </w:r>
      <w:r>
        <w:rPr>
          <w:rFonts w:ascii="Times New Roman" w:cs="Times New Roman" w:eastAsia="Times New Roman" w:hAnsi="Times New Roman"/>
          <w:sz w:val="20"/>
          <w:szCs w:val="20"/>
          <w:u w:val="single" w:color="auto"/>
          <w:color w:val="000000"/>
        </w:rPr>
        <w:t>Section 2.03(f</w:t>
      </w:r>
      <w:r>
        <w:rPr>
          <w:rFonts w:ascii="Times New Roman" w:cs="Times New Roman" w:eastAsia="Times New Roman" w:hAnsi="Times New Roman"/>
          <w:sz w:val="20"/>
          <w:szCs w:val="20"/>
          <w:color w:val="000000"/>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Times New Roman" w:cs="Times New Roman" w:eastAsia="Times New Roman" w:hAnsi="Times New Roman"/>
          <w:sz w:val="20"/>
          <w:szCs w:val="20"/>
          <w:u w:val="single" w:color="auto"/>
          <w:color w:val="000000"/>
        </w:rPr>
        <w:t>Section 2.02</w:t>
      </w:r>
      <w:r>
        <w:rPr>
          <w:rFonts w:ascii="Times New Roman" w:cs="Times New Roman" w:eastAsia="Times New Roman" w:hAnsi="Times New Roman"/>
          <w:sz w:val="20"/>
          <w:szCs w:val="20"/>
          <w:color w:val="000000"/>
        </w:rPr>
        <w:t xml:space="preserve"> with respect to Loans made by such Lender (and </w:t>
      </w:r>
      <w:r>
        <w:rPr>
          <w:rFonts w:ascii="Times New Roman" w:cs="Times New Roman" w:eastAsia="Times New Roman" w:hAnsi="Times New Roman"/>
          <w:sz w:val="20"/>
          <w:szCs w:val="20"/>
          <w:u w:val="single" w:color="auto"/>
          <w:color w:val="000000"/>
        </w:rPr>
        <w:t>Section 2.02</w:t>
      </w:r>
      <w:r>
        <w:rPr>
          <w:rFonts w:ascii="Times New Roman" w:cs="Times New Roman" w:eastAsia="Times New Roman" w:hAnsi="Times New Roman"/>
          <w:sz w:val="20"/>
          <w:szCs w:val="20"/>
          <w:color w:val="000000"/>
        </w:rPr>
        <w:t xml:space="preserve"> shall apply, </w:t>
      </w:r>
      <w:r>
        <w:rPr>
          <w:rFonts w:ascii="Times New Roman" w:cs="Times New Roman" w:eastAsia="Times New Roman" w:hAnsi="Times New Roman"/>
          <w:sz w:val="20"/>
          <w:szCs w:val="20"/>
          <w:i w:val="1"/>
          <w:iCs w:val="1"/>
          <w:color w:val="000000"/>
        </w:rPr>
        <w:t>mutatis mutandis</w:t>
      </w:r>
      <w:r>
        <w:rPr>
          <w:rFonts w:ascii="Times New Roman" w:cs="Times New Roman" w:eastAsia="Times New Roman" w:hAnsi="Times New Roman"/>
          <w:sz w:val="20"/>
          <w:szCs w:val="20"/>
          <w:color w:val="000000"/>
        </w:rPr>
        <w:t xml:space="preserve">, to the payment obligations of the Revolving Lenders pursuant to this </w:t>
      </w:r>
      <w:r>
        <w:rPr>
          <w:rFonts w:ascii="Times New Roman" w:cs="Times New Roman" w:eastAsia="Times New Roman" w:hAnsi="Times New Roman"/>
          <w:sz w:val="20"/>
          <w:szCs w:val="20"/>
          <w:u w:val="single" w:color="auto"/>
          <w:color w:val="000000"/>
        </w:rPr>
        <w:t>Section 2.03</w:t>
      </w:r>
      <w:r>
        <w:rPr>
          <w:rFonts w:ascii="Times New Roman" w:cs="Times New Roman" w:eastAsia="Times New Roman" w:hAnsi="Times New Roman"/>
          <w:sz w:val="20"/>
          <w:szCs w:val="20"/>
          <w:color w:val="000000"/>
        </w:rPr>
        <w:t xml:space="preserve">), and the Administrative Agent shall promptly pay to the L/C Issuer the amounts so received by it from the Lenders. Promptly following receipt by the Administrative Agent of any payment from the Borrower pursuant to </w:t>
      </w:r>
      <w:r>
        <w:rPr>
          <w:rFonts w:ascii="Times New Roman" w:cs="Times New Roman" w:eastAsia="Times New Roman" w:hAnsi="Times New Roman"/>
          <w:sz w:val="20"/>
          <w:szCs w:val="20"/>
          <w:u w:val="single" w:color="auto"/>
          <w:color w:val="000000"/>
        </w:rPr>
        <w:t>Section 2.03(f</w:t>
      </w:r>
      <w:r>
        <w:rPr>
          <w:rFonts w:ascii="Times New Roman" w:cs="Times New Roman" w:eastAsia="Times New Roman" w:hAnsi="Times New Roman"/>
          <w:sz w:val="20"/>
          <w:szCs w:val="20"/>
          <w:color w:val="000000"/>
        </w:rPr>
        <w:t xml:space="preserve">), the Administrative Agent shall distribute such payment to the L/C Issuer or, to the extent that the Revolving Lenders have made payments pursuant to this </w:t>
      </w:r>
      <w:r>
        <w:rPr>
          <w:rFonts w:ascii="Times New Roman" w:cs="Times New Roman" w:eastAsia="Times New Roman" w:hAnsi="Times New Roman"/>
          <w:sz w:val="20"/>
          <w:szCs w:val="20"/>
          <w:u w:val="single" w:color="auto"/>
          <w:color w:val="000000"/>
        </w:rPr>
        <w:t>clause (e</w:t>
      </w:r>
      <w:r>
        <w:rPr>
          <w:rFonts w:ascii="Times New Roman" w:cs="Times New Roman" w:eastAsia="Times New Roman" w:hAnsi="Times New Roman"/>
          <w:sz w:val="20"/>
          <w:szCs w:val="20"/>
          <w:color w:val="000000"/>
        </w:rPr>
        <w:t xml:space="preserve">) to reimburse the L/C Issuer, then to such Lenders and the L/C Issuer as their interests may appear. Any payment made by a Lender pursuant to this </w:t>
      </w:r>
      <w:r>
        <w:rPr>
          <w:rFonts w:ascii="Times New Roman" w:cs="Times New Roman" w:eastAsia="Times New Roman" w:hAnsi="Times New Roman"/>
          <w:sz w:val="20"/>
          <w:szCs w:val="20"/>
          <w:u w:val="single" w:color="auto"/>
          <w:color w:val="000000"/>
        </w:rPr>
        <w:t>clause (e</w:t>
      </w:r>
      <w:r>
        <w:rPr>
          <w:rFonts w:ascii="Times New Roman" w:cs="Times New Roman" w:eastAsia="Times New Roman" w:hAnsi="Times New Roman"/>
          <w:sz w:val="20"/>
          <w:szCs w:val="20"/>
          <w:color w:val="000000"/>
        </w:rPr>
        <w:t>) to reimburse the L/C Issuer for any L/C Disbursement shall not constitute a Loan and shall not relieve the Borrower of its obligation to reimburse such L/C Disbursement.</w:t>
      </w:r>
    </w:p>
    <w:p>
      <w:pPr>
        <w:spacing w:after="0" w:line="188"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as a result of an assignment in accordance with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or otherwise pursuant to this Agreement.</w:t>
      </w:r>
    </w:p>
    <w:p>
      <w:pPr>
        <w:spacing w:after="0" w:line="178" w:lineRule="exact"/>
        <w:rPr>
          <w:rFonts w:ascii="Times New Roman" w:cs="Times New Roman" w:eastAsia="Times New Roman" w:hAnsi="Times New Roman"/>
          <w:sz w:val="20"/>
          <w:szCs w:val="20"/>
          <w:color w:val="auto"/>
        </w:rPr>
      </w:pPr>
    </w:p>
    <w:p>
      <w:pPr>
        <w:jc w:val="both"/>
        <w:ind w:left="380" w:firstLine="754"/>
        <w:spacing w:after="0" w:line="243" w:lineRule="auto"/>
        <w:tabs>
          <w:tab w:leader="none" w:pos="152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w:t>
      </w:r>
      <w:r>
        <w:rPr>
          <w:rFonts w:ascii="Times New Roman" w:cs="Times New Roman" w:eastAsia="Times New Roman" w:hAnsi="Times New Roman"/>
          <w:sz w:val="20"/>
          <w:szCs w:val="20"/>
          <w:i w:val="1"/>
          <w:iCs w:val="1"/>
          <w:color w:val="auto"/>
        </w:rPr>
        <w:t>greater of</w:t>
      </w:r>
      <w:r>
        <w:rPr>
          <w:rFonts w:ascii="Times New Roman" w:cs="Times New Roman" w:eastAsia="Times New Roman" w:hAnsi="Times New Roman"/>
          <w:sz w:val="20"/>
          <w:szCs w:val="20"/>
          <w:color w:val="auto"/>
        </w:rPr>
        <w:t xml:space="preserve"> the Federal Funds Rate and a rate determined by the L/C Issuer in accordance with banking industry rules on interbank compensation,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L/C Issuer in connection with the foregoing. If such Lender</w:t>
      </w:r>
    </w:p>
    <w:p>
      <w:pPr>
        <w:spacing w:after="0" w:line="200" w:lineRule="exact"/>
        <w:rPr>
          <w:sz w:val="20"/>
          <w:szCs w:val="20"/>
          <w:color w:val="auto"/>
        </w:rPr>
      </w:pPr>
    </w:p>
    <w:p>
      <w:pPr>
        <w:spacing w:after="0" w:line="3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14" w:name="page115"/>
    <w:bookmarkEnd w:id="114"/>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 xml:space="preserve">pays such amount (with interest and fees as aforesaid), the amount so paid shall constitute such Lender’s Revolving Loan included in the relevant Revolving Borrowing or L/C Advance in respect of the relevant L/C Borrowing, as the case may be. A certificate of the L/C Issuer submitted to any Revolving Lender (through the Administrative Agent) with respect to any amounts owing under this </w:t>
      </w:r>
      <w:r>
        <w:rPr>
          <w:rFonts w:ascii="Times New Roman" w:cs="Times New Roman" w:eastAsia="Times New Roman" w:hAnsi="Times New Roman"/>
          <w:sz w:val="20"/>
          <w:szCs w:val="20"/>
          <w:u w:val="single" w:color="auto"/>
          <w:color w:val="auto"/>
        </w:rPr>
        <w:t>clause (e)(vi</w:t>
      </w:r>
      <w:r>
        <w:rPr>
          <w:rFonts w:ascii="Times New Roman" w:cs="Times New Roman" w:eastAsia="Times New Roman" w:hAnsi="Times New Roman"/>
          <w:sz w:val="20"/>
          <w:szCs w:val="20"/>
          <w:color w:val="auto"/>
        </w:rPr>
        <w:t>) shall be conclusive absent manifest error.</w:t>
      </w:r>
    </w:p>
    <w:p>
      <w:pPr>
        <w:spacing w:after="0" w:line="178" w:lineRule="exact"/>
        <w:rPr>
          <w:sz w:val="20"/>
          <w:szCs w:val="20"/>
          <w:color w:val="auto"/>
        </w:rPr>
      </w:pPr>
    </w:p>
    <w:p>
      <w:pPr>
        <w:jc w:val="both"/>
        <w:ind w:left="-360" w:firstLine="745"/>
        <w:spacing w:after="0"/>
        <w:tabs>
          <w:tab w:leader="none" w:pos="79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If the L/C Issuer shall make any L/C Disbursement in respect of a Letter of Credit, the Borrower shall reimburse the L/C Issuer in respect of such L/C Disbursement by paying to the Administrative Agent an amount equal to such L/C Disbursement not later than 12:00 noon on (i) the Business Day that the Borrower receives notice of such L/C Disbursement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currency in which such L/C Disbursement was made (or, if requested by the L/C Issuer, in the Dollar Equivalent of the amount of such L/C Disbursement),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if such notice is received prior to 10:00 a.m. or (ii) the Business Day immediately following the day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the Borrower receives such notice, if such notice is not received prior to such time (such date, as applicable, the “</w:t>
      </w:r>
      <w:r>
        <w:rPr>
          <w:rFonts w:ascii="Times New Roman" w:cs="Times New Roman" w:eastAsia="Times New Roman" w:hAnsi="Times New Roman"/>
          <w:sz w:val="20"/>
          <w:szCs w:val="20"/>
          <w:i w:val="1"/>
          <w:iCs w:val="1"/>
          <w:u w:val="single" w:color="auto"/>
          <w:color w:val="000000"/>
        </w:rPr>
        <w:t>Reimbursement Date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provided</w:t>
      </w:r>
      <w:r>
        <w:rPr>
          <w:rFonts w:ascii="Times New Roman" w:cs="Times New Roman" w:eastAsia="Times New Roman" w:hAnsi="Times New Roman"/>
          <w:sz w:val="20"/>
          <w:szCs w:val="20"/>
          <w:color w:val="000000"/>
        </w:rPr>
        <w:t xml:space="preserve"> that, anything contained herein to the contrary notwithstanding, (x) unless the Borrower shall have notified the Administrative Agent and the L/C Issuer prior to 10:00 a.m. on the Reimbursement Date that the Borrower intends to reimburse the L/C Issuer in respect of such L/C Disbursement with funds other than the proceeds of Revolving Loans, the Borrower shall be deemed to have given a timely Loan Notice to the Administrative Agent requesting each Revolving Lender to make Revolving Loans that are Base Rate Loans on the Reimbursement Date in </w:t>
      </w:r>
      <w:r>
        <w:rPr>
          <w:rFonts w:ascii="Times New Roman" w:cs="Times New Roman" w:eastAsia="Times New Roman" w:hAnsi="Times New Roman"/>
          <w:sz w:val="20"/>
          <w:szCs w:val="20"/>
          <w:color w:val="FF0000"/>
          <w:strike w:val="1"/>
        </w:rPr>
        <w:t>an equivalent amount</w:t>
      </w:r>
      <w:r>
        <w:rPr>
          <w:rFonts w:ascii="Times New Roman" w:cs="Times New Roman" w:eastAsia="Times New Roman" w:hAnsi="Times New Roman"/>
          <w:sz w:val="20"/>
          <w:szCs w:val="20"/>
          <w:u w:val="single" w:color="auto"/>
          <w:color w:val="0000FF"/>
        </w:rPr>
        <w:t>the Dollar Equivalent of 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amount of such L/C Disbursement</w:t>
      </w:r>
      <w:r>
        <w:rPr>
          <w:rFonts w:ascii="Times New Roman" w:cs="Times New Roman" w:eastAsia="Times New Roman" w:hAnsi="Times New Roman"/>
          <w:sz w:val="20"/>
          <w:szCs w:val="20"/>
          <w:color w:val="000000"/>
        </w:rPr>
        <w:t>, and (y) the Administrative Agent shall notify each Revolving Lender of the applicable L/C</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Disbursement, the payment then due from the Borrower in respect thereof (the “</w:t>
      </w:r>
      <w:r>
        <w:rPr>
          <w:rFonts w:ascii="Times New Roman" w:cs="Times New Roman" w:eastAsia="Times New Roman" w:hAnsi="Times New Roman"/>
          <w:sz w:val="20"/>
          <w:szCs w:val="20"/>
          <w:i w:val="1"/>
          <w:iCs w:val="1"/>
          <w:u w:val="single" w:color="auto"/>
          <w:color w:val="000000"/>
        </w:rPr>
        <w:t>Unreimbursed Amount</w:t>
      </w:r>
      <w:r>
        <w:rPr>
          <w:rFonts w:ascii="Times New Roman" w:cs="Times New Roman" w:eastAsia="Times New Roman" w:hAnsi="Times New Roman"/>
          <w:sz w:val="20"/>
          <w:szCs w:val="20"/>
          <w:color w:val="000000"/>
        </w:rPr>
        <w:t xml:space="preserve">”) and such Lender’s Applicable Percentage thereof. Promptly upon receipt of such notice, each Revolving Lender shall pay to the Administrative Agent its Applicable Percentage of the Unreimbursed Amount pursuant to </w:t>
      </w:r>
      <w:r>
        <w:rPr>
          <w:rFonts w:ascii="Times New Roman" w:cs="Times New Roman" w:eastAsia="Times New Roman" w:hAnsi="Times New Roman"/>
          <w:sz w:val="20"/>
          <w:szCs w:val="20"/>
          <w:u w:val="single" w:color="auto"/>
          <w:color w:val="000000"/>
        </w:rPr>
        <w:t>Section 2.03(e)(ii</w:t>
      </w:r>
      <w:r>
        <w:rPr>
          <w:rFonts w:ascii="Times New Roman" w:cs="Times New Roman" w:eastAsia="Times New Roman" w:hAnsi="Times New Roman"/>
          <w:sz w:val="20"/>
          <w:szCs w:val="20"/>
          <w:color w:val="000000"/>
        </w:rPr>
        <w:t xml:space="preserve">), subject to the amount of the unutilized portion of the aggregate Revolving Commitments. Any notice given by the L/C Issuer or the Administrative Agent pursuant to this </w:t>
      </w:r>
      <w:r>
        <w:rPr>
          <w:rFonts w:ascii="Times New Roman" w:cs="Times New Roman" w:eastAsia="Times New Roman" w:hAnsi="Times New Roman"/>
          <w:sz w:val="20"/>
          <w:szCs w:val="20"/>
          <w:u w:val="single" w:color="auto"/>
          <w:color w:val="000000"/>
        </w:rPr>
        <w:t>Section 2.03(f</w:t>
      </w:r>
      <w:r>
        <w:rPr>
          <w:rFonts w:ascii="Times New Roman" w:cs="Times New Roman" w:eastAsia="Times New Roman" w:hAnsi="Times New Roman"/>
          <w:sz w:val="20"/>
          <w:szCs w:val="20"/>
          <w:color w:val="000000"/>
        </w:rPr>
        <w:t xml:space="preserve">) may be given by telephone if immediately confirmed in writing; </w:t>
      </w:r>
      <w:r>
        <w:rPr>
          <w:rFonts w:ascii="Times New Roman" w:cs="Times New Roman" w:eastAsia="Times New Roman" w:hAnsi="Times New Roman"/>
          <w:sz w:val="20"/>
          <w:szCs w:val="20"/>
          <w:i w:val="1"/>
          <w:iCs w:val="1"/>
          <w:color w:val="000000"/>
        </w:rPr>
        <w:t>provided</w:t>
      </w:r>
      <w:r>
        <w:rPr>
          <w:rFonts w:ascii="Times New Roman" w:cs="Times New Roman" w:eastAsia="Times New Roman" w:hAnsi="Times New Roman"/>
          <w:sz w:val="20"/>
          <w:szCs w:val="20"/>
          <w:color w:val="000000"/>
        </w:rPr>
        <w:t xml:space="preserve"> that the lack of such an immediate confirmation shall not affect the conclusiveness or binding effect of such notice.</w:t>
      </w:r>
    </w:p>
    <w:p>
      <w:pPr>
        <w:spacing w:after="0" w:line="202" w:lineRule="exact"/>
        <w:rPr>
          <w:rFonts w:ascii="Times New Roman" w:cs="Times New Roman" w:eastAsia="Times New Roman" w:hAnsi="Times New Roman"/>
          <w:sz w:val="20"/>
          <w:szCs w:val="20"/>
          <w:color w:val="auto"/>
        </w:rPr>
      </w:pPr>
    </w:p>
    <w:p>
      <w:pPr>
        <w:jc w:val="both"/>
        <w:ind w:left="-360" w:firstLine="745"/>
        <w:spacing w:after="0" w:line="253" w:lineRule="auto"/>
        <w:tabs>
          <w:tab w:leader="none" w:pos="79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 to reimburse L/C Disbursements as provided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be absolute, unconditional and irrevocable, and shall be performed strictly in accordance with the terms of this Agreement under any and all circumstances whatsoever and irrespective of:</w:t>
      </w:r>
    </w:p>
    <w:p>
      <w:pPr>
        <w:spacing w:after="0" w:line="176" w:lineRule="exact"/>
        <w:rPr>
          <w:sz w:val="20"/>
          <w:szCs w:val="20"/>
          <w:color w:val="auto"/>
        </w:rPr>
      </w:pPr>
    </w:p>
    <w:p>
      <w:pPr>
        <w:jc w:val="both"/>
        <w:ind w:left="380" w:right="20" w:firstLine="749"/>
        <w:spacing w:after="0" w:line="268" w:lineRule="auto"/>
        <w:rPr>
          <w:sz w:val="20"/>
          <w:szCs w:val="20"/>
          <w:color w:val="auto"/>
        </w:rPr>
      </w:pPr>
      <w:r>
        <w:rPr>
          <w:rFonts w:ascii="Times New Roman" w:cs="Times New Roman" w:eastAsia="Times New Roman" w:hAnsi="Times New Roman"/>
          <w:sz w:val="20"/>
          <w:szCs w:val="20"/>
          <w:color w:val="auto"/>
        </w:rPr>
        <w:t>(i)any lack of validity or enforceability of this Agreement, any other Loan Document or any Letter of Credit, or any term or provision herein or therein;</w:t>
      </w:r>
    </w:p>
    <w:p>
      <w:pPr>
        <w:spacing w:after="0" w:line="161"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0"/>
          <w:szCs w:val="20"/>
          <w:color w:val="auto"/>
        </w:rPr>
        <w:t>(ii)the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3" w:lineRule="exact"/>
        <w:rPr>
          <w:sz w:val="20"/>
          <w:szCs w:val="20"/>
          <w:color w:val="auto"/>
        </w:rPr>
      </w:pPr>
    </w:p>
    <w:p>
      <w:pPr>
        <w:jc w:val="both"/>
        <w:ind w:left="380" w:right="20" w:firstLine="749"/>
        <w:spacing w:after="0" w:line="253" w:lineRule="auto"/>
        <w:rPr>
          <w:sz w:val="20"/>
          <w:szCs w:val="20"/>
          <w:color w:val="auto"/>
        </w:rPr>
      </w:pPr>
      <w:r>
        <w:rPr>
          <w:rFonts w:ascii="Times New Roman" w:cs="Times New Roman" w:eastAsia="Times New Roman" w:hAnsi="Times New Roman"/>
          <w:sz w:val="20"/>
          <w:szCs w:val="20"/>
          <w:color w:val="auto"/>
        </w:rPr>
        <w:t>(iii)any draft, demand, certificate or other document presented under such Letter of Credit proving to be forged, fraudulent, invalid or insufficient in any respect or any statement in such draft or other document being untrue or inaccurate in any respect; or any</w:t>
      </w:r>
    </w:p>
    <w:p>
      <w:pPr>
        <w:spacing w:after="0" w:line="200" w:lineRule="exact"/>
        <w:rPr>
          <w:sz w:val="20"/>
          <w:szCs w:val="20"/>
          <w:color w:val="auto"/>
        </w:rPr>
      </w:pPr>
    </w:p>
    <w:p>
      <w:pPr>
        <w:spacing w:after="0" w:line="3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15" w:name="page116"/>
    <w:bookmarkEnd w:id="115"/>
    <w:p>
      <w:pPr>
        <w:jc w:val="both"/>
        <w:ind w:left="380"/>
        <w:spacing w:after="0" w:line="268" w:lineRule="auto"/>
        <w:rPr>
          <w:sz w:val="20"/>
          <w:szCs w:val="20"/>
          <w:color w:val="auto"/>
        </w:rPr>
      </w:pPr>
      <w:r>
        <w:rPr>
          <w:rFonts w:ascii="Times New Roman" w:cs="Times New Roman" w:eastAsia="Times New Roman" w:hAnsi="Times New Roman"/>
          <w:sz w:val="20"/>
          <w:szCs w:val="20"/>
          <w:color w:val="auto"/>
        </w:rPr>
        <w:t>loss or delay in the transmission or otherwise of any document required in order to make a drawing under such Letter of Credit;</w:t>
      </w:r>
    </w:p>
    <w:p>
      <w:pPr>
        <w:spacing w:after="0" w:line="161" w:lineRule="exact"/>
        <w:rPr>
          <w:sz w:val="20"/>
          <w:szCs w:val="20"/>
          <w:color w:val="auto"/>
        </w:rPr>
      </w:pPr>
    </w:p>
    <w:p>
      <w:pPr>
        <w:jc w:val="both"/>
        <w:ind w:left="380" w:right="20" w:firstLine="749"/>
        <w:spacing w:after="0" w:line="268" w:lineRule="auto"/>
        <w:rPr>
          <w:sz w:val="20"/>
          <w:szCs w:val="20"/>
          <w:color w:val="auto"/>
        </w:rPr>
      </w:pPr>
      <w:r>
        <w:rPr>
          <w:rFonts w:ascii="Times New Roman" w:cs="Times New Roman" w:eastAsia="Times New Roman" w:hAnsi="Times New Roman"/>
          <w:sz w:val="20"/>
          <w:szCs w:val="20"/>
          <w:color w:val="auto"/>
        </w:rPr>
        <w:t>(iv)waiver by the L/C Issuer of any requirement that exists for the L/C Issuer’s protection and not the protection of the Borrower or any waiver by the L/C Issuer which does not in fact materially prejudice the Borrower;</w:t>
      </w:r>
    </w:p>
    <w:p>
      <w:pPr>
        <w:spacing w:after="0" w:line="161" w:lineRule="exact"/>
        <w:rPr>
          <w:sz w:val="20"/>
          <w:szCs w:val="20"/>
          <w:color w:val="auto"/>
        </w:rPr>
      </w:pPr>
    </w:p>
    <w:p>
      <w:pPr>
        <w:jc w:val="both"/>
        <w:ind w:left="380" w:right="20" w:firstLine="749"/>
        <w:spacing w:after="0" w:line="268" w:lineRule="auto"/>
        <w:rPr>
          <w:sz w:val="20"/>
          <w:szCs w:val="20"/>
          <w:color w:val="auto"/>
        </w:rPr>
      </w:pPr>
      <w:r>
        <w:rPr>
          <w:rFonts w:ascii="Times New Roman" w:cs="Times New Roman" w:eastAsia="Times New Roman" w:hAnsi="Times New Roman"/>
          <w:sz w:val="20"/>
          <w:szCs w:val="20"/>
          <w:color w:val="auto"/>
        </w:rPr>
        <w:t>(v)honor of a demand for payment presented electronically even if such Letter of Credit required that demand be in the form of a draft;</w:t>
      </w:r>
    </w:p>
    <w:p>
      <w:pPr>
        <w:spacing w:after="0" w:line="161" w:lineRule="exact"/>
        <w:rPr>
          <w:sz w:val="20"/>
          <w:szCs w:val="20"/>
          <w:color w:val="auto"/>
        </w:rPr>
      </w:pPr>
    </w:p>
    <w:p>
      <w:pPr>
        <w:jc w:val="both"/>
        <w:ind w:left="380" w:firstLine="749"/>
        <w:spacing w:after="0" w:line="253" w:lineRule="auto"/>
        <w:rPr>
          <w:sz w:val="20"/>
          <w:szCs w:val="20"/>
          <w:color w:val="auto"/>
        </w:rPr>
      </w:pPr>
      <w:r>
        <w:rPr>
          <w:rFonts w:ascii="Times New Roman" w:cs="Times New Roman" w:eastAsia="Times New Roman" w:hAnsi="Times New Roman"/>
          <w:sz w:val="20"/>
          <w:szCs w:val="20"/>
          <w:color w:val="auto"/>
        </w:rPr>
        <w:t>(vi)any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6"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0"/>
          <w:szCs w:val="20"/>
          <w:color w:val="auto"/>
        </w:rPr>
        <w:t xml:space="preserve">(vii)payment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w:t>
      </w:r>
      <w:r>
        <w:rPr>
          <w:rFonts w:ascii="Times New Roman" w:cs="Times New Roman" w:eastAsia="Times New Roman" w:hAnsi="Times New Roman"/>
          <w:sz w:val="20"/>
          <w:szCs w:val="20"/>
          <w:color w:val="FF0000"/>
          <w:strike w:val="1"/>
        </w:rPr>
        <w:t>or</w:t>
      </w:r>
    </w:p>
    <w:p>
      <w:pPr>
        <w:spacing w:after="0" w:line="183" w:lineRule="exact"/>
        <w:rPr>
          <w:sz w:val="20"/>
          <w:szCs w:val="20"/>
          <w:color w:val="auto"/>
        </w:rPr>
      </w:pPr>
    </w:p>
    <w:p>
      <w:pPr>
        <w:jc w:val="both"/>
        <w:ind w:left="380" w:firstLine="749"/>
        <w:spacing w:after="0" w:line="253" w:lineRule="auto"/>
        <w:rPr>
          <w:sz w:val="20"/>
          <w:szCs w:val="20"/>
          <w:color w:val="auto"/>
        </w:rPr>
      </w:pPr>
      <w:r>
        <w:rPr>
          <w:rFonts w:ascii="Times New Roman" w:cs="Times New Roman" w:eastAsia="Times New Roman" w:hAnsi="Times New Roman"/>
          <w:sz w:val="20"/>
          <w:szCs w:val="20"/>
          <w:color w:val="auto"/>
        </w:rPr>
        <w:t xml:space="preserve">(viii)any other event or circumstance whatsoever, whether or not similar to any of the foregoing, that might, but for the provisions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constitute a legal or equitable discharge of, or provide a right of setoff against, the Borrower’s obligations hereunder</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 or</w:t>
      </w:r>
    </w:p>
    <w:p>
      <w:pPr>
        <w:spacing w:after="0" w:line="176" w:lineRule="exact"/>
        <w:rPr>
          <w:sz w:val="20"/>
          <w:szCs w:val="20"/>
          <w:color w:val="auto"/>
        </w:rPr>
      </w:pPr>
    </w:p>
    <w:p>
      <w:pPr>
        <w:jc w:val="both"/>
        <w:ind w:left="380" w:firstLine="749"/>
        <w:spacing w:after="0" w:line="268" w:lineRule="auto"/>
        <w:rPr>
          <w:sz w:val="20"/>
          <w:szCs w:val="20"/>
          <w:color w:val="auto"/>
        </w:rPr>
      </w:pPr>
      <w:r>
        <w:rPr>
          <w:rFonts w:ascii="Times New Roman" w:cs="Times New Roman" w:eastAsia="Times New Roman" w:hAnsi="Times New Roman"/>
          <w:sz w:val="20"/>
          <w:szCs w:val="20"/>
          <w:u w:val="single" w:color="auto"/>
          <w:color w:val="0000FF"/>
        </w:rPr>
        <w:t>(ix)any adverse change in the relevant exchange rates or in the availability of the relevant Alternative Currency to the Borrower or any Subsidiary or in the relevant currency markets generally.</w:t>
      </w:r>
    </w:p>
    <w:p>
      <w:pPr>
        <w:spacing w:after="0" w:line="161" w:lineRule="exact"/>
        <w:rPr>
          <w:sz w:val="20"/>
          <w:szCs w:val="20"/>
          <w:color w:val="auto"/>
        </w:rPr>
      </w:pPr>
    </w:p>
    <w:p>
      <w:pPr>
        <w:jc w:val="both"/>
        <w:ind w:left="-360" w:firstLine="745"/>
        <w:spacing w:after="0" w:line="249" w:lineRule="auto"/>
        <w:tabs>
          <w:tab w:leader="none" w:pos="78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Examination</w:t>
      </w:r>
      <w:r>
        <w:rPr>
          <w:rFonts w:ascii="Times New Roman" w:cs="Times New Roman" w:eastAsia="Times New Roman" w:hAnsi="Times New Roman"/>
          <w:sz w:val="20"/>
          <w:szCs w:val="20"/>
          <w:color w:val="auto"/>
        </w:rPr>
        <w:t>. 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78" w:lineRule="exact"/>
        <w:rPr>
          <w:rFonts w:ascii="Times New Roman" w:cs="Times New Roman" w:eastAsia="Times New Roman" w:hAnsi="Times New Roman"/>
          <w:sz w:val="20"/>
          <w:szCs w:val="20"/>
          <w:color w:val="auto"/>
        </w:rPr>
      </w:pPr>
    </w:p>
    <w:p>
      <w:pPr>
        <w:jc w:val="both"/>
        <w:ind w:left="-360" w:firstLine="745"/>
        <w:spacing w:after="0" w:line="256" w:lineRule="auto"/>
        <w:tabs>
          <w:tab w:leader="none" w:pos="798"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Liability</w:t>
      </w:r>
      <w:r>
        <w:rPr>
          <w:rFonts w:ascii="Times New Roman" w:cs="Times New Roman" w:eastAsia="Times New Roman" w:hAnsi="Times New Roman"/>
          <w:sz w:val="19"/>
          <w:szCs w:val="19"/>
          <w:color w:val="auto"/>
        </w:rPr>
        <w:t xml:space="preserve">. 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w:t>
      </w:r>
    </w:p>
    <w:p>
      <w:pPr>
        <w:spacing w:after="0" w:line="200" w:lineRule="exact"/>
        <w:rPr>
          <w:sz w:val="20"/>
          <w:szCs w:val="20"/>
          <w:color w:val="auto"/>
        </w:rPr>
      </w:pPr>
    </w:p>
    <w:p>
      <w:pPr>
        <w:spacing w:after="0" w:line="3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16" w:name="page117"/>
    <w:bookmarkEnd w:id="116"/>
    <w:p>
      <w:pPr>
        <w:ind w:right="20"/>
        <w:spacing w:after="0" w:line="268" w:lineRule="auto"/>
        <w:rPr>
          <w:sz w:val="20"/>
          <w:szCs w:val="20"/>
          <w:color w:val="auto"/>
        </w:rPr>
      </w:pPr>
      <w:r>
        <w:rPr>
          <w:rFonts w:ascii="Times New Roman" w:cs="Times New Roman" w:eastAsia="Times New Roman" w:hAnsi="Times New Roman"/>
          <w:sz w:val="20"/>
          <w:szCs w:val="20"/>
          <w:color w:val="auto"/>
        </w:rPr>
        <w:t>expressly agree that, in the absence of gross negligence or willful misconduct on the part of the L/C Issuer (as finally determined by a court of competent jurisdiction), the L/C Issuer shall be deemed to have exercised care in each such determination, and that:</w:t>
      </w:r>
    </w:p>
    <w:p>
      <w:pPr>
        <w:spacing w:after="0" w:line="161" w:lineRule="exact"/>
        <w:rPr>
          <w:sz w:val="20"/>
          <w:szCs w:val="20"/>
          <w:color w:val="auto"/>
        </w:rPr>
      </w:pPr>
    </w:p>
    <w:p>
      <w:pPr>
        <w:jc w:val="both"/>
        <w:ind w:left="740" w:right="20" w:firstLine="749"/>
        <w:spacing w:after="0" w:line="268" w:lineRule="auto"/>
        <w:rPr>
          <w:sz w:val="20"/>
          <w:szCs w:val="20"/>
          <w:color w:val="auto"/>
        </w:rPr>
      </w:pPr>
      <w:r>
        <w:rPr>
          <w:rFonts w:ascii="Times New Roman" w:cs="Times New Roman" w:eastAsia="Times New Roman" w:hAnsi="Times New Roman"/>
          <w:sz w:val="20"/>
          <w:szCs w:val="20"/>
          <w:color w:val="auto"/>
        </w:rPr>
        <w:t>(i)the L/C Issuer may replace a purportedly lost, stolen, or destroyed original Letter of Credit or missing amendment thereto with a certified true copy marked as such or waive a requirement for its presentation;</w:t>
      </w:r>
    </w:p>
    <w:p>
      <w:pPr>
        <w:spacing w:after="0" w:line="161" w:lineRule="exact"/>
        <w:rPr>
          <w:sz w:val="20"/>
          <w:szCs w:val="20"/>
          <w:color w:val="auto"/>
        </w:rPr>
      </w:pPr>
    </w:p>
    <w:p>
      <w:pPr>
        <w:jc w:val="both"/>
        <w:ind w:left="740" w:firstLine="749"/>
        <w:spacing w:after="0" w:line="266" w:lineRule="auto"/>
        <w:rPr>
          <w:sz w:val="20"/>
          <w:szCs w:val="20"/>
          <w:color w:val="auto"/>
        </w:rPr>
      </w:pPr>
      <w:r>
        <w:rPr>
          <w:rFonts w:ascii="Times New Roman" w:cs="Times New Roman" w:eastAsia="Times New Roman" w:hAnsi="Times New Roman"/>
          <w:sz w:val="19"/>
          <w:szCs w:val="19"/>
          <w:color w:val="auto"/>
        </w:rPr>
        <w:t>(ii)the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64" w:lineRule="exact"/>
        <w:rPr>
          <w:sz w:val="20"/>
          <w:szCs w:val="20"/>
          <w:color w:val="auto"/>
        </w:rPr>
      </w:pPr>
    </w:p>
    <w:p>
      <w:pPr>
        <w:jc w:val="both"/>
        <w:ind w:left="740" w:firstLine="749"/>
        <w:spacing w:after="0" w:line="268" w:lineRule="auto"/>
        <w:rPr>
          <w:sz w:val="20"/>
          <w:szCs w:val="20"/>
          <w:color w:val="auto"/>
        </w:rPr>
      </w:pPr>
      <w:r>
        <w:rPr>
          <w:rFonts w:ascii="Times New Roman" w:cs="Times New Roman" w:eastAsia="Times New Roman" w:hAnsi="Times New Roman"/>
          <w:sz w:val="20"/>
          <w:szCs w:val="20"/>
          <w:color w:val="auto"/>
        </w:rPr>
        <w:t>(iii)the L/C Issuer shall have the right, in its sole discretion, to decline to accept such documents and to make such payment if such documents are not in strict compliance with the terms of such Letter of Credit; and</w:t>
      </w:r>
    </w:p>
    <w:p>
      <w:pPr>
        <w:spacing w:after="0" w:line="161" w:lineRule="exact"/>
        <w:rPr>
          <w:sz w:val="20"/>
          <w:szCs w:val="20"/>
          <w:color w:val="auto"/>
        </w:rPr>
      </w:pPr>
    </w:p>
    <w:p>
      <w:pPr>
        <w:jc w:val="both"/>
        <w:ind w:left="740" w:firstLine="749"/>
        <w:spacing w:after="0" w:line="253" w:lineRule="auto"/>
        <w:rPr>
          <w:sz w:val="20"/>
          <w:szCs w:val="20"/>
          <w:color w:val="auto"/>
        </w:rPr>
      </w:pPr>
      <w:r>
        <w:rPr>
          <w:rFonts w:ascii="Times New Roman" w:cs="Times New Roman" w:eastAsia="Times New Roman" w:hAnsi="Times New Roman"/>
          <w:sz w:val="20"/>
          <w:szCs w:val="20"/>
          <w:color w:val="auto"/>
        </w:rPr>
        <w:t>(iv)this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6" w:lineRule="exact"/>
        <w:rPr>
          <w:sz w:val="20"/>
          <w:szCs w:val="20"/>
          <w:color w:val="auto"/>
        </w:rPr>
      </w:pPr>
    </w:p>
    <w:p>
      <w:pPr>
        <w:jc w:val="both"/>
        <w:ind w:left="740" w:firstLine="70"/>
        <w:spacing w:after="0" w:line="246" w:lineRule="auto"/>
        <w:rPr>
          <w:sz w:val="20"/>
          <w:szCs w:val="20"/>
          <w:color w:val="auto"/>
        </w:rPr>
      </w:pPr>
      <w:r>
        <w:rPr>
          <w:rFonts w:ascii="Times New Roman" w:cs="Times New Roman" w:eastAsia="Times New Roman" w:hAnsi="Times New Roman"/>
          <w:sz w:val="20"/>
          <w:szCs w:val="20"/>
          <w:color w:val="auto"/>
        </w:rPr>
        <w:t>Without limiting the foregoing, none of the Administrative Agent, the Lenders, the L/C Issuer, or any of their Related Parties shall have any liability or responsibility by reason of (A) any presentation that includes forged or fraudulent documents or that is otherwise affected by the fraudulent, bad faith, or illegal conduct of the beneficiary or other Person,</w:t>
      </w:r>
    </w:p>
    <w:p>
      <w:pPr>
        <w:spacing w:after="0" w:line="3" w:lineRule="exact"/>
        <w:rPr>
          <w:sz w:val="20"/>
          <w:szCs w:val="20"/>
          <w:color w:val="auto"/>
        </w:rPr>
      </w:pPr>
    </w:p>
    <w:p>
      <w:pPr>
        <w:jc w:val="both"/>
        <w:ind w:left="740" w:firstLine="5"/>
        <w:spacing w:after="0"/>
        <w:tabs>
          <w:tab w:leader="none" w:pos="106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declining to take-up documents and make payment, (C) against documents that are fraudulent, forged, or for other reasons by which that it is entitled not to honor, (D) following a Borrower’s waiver of discrepancies with respect to such documents or request for honor of such documents or (E) the L/C Issuer retaining proceeds of a Letter of Credit based on an apparently applicable attachment order, blocking regulation, or third-party claim notified to the L/C Issuer.</w:t>
      </w:r>
    </w:p>
    <w:p>
      <w:pPr>
        <w:spacing w:after="0" w:line="190" w:lineRule="exact"/>
        <w:rPr>
          <w:sz w:val="20"/>
          <w:szCs w:val="20"/>
          <w:color w:val="auto"/>
        </w:rPr>
      </w:pPr>
    </w:p>
    <w:p>
      <w:pPr>
        <w:jc w:val="both"/>
        <w:ind w:firstLine="745"/>
        <w:spacing w:after="0" w:line="243" w:lineRule="auto"/>
        <w:tabs>
          <w:tab w:leader="none" w:pos="11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w:t>
      </w:r>
      <w:r>
        <w:rPr>
          <w:rFonts w:ascii="Times New Roman" w:cs="Times New Roman" w:eastAsia="Times New Roman" w:hAnsi="Times New Roman"/>
          <w:sz w:val="20"/>
          <w:szCs w:val="20"/>
          <w:color w:val="auto"/>
        </w:rPr>
        <w:t>. Unless otherwise expressly agreed by the L/C Issuer and the Borrower when a Letter of Credit is issued by it, the rules of the ISP shall apply.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6" w:lineRule="exact"/>
        <w:rPr>
          <w:rFonts w:ascii="Times New Roman" w:cs="Times New Roman" w:eastAsia="Times New Roman" w:hAnsi="Times New Roman"/>
          <w:sz w:val="20"/>
          <w:szCs w:val="20"/>
          <w:color w:val="auto"/>
        </w:rPr>
      </w:pPr>
    </w:p>
    <w:p>
      <w:pPr>
        <w:jc w:val="both"/>
        <w:ind w:firstLine="745"/>
        <w:spacing w:after="0" w:line="253" w:lineRule="auto"/>
        <w:tabs>
          <w:tab w:leader="none" w:pos="11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xml:space="preserve">. The L/C Issuer shall act on behalf of the Lenders with respect to any Letters of Credit issued by it and the documents associated therewith, and the L/C Issuer shall have all of the benefits and immunities (i) 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the L/C Issuer in connection with Letters of</w:t>
      </w:r>
    </w:p>
    <w:p>
      <w:pPr>
        <w:spacing w:after="0" w:line="200" w:lineRule="exact"/>
        <w:rPr>
          <w:sz w:val="20"/>
          <w:szCs w:val="20"/>
          <w:color w:val="auto"/>
        </w:rPr>
      </w:pPr>
    </w:p>
    <w:p>
      <w:pPr>
        <w:spacing w:after="0" w:line="37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17" w:name="page118"/>
    <w:bookmarkEnd w:id="11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the L/C Issuer with respect to such acts or omissions, and (ii) as additionally provided herein with respect to the L/C Issuer.</w:t>
      </w:r>
    </w:p>
    <w:p>
      <w:pPr>
        <w:spacing w:after="0" w:line="176" w:lineRule="exact"/>
        <w:rPr>
          <w:sz w:val="20"/>
          <w:szCs w:val="20"/>
          <w:color w:val="auto"/>
        </w:rPr>
      </w:pPr>
    </w:p>
    <w:p>
      <w:pPr>
        <w:jc w:val="both"/>
        <w:ind w:firstLine="745"/>
        <w:spacing w:after="0" w:line="242" w:lineRule="auto"/>
        <w:tabs>
          <w:tab w:leader="none" w:pos="114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The Borrower shall pay to the Administrative Agent for the account of each Revolving Lender in accordance with its Applicable Revolving Percentage a Letter of Credit fee (the “</w:t>
      </w:r>
      <w:r>
        <w:rPr>
          <w:rFonts w:ascii="Times New Roman" w:cs="Times New Roman" w:eastAsia="Times New Roman" w:hAnsi="Times New Roman"/>
          <w:sz w:val="20"/>
          <w:szCs w:val="20"/>
          <w:i w:val="1"/>
          <w:iCs w:val="1"/>
          <w:u w:val="single" w:color="auto"/>
          <w:color w:val="auto"/>
        </w:rPr>
        <w:t>Letter of Credit Fee</w:t>
      </w:r>
      <w:r>
        <w:rPr>
          <w:rFonts w:ascii="Times New Roman" w:cs="Times New Roman" w:eastAsia="Times New Roman" w:hAnsi="Times New Roman"/>
          <w:sz w:val="20"/>
          <w:szCs w:val="20"/>
          <w:color w:val="auto"/>
        </w:rPr>
        <w:t xml:space="preserve">”) for each Letter of Credit equal to the Applicable Rate </w:t>
      </w:r>
      <w:r>
        <w:rPr>
          <w:rFonts w:ascii="Times New Roman" w:cs="Times New Roman" w:eastAsia="Times New Roman" w:hAnsi="Times New Roman"/>
          <w:sz w:val="20"/>
          <w:szCs w:val="20"/>
          <w:i w:val="1"/>
          <w:iCs w:val="1"/>
          <w:color w:val="auto"/>
        </w:rPr>
        <w:t>times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0000FF"/>
        </w:rPr>
        <w:t>Dollar Equivalent of the</w:t>
      </w:r>
      <w:r>
        <w:rPr>
          <w:rFonts w:ascii="Times New Roman" w:cs="Times New Roman" w:eastAsia="Times New Roman" w:hAnsi="Times New Roman"/>
          <w:sz w:val="20"/>
          <w:szCs w:val="20"/>
          <w:color w:val="auto"/>
        </w:rPr>
        <w:t xml:space="preserve"> daily amount available to be drawn under such Letter of Credit. For purposes of computing the daily amount available to be drawn under any standby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Letter of Credit Fees shall be (i) payable on the first Business Day following the end of each March, June, September and December, commencing with the first such date to occur after the issuance of such Letter of Credit and (ii) accrued through and including the last day of each calendar quarter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w:t>
      </w:r>
    </w:p>
    <w:p>
      <w:pPr>
        <w:spacing w:after="0" w:line="189" w:lineRule="exact"/>
        <w:rPr>
          <w:rFonts w:ascii="Times New Roman" w:cs="Times New Roman" w:eastAsia="Times New Roman" w:hAnsi="Times New Roman"/>
          <w:sz w:val="20"/>
          <w:szCs w:val="20"/>
          <w:color w:val="auto"/>
        </w:rPr>
      </w:pPr>
    </w:p>
    <w:p>
      <w:pPr>
        <w:jc w:val="both"/>
        <w:ind w:firstLine="745"/>
        <w:spacing w:after="0" w:line="241" w:lineRule="auto"/>
        <w:tabs>
          <w:tab w:leader="none" w:pos="115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w:t>
      </w:r>
      <w:r>
        <w:rPr>
          <w:rFonts w:ascii="Times New Roman" w:cs="Times New Roman" w:eastAsia="Times New Roman" w:hAnsi="Times New Roman"/>
          <w:sz w:val="20"/>
          <w:szCs w:val="20"/>
          <w:color w:val="auto"/>
        </w:rPr>
        <w:t xml:space="preserve">. At any time there is more than one Lender, the Borrower shall pay directly to the L/C Issuer for its own account a fronting fee with respect to each Letter of Credit, at the rate per annum equal to the percentage separately agreed upon between the Borrower and the L/C Issuer, computed on the </w:t>
      </w:r>
      <w:r>
        <w:rPr>
          <w:rFonts w:ascii="Times New Roman" w:cs="Times New Roman" w:eastAsia="Times New Roman" w:hAnsi="Times New Roman"/>
          <w:sz w:val="20"/>
          <w:szCs w:val="20"/>
          <w:u w:val="single" w:color="auto"/>
          <w:color w:val="0000FF"/>
        </w:rPr>
        <w:t>Dollar Equivalent of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daily amount available to be drawn under such Letter of Credit on a quarterly basis in arrears. Such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fronting fee shall be due and payable no later than the tenth Business Day after the end of each March, June, September and December in the most recently- 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000000"/>
        </w:rPr>
        <w:t>Section 1.06</w:t>
      </w:r>
      <w:r>
        <w:rPr>
          <w:rFonts w:ascii="Times New Roman" w:cs="Times New Roman" w:eastAsia="Times New Roman" w:hAnsi="Times New Roman"/>
          <w:sz w:val="20"/>
          <w:szCs w:val="20"/>
          <w:color w:val="000000"/>
        </w:rPr>
        <w:t xml:space="preserve">. In addition, the Borrower shall pay directly to the L/C Issuer for its own account, </w:t>
      </w:r>
      <w:r>
        <w:rPr>
          <w:rFonts w:ascii="Times New Roman" w:cs="Times New Roman" w:eastAsia="Times New Roman" w:hAnsi="Times New Roman"/>
          <w:sz w:val="20"/>
          <w:szCs w:val="20"/>
          <w:u w:val="single" w:color="auto"/>
          <w:color w:val="0000FF"/>
        </w:rPr>
        <w:t>in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Dollars,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customary issuance, presentation, amendment and other processing fees, and other standard costs and charges, of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L/C Issuer relating to letters of credit as from time to time in effect. Such customary fees and standard costs and charges are due and payable on demand and are nonrefundable.</w:t>
      </w:r>
    </w:p>
    <w:p>
      <w:pPr>
        <w:spacing w:after="0" w:line="195"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any failure to give or delay in giving such notice shall not relieve the Borrower of its obligation to reimburse the L/C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Issuer and the Lenders with respect to any such L/C Disbursement.</w:t>
      </w:r>
    </w:p>
    <w:p>
      <w:pPr>
        <w:spacing w:after="0" w:line="182"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the L/C Issuer for any standby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then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shall apply. Interest accrued pursuant to this</w:t>
      </w:r>
    </w:p>
    <w:p>
      <w:pPr>
        <w:spacing w:after="0" w:line="200" w:lineRule="exact"/>
        <w:rPr>
          <w:sz w:val="20"/>
          <w:szCs w:val="20"/>
          <w:color w:val="auto"/>
        </w:rPr>
      </w:pPr>
    </w:p>
    <w:p>
      <w:pPr>
        <w:spacing w:after="0" w:line="38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18" w:name="page119"/>
    <w:bookmarkEnd w:id="118"/>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clause (p</w:t>
      </w:r>
      <w:r>
        <w:rPr>
          <w:rFonts w:ascii="Times New Roman" w:cs="Times New Roman" w:eastAsia="Times New Roman" w:hAnsi="Times New Roman"/>
          <w:sz w:val="20"/>
          <w:szCs w:val="20"/>
          <w:color w:val="auto"/>
        </w:rPr>
        <w:t xml:space="preserve">) shall be for account of the L/C Issuer, except that interest accrued on and after the date of payment by any Lender pursuant to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to reimburse the L/C Issuer shall be for account of such Lender to the extent of such payment.</w:t>
      </w:r>
    </w:p>
    <w:p>
      <w:pPr>
        <w:spacing w:after="0" w:line="176" w:lineRule="exact"/>
        <w:rPr>
          <w:sz w:val="20"/>
          <w:szCs w:val="20"/>
          <w:color w:val="auto"/>
        </w:rPr>
      </w:pPr>
    </w:p>
    <w:p>
      <w:pPr>
        <w:jc w:val="both"/>
        <w:ind w:firstLine="745"/>
        <w:spacing w:after="0" w:line="244" w:lineRule="auto"/>
        <w:tabs>
          <w:tab w:leader="none" w:pos="114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the Borrower shall be obligated to reimburse, indemnify and compensate the L/C Issuer hereunder for any and all drawings under such Letter of Credit as if such Letter of Credit had been issued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3" w:lineRule="exact"/>
        <w:rPr>
          <w:rFonts w:ascii="Times New Roman" w:cs="Times New Roman" w:eastAsia="Times New Roman" w:hAnsi="Times New Roman"/>
          <w:sz w:val="20"/>
          <w:szCs w:val="20"/>
          <w:color w:val="auto"/>
        </w:rPr>
      </w:pPr>
    </w:p>
    <w:p>
      <w:pPr>
        <w:ind w:right="20" w:firstLine="745"/>
        <w:spacing w:after="0" w:line="268" w:lineRule="auto"/>
        <w:tabs>
          <w:tab w:leader="none" w:pos="115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2.04 </w:t>
      </w:r>
      <w:r>
        <w:rPr>
          <w:rFonts w:ascii="Times New Roman" w:cs="Times New Roman" w:eastAsia="Times New Roman" w:hAnsi="Times New Roman"/>
          <w:sz w:val="20"/>
          <w:szCs w:val="20"/>
          <w:b w:val="1"/>
          <w:bCs w:val="1"/>
          <w:u w:val="single" w:color="auto"/>
          <w:color w:val="auto"/>
        </w:rPr>
        <w:t>Swingline Loans.</w:t>
      </w:r>
    </w:p>
    <w:p>
      <w:pPr>
        <w:spacing w:after="0" w:line="219" w:lineRule="exact"/>
        <w:rPr>
          <w:sz w:val="20"/>
          <w:szCs w:val="20"/>
          <w:color w:val="auto"/>
        </w:rPr>
      </w:pPr>
    </w:p>
    <w:p>
      <w:pPr>
        <w:jc w:val="both"/>
        <w:ind w:firstLine="745"/>
        <w:spacing w:after="0" w:line="242" w:lineRule="auto"/>
        <w:tabs>
          <w:tab w:leader="none" w:pos="117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Swingline</w:t>
      </w:r>
      <w:r>
        <w:rPr>
          <w:rFonts w:ascii="Times New Roman" w:cs="Times New Roman" w:eastAsia="Times New Roman" w:hAnsi="Times New Roman"/>
          <w:sz w:val="20"/>
          <w:szCs w:val="20"/>
          <w:color w:val="auto"/>
        </w:rPr>
        <w:t xml:space="preserve">. Subject to the terms and conditions set forth herein, the Swingline Lender, in reliance upon the agreements of the other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may in its sole discretion make loans to the Borrower (each such loan, a “</w:t>
      </w:r>
      <w:r>
        <w:rPr>
          <w:rFonts w:ascii="Times New Roman" w:cs="Times New Roman" w:eastAsia="Times New Roman" w:hAnsi="Times New Roman"/>
          <w:sz w:val="20"/>
          <w:szCs w:val="20"/>
          <w:i w:val="1"/>
          <w:iCs w:val="1"/>
          <w:u w:val="single" w:color="auto"/>
          <w:color w:val="auto"/>
        </w:rPr>
        <w:t>Swingline Loan</w:t>
      </w:r>
      <w:r>
        <w:rPr>
          <w:rFonts w:ascii="Times New Roman" w:cs="Times New Roman" w:eastAsia="Times New Roman" w:hAnsi="Times New Roman"/>
          <w:sz w:val="20"/>
          <w:szCs w:val="20"/>
          <w:color w:val="auto"/>
        </w:rPr>
        <w:t xml:space="preserve">”). Each such Swingline Loan may be made, subject to the terms and conditions set forth herein, to the Borrower, in Dollars, from time to time on any Business Day during the Availability Period in an aggregate amount not to exceed at any time outstanding the amount of the Swingline Sublimit;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 after giving effect to any Swingline Loan, (A) the Total Revolving Outstandings shall not exceed the Revolving Facility at such time, and (B) the Revolving Exposure of any Revolving Lender at such time shall not exceed such Lender’s Revolving Commitment,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Each Swingline Loan shall bear interest only at a rate based on the Base Rate plus the Applicable Rate.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Revolving Percentage times the amount of such Swingline Loan.</w:t>
      </w:r>
    </w:p>
    <w:p>
      <w:pPr>
        <w:spacing w:after="0" w:line="18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left="740" w:firstLine="811"/>
        <w:spacing w:after="0" w:line="245" w:lineRule="auto"/>
        <w:rPr>
          <w:sz w:val="20"/>
          <w:szCs w:val="20"/>
          <w:color w:val="auto"/>
        </w:rPr>
      </w:pPr>
      <w:r>
        <w:rPr>
          <w:rFonts w:ascii="Times New Roman" w:cs="Times New Roman" w:eastAsia="Times New Roman" w:hAnsi="Times New Roman"/>
          <w:sz w:val="20"/>
          <w:szCs w:val="20"/>
          <w:color w:val="auto"/>
        </w:rPr>
        <w:t xml:space="preserve">Each Swingline Borrowing shall be made upon the Borrower’s irrevocable notice to the Swingline Lender and the Administrative Agent, which may be given by: (ii) telephone or (iii) a Swingline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telephonic notice must be confirmed immediately by delivery to the Swingline Lender and the Administrative Agent of a Swingline Loan Notice. Each such Swingline Loan Notice must be received by the Swingline Lender and the Administrative Agent not later than 1:00 p.m. on the requested borrowing date, and shall specify (A) the amount to be borrowed, which shall be a minimum of $100,000, and (B) the requested date of the Borrowing (which shall be a</w:t>
      </w:r>
    </w:p>
    <w:p>
      <w:pPr>
        <w:spacing w:after="0" w:line="200" w:lineRule="exact"/>
        <w:rPr>
          <w:sz w:val="20"/>
          <w:szCs w:val="20"/>
          <w:color w:val="auto"/>
        </w:rPr>
      </w:pPr>
    </w:p>
    <w:p>
      <w:pPr>
        <w:spacing w:after="0" w:line="38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19" w:name="page120"/>
    <w:bookmarkEnd w:id="119"/>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 xml:space="preserve">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Lender) prior to 2:00 p.m. on the date of the proposed Swingline Borrowing (1) directing the Swingline Lender not to make such Swingline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(2) that one or more of the applicable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Swingline Lender will, not later than 3:00 p.m. on the borrowing date specified in such Swingline Loan Notice, make the amount of its Swingline Loan available to the Borrower at its office by crediting the account of the Borrower on the books of the Swingline Lender in immediately available funds.</w:t>
      </w:r>
    </w:p>
    <w:p>
      <w:pPr>
        <w:spacing w:after="0" w:line="186" w:lineRule="exact"/>
        <w:rPr>
          <w:sz w:val="20"/>
          <w:szCs w:val="20"/>
          <w:color w:val="auto"/>
        </w:rPr>
      </w:pPr>
    </w:p>
    <w:p>
      <w:pPr>
        <w:ind w:left="780" w:hanging="395"/>
        <w:spacing w:after="0"/>
        <w:tabs>
          <w:tab w:leader="none" w:pos="7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Swingline Loans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380" w:firstLine="754"/>
        <w:spacing w:after="0" w:line="241" w:lineRule="auto"/>
        <w:tabs>
          <w:tab w:leader="none" w:pos="152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Swingline Lender at any time in its sole discretion may request, on behalf of the Borrower (which hereby irrevocably authorizes the Swingline Lender to so request on its behalf), that each Revolving Lender make a Base Rate Loan in an amount equal to such Lender’s Applicable Revolving Percentage of the amount of Swingline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Revolving Facility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Swingline Lender shall furnish the Borrower with a copy of the applicable Loan Notice promptly after delivering such notice to the Administrative Agent. Each Revolving Lender shall make an amount equal to its Applicable Revolving Percentage of the amount specified in such Loan Notice available to the Administrative Agent in immediately available funds (and the Administrative Agent may apply Cash Collateral available with respect to the applicable Swingline Loan) for the account of the Swingline Lender at the Administrative Agent’s Office not later than 1:00 p.m. on the day specified in such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Revolving Lender that so makes funds available shall be deemed to have made a Base Rate Loan to the Borrower in such amount. The Administrative Agent shall remit the funds so received to the Swingline Lender.</w:t>
      </w:r>
    </w:p>
    <w:p>
      <w:pPr>
        <w:spacing w:after="0" w:line="191" w:lineRule="exact"/>
        <w:rPr>
          <w:rFonts w:ascii="Times New Roman" w:cs="Times New Roman" w:eastAsia="Times New Roman" w:hAnsi="Times New Roman"/>
          <w:sz w:val="20"/>
          <w:szCs w:val="20"/>
          <w:color w:val="auto"/>
        </w:rPr>
      </w:pPr>
    </w:p>
    <w:p>
      <w:pPr>
        <w:jc w:val="both"/>
        <w:ind w:left="380" w:firstLine="754"/>
        <w:spacing w:after="0" w:line="260" w:lineRule="auto"/>
        <w:tabs>
          <w:tab w:leader="none" w:pos="1524"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the foregoing, if for any reason any Swingline Loan cannot be refinanced by such a Revolving Borrowing in accordance with </w:t>
      </w:r>
      <w:r>
        <w:rPr>
          <w:rFonts w:ascii="Times New Roman" w:cs="Times New Roman" w:eastAsia="Times New Roman" w:hAnsi="Times New Roman"/>
          <w:sz w:val="19"/>
          <w:szCs w:val="19"/>
          <w:u w:val="single" w:color="auto"/>
          <w:color w:val="auto"/>
        </w:rPr>
        <w:t>Section 2.04(c)(i</w:t>
      </w:r>
      <w:r>
        <w:rPr>
          <w:rFonts w:ascii="Times New Roman" w:cs="Times New Roman" w:eastAsia="Times New Roman" w:hAnsi="Times New Roman"/>
          <w:sz w:val="19"/>
          <w:szCs w:val="19"/>
          <w:color w:val="auto"/>
        </w:rPr>
        <w:t xml:space="preserve">) (including, without limitation, the failure to satisfy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Times New Roman" w:cs="Times New Roman" w:eastAsia="Times New Roman" w:hAnsi="Times New Roman"/>
          <w:sz w:val="19"/>
          <w:szCs w:val="19"/>
          <w:u w:val="single" w:color="auto"/>
          <w:color w:val="auto"/>
        </w:rPr>
        <w:t>Section 2.04(c)(i</w:t>
      </w:r>
      <w:r>
        <w:rPr>
          <w:rFonts w:ascii="Times New Roman" w:cs="Times New Roman" w:eastAsia="Times New Roman" w:hAnsi="Times New Roman"/>
          <w:sz w:val="19"/>
          <w:szCs w:val="19"/>
          <w:color w:val="auto"/>
        </w:rPr>
        <w:t>) shall be deemed payment in respect of such participation.</w:t>
      </w:r>
    </w:p>
    <w:p>
      <w:pPr>
        <w:spacing w:after="0" w:line="171" w:lineRule="exact"/>
        <w:rPr>
          <w:rFonts w:ascii="Times New Roman" w:cs="Times New Roman" w:eastAsia="Times New Roman" w:hAnsi="Times New Roman"/>
          <w:sz w:val="19"/>
          <w:szCs w:val="19"/>
          <w:color w:val="auto"/>
        </w:rPr>
      </w:pPr>
    </w:p>
    <w:p>
      <w:pPr>
        <w:jc w:val="both"/>
        <w:ind w:left="380" w:firstLine="754"/>
        <w:spacing w:after="0" w:line="253" w:lineRule="auto"/>
        <w:tabs>
          <w:tab w:leader="none" w:pos="152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Swingline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the Swingline Lender shall be entitled to recover from such Lender</w:t>
      </w:r>
    </w:p>
    <w:p>
      <w:pPr>
        <w:spacing w:after="0" w:line="200" w:lineRule="exact"/>
        <w:rPr>
          <w:sz w:val="20"/>
          <w:szCs w:val="20"/>
          <w:color w:val="auto"/>
        </w:rPr>
      </w:pPr>
    </w:p>
    <w:p>
      <w:pPr>
        <w:spacing w:after="0" w:line="3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20" w:name="page121"/>
    <w:bookmarkEnd w:id="120"/>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 xml:space="preserve">(acting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(c)(iii</w:t>
      </w:r>
      <w:r>
        <w:rPr>
          <w:rFonts w:ascii="Times New Roman" w:cs="Times New Roman" w:eastAsia="Times New Roman" w:hAnsi="Times New Roman"/>
          <w:sz w:val="20"/>
          <w:szCs w:val="20"/>
          <w:color w:val="auto"/>
        </w:rPr>
        <w:t>) shall be conclusive absent manifest error.</w:t>
      </w:r>
    </w:p>
    <w:p>
      <w:pPr>
        <w:spacing w:after="0" w:line="192" w:lineRule="exact"/>
        <w:rPr>
          <w:sz w:val="20"/>
          <w:szCs w:val="20"/>
          <w:color w:val="auto"/>
        </w:rPr>
      </w:pPr>
    </w:p>
    <w:p>
      <w:pPr>
        <w:jc w:val="both"/>
        <w:ind w:left="380" w:firstLine="754"/>
        <w:spacing w:after="0" w:line="242" w:lineRule="auto"/>
        <w:tabs>
          <w:tab w:leader="none" w:pos="1524"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Revolving Loans or to purchase and fund risk participations in Swingline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each Revolving Lender’s obligation to make Revolving Loans pursuant to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by the Borrower of a Loan Notice). No such funding of risk participations shall relieve or otherwise impair the obligation of the Borrower to repay Swingline Loans, together with interest as provided herein.</w:t>
      </w:r>
    </w:p>
    <w:p>
      <w:pPr>
        <w:spacing w:after="0" w:line="191"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Revolving Lender has purchased and funded a risk participation in a Swingline Loan, if the Swingline Lender receives any payment on account of such Swingline Loan, the Swingline Lender will distribute to such Revolving Lender its Applicable Revolving Percentage thereof in the same funds as those received by the Swingline Lender.</w:t>
      </w:r>
    </w:p>
    <w:p>
      <w:pPr>
        <w:spacing w:after="0" w:line="178" w:lineRule="exact"/>
        <w:rPr>
          <w:rFonts w:ascii="Times New Roman" w:cs="Times New Roman" w:eastAsia="Times New Roman" w:hAnsi="Times New Roman"/>
          <w:sz w:val="20"/>
          <w:szCs w:val="20"/>
          <w:color w:val="auto"/>
        </w:rPr>
      </w:pPr>
    </w:p>
    <w:p>
      <w:pPr>
        <w:jc w:val="both"/>
        <w:ind w:left="380" w:firstLine="754"/>
        <w:spacing w:after="0" w:line="244" w:lineRule="auto"/>
        <w:tabs>
          <w:tab w:leader="none" w:pos="152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Swingline Lender in respect of principal or interest on any Swingline Loan is required to be returned by the Swingline Lender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Swingline Lender in its discretion), each Revolving Lender shall pay to the Swingline Lender its Applicable Revolving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p>
      <w:pPr>
        <w:spacing w:after="0" w:line="183"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Swingline Lender</w:t>
      </w:r>
      <w:r>
        <w:rPr>
          <w:rFonts w:ascii="Times New Roman" w:cs="Times New Roman" w:eastAsia="Times New Roman" w:hAnsi="Times New Roman"/>
          <w:sz w:val="20"/>
          <w:szCs w:val="20"/>
          <w:color w:val="auto"/>
        </w:rPr>
        <w:t xml:space="preserve">. The Swingline Lender shall be responsible for invoicing the Borrower for interest on the Swingline Loans. Until each Revolving Lender funds its Base Rate Loan or risk participation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w:t>
      </w:r>
      <w:r>
        <w:rPr>
          <w:rFonts w:ascii="Times New Roman" w:cs="Times New Roman" w:eastAsia="Times New Roman" w:hAnsi="Times New Roman"/>
          <w:sz w:val="20"/>
          <w:szCs w:val="20"/>
          <w:color w:val="auto"/>
        </w:rPr>
        <w:t xml:space="preserve"> to refinance such Revolving Lender’s Applicable Revolving Percentage of any Swingline Loan, interest in respect of such Applicable Revolving Percentage shall be solely for the account of the Swingline Lender.</w:t>
      </w:r>
    </w:p>
    <w:p>
      <w:pPr>
        <w:spacing w:after="0" w:line="200" w:lineRule="exact"/>
        <w:rPr>
          <w:sz w:val="20"/>
          <w:szCs w:val="20"/>
          <w:color w:val="auto"/>
        </w:rPr>
      </w:pPr>
    </w:p>
    <w:p>
      <w:pPr>
        <w:spacing w:after="0" w:line="3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21" w:name="page122"/>
    <w:bookmarkEnd w:id="121"/>
    <w:p>
      <w:pPr>
        <w:ind w:firstLine="745"/>
        <w:spacing w:after="0" w:line="268" w:lineRule="auto"/>
        <w:tabs>
          <w:tab w:leader="none" w:pos="114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Swingline Lender</w:t>
      </w:r>
      <w:r>
        <w:rPr>
          <w:rFonts w:ascii="Times New Roman" w:cs="Times New Roman" w:eastAsia="Times New Roman" w:hAnsi="Times New Roman"/>
          <w:sz w:val="20"/>
          <w:szCs w:val="20"/>
          <w:color w:val="auto"/>
        </w:rPr>
        <w:t>. The Borrower shall make all payments of principal and interest in respect of the Swingline Loans directly to the Swingline Lender.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2.05 </w:t>
      </w:r>
      <w:r>
        <w:rPr>
          <w:rFonts w:ascii="Times New Roman" w:cs="Times New Roman" w:eastAsia="Times New Roman" w:hAnsi="Times New Roman"/>
          <w:sz w:val="20"/>
          <w:szCs w:val="20"/>
          <w:b w:val="1"/>
          <w:bCs w:val="1"/>
          <w:u w:val="single" w:color="auto"/>
          <w:color w:val="auto"/>
        </w:rPr>
        <w:t>Prepayments</w:t>
      </w:r>
    </w:p>
    <w:p>
      <w:pPr>
        <w:spacing w:after="0" w:line="219" w:lineRule="exact"/>
        <w:rPr>
          <w:sz w:val="20"/>
          <w:szCs w:val="20"/>
          <w:color w:val="auto"/>
        </w:rPr>
      </w:pPr>
    </w:p>
    <w:p>
      <w:pPr>
        <w:ind w:left="1140" w:hanging="395"/>
        <w:spacing w:after="0"/>
        <w:tabs>
          <w:tab w:leader="none" w:pos="11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740" w:firstLine="754"/>
        <w:spacing w:after="0" w:line="253" w:lineRule="auto"/>
        <w:tabs>
          <w:tab w:leader="none" w:pos="1884"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upon notice to the Administrative Agent pursuant to delivery to the Administrative Agent of a Notice of Loan Prepayment, at any time or from time to time voluntarily prepay Term Loans, Revolving Loans and/or any Incremental Term Loans in whole or in part without premium or penalty subject to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unless otherwise agreed by the Administrative Agent, (A) such notice must be received by the Administrative Agent not later than 11:00 a.m. (1) three (3) Business Days prior to any date of prepayment of </w:t>
      </w:r>
      <w:r>
        <w:rPr>
          <w:rFonts w:ascii="Times New Roman" w:cs="Times New Roman" w:eastAsia="Times New Roman" w:hAnsi="Times New Roman"/>
          <w:sz w:val="19"/>
          <w:szCs w:val="19"/>
          <w:color w:val="FF0000"/>
          <w:strike w:val="1"/>
        </w:rPr>
        <w:t>BSBY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Loans and (2) on the date of prepayment of Base Rate Loans; (B) any prepayment of </w:t>
      </w:r>
      <w:r>
        <w:rPr>
          <w:rFonts w:ascii="Times New Roman" w:cs="Times New Roman" w:eastAsia="Times New Roman" w:hAnsi="Times New Roman"/>
          <w:sz w:val="19"/>
          <w:szCs w:val="19"/>
          <w:color w:val="FF0000"/>
          <w:strike w:val="1"/>
        </w:rPr>
        <w:t>BSBY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Loans shall be in a principal amount of $1,000,000 or a whole multiple of $500,000 in excess thereof, or, in each case, if less, the entire principal amount thereof then outstanding;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whether the Loans to be prepaid are the Term Loans, the Revolving Loans, and/or the Incremental Term Loans and, if </w:t>
      </w:r>
      <w:r>
        <w:rPr>
          <w:rFonts w:ascii="Times New Roman" w:cs="Times New Roman" w:eastAsia="Times New Roman" w:hAnsi="Times New Roman"/>
          <w:sz w:val="19"/>
          <w:szCs w:val="19"/>
          <w:color w:val="FF0000"/>
          <w:strike w:val="1"/>
        </w:rPr>
        <w:t>BSBY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w:t>
      </w:r>
      <w:r>
        <w:rPr>
          <w:rFonts w:ascii="Times New Roman" w:cs="Times New Roman" w:eastAsia="Times New Roman" w:hAnsi="Times New Roman"/>
          <w:sz w:val="19"/>
          <w:szCs w:val="19"/>
          <w:color w:val="FF0000"/>
          <w:strike w:val="1"/>
        </w:rPr>
        <w:t>BSBY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 shall be accompanied by all accrued interest on the amount prepaid, together with any additional amounts required pursuant to </w:t>
      </w:r>
      <w:r>
        <w:rPr>
          <w:rFonts w:ascii="Times New Roman" w:cs="Times New Roman" w:eastAsia="Times New Roman" w:hAnsi="Times New Roman"/>
          <w:sz w:val="19"/>
          <w:szCs w:val="19"/>
          <w:u w:val="single" w:color="auto"/>
          <w:color w:val="auto"/>
        </w:rPr>
        <w:t>Section 3.05</w:t>
      </w:r>
      <w:r>
        <w:rPr>
          <w:rFonts w:ascii="Times New Roman" w:cs="Times New Roman" w:eastAsia="Times New Roman" w:hAnsi="Times New Roman"/>
          <w:sz w:val="19"/>
          <w:szCs w:val="19"/>
          <w:color w:val="auto"/>
        </w:rPr>
        <w:t xml:space="preserve">. Each prepayment of Term Loans and Incremental Term Loans pursuant to this </w:t>
      </w:r>
      <w:r>
        <w:rPr>
          <w:rFonts w:ascii="Times New Roman" w:cs="Times New Roman" w:eastAsia="Times New Roman" w:hAnsi="Times New Roman"/>
          <w:sz w:val="19"/>
          <w:szCs w:val="19"/>
          <w:u w:val="single" w:color="auto"/>
          <w:color w:val="auto"/>
        </w:rPr>
        <w:t>Section 2.05(a)</w:t>
      </w:r>
      <w:r>
        <w:rPr>
          <w:rFonts w:ascii="Times New Roman" w:cs="Times New Roman" w:eastAsia="Times New Roman" w:hAnsi="Times New Roman"/>
          <w:sz w:val="19"/>
          <w:szCs w:val="19"/>
          <w:color w:val="auto"/>
        </w:rPr>
        <w:t xml:space="preserve"> shall be applied to the Term Loans and any Incremental Term Loans as directed by the Borrower (and in the absence of such direction, to remaining unpaid installments in direct order of maturity). Subject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such prepayments shall be paid to the Lenders in accordance with their respective Applicable Percentages in respect of each of the relevant Facilities.</w:t>
      </w:r>
    </w:p>
    <w:p>
      <w:pPr>
        <w:spacing w:after="0" w:line="193" w:lineRule="exact"/>
        <w:rPr>
          <w:rFonts w:ascii="Times New Roman" w:cs="Times New Roman" w:eastAsia="Times New Roman" w:hAnsi="Times New Roman"/>
          <w:sz w:val="19"/>
          <w:szCs w:val="19"/>
          <w:color w:val="auto"/>
        </w:rPr>
      </w:pPr>
    </w:p>
    <w:p>
      <w:pPr>
        <w:jc w:val="both"/>
        <w:ind w:left="740" w:firstLine="754"/>
        <w:spacing w:after="0" w:line="242" w:lineRule="auto"/>
        <w:tabs>
          <w:tab w:leader="none" w:pos="1884"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91"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22" w:name="page123"/>
    <w:bookmarkEnd w:id="122"/>
    <w:p>
      <w:pPr>
        <w:jc w:val="both"/>
        <w:ind w:left="380" w:firstLine="754"/>
        <w:spacing w:after="0" w:line="255" w:lineRule="auto"/>
        <w:tabs>
          <w:tab w:leader="none" w:pos="1524"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Dispositions and Involuntary Dispositions</w:t>
      </w:r>
      <w:r>
        <w:rPr>
          <w:rFonts w:ascii="Times New Roman" w:cs="Times New Roman" w:eastAsia="Times New Roman" w:hAnsi="Times New Roman"/>
          <w:sz w:val="19"/>
          <w:szCs w:val="19"/>
          <w:color w:val="auto"/>
        </w:rPr>
        <w:t xml:space="preserve">. The Borrower shall prepay the Loans and/or Cash Collateralize the L/C Obligations as hereinafter provided in an aggregate amount equal to 100% of the Net Cash Proceeds received by any Loan Party or any Subsidiary from all Dispositions (other than Dispositions generating less than $200,000 of Net Cash Proceeds) and Involuntary Dispositions within five (5) Business Days of the date of such Disposition or Involuntary Disposition;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so long as no Event of Default shall have occurred and be continuing, such Net Cash Proceeds shall not be required to be so applied (A) until the aggregate amount of the Net Cash Proceeds derived from any such Disposition or Involuntary Disposition in any fiscal year of the Borrower is equal to or greater than $5,000,000 and</w:t>
      </w:r>
    </w:p>
    <w:p>
      <w:pPr>
        <w:spacing w:after="0" w:line="1" w:lineRule="exact"/>
        <w:rPr>
          <w:rFonts w:ascii="Times New Roman" w:cs="Times New Roman" w:eastAsia="Times New Roman" w:hAnsi="Times New Roman"/>
          <w:sz w:val="19"/>
          <w:szCs w:val="19"/>
          <w:color w:val="auto"/>
        </w:rPr>
      </w:pPr>
    </w:p>
    <w:p>
      <w:pPr>
        <w:jc w:val="both"/>
        <w:ind w:left="380" w:firstLine="5"/>
        <w:spacing w:after="0"/>
        <w:tabs>
          <w:tab w:leader="none" w:pos="70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the election of the Borrower (as notified by the Borrower to the Administrative Agent on or prior to the date of such Disposition or Involuntary Disposition), such Loan Party (directly or through one or more of its Subsidiaries) reinvests all or any portion of such Net Cash Proceeds in operating assets (other than current assets) within 365 days of the date of such Disposition or Involuntary Disposition (or to the extent it commits within such 365-day period to make such reinvestment, within one hundred eighty (180) days after such 365-day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for purposes of the foregoing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if such Net Cash Proceeds shall have not been so reinvested by the end of such period(s), such Net Cash Proceeds shall be applied within five (5) Business Days after the last day of such period to prepay the Loans and/or Cash Collateralize the L/C Obligations as provided in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Any prepayment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applied as set forth in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below.</w:t>
      </w:r>
    </w:p>
    <w:p>
      <w:pPr>
        <w:spacing w:after="0" w:line="199" w:lineRule="exact"/>
        <w:rPr>
          <w:rFonts w:ascii="Times New Roman" w:cs="Times New Roman" w:eastAsia="Times New Roman" w:hAnsi="Times New Roman"/>
          <w:sz w:val="20"/>
          <w:szCs w:val="20"/>
          <w:color w:val="auto"/>
        </w:rPr>
      </w:pPr>
    </w:p>
    <w:p>
      <w:pPr>
        <w:jc w:val="both"/>
        <w:ind w:left="380" w:firstLine="754"/>
        <w:spacing w:after="0" w:line="229" w:lineRule="auto"/>
        <w:tabs>
          <w:tab w:leader="none" w:pos="153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Debt Issuance</w:t>
      </w:r>
      <w:r>
        <w:rPr>
          <w:rFonts w:ascii="Times New Roman" w:cs="Times New Roman" w:eastAsia="Times New Roman" w:hAnsi="Times New Roman"/>
          <w:sz w:val="20"/>
          <w:szCs w:val="20"/>
          <w:color w:val="auto"/>
        </w:rPr>
        <w:t>. No later than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Business Day following the receipt by any Loan Party or any Subsidiary of the Net Cash Proceeds of any Debt Issuance, the Borrower shall prepay the Loans and/or Cash Collateralize the L/C Obligations as hereinafter provided in an aggregate amount equal to one hundred percent (100%) of such Net Cash Proceeds. Any prepayment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applied as set forth in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below.</w:t>
      </w:r>
    </w:p>
    <w:p>
      <w:pPr>
        <w:spacing w:after="0" w:line="190" w:lineRule="exact"/>
        <w:rPr>
          <w:rFonts w:ascii="Times New Roman" w:cs="Times New Roman" w:eastAsia="Times New Roman" w:hAnsi="Times New Roman"/>
          <w:sz w:val="20"/>
          <w:szCs w:val="20"/>
          <w:color w:val="auto"/>
        </w:rPr>
      </w:pPr>
    </w:p>
    <w:p>
      <w:pPr>
        <w:jc w:val="both"/>
        <w:ind w:left="380" w:firstLine="754"/>
        <w:spacing w:after="0" w:line="242" w:lineRule="auto"/>
        <w:tabs>
          <w:tab w:leader="none" w:pos="153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Payments</w:t>
      </w:r>
      <w:r>
        <w:rPr>
          <w:rFonts w:ascii="Times New Roman" w:cs="Times New Roman" w:eastAsia="Times New Roman" w:hAnsi="Times New Roman"/>
          <w:sz w:val="20"/>
          <w:szCs w:val="20"/>
          <w:color w:val="auto"/>
        </w:rPr>
        <w:t xml:space="preserve">. Each prepayment of Loans pursuant to the foregoing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2.05(b</w:t>
      </w:r>
      <w:r>
        <w:rPr>
          <w:rFonts w:ascii="Times New Roman" w:cs="Times New Roman" w:eastAsia="Times New Roman" w:hAnsi="Times New Roman"/>
          <w:sz w:val="20"/>
          <w:szCs w:val="20"/>
          <w:color w:val="auto"/>
        </w:rPr>
        <w:t xml:space="preserve">) shall be applied,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ratably to the Term Loans and any Incremental Term Loans and in the direct order of maturity to the next eight scheduled installments of principal of the Term Loans and the Incremental Term Loans, and thereafter,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to the remaining installments of principal of the Term Loans and the Incremental Term Loans, respectively,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to the outstanding Revolving Loans (without a corresponding permanent reduction of the Revolving Facility), and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after the outstanding Revolving Loans have been paid in full, to Cash Collateralize the remaining L/C Obligations.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such prepayments shall be paid to the Lenders in accordance with their respective Applicable Percentages in respect of each of the relevant Facilities.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such prepayments shall be paid to the Lenders in accordance with their respective Applicable Percentages in respect of the relevant Facilities.</w:t>
      </w:r>
    </w:p>
    <w:p>
      <w:pPr>
        <w:spacing w:after="0" w:line="189"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6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Outstandings</w:t>
      </w:r>
      <w:r>
        <w:rPr>
          <w:rFonts w:ascii="Times New Roman" w:cs="Times New Roman" w:eastAsia="Times New Roman" w:hAnsi="Times New Roman"/>
          <w:sz w:val="20"/>
          <w:szCs w:val="20"/>
          <w:color w:val="auto"/>
        </w:rPr>
        <w:t xml:space="preserve">. If for any reason the Total Revolving Outstandings at any time exceed the Revolving Facility at such time, the Borrower shall immediately prepay Revolving Loans, Swingline Loans and L/C Borrowings and/or Cash Collateralize the L/C Obligations in an aggregate amount equal to such excess;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Borrower shall not be required to Cash Collateralize the L/C Obligations pursuant to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unless, after the prepayment of the Revolving Loans and Swingline Loans, the Total Revolving Outstandings exceed the Revolving Facility at such time.</w:t>
      </w: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23" w:name="page124"/>
    <w:bookmarkEnd w:id="123"/>
    <w:p>
      <w:pPr>
        <w:jc w:val="both"/>
        <w:ind w:left="1500" w:firstLine="754"/>
        <w:spacing w:after="0" w:line="244" w:lineRule="auto"/>
        <w:tabs>
          <w:tab w:leader="none" w:pos="269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Other Payments</w:t>
      </w:r>
      <w:r>
        <w:rPr>
          <w:rFonts w:ascii="Times New Roman" w:cs="Times New Roman" w:eastAsia="Times New Roman" w:hAnsi="Times New Roman"/>
          <w:sz w:val="20"/>
          <w:szCs w:val="20"/>
          <w:color w:val="auto"/>
        </w:rPr>
        <w:t xml:space="preserve">. Except as otherwise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prepayments of the Revolving Facility made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shall be applied ratably to the L/C Borrowings and the Swingline Loans,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shall be applied to the outstanding Revolving Loans, and,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or any Defaulting Lender that has provided Cash Collateral) to reimburse the L/C Issuer or the Revolving Lenders, as applicable.</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Within the parameters of the applications set forth above, prepayments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applied first to Base Rate Loans and then to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in direct order of Interest Period maturities. All prepayments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2.05(b</w:t>
      </w:r>
      <w:r>
        <w:rPr>
          <w:rFonts w:ascii="Times New Roman" w:cs="Times New Roman" w:eastAsia="Times New Roman" w:hAnsi="Times New Roman"/>
          <w:sz w:val="20"/>
          <w:szCs w:val="20"/>
          <w:color w:val="auto"/>
        </w:rPr>
        <w:t xml:space="preserve">) shall be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but otherwise without premium or penalty, and shall be accompanied by interest on the principal amount prepaid through the date of prepayment.</w:t>
      </w:r>
    </w:p>
    <w:p>
      <w:pPr>
        <w:spacing w:after="0" w:line="178" w:lineRule="exact"/>
        <w:rPr>
          <w:sz w:val="20"/>
          <w:szCs w:val="20"/>
          <w:color w:val="auto"/>
        </w:rPr>
      </w:pPr>
    </w:p>
    <w:p>
      <w:pPr>
        <w:jc w:val="both"/>
        <w:ind w:left="760" w:firstLine="745"/>
        <w:spacing w:after="0" w:line="242" w:lineRule="auto"/>
        <w:tabs>
          <w:tab w:leader="none" w:pos="190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 xml:space="preserve">. Notwithstanding any other provisions of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to the extent that any or all of the Net Cash Proceeds of any Disposition by a Foreign Subsidiary (other than a Loan Party) or of any Involuntary Disposition with respect to assets of a Foreign Subsidiary (other than a Loan Party) would, in any such case, give rise to a prepayment event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to the extent that the Borrower has determined in good faith after consultation with the Administrative Agent that the inclusion of such Net Cash Proceeds in the calculation of any prepayments required under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or repatriation or upstreaming thereof would or could reasonably be expected to result in adverse tax consequences to the Borrower or any Subsidiary or would violate any local Laws relating to the repatriation or upstreaming of such Net Cash Proceeds (including such Laws related to financial assistance and corporate benefit restrictions and fiduciary and statutory duties of the relevant directors), such Net Cash Proceeds will be excluded from any such calculation of required prepayments for so long, but only for so long, as the applicable adverse tax consequences remain or such inclusion would violate local laws, as applicable.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2.06 </w:t>
      </w:r>
      <w:r>
        <w:rPr>
          <w:rFonts w:ascii="Times New Roman" w:cs="Times New Roman" w:eastAsia="Times New Roman" w:hAnsi="Times New Roman"/>
          <w:sz w:val="20"/>
          <w:szCs w:val="20"/>
          <w:b w:val="1"/>
          <w:bCs w:val="1"/>
          <w:u w:val="single" w:color="auto"/>
          <w:color w:val="auto"/>
        </w:rPr>
        <w:t>Termination or Reduction of Commitments.</w:t>
      </w:r>
    </w:p>
    <w:p>
      <w:pPr>
        <w:spacing w:after="0" w:line="219" w:lineRule="exact"/>
        <w:rPr>
          <w:sz w:val="20"/>
          <w:szCs w:val="20"/>
          <w:color w:val="auto"/>
        </w:rPr>
      </w:pPr>
    </w:p>
    <w:p>
      <w:pPr>
        <w:jc w:val="both"/>
        <w:ind w:left="760" w:firstLine="745"/>
        <w:spacing w:after="0" w:line="241" w:lineRule="auto"/>
        <w:tabs>
          <w:tab w:leader="none" w:pos="190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The Borrower may, upon notice to the Administrative Agent, terminate the Revolving Facility, the Letter of Credit Sublimit or the Swingline Sublimit, or from time to time permanently reduce the Revolving Facility, the Letter of Credit Sublimit or the Swingline Sublimit;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11:00 a.m. five (5) Business Days prior to the date of termination or reduction, (ii) any such partial reduction shall be in an aggregate amount of $10,000,000 or any whole multiple of $1,000,000 in excess thereof and (iii) the Borrower shall not terminate or reduce (A) 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Letter of Credit Sublimit. Any such notice of termination or reduction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2.06(a)</w:t>
      </w:r>
      <w:r>
        <w:rPr>
          <w:rFonts w:ascii="Times New Roman" w:cs="Times New Roman" w:eastAsia="Times New Roman" w:hAnsi="Times New Roman"/>
          <w:sz w:val="20"/>
          <w:szCs w:val="20"/>
          <w:color w:val="auto"/>
        </w:rPr>
        <w:t xml:space="preserve"> may state that it is conditioned upon the effectiveness of other credit facilities or capital raising, the consummation of a particular Disposition or the occurrence of a change of control, as specified in such notice, in which case such notice may be revoked by the Borrower (by notice to the Administrative Agent on or prior to the specified effective date) if such condition is not satisfied.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4" w:name="page125"/>
    <w:bookmarkEnd w:id="124"/>
    <w:p>
      <w:pPr>
        <w:ind w:left="1140" w:hanging="395"/>
        <w:spacing w:after="0"/>
        <w:tabs>
          <w:tab w:leader="none" w:pos="11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left="740" w:right="20" w:firstLine="754"/>
        <w:spacing w:after="0" w:line="268" w:lineRule="auto"/>
        <w:tabs>
          <w:tab w:leader="none" w:pos="188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Term Commitments shall be automatically and permanently reduced to zero on the date of the Term Borrowing.</w:t>
      </w:r>
    </w:p>
    <w:p>
      <w:pPr>
        <w:spacing w:after="0" w:line="160" w:lineRule="exact"/>
        <w:rPr>
          <w:rFonts w:ascii="Times New Roman" w:cs="Times New Roman" w:eastAsia="Times New Roman" w:hAnsi="Times New Roman"/>
          <w:sz w:val="20"/>
          <w:szCs w:val="20"/>
          <w:color w:val="auto"/>
        </w:rPr>
      </w:pPr>
    </w:p>
    <w:p>
      <w:pPr>
        <w:jc w:val="both"/>
        <w:ind w:left="740" w:firstLine="754"/>
        <w:spacing w:after="0" w:line="253" w:lineRule="auto"/>
        <w:tabs>
          <w:tab w:leader="none" w:pos="188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giving effect to any reduction or termination of Revolving Commitments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the Letter of Credit Sublimit or the Swingline Sublimit exceeds the Revolving Facility at such time, the Letter of Credit Sublimit or the Swingline Sublimit, as the case may be, shall be automatically reduced by the amount of such excess.</w:t>
      </w:r>
    </w:p>
    <w:p>
      <w:pPr>
        <w:spacing w:after="0" w:line="176" w:lineRule="exact"/>
        <w:rPr>
          <w:rFonts w:ascii="Times New Roman" w:cs="Times New Roman" w:eastAsia="Times New Roman" w:hAnsi="Times New Roman"/>
          <w:sz w:val="20"/>
          <w:szCs w:val="20"/>
          <w:color w:val="auto"/>
        </w:rPr>
      </w:pPr>
    </w:p>
    <w:p>
      <w:pPr>
        <w:jc w:val="both"/>
        <w:ind w:firstLine="745"/>
        <w:spacing w:after="0" w:line="245" w:lineRule="auto"/>
        <w:tabs>
          <w:tab w:leader="none" w:pos="117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Commitment Reductions; Payment of Fees</w:t>
      </w:r>
      <w:r>
        <w:rPr>
          <w:rFonts w:ascii="Times New Roman" w:cs="Times New Roman" w:eastAsia="Times New Roman" w:hAnsi="Times New Roman"/>
          <w:sz w:val="20"/>
          <w:szCs w:val="20"/>
          <w:color w:val="auto"/>
        </w:rPr>
        <w:t xml:space="preserve">. The Administrative Agent will promptly notify the Lenders of any termination or reduction of the Letter of Credit Sublimit, Swingline Sublimit or the Revolving Commitments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Upon any reduction of the Revolving Commitments, the Revolving Commitment of each Revolving Lender shall be reduced by such Lender’s Applicable Revolving Percentage of such reduction amount. All fees in respect of the Revolving Facility accrued until the effective date of any termination of the Revolving Facility shall be paid on the effective date of such termination.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2.07 </w:t>
      </w:r>
      <w:r>
        <w:rPr>
          <w:rFonts w:ascii="Times New Roman" w:cs="Times New Roman" w:eastAsia="Times New Roman" w:hAnsi="Times New Roman"/>
          <w:sz w:val="20"/>
          <w:szCs w:val="20"/>
          <w:b w:val="1"/>
          <w:bCs w:val="1"/>
          <w:u w:val="single" w:color="auto"/>
          <w:color w:val="auto"/>
        </w:rPr>
        <w:t>Repayment of Loans</w:t>
      </w:r>
    </w:p>
    <w:p>
      <w:pPr>
        <w:spacing w:after="0" w:line="219" w:lineRule="exact"/>
        <w:rPr>
          <w:sz w:val="20"/>
          <w:szCs w:val="20"/>
          <w:color w:val="auto"/>
        </w:rPr>
      </w:pPr>
    </w:p>
    <w:p>
      <w:pPr>
        <w:jc w:val="both"/>
        <w:ind w:firstLine="745"/>
        <w:spacing w:after="0" w:line="249" w:lineRule="auto"/>
        <w:tabs>
          <w:tab w:leader="none" w:pos="117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xml:space="preserve">. The Borrower shall repay to the Term Lenders the aggregate principal amount of all Term Loans outstanding on the following dates in the respective amounts set forth opposite such dates (which amounts shall be reduced as a result of the application of prepayments in accordance with the orders of priority set forth in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unless accelerated sooner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78" w:lineRule="exact"/>
        <w:rPr>
          <w:sz w:val="20"/>
          <w:szCs w:val="20"/>
          <w:color w:val="auto"/>
        </w:rPr>
      </w:pPr>
    </w:p>
    <w:tbl>
      <w:tblPr>
        <w:tblLayout w:type="fixed"/>
        <w:tblInd w:w="1390" w:type="dxa"/>
        <w:tblCellMar>
          <w:top w:w="0" w:type="dxa"/>
          <w:left w:w="0" w:type="dxa"/>
          <w:bottom w:w="0" w:type="dxa"/>
          <w:right w:w="0" w:type="dxa"/>
        </w:tblCellMar>
      </w:tblPr>
      <w:tr>
        <w:trPr>
          <w:trHeight w:val="290"/>
        </w:trPr>
        <w:tc>
          <w:tcPr>
            <w:tcW w:w="3460" w:type="dxa"/>
            <w:vAlign w:val="bottom"/>
            <w:tcBorders>
              <w:top w:val="single" w:sz="8" w:color="auto"/>
              <w:left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Payment Dates</w:t>
            </w:r>
          </w:p>
        </w:tc>
        <w:tc>
          <w:tcPr>
            <w:tcW w:w="362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Principal Repayment Installments</w:t>
            </w:r>
          </w:p>
        </w:tc>
      </w:tr>
      <w:tr>
        <w:trPr>
          <w:trHeight w:val="233"/>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December 31, 2021</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$1,250,000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2022</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$1,250,000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2022</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$1,250,000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2022</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$1,250,000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December 31, 2022</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$1,250,000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2023</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$1,250,000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2023</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$1,250,000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2023</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$1,250,000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December 31, 2023</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$3,125,000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2024</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$3,125,000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2024</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$3,125,000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2024</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$3,125,000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December 31, 2024</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$3,125,000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2025</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$3,125,000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2025</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$3,125,000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2025</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$3,125,000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December 31, 2025</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$3,125,000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2026</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$3,125,000</w:t>
            </w:r>
          </w:p>
        </w:tc>
      </w:tr>
      <w:tr>
        <w:trPr>
          <w:trHeight w:val="250"/>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2026</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$3,125,000</w:t>
            </w:r>
          </w:p>
        </w:tc>
      </w:tr>
    </w:tbl>
    <w:p>
      <w:pPr>
        <w:spacing w:after="0" w:line="37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25" w:name="page126"/>
    <w:bookmarkEnd w:id="125"/>
    <w:tbl>
      <w:tblPr>
        <w:tblLayout w:type="fixed"/>
        <w:tblInd w:w="1390" w:type="dxa"/>
        <w:tblCellMar>
          <w:top w:w="0" w:type="dxa"/>
          <w:left w:w="0" w:type="dxa"/>
          <w:bottom w:w="0" w:type="dxa"/>
          <w:right w:w="0" w:type="dxa"/>
        </w:tblCellMar>
      </w:tblPr>
      <w:tr>
        <w:trPr>
          <w:trHeight w:val="237"/>
        </w:trPr>
        <w:tc>
          <w:tcPr>
            <w:tcW w:w="3440" w:type="dxa"/>
            <w:vAlign w:val="bottom"/>
            <w:tcBorders>
              <w:top w:val="single" w:sz="8" w:color="auto"/>
              <w:left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20"/>
                <w:szCs w:val="20"/>
                <w:color w:val="auto"/>
              </w:rPr>
              <w:t>Maturity Date of Term Loan</w:t>
            </w:r>
          </w:p>
        </w:tc>
        <w:tc>
          <w:tcPr>
            <w:tcW w:w="3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Remaining outstanding principal balance</w:t>
            </w:r>
          </w:p>
        </w:tc>
      </w:tr>
      <w:tr>
        <w:trPr>
          <w:trHeight w:val="262"/>
        </w:trPr>
        <w:tc>
          <w:tcPr>
            <w:tcW w:w="3440" w:type="dxa"/>
            <w:vAlign w:val="bottom"/>
            <w:tcBorders>
              <w:left w:val="single" w:sz="8" w:color="auto"/>
              <w:bottom w:val="single" w:sz="8" w:color="auto"/>
              <w:right w:val="single" w:sz="8" w:color="auto"/>
            </w:tcBorders>
          </w:tcPr>
          <w:p>
            <w:pPr>
              <w:spacing w:after="0"/>
              <w:rPr>
                <w:sz w:val="22"/>
                <w:szCs w:val="22"/>
                <w:color w:val="auto"/>
              </w:rPr>
            </w:pP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of Term Loans</w:t>
            </w:r>
          </w:p>
        </w:tc>
      </w:tr>
    </w:tbl>
    <w:p>
      <w:pPr>
        <w:spacing w:after="0" w:line="200" w:lineRule="exact"/>
        <w:rPr>
          <w:sz w:val="20"/>
          <w:szCs w:val="20"/>
          <w:color w:val="auto"/>
        </w:rPr>
      </w:pP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 the final principal repayment installment of the Term Loans shall be repaid on the Maturity Date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Term Facility and in any event shall be in an amount equal to the aggregate principal amount of all Term Loans outstanding on such date, (ii) if any principal repayment installment to be made by the Borrower (other than principal repayment installments on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shall come due on a day other than a Business Day, such principal repayment installment shall be due 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the next succeeding Business Day, and such extension of time shall be reflected in computing interest or fees, as the case may be and (iii) if any principal repayment installment to be made by the Borrower on a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spacing w:after="0" w:line="187" w:lineRule="exact"/>
        <w:rPr>
          <w:sz w:val="20"/>
          <w:szCs w:val="20"/>
          <w:color w:val="auto"/>
        </w:rPr>
      </w:pPr>
    </w:p>
    <w:p>
      <w:pPr>
        <w:ind w:firstLine="745"/>
        <w:spacing w:after="0" w:line="268" w:lineRule="auto"/>
        <w:tabs>
          <w:tab w:leader="none" w:pos="114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The Borrower shall repay to the Revolving Lenders on the Maturity Date for the Revolving Facility the aggregate principal amount of all Revolving Loans outstanding on such date.</w:t>
      </w:r>
    </w:p>
    <w:p>
      <w:pPr>
        <w:spacing w:after="0" w:line="160" w:lineRule="exact"/>
        <w:rPr>
          <w:rFonts w:ascii="Times New Roman" w:cs="Times New Roman" w:eastAsia="Times New Roman" w:hAnsi="Times New Roman"/>
          <w:sz w:val="20"/>
          <w:szCs w:val="20"/>
          <w:color w:val="auto"/>
        </w:rPr>
      </w:pPr>
    </w:p>
    <w:p>
      <w:pPr>
        <w:ind w:right="20" w:firstLine="745"/>
        <w:spacing w:after="0" w:line="268" w:lineRule="auto"/>
        <w:tabs>
          <w:tab w:leader="none" w:pos="117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The Borrower shall repay each Swingline Loan on the earlier to occur of (i) the date ten (10) Business Days after such Loan is made and (ii) the Maturity Date for the Revolving Facility.</w:t>
      </w:r>
    </w:p>
    <w:p>
      <w:pPr>
        <w:spacing w:after="0" w:line="160"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The Borrower shall repay the outstanding principal amount of all Incremental Term Loans under any Incremental Term Facility in the installments, on the dates and in the amounts set forth in the applicable Incremental Term Facility Agreement for such Incremental Term Facility (as such installments may hereafter be adjusted as a result of the application of prepayments in accordance with the order of priority set forth in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unless accelerated sooner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2.08 </w:t>
      </w:r>
      <w:r>
        <w:rPr>
          <w:rFonts w:ascii="Times New Roman" w:cs="Times New Roman" w:eastAsia="Times New Roman" w:hAnsi="Times New Roman"/>
          <w:sz w:val="20"/>
          <w:szCs w:val="20"/>
          <w:b w:val="1"/>
          <w:bCs w:val="1"/>
          <w:u w:val="single" w:color="auto"/>
          <w:color w:val="auto"/>
        </w:rPr>
        <w:t>Interest and Default Rate.</w:t>
      </w:r>
    </w:p>
    <w:p>
      <w:pPr>
        <w:spacing w:after="0" w:line="219" w:lineRule="exact"/>
        <w:rPr>
          <w:sz w:val="20"/>
          <w:szCs w:val="20"/>
          <w:color w:val="auto"/>
        </w:rPr>
      </w:pPr>
    </w:p>
    <w:p>
      <w:pPr>
        <w:jc w:val="both"/>
        <w:ind w:firstLine="745"/>
        <w:spacing w:after="0" w:line="242" w:lineRule="auto"/>
        <w:tabs>
          <w:tab w:leader="none" w:pos="114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xml:space="preserve">), (i) each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under a Facility shall bear interest on the outstanding principal amount thereof for each Interest Period from the applicable Borrowing date at a rate per annum equal to </w:t>
      </w:r>
      <w:r>
        <w:rPr>
          <w:rFonts w:ascii="Times New Roman" w:cs="Times New Roman" w:eastAsia="Times New Roman" w:hAnsi="Times New Roman"/>
          <w:sz w:val="20"/>
          <w:szCs w:val="20"/>
          <w:color w:val="FF0000"/>
          <w:strike w:val="1"/>
        </w:rPr>
        <w:t>the 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for such Interest Period plus the Applicable Rate for such Facility; (ii) each Base Rate Loan under a Facility shall bear interest on the outstanding principal amount thereof from the applicable Borrowing date at a rate per annum equal to the Base Rate plus the Applicable Rate for such Facility; and (iii) each Swingline Loan shall bear interest on the outstanding principal amount thereof from the applicable Borrowing date at a rate per annum equal to the Base Rate plus the Applicable Rate for the Revolving Facility. To the extent that any calculation of interest or any fee required to be paid under this Agreement shall be based on (or result in) a calculation that is less than zero, such calculation shall be deemed zero for purposes of this Agreement.</w:t>
      </w:r>
    </w:p>
    <w:p>
      <w:pPr>
        <w:spacing w:after="0" w:line="191" w:lineRule="exact"/>
        <w:rPr>
          <w:rFonts w:ascii="Times New Roman" w:cs="Times New Roman" w:eastAsia="Times New Roman" w:hAnsi="Times New Roman"/>
          <w:sz w:val="20"/>
          <w:szCs w:val="20"/>
          <w:color w:val="auto"/>
        </w:rPr>
      </w:pPr>
    </w:p>
    <w:p>
      <w:pPr>
        <w:jc w:val="both"/>
        <w:ind w:firstLine="745"/>
        <w:spacing w:after="0" w:line="253" w:lineRule="auto"/>
        <w:tabs>
          <w:tab w:leader="none" w:pos="115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Immediately upon the occurrence and during the continuance of an Event of Default under Section 8.01(f) or (g), or at the election of the Required Lenders (or the Administrative Agent at the direction of the Required Lenders), upon the occurrence and during the continuance of any other Event of Default, all outstanding Obligations (including Letter of</w:t>
      </w:r>
    </w:p>
    <w:p>
      <w:pPr>
        <w:spacing w:after="0" w:line="200" w:lineRule="exact"/>
        <w:rPr>
          <w:sz w:val="20"/>
          <w:szCs w:val="20"/>
          <w:color w:val="auto"/>
        </w:rPr>
      </w:pPr>
    </w:p>
    <w:p>
      <w:pPr>
        <w:spacing w:after="0" w:line="37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26" w:name="page127"/>
    <w:bookmarkEnd w:id="126"/>
    <w:p>
      <w:pPr>
        <w:jc w:val="both"/>
        <w:spacing w:after="0" w:line="253" w:lineRule="auto"/>
        <w:rPr>
          <w:sz w:val="20"/>
          <w:szCs w:val="20"/>
          <w:color w:val="auto"/>
        </w:rPr>
      </w:pPr>
      <w:r>
        <w:rPr>
          <w:rFonts w:ascii="Times New Roman" w:cs="Times New Roman" w:eastAsia="Times New Roman" w:hAnsi="Times New Roman"/>
          <w:sz w:val="20"/>
          <w:szCs w:val="20"/>
          <w:color w:val="auto"/>
        </w:rPr>
        <w:t>Credit Fees) may accrue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76" w:lineRule="exact"/>
        <w:rPr>
          <w:sz w:val="20"/>
          <w:szCs w:val="20"/>
          <w:color w:val="auto"/>
        </w:rPr>
      </w:pPr>
    </w:p>
    <w:p>
      <w:pPr>
        <w:jc w:val="both"/>
        <w:ind w:firstLine="745"/>
        <w:spacing w:after="0" w:line="273" w:lineRule="auto"/>
        <w:tabs>
          <w:tab w:leader="none" w:pos="1144"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Payments</w:t>
      </w:r>
      <w:r>
        <w:rPr>
          <w:rFonts w:ascii="Times New Roman" w:cs="Times New Roman" w:eastAsia="Times New Roman" w:hAnsi="Times New Roman"/>
          <w:sz w:val="19"/>
          <w:szCs w:val="19"/>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2.09 </w:t>
      </w:r>
      <w:r>
        <w:rPr>
          <w:rFonts w:ascii="Times New Roman" w:cs="Times New Roman" w:eastAsia="Times New Roman" w:hAnsi="Times New Roman"/>
          <w:sz w:val="20"/>
          <w:szCs w:val="20"/>
          <w:b w:val="1"/>
          <w:bCs w:val="1"/>
          <w:u w:val="single" w:color="auto"/>
          <w:color w:val="auto"/>
        </w:rPr>
        <w:t>Fees.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addition to certain fees described in </w:t>
      </w:r>
      <w:r>
        <w:rPr>
          <w:rFonts w:ascii="Times New Roman" w:cs="Times New Roman" w:eastAsia="Times New Roman" w:hAnsi="Times New Roman"/>
          <w:sz w:val="20"/>
          <w:szCs w:val="20"/>
          <w:u w:val="single" w:color="auto"/>
          <w:color w:val="auto"/>
        </w:rPr>
        <w:t>clauses (l)</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firstLine="745"/>
        <w:spacing w:after="0" w:line="256" w:lineRule="auto"/>
        <w:tabs>
          <w:tab w:leader="none" w:pos="1144"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Commitment Fee</w:t>
      </w:r>
      <w:r>
        <w:rPr>
          <w:rFonts w:ascii="Times New Roman" w:cs="Times New Roman" w:eastAsia="Times New Roman" w:hAnsi="Times New Roman"/>
          <w:sz w:val="19"/>
          <w:szCs w:val="19"/>
          <w:color w:val="auto"/>
        </w:rPr>
        <w:t>. The Borrower shall pay to the Administrative Agent for the account of each Revolving Lender in accordance with its Applicable Revolving Percentage, a commitment fee (the “</w:t>
      </w:r>
      <w:r>
        <w:rPr>
          <w:rFonts w:ascii="Times New Roman" w:cs="Times New Roman" w:eastAsia="Times New Roman" w:hAnsi="Times New Roman"/>
          <w:sz w:val="19"/>
          <w:szCs w:val="19"/>
          <w:i w:val="1"/>
          <w:iCs w:val="1"/>
          <w:u w:val="single" w:color="auto"/>
          <w:color w:val="auto"/>
        </w:rPr>
        <w:t>Commitment Fee</w:t>
      </w:r>
      <w:r>
        <w:rPr>
          <w:rFonts w:ascii="Times New Roman" w:cs="Times New Roman" w:eastAsia="Times New Roman" w:hAnsi="Times New Roman"/>
          <w:sz w:val="19"/>
          <w:szCs w:val="19"/>
          <w:color w:val="auto"/>
        </w:rPr>
        <w:t xml:space="preserve">”) equal to the Applicable Rate </w:t>
      </w:r>
      <w:r>
        <w:rPr>
          <w:rFonts w:ascii="Times New Roman" w:cs="Times New Roman" w:eastAsia="Times New Roman" w:hAnsi="Times New Roman"/>
          <w:sz w:val="19"/>
          <w:szCs w:val="19"/>
          <w:i w:val="1"/>
          <w:iCs w:val="1"/>
          <w:color w:val="auto"/>
        </w:rPr>
        <w:t xml:space="preserve">times </w:t>
      </w:r>
      <w:r>
        <w:rPr>
          <w:rFonts w:ascii="Times New Roman" w:cs="Times New Roman" w:eastAsia="Times New Roman" w:hAnsi="Times New Roman"/>
          <w:sz w:val="19"/>
          <w:szCs w:val="19"/>
          <w:color w:val="auto"/>
        </w:rPr>
        <w:t>the actual daily amount by which the Revolving Facility exceeds the</w:t>
      </w:r>
      <w:r>
        <w:rPr>
          <w:rFonts w:ascii="Times New Roman" w:cs="Times New Roman" w:eastAsia="Times New Roman" w:hAnsi="Times New Roman"/>
          <w:sz w:val="19"/>
          <w:szCs w:val="19"/>
          <w:i w:val="1"/>
          <w:iCs w:val="1"/>
          <w:color w:val="auto"/>
        </w:rPr>
        <w:t xml:space="preserve"> sum of </w:t>
      </w:r>
      <w:r>
        <w:rPr>
          <w:rFonts w:ascii="Times New Roman" w:cs="Times New Roman" w:eastAsia="Times New Roman" w:hAnsi="Times New Roman"/>
          <w:sz w:val="19"/>
          <w:szCs w:val="19"/>
          <w:color w:val="auto"/>
        </w:rPr>
        <w:t>(i) the Outstanding Amount of Revolving Loans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and (ii) the Outstanding Amount of L/C Obligations, subject to adjustment as provided in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For the avoidance of doubt, the Outstanding Amount of Swingline Loans shall not be counted towards or considered usage of the Revolving Facility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for the Revolving Facility. The commitment fee shall be calculated quarterly in arrears, and if there is any change in the Applicable Rate during any quarter, the actual daily amount shall be computed and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the Applicable Rate separately for each period during such quarter that such Applicable Rate was in effect.</w:t>
      </w:r>
    </w:p>
    <w:p>
      <w:pPr>
        <w:spacing w:after="0" w:line="173" w:lineRule="exact"/>
        <w:rPr>
          <w:rFonts w:ascii="Times New Roman" w:cs="Times New Roman" w:eastAsia="Times New Roman" w:hAnsi="Times New Roman"/>
          <w:sz w:val="19"/>
          <w:szCs w:val="19"/>
          <w:color w:val="auto"/>
        </w:rPr>
      </w:pPr>
    </w:p>
    <w:p>
      <w:pPr>
        <w:jc w:val="both"/>
        <w:ind w:right="20" w:firstLine="745"/>
        <w:spacing w:after="0" w:line="253" w:lineRule="auto"/>
        <w:tabs>
          <w:tab w:leader="none" w:pos="11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2.10 </w:t>
      </w:r>
      <w:r>
        <w:rPr>
          <w:rFonts w:ascii="Times New Roman" w:cs="Times New Roman" w:eastAsia="Times New Roman" w:hAnsi="Times New Roman"/>
          <w:sz w:val="20"/>
          <w:szCs w:val="20"/>
          <w:b w:val="1"/>
          <w:bCs w:val="1"/>
          <w:u w:val="single" w:color="auto"/>
          <w:color w:val="auto"/>
        </w:rPr>
        <w:t>Computation of Interest and Fees; Retroactive Adjustments of Applicable Rate.</w:t>
      </w:r>
    </w:p>
    <w:p>
      <w:pPr>
        <w:spacing w:after="0" w:line="219" w:lineRule="exact"/>
        <w:rPr>
          <w:sz w:val="20"/>
          <w:szCs w:val="20"/>
          <w:color w:val="auto"/>
        </w:rPr>
      </w:pPr>
    </w:p>
    <w:p>
      <w:pPr>
        <w:jc w:val="both"/>
        <w:ind w:firstLine="745"/>
        <w:spacing w:after="0" w:line="243" w:lineRule="auto"/>
        <w:tabs>
          <w:tab w:leader="none" w:pos="117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Computation of Interest and Fees</w:t>
      </w:r>
      <w:r>
        <w:rPr>
          <w:rFonts w:ascii="Times New Roman" w:cs="Times New Roman" w:eastAsia="Times New Roman" w:hAnsi="Times New Roman"/>
          <w:sz w:val="20"/>
          <w:szCs w:val="20"/>
          <w:color w:val="auto"/>
        </w:rPr>
        <w:t xml:space="preserve">. All computations of interest for Base Rate Loans (including Base Rate Loans determined by reference to </w:t>
      </w:r>
      <w:r>
        <w:rPr>
          <w:rFonts w:ascii="Times New Roman" w:cs="Times New Roman" w:eastAsia="Times New Roman" w:hAnsi="Times New Roman"/>
          <w:sz w:val="20"/>
          <w:szCs w:val="20"/>
          <w:color w:val="FF0000"/>
          <w:strike w:val="1"/>
        </w:rPr>
        <w:t>the 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shall be made on the basis of a year of 365 or 366 days, as the case may be, and actual days elapsed. All other computations of fees and interest shall be made on the basis of a three hundred sixty (360) 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(1) day. Each determination by the Administrative Agent of an interest rate or fee hereunder shall be conclusive and binding for all purposes, absent manifest error.</w:t>
      </w:r>
    </w:p>
    <w:p>
      <w:pPr>
        <w:spacing w:after="0" w:line="186" w:lineRule="exact"/>
        <w:rPr>
          <w:rFonts w:ascii="Times New Roman" w:cs="Times New Roman" w:eastAsia="Times New Roman" w:hAnsi="Times New Roman"/>
          <w:sz w:val="20"/>
          <w:szCs w:val="20"/>
          <w:color w:val="auto"/>
        </w:rPr>
      </w:pPr>
    </w:p>
    <w:p>
      <w:pPr>
        <w:jc w:val="both"/>
        <w:ind w:firstLine="745"/>
        <w:spacing w:after="0" w:line="273" w:lineRule="auto"/>
        <w:tabs>
          <w:tab w:leader="none" w:pos="1158"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Statement Adjustments or Restatements</w:t>
      </w:r>
      <w:r>
        <w:rPr>
          <w:rFonts w:ascii="Times New Roman" w:cs="Times New Roman" w:eastAsia="Times New Roman" w:hAnsi="Times New Roman"/>
          <w:sz w:val="19"/>
          <w:szCs w:val="19"/>
          <w:color w:val="auto"/>
        </w:rPr>
        <w:t>. If, as a result of any restatement of or other adjustment to the financial statements of the Borrower and its Subsidiaries or for any other reason, the Borrower, or the Lenders determine that (i) the Consolidated Total Net Leverage Ratio as calculated by the Borrower as of any applicable date was inaccurate and (ii) a proper</w:t>
      </w:r>
    </w:p>
    <w:p>
      <w:pPr>
        <w:spacing w:after="0" w:line="200" w:lineRule="exact"/>
        <w:rPr>
          <w:sz w:val="20"/>
          <w:szCs w:val="20"/>
          <w:color w:val="auto"/>
        </w:rPr>
      </w:pPr>
    </w:p>
    <w:p>
      <w:pPr>
        <w:spacing w:after="0" w:line="3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27" w:name="page128"/>
    <w:bookmarkEnd w:id="127"/>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calculation of the Consolidated Total Net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shall not limit the rights of the Administrative Agent, any Lender or the L/C Issuer, as the case may be, under any provision of this Agreement to payment of any Obligations hereunder at the Default Rate or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The Borrower’s obligations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shall survive the termination of the Aggregate Commitments and the repayment of all other Obligations 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2.11 </w:t>
      </w:r>
      <w:r>
        <w:rPr>
          <w:rFonts w:ascii="Times New Roman" w:cs="Times New Roman" w:eastAsia="Times New Roman" w:hAnsi="Times New Roman"/>
          <w:sz w:val="20"/>
          <w:szCs w:val="20"/>
          <w:b w:val="1"/>
          <w:bCs w:val="1"/>
          <w:u w:val="single" w:color="auto"/>
          <w:color w:val="auto"/>
        </w:rPr>
        <w:t>Evidence of Debt.</w:t>
      </w:r>
    </w:p>
    <w:p>
      <w:pPr>
        <w:spacing w:after="0" w:line="219" w:lineRule="exact"/>
        <w:rPr>
          <w:sz w:val="20"/>
          <w:szCs w:val="20"/>
          <w:color w:val="auto"/>
        </w:rPr>
      </w:pPr>
    </w:p>
    <w:p>
      <w:pPr>
        <w:jc w:val="both"/>
        <w:ind w:firstLine="745"/>
        <w:spacing w:after="0" w:line="242" w:lineRule="auto"/>
        <w:tabs>
          <w:tab w:leader="none" w:pos="1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Accounts</w:t>
      </w:r>
      <w:r>
        <w:rPr>
          <w:rFonts w:ascii="Times New Roman" w:cs="Times New Roman" w:eastAsia="Times New Roman" w:hAnsi="Times New Roman"/>
          <w:sz w:val="20"/>
          <w:szCs w:val="20"/>
          <w:color w:val="auto"/>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89"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Records</w:t>
      </w:r>
      <w:r>
        <w:rPr>
          <w:rFonts w:ascii="Times New Roman" w:cs="Times New Roman" w:eastAsia="Times New Roman" w:hAnsi="Times New Roman"/>
          <w:sz w:val="20"/>
          <w:szCs w:val="20"/>
          <w:color w:val="auto"/>
        </w:rPr>
        <w:t xml:space="preserve">. In addition to the accounts and records referred to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2.12 </w:t>
      </w:r>
      <w:r>
        <w:rPr>
          <w:rFonts w:ascii="Times New Roman" w:cs="Times New Roman" w:eastAsia="Times New Roman" w:hAnsi="Times New Roman"/>
          <w:sz w:val="20"/>
          <w:szCs w:val="20"/>
          <w:b w:val="1"/>
          <w:bCs w:val="1"/>
          <w:u w:val="single" w:color="auto"/>
          <w:color w:val="auto"/>
        </w:rPr>
        <w:t>Payments Generally; Administrative Agent’s Clawback.</w:t>
      </w:r>
    </w:p>
    <w:p>
      <w:pPr>
        <w:spacing w:after="0" w:line="219" w:lineRule="exact"/>
        <w:rPr>
          <w:sz w:val="20"/>
          <w:szCs w:val="20"/>
          <w:color w:val="auto"/>
        </w:rPr>
      </w:pPr>
    </w:p>
    <w:p>
      <w:pPr>
        <w:jc w:val="both"/>
        <w:ind w:firstLine="745"/>
        <w:spacing w:after="0" w:line="243" w:lineRule="auto"/>
        <w:tabs>
          <w:tab w:leader="none" w:pos="118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w:t>
      </w:r>
    </w:p>
    <w:p>
      <w:pPr>
        <w:spacing w:after="0" w:line="200" w:lineRule="exact"/>
        <w:rPr>
          <w:sz w:val="20"/>
          <w:szCs w:val="20"/>
          <w:color w:val="auto"/>
        </w:rPr>
      </w:pPr>
    </w:p>
    <w:p>
      <w:pPr>
        <w:spacing w:after="0" w:line="38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28" w:name="page129"/>
    <w:bookmarkEnd w:id="128"/>
    <w:p>
      <w:pPr>
        <w:jc w:val="both"/>
        <w:ind w:left="3"/>
        <w:spacing w:after="0" w:line="253"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2.07(a</w:t>
      </w:r>
      <w:r>
        <w:rPr>
          <w:rFonts w:ascii="Times New Roman" w:cs="Times New Roman" w:eastAsia="Times New Roman" w:hAnsi="Times New Roman"/>
          <w:sz w:val="20"/>
          <w:szCs w:val="20"/>
          <w:color w:val="auto"/>
        </w:rPr>
        <w:t>) and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76" w:lineRule="exact"/>
        <w:rPr>
          <w:sz w:val="20"/>
          <w:szCs w:val="20"/>
          <w:color w:val="auto"/>
        </w:rPr>
      </w:pPr>
    </w:p>
    <w:p>
      <w:pPr>
        <w:jc w:val="both"/>
        <w:ind w:left="3" w:firstLine="745"/>
        <w:spacing w:after="0" w:line="253" w:lineRule="auto"/>
        <w:tabs>
          <w:tab w:leader="none" w:pos="1148"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w:t>
      </w:r>
      <w:r>
        <w:rPr>
          <w:rFonts w:ascii="Times New Roman" w:cs="Times New Roman" w:eastAsia="Times New Roman" w:hAnsi="Times New Roman"/>
          <w:sz w:val="19"/>
          <w:szCs w:val="19"/>
          <w:u w:val="single" w:color="auto"/>
          <w:color w:val="auto"/>
        </w:rPr>
        <w:t>Funding by Lenders; Presumption by Administrative Agent</w:t>
      </w:r>
      <w:r>
        <w:rPr>
          <w:rFonts w:ascii="Times New Roman" w:cs="Times New Roman" w:eastAsia="Times New Roman" w:hAnsi="Times New Roman"/>
          <w:sz w:val="19"/>
          <w:szCs w:val="19"/>
          <w:color w:val="auto"/>
        </w:rPr>
        <w:t xml:space="preserve">. Unless the Administrative Agent shall have received notice from a Lender prior to the proposed date of any Borrowing of </w:t>
      </w:r>
      <w:r>
        <w:rPr>
          <w:rFonts w:ascii="Times New Roman" w:cs="Times New Roman" w:eastAsia="Times New Roman" w:hAnsi="Times New Roman"/>
          <w:sz w:val="19"/>
          <w:szCs w:val="19"/>
          <w:color w:val="FF0000"/>
          <w:strike w:val="1"/>
        </w:rPr>
        <w:t>BSBY Rate</w:t>
      </w:r>
      <w:r>
        <w:rPr>
          <w:rFonts w:ascii="Times New Roman" w:cs="Times New Roman" w:eastAsia="Times New Roman" w:hAnsi="Times New Roman"/>
          <w:sz w:val="19"/>
          <w:szCs w:val="19"/>
          <w:u w:val="single" w:color="auto"/>
          <w:color w:val="0000FF"/>
        </w:rPr>
        <w:t>Term SOFR</w:t>
      </w:r>
      <w:r>
        <w:rPr>
          <w:rFonts w:ascii="Times New Roman" w:cs="Times New Roman" w:eastAsia="Times New Roman" w:hAnsi="Times New Roman"/>
          <w:sz w:val="19"/>
          <w:szCs w:val="19"/>
          <w:color w:val="auto"/>
        </w:rPr>
        <w:t xml:space="preserv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any administrative, processing or similar fees customarily charged by the Administrative Agent in connection with the foregoing, and</w:t>
      </w:r>
    </w:p>
    <w:p>
      <w:pPr>
        <w:spacing w:after="0" w:line="7" w:lineRule="exact"/>
        <w:rPr>
          <w:rFonts w:ascii="Times New Roman" w:cs="Times New Roman" w:eastAsia="Times New Roman" w:hAnsi="Times New Roman"/>
          <w:sz w:val="19"/>
          <w:szCs w:val="19"/>
          <w:color w:val="auto"/>
        </w:rPr>
      </w:pPr>
    </w:p>
    <w:p>
      <w:pPr>
        <w:jc w:val="both"/>
        <w:ind w:left="3" w:hanging="3"/>
        <w:spacing w:after="0"/>
        <w:tabs>
          <w:tab w:leader="none" w:pos="32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9" w:lineRule="exact"/>
        <w:rPr>
          <w:rFonts w:ascii="Times New Roman" w:cs="Times New Roman" w:eastAsia="Times New Roman" w:hAnsi="Times New Roman"/>
          <w:sz w:val="20"/>
          <w:szCs w:val="20"/>
          <w:color w:val="auto"/>
        </w:rPr>
      </w:pPr>
    </w:p>
    <w:p>
      <w:pPr>
        <w:jc w:val="both"/>
        <w:ind w:left="743" w:firstLine="754"/>
        <w:spacing w:after="0" w:line="242" w:lineRule="auto"/>
        <w:tabs>
          <w:tab w:leader="none" w:pos="1887"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 Presumptions by Administrative Agent</w:t>
      </w:r>
      <w:r>
        <w:rPr>
          <w:rFonts w:ascii="Times New Roman" w:cs="Times New Roman" w:eastAsia="Times New Roman" w:hAnsi="Times New Roman"/>
          <w:sz w:val="20"/>
          <w:szCs w:val="20"/>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 In such event, if the Borrower has not in fact made such payment, then each of the Appropriate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6" w:lineRule="exact"/>
        <w:rPr>
          <w:sz w:val="20"/>
          <w:szCs w:val="20"/>
          <w:color w:val="auto"/>
        </w:rPr>
      </w:pPr>
    </w:p>
    <w:p>
      <w:pPr>
        <w:ind w:left="3" w:firstLine="749"/>
        <w:spacing w:after="0" w:line="268"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the Borrower with respect to any amount owing under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shall be conclusive, absent manifest error.</w:t>
      </w:r>
    </w:p>
    <w:p>
      <w:pPr>
        <w:spacing w:after="0" w:line="200" w:lineRule="exact"/>
        <w:rPr>
          <w:sz w:val="20"/>
          <w:szCs w:val="20"/>
          <w:color w:val="auto"/>
        </w:rPr>
      </w:pPr>
    </w:p>
    <w:p>
      <w:pPr>
        <w:spacing w:after="0" w:line="360"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477520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1" w:right="339" w:bottom="1440" w:gutter="0" w:footer="0" w:header="0"/>
        </w:sectPr>
      </w:pPr>
    </w:p>
    <w:bookmarkStart w:id="129" w:name="page130"/>
    <w:bookmarkEnd w:id="129"/>
    <w:p>
      <w:pPr>
        <w:jc w:val="both"/>
        <w:ind w:left="760" w:firstLine="745"/>
        <w:spacing w:after="0" w:line="246" w:lineRule="auto"/>
        <w:tabs>
          <w:tab w:leader="none" w:pos="191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Term Loans and Revolving Loans, to fund participations in Letters of Credit and Swingline Loans and to make payments pursuant to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1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3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Rata Treatment</w:t>
      </w:r>
      <w:r>
        <w:rPr>
          <w:rFonts w:ascii="Times New Roman" w:cs="Times New Roman" w:eastAsia="Times New Roman" w:hAnsi="Times New Roman"/>
          <w:sz w:val="20"/>
          <w:szCs w:val="20"/>
          <w:color w:val="auto"/>
        </w:rPr>
        <w:t xml:space="preserve">. Except to the extent otherwise provided herein: (i) each Borrowing (other than Swingline Borrowings) shall be made from the Appropriate Lenders, each payment of fees under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clauses (l)</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be made for account of the Appropriate Lenders, and each termination or reduction of the amount of the Commitments shall be applied to the respective Commitments of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amounts of their respective Commitments; (ii) each Borrowing shall be allocated pro rata among the Lenders according to the amounts of their respective Commitments (in the case of the making of Revolving Loans) or their respective Loans that are to be included in such Borrowing (in the case of 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with the amounts of interest on such Loans then due and payable to the respective Appropriate Lenders.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2.13 </w:t>
      </w:r>
      <w:r>
        <w:rPr>
          <w:rFonts w:ascii="Times New Roman" w:cs="Times New Roman" w:eastAsia="Times New Roman" w:hAnsi="Times New Roman"/>
          <w:sz w:val="20"/>
          <w:szCs w:val="20"/>
          <w:b w:val="1"/>
          <w:bCs w:val="1"/>
          <w:u w:val="single" w:color="auto"/>
          <w:color w:val="auto"/>
        </w:rPr>
        <w:t>Sharing of Payments by Lenders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0" w:name="page131"/>
    <w:bookmarkEnd w:id="130"/>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Lenders at such time, then, in each case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3" w:lineRule="exact"/>
        <w:rPr>
          <w:sz w:val="20"/>
          <w:szCs w:val="20"/>
          <w:color w:val="auto"/>
        </w:rPr>
      </w:pPr>
    </w:p>
    <w:p>
      <w:pPr>
        <w:jc w:val="both"/>
        <w:ind w:left="1500" w:firstLine="754"/>
        <w:spacing w:after="0" w:line="253" w:lineRule="auto"/>
        <w:tabs>
          <w:tab w:leader="none" w:pos="26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6" w:lineRule="exact"/>
        <w:rPr>
          <w:rFonts w:ascii="Times New Roman" w:cs="Times New Roman" w:eastAsia="Times New Roman" w:hAnsi="Times New Roman"/>
          <w:sz w:val="20"/>
          <w:szCs w:val="20"/>
          <w:color w:val="auto"/>
        </w:rPr>
      </w:pPr>
    </w:p>
    <w:p>
      <w:pPr>
        <w:jc w:val="both"/>
        <w:ind w:left="1500" w:firstLine="754"/>
        <w:spacing w:after="0" w:line="244" w:lineRule="auto"/>
        <w:tabs>
          <w:tab w:leader="none" w:pos="264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or Disqualified Institution), (B) the application of Cash Collateral provided for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(C)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shall apply).</w:t>
      </w:r>
    </w:p>
    <w:p>
      <w:pPr>
        <w:spacing w:after="0" w:line="18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19"/>
          <w:szCs w:val="19"/>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2.14 </w:t>
      </w:r>
      <w:r>
        <w:rPr>
          <w:rFonts w:ascii="Times New Roman" w:cs="Times New Roman" w:eastAsia="Times New Roman" w:hAnsi="Times New Roman"/>
          <w:sz w:val="20"/>
          <w:szCs w:val="20"/>
          <w:b w:val="1"/>
          <w:bCs w:val="1"/>
          <w:u w:val="single" w:color="auto"/>
          <w:color w:val="auto"/>
        </w:rPr>
        <w:t>Cash Collateral.</w:t>
      </w:r>
    </w:p>
    <w:p>
      <w:pPr>
        <w:spacing w:after="0" w:line="219" w:lineRule="exact"/>
        <w:rPr>
          <w:sz w:val="20"/>
          <w:szCs w:val="20"/>
          <w:color w:val="auto"/>
        </w:rPr>
      </w:pPr>
    </w:p>
    <w:p>
      <w:pPr>
        <w:jc w:val="both"/>
        <w:ind w:left="760" w:firstLine="745"/>
        <w:spacing w:after="0" w:line="246" w:lineRule="auto"/>
        <w:tabs>
          <w:tab w:leader="none" w:pos="1945"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 to Cash Collateralize</w:t>
      </w:r>
      <w:r>
        <w:rPr>
          <w:rFonts w:ascii="Times New Roman" w:cs="Times New Roman" w:eastAsia="Times New Roman" w:hAnsi="Times New Roman"/>
          <w:sz w:val="20"/>
          <w:szCs w:val="20"/>
          <w:color w:val="auto"/>
        </w:rPr>
        <w:t xml:space="preserve">. At any time there shall exist a Defaulting Lender, within one Business Day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and any Cash Collateral provided by such Defaulting Lender) in an amount not less than the Minimum Collateral Amount.</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3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xml:space="preserve">).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 w:cs="Times New Roman" w:eastAsia="Times New Roman" w:hAnsi="Times New Roman"/>
          <w:sz w:val="20"/>
          <w:szCs w:val="20"/>
          <w:u w:val="single" w:color="auto"/>
          <w:color w:val="auto"/>
        </w:rPr>
        <w:t>Section 2.15(a)(v</w:t>
      </w:r>
      <w:r>
        <w:rPr>
          <w:rFonts w:ascii="Times New Roman" w:cs="Times New Roman" w:eastAsia="Times New Roman" w:hAnsi="Times New Roman"/>
          <w:sz w:val="20"/>
          <w:szCs w:val="20"/>
          <w:color w:val="auto"/>
        </w:rPr>
        <w:t xml:space="preserve">), after giving effect to </w:t>
      </w:r>
      <w:r>
        <w:rPr>
          <w:rFonts w:ascii="Times New Roman" w:cs="Times New Roman" w:eastAsia="Times New Roman" w:hAnsi="Times New Roman"/>
          <w:sz w:val="20"/>
          <w:szCs w:val="20"/>
          <w:u w:val="single" w:color="auto"/>
          <w:color w:val="auto"/>
        </w:rPr>
        <w:t>Section 2.15(a)(v</w:t>
      </w:r>
      <w:r>
        <w:rPr>
          <w:rFonts w:ascii="Times New Roman" w:cs="Times New Roman" w:eastAsia="Times New Roman" w:hAnsi="Times New Roman"/>
          <w:sz w:val="20"/>
          <w:szCs w:val="20"/>
          <w:color w:val="auto"/>
        </w:rPr>
        <w:t>) and any Cash Collateral provided by the Defaulting Lender). All Cash Collateral (other than credit support not constituting funds subject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1" w:name="page132"/>
    <w:bookmarkEnd w:id="131"/>
    <w:p>
      <w:pPr>
        <w:jc w:val="both"/>
        <w:spacing w:after="0" w:line="253" w:lineRule="auto"/>
        <w:rPr>
          <w:sz w:val="20"/>
          <w:szCs w:val="20"/>
          <w:color w:val="auto"/>
        </w:rPr>
      </w:pPr>
      <w:r>
        <w:rPr>
          <w:rFonts w:ascii="Times New Roman" w:cs="Times New Roman" w:eastAsia="Times New Roman" w:hAnsi="Times New Roman"/>
          <w:sz w:val="20"/>
          <w:szCs w:val="20"/>
          <w:color w:val="auto"/>
        </w:rPr>
        <w:t>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76" w:lineRule="exact"/>
        <w:rPr>
          <w:sz w:val="20"/>
          <w:szCs w:val="20"/>
          <w:color w:val="auto"/>
        </w:rPr>
      </w:pPr>
    </w:p>
    <w:p>
      <w:pPr>
        <w:jc w:val="both"/>
        <w:ind w:firstLine="745"/>
        <w:spacing w:after="0" w:line="246" w:lineRule="auto"/>
        <w:tabs>
          <w:tab w:leader="none" w:pos="115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Revolving Lender that is a Defaulting Lender, any interest accrued on such obligation) and other obligations for which the Cash Collateral was so provided, prior to any other application of such property as may be provided for herein.</w:t>
      </w:r>
    </w:p>
    <w:p>
      <w:pPr>
        <w:spacing w:after="0" w:line="183" w:lineRule="exact"/>
        <w:rPr>
          <w:rFonts w:ascii="Times New Roman" w:cs="Times New Roman" w:eastAsia="Times New Roman" w:hAnsi="Times New Roman"/>
          <w:sz w:val="20"/>
          <w:szCs w:val="20"/>
          <w:color w:val="auto"/>
        </w:rPr>
      </w:pPr>
    </w:p>
    <w:p>
      <w:pPr>
        <w:jc w:val="both"/>
        <w:ind w:firstLine="745"/>
        <w:spacing w:after="0" w:line="242" w:lineRule="auto"/>
        <w:tabs>
          <w:tab w:leader="none" w:pos="1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Times New Roman" w:cs="Times New Roman" w:eastAsia="Times New Roman" w:hAnsi="Times New Roman"/>
          <w:sz w:val="20"/>
          <w:szCs w:val="20"/>
          <w:u w:val="single" w:color="auto"/>
          <w:color w:val="auto"/>
        </w:rPr>
        <w:t>Section 11.06(b)(vi</w:t>
      </w:r>
      <w:r>
        <w:rPr>
          <w:rFonts w:ascii="Times New Roman" w:cs="Times New Roman" w:eastAsia="Times New Roman" w:hAnsi="Times New Roman"/>
          <w:sz w:val="20"/>
          <w:szCs w:val="20"/>
          <w:color w:val="auto"/>
        </w:rPr>
        <w:t xml:space="preserve">))) or (ii) the determination by the Administrative Agent and the L/C Issuer that there exists excess Cash Collateral;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2.15 </w:t>
      </w:r>
      <w:r>
        <w:rPr>
          <w:rFonts w:ascii="Times New Roman" w:cs="Times New Roman" w:eastAsia="Times New Roman" w:hAnsi="Times New Roman"/>
          <w:sz w:val="20"/>
          <w:szCs w:val="20"/>
          <w:b w:val="1"/>
          <w:bCs w:val="1"/>
          <w:u w:val="single" w:color="auto"/>
          <w:color w:val="auto"/>
        </w:rPr>
        <w:t>Defaulting Lenders.</w:t>
      </w:r>
    </w:p>
    <w:p>
      <w:pPr>
        <w:spacing w:after="0" w:line="219" w:lineRule="exact"/>
        <w:rPr>
          <w:sz w:val="20"/>
          <w:szCs w:val="20"/>
          <w:color w:val="auto"/>
        </w:rPr>
      </w:pPr>
    </w:p>
    <w:p>
      <w:pPr>
        <w:jc w:val="both"/>
        <w:ind w:firstLine="745"/>
        <w:spacing w:after="0" w:line="295" w:lineRule="auto"/>
        <w:tabs>
          <w:tab w:leader="none" w:pos="1185"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w:t>
      </w:r>
      <w:r>
        <w:rPr>
          <w:rFonts w:ascii="Times New Roman" w:cs="Times New Roman" w:eastAsia="Times New Roman" w:hAnsi="Times New Roman"/>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37" w:lineRule="exact"/>
        <w:rPr>
          <w:rFonts w:ascii="Times New Roman" w:cs="Times New Roman" w:eastAsia="Times New Roman" w:hAnsi="Times New Roman"/>
          <w:sz w:val="19"/>
          <w:szCs w:val="19"/>
          <w:color w:val="auto"/>
        </w:rPr>
      </w:pPr>
    </w:p>
    <w:p>
      <w:pPr>
        <w:jc w:val="both"/>
        <w:ind w:left="740" w:firstLine="754"/>
        <w:spacing w:after="0" w:line="253" w:lineRule="auto"/>
        <w:tabs>
          <w:tab w:leader="none" w:pos="1925"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left="740" w:firstLine="754"/>
        <w:spacing w:after="0" w:line="241" w:lineRule="auto"/>
        <w:tabs>
          <w:tab w:leader="none" w:pos="1911"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L/C Issuer or the Swingline Lender hereunder;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to Cash Collateralize the L/C Issuer’s Fronting Exposure with respect to such Defaulting Lender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order to (A) satisfy such Defaulting Lender’s potential future funding obligations with respect to Loans under this Agreement and (B) Cash Collateralize the L/C</w:t>
      </w:r>
    </w:p>
    <w:p>
      <w:pPr>
        <w:spacing w:after="0" w:line="200" w:lineRule="exact"/>
        <w:rPr>
          <w:sz w:val="20"/>
          <w:szCs w:val="20"/>
          <w:color w:val="auto"/>
        </w:rPr>
      </w:pPr>
    </w:p>
    <w:p>
      <w:pPr>
        <w:spacing w:after="0" w:line="39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32" w:name="page133"/>
    <w:bookmarkEnd w:id="132"/>
    <w:p>
      <w:pPr>
        <w:jc w:val="both"/>
        <w:ind w:left="380"/>
        <w:spacing w:after="0"/>
        <w:rPr>
          <w:sz w:val="20"/>
          <w:szCs w:val="20"/>
          <w:color w:val="auto"/>
        </w:rPr>
      </w:pPr>
      <w:r>
        <w:rPr>
          <w:rFonts w:ascii="Times New Roman" w:cs="Times New Roman" w:eastAsia="Times New Roman" w:hAnsi="Times New Roman"/>
          <w:sz w:val="20"/>
          <w:szCs w:val="20"/>
          <w:color w:val="auto"/>
        </w:rPr>
        <w:t xml:space="preserve">Issuer’s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u w:val="single" w:color="auto"/>
          <w:color w:val="auto"/>
        </w:rPr>
        <w:t>eighth</w:t>
      </w:r>
      <w:r>
        <w:rPr>
          <w:rFonts w:ascii="Times New Roman" w:cs="Times New Roman" w:eastAsia="Times New Roman" w:hAnsi="Times New Roman"/>
          <w:sz w:val="20"/>
          <w:szCs w:val="20"/>
          <w:color w:val="auto"/>
        </w:rPr>
        <w:t>, to such Defaulting Lender or as otherwise as may be required under the Loan Documents in connection with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Lien conferred thereunder or directed by a court of competent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prior to being applied to the payment of any Loans of, or L/C Obligations owed to, such Defaulting Lender until such time as all Loans and funded and unfunded participations in L/C Obligations and Swingline Loans are held by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accordance with the Commitments hereunder without giving effect to </w:t>
      </w:r>
      <w:r>
        <w:rPr>
          <w:rFonts w:ascii="Times New Roman" w:cs="Times New Roman" w:eastAsia="Times New Roman" w:hAnsi="Times New Roman"/>
          <w:sz w:val="20"/>
          <w:szCs w:val="20"/>
          <w:u w:val="single" w:color="auto"/>
          <w:color w:val="auto"/>
        </w:rPr>
        <w:t>Section 2.15(a)(v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2.15(a)(ii</w:t>
      </w:r>
      <w:r>
        <w:rPr>
          <w:rFonts w:ascii="Times New Roman" w:cs="Times New Roman" w:eastAsia="Times New Roman" w:hAnsi="Times New Roman"/>
          <w:sz w:val="20"/>
          <w:szCs w:val="20"/>
          <w:color w:val="auto"/>
        </w:rPr>
        <w:t>) shall be deemed paid to and redirected by such Defaulting Lender, and each Lender irrevocably consents hereto.</w:t>
      </w:r>
    </w:p>
    <w:p>
      <w:pPr>
        <w:spacing w:after="0" w:line="202" w:lineRule="exact"/>
        <w:rPr>
          <w:sz w:val="20"/>
          <w:szCs w:val="20"/>
          <w:color w:val="auto"/>
        </w:rPr>
      </w:pPr>
    </w:p>
    <w:p>
      <w:pPr>
        <w:ind w:left="1520" w:hanging="386"/>
        <w:spacing w:after="0"/>
        <w:tabs>
          <w:tab w:leader="none" w:pos="152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1140" w:firstLine="743"/>
        <w:spacing w:after="0" w:line="253" w:lineRule="auto"/>
        <w:tabs>
          <w:tab w:leader="none" w:pos="228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No Defaulting Lender shall be entitled to receive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for any period during which that Lender is a Defaulting Lender (and the Borrower shall not be required to pay any such fee that otherwise would have been required to have been paid to that Defaulting Lender).</w:t>
      </w:r>
    </w:p>
    <w:p>
      <w:pPr>
        <w:spacing w:after="0" w:line="176"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1140" w:firstLine="743"/>
        <w:spacing w:after="0" w:line="242" w:lineRule="auto"/>
        <w:tabs>
          <w:tab w:leader="none" w:pos="228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Fees</w:t>
      </w:r>
      <w:r>
        <w:rPr>
          <w:rFonts w:ascii="Times New Roman" w:cs="Times New Roman" w:eastAsia="Times New Roman" w:hAnsi="Times New Roman"/>
          <w:sz w:val="20"/>
          <w:szCs w:val="20"/>
          <w:color w:val="auto"/>
        </w:rPr>
        <w:t xml:space="preserve">. With respect to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any Letter of Credit Fee not required to be paid to any Defaulting Lender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the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below, (2) pay to the L/C Issuer and the Swingline Lender, as applicable, the amount of any such fee otherwise payable to such Defaulting Lender to the extent allocable to such L/C Issuer’s or Swingline Lender’s Fronting Exposure to such Defaulting Lender, and</w:t>
      </w:r>
    </w:p>
    <w:p>
      <w:pPr>
        <w:spacing w:after="0" w:line="3" w:lineRule="exact"/>
        <w:rPr>
          <w:rFonts w:ascii="Times New Roman" w:cs="Times New Roman" w:eastAsia="Times New Roman" w:hAnsi="Times New Roman"/>
          <w:sz w:val="20"/>
          <w:szCs w:val="20"/>
          <w:color w:val="auto"/>
        </w:rPr>
      </w:pPr>
    </w:p>
    <w:p>
      <w:pPr>
        <w:ind w:left="1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not be required to pay the remaining amount of any such fee.</w:t>
      </w:r>
    </w:p>
    <w:p>
      <w:pPr>
        <w:spacing w:after="0" w:line="200" w:lineRule="exact"/>
        <w:rPr>
          <w:sz w:val="20"/>
          <w:szCs w:val="20"/>
          <w:color w:val="auto"/>
        </w:rPr>
      </w:pPr>
    </w:p>
    <w:p>
      <w:pPr>
        <w:spacing w:after="0" w:line="39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33" w:name="page134"/>
    <w:bookmarkEnd w:id="133"/>
    <w:p>
      <w:pPr>
        <w:jc w:val="both"/>
        <w:ind w:left="740" w:firstLine="754"/>
        <w:spacing w:after="0" w:line="243" w:lineRule="auto"/>
        <w:tabs>
          <w:tab w:leader="none" w:pos="1898"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Revolving Percentages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Swingline Loans shall be reallocated among the Non-Defaulting Lenders in accordance with their respective Applicable Revolving Percentages (calculated without regard to such Defaulting Lender’s Commitment) but only to the extent that such reallocation does not cause the aggregate Revolving Exposure of any Non-Defaulting Lender to exceed such Non-Defaulting Lender’s Revolving Commitment. Subject to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6" w:lineRule="exact"/>
        <w:rPr>
          <w:rFonts w:ascii="Times New Roman" w:cs="Times New Roman" w:eastAsia="Times New Roman" w:hAnsi="Times New Roman"/>
          <w:sz w:val="20"/>
          <w:szCs w:val="20"/>
          <w:color w:val="auto"/>
        </w:rPr>
      </w:pPr>
    </w:p>
    <w:p>
      <w:pPr>
        <w:jc w:val="both"/>
        <w:ind w:left="740" w:firstLine="754"/>
        <w:spacing w:after="0" w:line="246" w:lineRule="auto"/>
        <w:tabs>
          <w:tab w:leader="none" w:pos="188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(a)(v</w:t>
      </w:r>
      <w:r>
        <w:rPr>
          <w:rFonts w:ascii="Times New Roman" w:cs="Times New Roman" w:eastAsia="Times New Roman" w:hAnsi="Times New Roman"/>
          <w:sz w:val="20"/>
          <w:szCs w:val="20"/>
          <w:color w:val="auto"/>
        </w:rPr>
        <w:t xml:space="preserve">) above cannot, or can only partially, be effected, the Borrower shall, without prejudice to any right or remedy available to it hereunder or under Applicable Law, (A)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prepay Swingline Loans in an amount equal to the Swingline Lender’s Fronting Exposure and (B)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firstLine="745"/>
        <w:spacing w:after="0" w:line="242" w:lineRule="auto"/>
        <w:tabs>
          <w:tab w:leader="none" w:pos="1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the Swingline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Revolving Commitments (without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6"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Swingline Loans/Letters of Credit</w:t>
      </w:r>
      <w:r>
        <w:rPr>
          <w:rFonts w:ascii="Times New Roman" w:cs="Times New Roman" w:eastAsia="Times New Roman" w:hAnsi="Times New Roman"/>
          <w:sz w:val="20"/>
          <w:szCs w:val="20"/>
          <w:color w:val="auto"/>
        </w:rPr>
        <w:t>. So long as any Revolving Lender is a Defaulting Lender, (i) the Swingline Lender shall not 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thereto.</w:t>
      </w:r>
    </w:p>
    <w:p>
      <w:pPr>
        <w:spacing w:after="0" w:line="17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u w:val="single" w:color="auto"/>
          <w:color w:val="auto"/>
        </w:rPr>
        <w:t>TAXES, YIELD PROTECTION AND ILLEGALITY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3.01 </w:t>
      </w:r>
      <w:r>
        <w:rPr>
          <w:rFonts w:ascii="Times New Roman" w:cs="Times New Roman" w:eastAsia="Times New Roman" w:hAnsi="Times New Roman"/>
          <w:sz w:val="20"/>
          <w:szCs w:val="20"/>
          <w:b w:val="1"/>
          <w:bCs w:val="1"/>
          <w:u w:val="single" w:color="auto"/>
          <w:color w:val="auto"/>
        </w:rPr>
        <w:t>Taxes.</w:t>
      </w:r>
    </w:p>
    <w:p>
      <w:pPr>
        <w:spacing w:after="0" w:line="219" w:lineRule="exact"/>
        <w:rPr>
          <w:sz w:val="20"/>
          <w:szCs w:val="20"/>
          <w:color w:val="auto"/>
        </w:rPr>
      </w:pPr>
    </w:p>
    <w:p>
      <w:pPr>
        <w:ind w:firstLine="745"/>
        <w:spacing w:after="0" w:line="268" w:lineRule="auto"/>
        <w:tabs>
          <w:tab w:leader="none" w:pos="1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term “Applicable Law” includes FATCA and the term “Lender” includes any L/C Issuer.</w:t>
      </w:r>
    </w:p>
    <w:p>
      <w:pPr>
        <w:spacing w:after="0" w:line="200" w:lineRule="exact"/>
        <w:rPr>
          <w:sz w:val="20"/>
          <w:szCs w:val="20"/>
          <w:color w:val="auto"/>
        </w:rPr>
      </w:pPr>
    </w:p>
    <w:p>
      <w:pPr>
        <w:spacing w:after="0" w:line="36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34" w:name="page135"/>
    <w:bookmarkEnd w:id="134"/>
    <w:p>
      <w:pPr>
        <w:jc w:val="both"/>
        <w:ind w:left="-360" w:firstLine="745"/>
        <w:spacing w:after="0" w:line="257" w:lineRule="auto"/>
        <w:tabs>
          <w:tab w:leader="none" w:pos="798"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Free of Taxes; Obligation to Withhold; Payments on Account of Taxes</w:t>
      </w:r>
      <w:r>
        <w:rPr>
          <w:rFonts w:ascii="Times New Roman" w:cs="Times New Roman" w:eastAsia="Times New Roman" w:hAnsi="Times New Roman"/>
          <w:sz w:val="19"/>
          <w:szCs w:val="19"/>
          <w:color w:val="auto"/>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the applicable Recipient receives an amount equal to the sum it would have received had no such withholding or deduction been made.</w:t>
      </w:r>
    </w:p>
    <w:p>
      <w:pPr>
        <w:spacing w:after="0" w:line="173" w:lineRule="exact"/>
        <w:rPr>
          <w:rFonts w:ascii="Times New Roman" w:cs="Times New Roman" w:eastAsia="Times New Roman" w:hAnsi="Times New Roman"/>
          <w:sz w:val="19"/>
          <w:szCs w:val="19"/>
          <w:color w:val="auto"/>
        </w:rPr>
      </w:pPr>
    </w:p>
    <w:p>
      <w:pPr>
        <w:jc w:val="both"/>
        <w:ind w:left="-360" w:firstLine="745"/>
        <w:spacing w:after="0" w:line="253" w:lineRule="auto"/>
        <w:tabs>
          <w:tab w:leader="none" w:pos="811"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the payment of, any Other Taxes.</w:t>
      </w:r>
    </w:p>
    <w:p>
      <w:pPr>
        <w:spacing w:after="0" w:line="176"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380" w:firstLine="754"/>
        <w:spacing w:after="0" w:line="243" w:lineRule="auto"/>
        <w:tabs>
          <w:tab w:leader="none" w:pos="152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6" w:lineRule="exact"/>
        <w:rPr>
          <w:rFonts w:ascii="Times New Roman" w:cs="Times New Roman" w:eastAsia="Times New Roman" w:hAnsi="Times New Roman"/>
          <w:sz w:val="20"/>
          <w:szCs w:val="20"/>
          <w:color w:val="auto"/>
        </w:rPr>
      </w:pPr>
    </w:p>
    <w:p>
      <w:pPr>
        <w:jc w:val="both"/>
        <w:ind w:left="380" w:firstLine="754"/>
        <w:spacing w:after="0" w:line="241" w:lineRule="auto"/>
        <w:tabs>
          <w:tab w:leader="none" w:pos="152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and does hereby, severally indemnify and shall make payment in respect thereof within ten (10) days after demand therefor, (A) the Administrative Agent against any Indemnified Taxes attributable to such Lender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xml:space="preserve">) relating to the maintenance of a Participant Register and (C) the Administrative Agent,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clause (d)(ii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9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35" w:name="page136"/>
    <w:bookmarkEnd w:id="135"/>
    <w:p>
      <w:pPr>
        <w:jc w:val="both"/>
        <w:ind w:left="-360" w:firstLine="745"/>
        <w:spacing w:after="0" w:line="249" w:lineRule="auto"/>
        <w:tabs>
          <w:tab w:leader="none" w:pos="79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spacing w:after="0" w:line="178"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380" w:firstLine="754"/>
        <w:spacing w:after="0" w:line="241" w:lineRule="auto"/>
        <w:tabs>
          <w:tab w:leader="none" w:pos="152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3.01(f)(ii)(A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5" w:lineRule="exact"/>
        <w:rPr>
          <w:rFonts w:ascii="Times New Roman" w:cs="Times New Roman" w:eastAsia="Times New Roman" w:hAnsi="Times New Roman"/>
          <w:sz w:val="20"/>
          <w:szCs w:val="20"/>
          <w:color w:val="auto"/>
        </w:rPr>
      </w:pPr>
    </w:p>
    <w:p>
      <w:pPr>
        <w:ind w:left="1520" w:hanging="386"/>
        <w:spacing w:after="0"/>
        <w:tabs>
          <w:tab w:leader="none" w:pos="152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if the Borrower is a U.S. Person,</w:t>
      </w:r>
    </w:p>
    <w:p>
      <w:pPr>
        <w:spacing w:after="0" w:line="214"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78" w:lineRule="exact"/>
        <w:rPr>
          <w:rFonts w:ascii="Times New Roman" w:cs="Times New Roman" w:eastAsia="Times New Roman" w:hAnsi="Times New Roman"/>
          <w:sz w:val="20"/>
          <w:szCs w:val="20"/>
          <w:color w:val="auto"/>
        </w:rPr>
      </w:pPr>
    </w:p>
    <w:p>
      <w:pPr>
        <w:jc w:val="both"/>
        <w:ind w:left="1140" w:firstLine="743"/>
        <w:spacing w:after="0" w:line="266" w:lineRule="auto"/>
        <w:tabs>
          <w:tab w:leader="none" w:pos="2284" w:val="left"/>
        </w:tabs>
        <w:numPr>
          <w:ilvl w:val="2"/>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4" w:lineRule="exact"/>
        <w:rPr>
          <w:rFonts w:ascii="Times New Roman" w:cs="Times New Roman" w:eastAsia="Times New Roman" w:hAnsi="Times New Roman"/>
          <w:sz w:val="19"/>
          <w:szCs w:val="19"/>
          <w:color w:val="auto"/>
        </w:rPr>
      </w:pPr>
    </w:p>
    <w:p>
      <w:pPr>
        <w:jc w:val="both"/>
        <w:ind w:left="1880" w:firstLine="752"/>
        <w:spacing w:after="0" w:line="245" w:lineRule="auto"/>
        <w:tabs>
          <w:tab w:leader="none" w:pos="3024" w:val="left"/>
        </w:tabs>
        <w:numPr>
          <w:ilvl w:val="3"/>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w:t>
      </w: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36" w:name="page137"/>
    <w:bookmarkEnd w:id="136"/>
    <w:p>
      <w:pPr>
        <w:ind w:left="1880"/>
        <w:spacing w:after="0" w:line="268" w:lineRule="auto"/>
        <w:rPr>
          <w:sz w:val="20"/>
          <w:szCs w:val="20"/>
          <w:color w:val="auto"/>
        </w:rPr>
      </w:pPr>
      <w:r>
        <w:rPr>
          <w:rFonts w:ascii="Times New Roman" w:cs="Times New Roman" w:eastAsia="Times New Roman" w:hAnsi="Times New Roman"/>
          <w:sz w:val="20"/>
          <w:szCs w:val="20"/>
          <w:color w:val="auto"/>
        </w:rPr>
        <w:t>of, U.S. federal withholding Tax pursuant to the “business profits” or “other income” article of such tax treaty;</w:t>
      </w:r>
    </w:p>
    <w:p>
      <w:pPr>
        <w:spacing w:after="0" w:line="161" w:lineRule="exact"/>
        <w:rPr>
          <w:sz w:val="20"/>
          <w:szCs w:val="20"/>
          <w:color w:val="auto"/>
        </w:rPr>
      </w:pPr>
    </w:p>
    <w:p>
      <w:pPr>
        <w:ind w:left="3020" w:hanging="388"/>
        <w:spacing w:after="0"/>
        <w:tabs>
          <w:tab w:leader="none" w:pos="302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4" w:lineRule="exact"/>
        <w:rPr>
          <w:rFonts w:ascii="Times New Roman" w:cs="Times New Roman" w:eastAsia="Times New Roman" w:hAnsi="Times New Roman"/>
          <w:sz w:val="20"/>
          <w:szCs w:val="20"/>
          <w:color w:val="auto"/>
        </w:rPr>
      </w:pPr>
    </w:p>
    <w:p>
      <w:pPr>
        <w:jc w:val="both"/>
        <w:ind w:left="1880" w:firstLine="752"/>
        <w:spacing w:after="0" w:line="244" w:lineRule="auto"/>
        <w:tabs>
          <w:tab w:leader="none" w:pos="3024"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M–1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Compliance Certificate</w:t>
      </w:r>
      <w:r>
        <w:rPr>
          <w:rFonts w:ascii="Times New Roman" w:cs="Times New Roman" w:eastAsia="Times New Roman" w:hAnsi="Times New Roman"/>
          <w:sz w:val="20"/>
          <w:szCs w:val="20"/>
          <w:color w:val="auto"/>
        </w:rPr>
        <w:t>”) and (y) executed copies of IRS Form W–8BEN–E (or W–8BEN,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or</w:t>
      </w:r>
    </w:p>
    <w:p>
      <w:pPr>
        <w:spacing w:after="0" w:line="183" w:lineRule="exact"/>
        <w:rPr>
          <w:rFonts w:ascii="Times New Roman" w:cs="Times New Roman" w:eastAsia="Times New Roman" w:hAnsi="Times New Roman"/>
          <w:sz w:val="20"/>
          <w:szCs w:val="20"/>
          <w:color w:val="auto"/>
        </w:rPr>
      </w:pPr>
    </w:p>
    <w:p>
      <w:pPr>
        <w:jc w:val="both"/>
        <w:ind w:left="1880" w:firstLine="752"/>
        <w:spacing w:after="0" w:line="259" w:lineRule="auto"/>
        <w:tabs>
          <w:tab w:leader="none" w:pos="3024"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19"/>
          <w:szCs w:val="19"/>
          <w:u w:val="single" w:color="auto"/>
          <w:color w:val="auto"/>
        </w:rPr>
        <w:t>Exhibit M–2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M–3</w:t>
      </w:r>
      <w:r>
        <w:rPr>
          <w:rFonts w:ascii="Times New Roman" w:cs="Times New Roman" w:eastAsia="Times New Roman" w:hAnsi="Times New Roman"/>
          <w:sz w:val="19"/>
          <w:szCs w:val="19"/>
          <w:color w:val="auto"/>
        </w:rPr>
        <w:t xml:space="preserve">, IRS Form W–9,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9"/>
          <w:szCs w:val="19"/>
          <w:u w:val="single" w:color="auto"/>
          <w:color w:val="auto"/>
        </w:rPr>
        <w:t>Exhibit M–4</w:t>
      </w:r>
      <w:r>
        <w:rPr>
          <w:rFonts w:ascii="Times New Roman" w:cs="Times New Roman" w:eastAsia="Times New Roman" w:hAnsi="Times New Roman"/>
          <w:sz w:val="19"/>
          <w:szCs w:val="19"/>
          <w:color w:val="auto"/>
        </w:rPr>
        <w:t xml:space="preserve"> on behalf of each such direct and indirect partner;</w:t>
      </w:r>
    </w:p>
    <w:p>
      <w:pPr>
        <w:spacing w:after="0" w:line="169" w:lineRule="exact"/>
        <w:rPr>
          <w:rFonts w:ascii="Times New Roman" w:cs="Times New Roman" w:eastAsia="Times New Roman" w:hAnsi="Times New Roman"/>
          <w:sz w:val="19"/>
          <w:szCs w:val="19"/>
          <w:color w:val="auto"/>
        </w:rPr>
      </w:pPr>
    </w:p>
    <w:p>
      <w:pPr>
        <w:jc w:val="both"/>
        <w:ind w:left="1140" w:firstLine="743"/>
        <w:spacing w:after="0" w:line="243" w:lineRule="auto"/>
        <w:tabs>
          <w:tab w:leader="none" w:pos="22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6" w:lineRule="exact"/>
        <w:rPr>
          <w:rFonts w:ascii="Times New Roman" w:cs="Times New Roman" w:eastAsia="Times New Roman" w:hAnsi="Times New Roman"/>
          <w:sz w:val="20"/>
          <w:szCs w:val="20"/>
          <w:color w:val="auto"/>
        </w:rPr>
      </w:pPr>
    </w:p>
    <w:p>
      <w:pPr>
        <w:jc w:val="both"/>
        <w:ind w:left="1140" w:firstLine="743"/>
        <w:spacing w:after="0" w:line="242" w:lineRule="auto"/>
        <w:tabs>
          <w:tab w:leader="none" w:pos="228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w:t>
      </w:r>
    </w:p>
    <w:p>
      <w:pPr>
        <w:spacing w:after="0" w:line="200" w:lineRule="exact"/>
        <w:rPr>
          <w:sz w:val="20"/>
          <w:szCs w:val="20"/>
          <w:color w:val="auto"/>
        </w:rPr>
      </w:pPr>
    </w:p>
    <w:p>
      <w:pPr>
        <w:spacing w:after="0" w:line="38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37" w:name="page138"/>
    <w:bookmarkEnd w:id="137"/>
    <w:p>
      <w:pPr>
        <w:ind w:left="1500"/>
        <w:spacing w:after="0" w:line="268" w:lineRule="auto"/>
        <w:rPr>
          <w:sz w:val="20"/>
          <w:szCs w:val="20"/>
          <w:color w:val="auto"/>
        </w:rPr>
      </w:pPr>
      <w:r>
        <w:rPr>
          <w:rFonts w:ascii="Times New Roman" w:cs="Times New Roman" w:eastAsia="Times New Roman" w:hAnsi="Times New Roman"/>
          <w:sz w:val="20"/>
          <w:szCs w:val="20"/>
          <w:color w:val="auto"/>
        </w:rPr>
        <w:t xml:space="preserve">such payment. Solely for the purposes of this </w:t>
      </w:r>
      <w:r>
        <w:rPr>
          <w:rFonts w:ascii="Times New Roman" w:cs="Times New Roman" w:eastAsia="Times New Roman" w:hAnsi="Times New Roman"/>
          <w:sz w:val="20"/>
          <w:szCs w:val="20"/>
          <w:u w:val="single" w:color="auto"/>
          <w:color w:val="auto"/>
        </w:rPr>
        <w:t>clause (f)(ii)(D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61" w:lineRule="exact"/>
        <w:rPr>
          <w:sz w:val="20"/>
          <w:szCs w:val="20"/>
          <w:color w:val="auto"/>
        </w:rPr>
      </w:pPr>
    </w:p>
    <w:p>
      <w:pPr>
        <w:jc w:val="both"/>
        <w:ind w:left="740" w:firstLine="754"/>
        <w:spacing w:after="0" w:line="253" w:lineRule="auto"/>
        <w:tabs>
          <w:tab w:leader="none" w:pos="1884"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76" w:lineRule="exact"/>
        <w:rPr>
          <w:rFonts w:ascii="Times New Roman" w:cs="Times New Roman" w:eastAsia="Times New Roman" w:hAnsi="Times New Roman"/>
          <w:sz w:val="20"/>
          <w:szCs w:val="20"/>
          <w:color w:val="auto"/>
        </w:rPr>
      </w:pPr>
    </w:p>
    <w:p>
      <w:pPr>
        <w:jc w:val="both"/>
        <w:ind w:firstLine="745"/>
        <w:spacing w:after="0" w:line="241" w:lineRule="auto"/>
        <w:tabs>
          <w:tab w:leader="none" w:pos="114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pay to such Loan Party an amount equal to such refund (but only to the extent of indemnity payments made, or additional amounts paid, by such Loan Party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in no event will the applicable Recipient be required to pay any amount to such Loan Party pursuant to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shall not be construed to require any Recipient to make available its tax returns (or any other information relating to its Taxes that it deems confidential) to any Loan Party or any other Person.</w:t>
      </w:r>
    </w:p>
    <w:p>
      <w:pPr>
        <w:spacing w:after="0" w:line="186" w:lineRule="exact"/>
        <w:rPr>
          <w:rFonts w:ascii="Times New Roman" w:cs="Times New Roman" w:eastAsia="Times New Roman" w:hAnsi="Times New Roman"/>
          <w:sz w:val="20"/>
          <w:szCs w:val="20"/>
          <w:color w:val="auto"/>
        </w:rPr>
      </w:pPr>
    </w:p>
    <w:p>
      <w:pPr>
        <w:jc w:val="both"/>
        <w:ind w:firstLine="745"/>
        <w:spacing w:after="0" w:line="253" w:lineRule="auto"/>
        <w:tabs>
          <w:tab w:leader="none" w:pos="118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3.02 </w:t>
      </w:r>
      <w:r>
        <w:rPr>
          <w:rFonts w:ascii="Times New Roman" w:cs="Times New Roman" w:eastAsia="Times New Roman" w:hAnsi="Times New Roman"/>
          <w:sz w:val="20"/>
          <w:szCs w:val="20"/>
          <w:b w:val="1"/>
          <w:bCs w:val="1"/>
          <w:u w:val="single" w:color="auto"/>
          <w:color w:val="auto"/>
        </w:rPr>
        <w:t>Illegality.</w:t>
      </w:r>
    </w:p>
    <w:p>
      <w:pPr>
        <w:spacing w:after="0" w:line="21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If any Lender determines that any Law has made it unlawful, or that any Governmental Authority has asserted that it is unlawful, for any Lender or its </w:t>
      </w:r>
      <w:r>
        <w:rPr>
          <w:rFonts w:ascii="Times New Roman" w:cs="Times New Roman" w:eastAsia="Times New Roman" w:hAnsi="Times New Roman"/>
          <w:sz w:val="20"/>
          <w:szCs w:val="20"/>
          <w:u w:val="single" w:color="auto"/>
          <w:color w:val="0000FF"/>
        </w:rPr>
        <w:t>applicable</w:t>
      </w:r>
      <w:r>
        <w:rPr>
          <w:rFonts w:ascii="Times New Roman" w:cs="Times New Roman" w:eastAsia="Times New Roman" w:hAnsi="Times New Roman"/>
          <w:sz w:val="20"/>
          <w:szCs w:val="20"/>
          <w:color w:val="auto"/>
        </w:rPr>
        <w:t xml:space="preserve"> Lending Office to make, maintain or fund </w:t>
      </w:r>
      <w:r>
        <w:rPr>
          <w:rFonts w:ascii="Times New Roman" w:cs="Times New Roman" w:eastAsia="Times New Roman" w:hAnsi="Times New Roman"/>
          <w:sz w:val="20"/>
          <w:szCs w:val="20"/>
          <w:color w:val="FF0000"/>
          <w:strike w:val="1"/>
        </w:rPr>
        <w:t>or charge</w:t>
      </w:r>
      <w:r>
        <w:rPr>
          <w:rFonts w:ascii="Times New Roman" w:cs="Times New Roman" w:eastAsia="Times New Roman" w:hAnsi="Times New Roman"/>
          <w:sz w:val="20"/>
          <w:szCs w:val="20"/>
          <w:u w:val="single" w:color="auto"/>
          <w:color w:val="0000FF"/>
        </w:rPr>
        <w:t>Loans whose</w:t>
      </w:r>
      <w:r>
        <w:rPr>
          <w:rFonts w:ascii="Times New Roman" w:cs="Times New Roman" w:eastAsia="Times New Roman" w:hAnsi="Times New Roman"/>
          <w:sz w:val="20"/>
          <w:szCs w:val="20"/>
          <w:color w:val="auto"/>
        </w:rPr>
        <w:t xml:space="preserve"> interest </w:t>
      </w:r>
      <w:r>
        <w:rPr>
          <w:rFonts w:ascii="Times New Roman" w:cs="Times New Roman" w:eastAsia="Times New Roman" w:hAnsi="Times New Roman"/>
          <w:sz w:val="20"/>
          <w:szCs w:val="20"/>
          <w:color w:val="FF0000"/>
          <w:strike w:val="1"/>
        </w:rPr>
        <w:t>with respect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any Credit Extension</w:t>
      </w:r>
      <w:r>
        <w:rPr>
          <w:rFonts w:ascii="Times New Roman" w:cs="Times New Roman" w:eastAsia="Times New Roman" w:hAnsi="Times New Roman"/>
          <w:sz w:val="20"/>
          <w:szCs w:val="20"/>
          <w:u w:val="single" w:color="auto"/>
          <w:color w:val="0000FF"/>
        </w:rPr>
        <w:t>is determined by reference to SOFR or Term SOFR</w:t>
      </w:r>
      <w:r>
        <w:rPr>
          <w:rFonts w:ascii="Times New Roman" w:cs="Times New Roman" w:eastAsia="Times New Roman" w:hAnsi="Times New Roman"/>
          <w:sz w:val="20"/>
          <w:szCs w:val="20"/>
          <w:color w:val="000000"/>
        </w:rPr>
        <w:t>, or to determine or charge interest rates based upon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SOFR or Term SOFR</w:t>
      </w:r>
      <w:r>
        <w:rPr>
          <w:rFonts w:ascii="Times New Roman" w:cs="Times New Roman" w:eastAsia="Times New Roman" w:hAnsi="Times New Roman"/>
          <w:sz w:val="20"/>
          <w:szCs w:val="20"/>
          <w:color w:val="000000"/>
        </w:rPr>
        <w:t>, then, upon notice thereof by such Lender to the Borrower (through the Administrative Agent), (</w:t>
      </w:r>
      <w:r>
        <w:rPr>
          <w:rFonts w:ascii="Times New Roman" w:cs="Times New Roman" w:eastAsia="Times New Roman" w:hAnsi="Times New Roman"/>
          <w:sz w:val="20"/>
          <w:szCs w:val="20"/>
          <w:color w:val="FF0000"/>
          <w:strike w:val="1"/>
        </w:rPr>
        <w:t>i</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000000"/>
        </w:rPr>
        <w:t>) 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obligation of such Lender to make or continue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Loans or to convert Base Rate Loans to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shall be suspended, and (</w:t>
      </w:r>
      <w:r>
        <w:rPr>
          <w:rFonts w:ascii="Times New Roman" w:cs="Times New Roman" w:eastAsia="Times New Roman" w:hAnsi="Times New Roman"/>
          <w:sz w:val="20"/>
          <w:szCs w:val="20"/>
          <w:color w:val="FF0000"/>
          <w:strike w:val="1"/>
        </w:rPr>
        <w:t>ii</w:t>
      </w:r>
      <w:r>
        <w:rPr>
          <w:rFonts w:ascii="Times New Roman" w:cs="Times New Roman" w:eastAsia="Times New Roman" w:hAnsi="Times New Roman"/>
          <w:sz w:val="20"/>
          <w:szCs w:val="20"/>
          <w:u w:val="single" w:color="auto"/>
          <w:color w:val="0000FF"/>
        </w:rPr>
        <w:t>b</w:t>
      </w:r>
      <w:r>
        <w:rPr>
          <w:rFonts w:ascii="Times New Roman" w:cs="Times New Roman" w:eastAsia="Times New Roman" w:hAnsi="Times New Roman"/>
          <w:sz w:val="20"/>
          <w:szCs w:val="20"/>
          <w:color w:val="000000"/>
        </w:rPr>
        <w:t>) if such notice asserts the illegality of such Lender making or maintaining Base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Loans the interest rate on which is determined by reference to the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component of the Base Rate, the interest rate on which Base Rate Loans of such Lender shall, if necessary to avoid such illegality, be determined by the Administrative Agent without reference to the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component of the Base Rate, in each case until such Lender notifies the Administrative Agent and the Borrower that the circumstances giving rise to such determination</w:t>
      </w:r>
    </w:p>
    <w:p>
      <w:pPr>
        <w:spacing w:after="0" w:line="200" w:lineRule="exact"/>
        <w:rPr>
          <w:sz w:val="20"/>
          <w:szCs w:val="20"/>
          <w:color w:val="auto"/>
        </w:rPr>
      </w:pPr>
    </w:p>
    <w:p>
      <w:pPr>
        <w:spacing w:after="0" w:line="38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38" w:name="page139"/>
    <w:bookmarkEnd w:id="138"/>
    <w:p>
      <w:pPr>
        <w:jc w:val="both"/>
        <w:spacing w:after="0" w:line="241" w:lineRule="auto"/>
        <w:rPr>
          <w:sz w:val="20"/>
          <w:szCs w:val="20"/>
          <w:color w:val="auto"/>
        </w:rPr>
      </w:pPr>
      <w:r>
        <w:rPr>
          <w:rFonts w:ascii="Times New Roman" w:cs="Times New Roman" w:eastAsia="Times New Roman" w:hAnsi="Times New Roman"/>
          <w:sz w:val="20"/>
          <w:szCs w:val="20"/>
          <w:color w:val="auto"/>
        </w:rPr>
        <w:t>no longer exist. Upon receipt of such notice, (</w:t>
      </w:r>
      <w:r>
        <w:rPr>
          <w:rFonts w:ascii="Times New Roman" w:cs="Times New Roman" w:eastAsia="Times New Roman" w:hAnsi="Times New Roman"/>
          <w:sz w:val="20"/>
          <w:szCs w:val="20"/>
          <w:color w:val="FF0000"/>
          <w:strike w:val="1"/>
        </w:rPr>
        <w:t>A</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auto"/>
        </w:rPr>
        <w:t xml:space="preserve">) the Borrower shall, upon demand from such Lender (with a copy to the Administrative Agent), prepay or, if applicable, convert all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of such Lender to Base Rate Loans (the interest rate on which Base Rate Loans of such Lender shall, if necessary to avoid such illegality, be determined by the Administrative Agent without reference to the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component of the Base Rate), either on the last day of the Interest Period therefor, if such Lender may lawfully continue to maintain such </w:t>
      </w:r>
      <w:r>
        <w:rPr>
          <w:rFonts w:ascii="Times New Roman" w:cs="Times New Roman" w:eastAsia="Times New Roman" w:hAnsi="Times New Roman"/>
          <w:sz w:val="20"/>
          <w:szCs w:val="20"/>
          <w:color w:val="FF0000"/>
          <w:strike w:val="1"/>
        </w:rPr>
        <w:t>BSBY Rate Loans</w:t>
      </w:r>
      <w:r>
        <w:rPr>
          <w:rFonts w:ascii="Times New Roman" w:cs="Times New Roman" w:eastAsia="Times New Roman" w:hAnsi="Times New Roman"/>
          <w:sz w:val="20"/>
          <w:szCs w:val="20"/>
          <w:u w:val="single" w:color="auto"/>
          <w:color w:val="0000FF"/>
        </w:rPr>
        <w:t>Term SOFR Loan</w:t>
      </w:r>
      <w:r>
        <w:rPr>
          <w:rFonts w:ascii="Times New Roman" w:cs="Times New Roman" w:eastAsia="Times New Roman" w:hAnsi="Times New Roman"/>
          <w:sz w:val="20"/>
          <w:szCs w:val="20"/>
          <w:color w:val="auto"/>
        </w:rPr>
        <w:t xml:space="preserve"> to such day, or immediately, if such Lender may not lawfully continue to maintain such </w:t>
      </w:r>
      <w:r>
        <w:rPr>
          <w:rFonts w:ascii="Times New Roman" w:cs="Times New Roman" w:eastAsia="Times New Roman" w:hAnsi="Times New Roman"/>
          <w:sz w:val="20"/>
          <w:szCs w:val="20"/>
          <w:color w:val="FF0000"/>
          <w:strike w:val="1"/>
        </w:rPr>
        <w:t>BSBY Rate Loans</w:t>
      </w:r>
      <w:r>
        <w:rPr>
          <w:rFonts w:ascii="Times New Roman" w:cs="Times New Roman" w:eastAsia="Times New Roman" w:hAnsi="Times New Roman"/>
          <w:sz w:val="20"/>
          <w:szCs w:val="20"/>
          <w:u w:val="single" w:color="auto"/>
          <w:color w:val="0000FF"/>
        </w:rPr>
        <w:t>Term SOFR Loan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u w:val="single" w:color="auto"/>
          <w:color w:val="0000FF"/>
        </w:rPr>
        <w:t>ii</w:t>
      </w:r>
      <w:r>
        <w:rPr>
          <w:rFonts w:ascii="Times New Roman" w:cs="Times New Roman" w:eastAsia="Times New Roman" w:hAnsi="Times New Roman"/>
          <w:sz w:val="20"/>
          <w:szCs w:val="20"/>
          <w:color w:val="auto"/>
        </w:rPr>
        <w:t xml:space="preserve">) if such notice asserts the illegality of such Lender determining or charging interest rates based upon </w:t>
      </w:r>
      <w:r>
        <w:rPr>
          <w:rFonts w:ascii="Times New Roman" w:cs="Times New Roman" w:eastAsia="Times New Roman" w:hAnsi="Times New Roman"/>
          <w:sz w:val="20"/>
          <w:szCs w:val="20"/>
          <w:color w:val="FF0000"/>
          <w:strike w:val="1"/>
        </w:rPr>
        <w:t>the BSBY Rate</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auto"/>
        </w:rPr>
        <w:t xml:space="preserve">, the Administrative Agent shall during the period of such suspension compute the Base Rate applicable to such Lender without reference to the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component thereof until the Administrative Agent is advised in writing by such Lender that it is no longer illegal for such Lender to determine or charge interest rates based upon </w:t>
      </w:r>
      <w:r>
        <w:rPr>
          <w:rFonts w:ascii="Times New Roman" w:cs="Times New Roman" w:eastAsia="Times New Roman" w:hAnsi="Times New Roman"/>
          <w:sz w:val="20"/>
          <w:szCs w:val="20"/>
          <w:color w:val="FF0000"/>
          <w:strike w:val="1"/>
        </w:rPr>
        <w:t>the BSBY Rate</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auto"/>
        </w:rPr>
        <w:t xml:space="preserv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3.03 </w:t>
      </w:r>
      <w:r>
        <w:rPr>
          <w:rFonts w:ascii="Times New Roman" w:cs="Times New Roman" w:eastAsia="Times New Roman" w:hAnsi="Times New Roman"/>
          <w:sz w:val="20"/>
          <w:szCs w:val="20"/>
          <w:b w:val="1"/>
          <w:bCs w:val="1"/>
          <w:u w:val="single" w:color="auto"/>
          <w:color w:val="auto"/>
        </w:rPr>
        <w:t>Inability to Determine Rates.</w:t>
      </w:r>
    </w:p>
    <w:p>
      <w:pPr>
        <w:spacing w:after="0" w:line="219" w:lineRule="exact"/>
        <w:rPr>
          <w:sz w:val="20"/>
          <w:szCs w:val="20"/>
          <w:color w:val="auto"/>
        </w:rPr>
      </w:pPr>
    </w:p>
    <w:p>
      <w:pPr>
        <w:jc w:val="both"/>
        <w:ind w:firstLine="745"/>
        <w:spacing w:after="0"/>
        <w:tabs>
          <w:tab w:leader="none" w:pos="11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or a conversion </w:t>
      </w:r>
      <w:r>
        <w:rPr>
          <w:rFonts w:ascii="Times New Roman" w:cs="Times New Roman" w:eastAsia="Times New Roman" w:hAnsi="Times New Roman"/>
          <w:sz w:val="20"/>
          <w:szCs w:val="20"/>
          <w:color w:val="FF0000"/>
          <w:strike w:val="1"/>
        </w:rPr>
        <w:t>to or</w:t>
      </w:r>
      <w:r>
        <w:rPr>
          <w:rFonts w:ascii="Times New Roman" w:cs="Times New Roman" w:eastAsia="Times New Roman" w:hAnsi="Times New Roman"/>
          <w:sz w:val="20"/>
          <w:szCs w:val="20"/>
          <w:u w:val="single" w:color="auto"/>
          <w:color w:val="0000FF"/>
        </w:rPr>
        <w:t>of Base Rate Loans to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 Loans or 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continuation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thereof</w:t>
      </w:r>
      <w:r>
        <w:rPr>
          <w:rFonts w:ascii="Times New Roman" w:cs="Times New Roman" w:eastAsia="Times New Roman" w:hAnsi="Times New Roman"/>
          <w:sz w:val="20"/>
          <w:szCs w:val="20"/>
          <w:u w:val="single" w:color="auto"/>
          <w:color w:val="0000FF"/>
        </w:rPr>
        <w:t>of Term SOFR Loans</w:t>
      </w:r>
      <w:r>
        <w:rPr>
          <w:rFonts w:ascii="Times New Roman" w:cs="Times New Roman" w:eastAsia="Times New Roman" w:hAnsi="Times New Roman"/>
          <w:sz w:val="20"/>
          <w:szCs w:val="20"/>
          <w:color w:val="000000"/>
        </w:rPr>
        <w:t>, as applicable, (i) the Administrative Agent determines (which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determination shall be conclusive absent manifest error) that (A) no Successor Rate has been determined in accordance with </w:t>
      </w:r>
      <w:r>
        <w:rPr>
          <w:rFonts w:ascii="Times New Roman" w:cs="Times New Roman" w:eastAsia="Times New Roman" w:hAnsi="Times New Roman"/>
          <w:sz w:val="20"/>
          <w:szCs w:val="20"/>
          <w:u w:val="single" w:color="auto"/>
          <w:color w:val="000000"/>
        </w:rPr>
        <w:t>Section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3.03(b),</w:t>
      </w:r>
      <w:r>
        <w:rPr>
          <w:rFonts w:ascii="Times New Roman" w:cs="Times New Roman" w:eastAsia="Times New Roman" w:hAnsi="Times New Roman"/>
          <w:sz w:val="20"/>
          <w:szCs w:val="20"/>
          <w:color w:val="000000"/>
        </w:rPr>
        <w:t xml:space="preserve"> and the circumstances under clause (i) of </w:t>
      </w:r>
      <w:r>
        <w:rPr>
          <w:rFonts w:ascii="Times New Roman" w:cs="Times New Roman" w:eastAsia="Times New Roman" w:hAnsi="Times New Roman"/>
          <w:sz w:val="20"/>
          <w:szCs w:val="20"/>
          <w:u w:val="single" w:color="auto"/>
          <w:color w:val="000000"/>
        </w:rPr>
        <w:t>Section 3.03(b)</w:t>
      </w:r>
      <w:r>
        <w:rPr>
          <w:rFonts w:ascii="Times New Roman" w:cs="Times New Roman" w:eastAsia="Times New Roman" w:hAnsi="Times New Roman"/>
          <w:sz w:val="20"/>
          <w:szCs w:val="20"/>
          <w:color w:val="000000"/>
        </w:rPr>
        <w:t xml:space="preserve"> or the Scheduled Unavailability Date has occurred </w:t>
      </w:r>
      <w:r>
        <w:rPr>
          <w:rFonts w:ascii="Times New Roman" w:cs="Times New Roman" w:eastAsia="Times New Roman" w:hAnsi="Times New Roman"/>
          <w:sz w:val="20"/>
          <w:szCs w:val="20"/>
          <w:color w:val="FF0000"/>
        </w:rPr>
        <w:t>(as applicable)</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xml:space="preserve"> or (B) adequate and reasonable means do not otherwise exist for determining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for any requested Interest Period with respect to a proposed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 or in connection with an existing or proposed Base Rate Loan</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xml:space="preserve"> or (ii) the Administrative Agent </w:t>
      </w:r>
      <w:r>
        <w:rPr>
          <w:rFonts w:ascii="Times New Roman" w:cs="Times New Roman" w:eastAsia="Times New Roman" w:hAnsi="Times New Roman"/>
          <w:sz w:val="20"/>
          <w:szCs w:val="20"/>
          <w:color w:val="FF0000"/>
          <w:strike w:val="1"/>
        </w:rPr>
        <w:t>determines</w:t>
      </w:r>
      <w:r>
        <w:rPr>
          <w:rFonts w:ascii="Times New Roman" w:cs="Times New Roman" w:eastAsia="Times New Roman" w:hAnsi="Times New Roman"/>
          <w:sz w:val="20"/>
          <w:szCs w:val="20"/>
          <w:u w:val="single" w:color="auto"/>
          <w:color w:val="0000FF"/>
        </w:rPr>
        <w:t>or the Required Lenders determine</w:t>
      </w:r>
      <w:r>
        <w:rPr>
          <w:rFonts w:ascii="Times New Roman" w:cs="Times New Roman" w:eastAsia="Times New Roman" w:hAnsi="Times New Roman"/>
          <w:sz w:val="20"/>
          <w:szCs w:val="20"/>
          <w:color w:val="000000"/>
        </w:rPr>
        <w:t xml:space="preserve"> that for any reason that </w:t>
      </w:r>
      <w:r>
        <w:rPr>
          <w:rFonts w:ascii="Times New Roman" w:cs="Times New Roman" w:eastAsia="Times New Roman" w:hAnsi="Times New Roman"/>
          <w:sz w:val="20"/>
          <w:szCs w:val="20"/>
          <w:color w:val="FF0000"/>
          <w:strike w:val="1"/>
        </w:rPr>
        <w:t>the 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for any requested Interest Period with respect to a proposed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color w:val="000000"/>
        </w:rPr>
        <w:t xml:space="preserve"> Loan does not adequately and fairly reflect the cost to such Lenders of funding such Loan, the Administrative Agent will promptly so notify the Borrower and each Lender. Thereafter, (x) the obligation of the Lenders to make or maintain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Loans</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xml:space="preserve"> or to convert Base Rate Loans to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shall be suspended (to the extent of the affected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or Interest Periods), and (y) in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event of a determination described in the preceding sentence with respect to the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component of the Base Rate, the utilization of the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20"/>
          <w:szCs w:val="20"/>
          <w:u w:val="single" w:color="auto"/>
          <w:color w:val="000000"/>
        </w:rPr>
        <w:t>Section 3.03(a)</w:t>
      </w:r>
      <w:r>
        <w:rPr>
          <w:rFonts w:ascii="Times New Roman" w:cs="Times New Roman" w:eastAsia="Times New Roman" w:hAnsi="Times New Roman"/>
          <w:sz w:val="20"/>
          <w:szCs w:val="20"/>
          <w:color w:val="000000"/>
        </w:rPr>
        <w:t xml:space="preserve">, until the Administrative Agent upon </w:t>
      </w:r>
      <w:r>
        <w:rPr>
          <w:rFonts w:ascii="Times New Roman" w:cs="Times New Roman" w:eastAsia="Times New Roman" w:hAnsi="Times New Roman"/>
          <w:sz w:val="20"/>
          <w:szCs w:val="20"/>
          <w:u w:val="single" w:color="auto"/>
          <w:color w:val="0000FF"/>
        </w:rPr>
        <w:t>instruction of the Required Lenders)</w:t>
      </w:r>
      <w:r>
        <w:rPr>
          <w:rFonts w:ascii="Times New Roman" w:cs="Times New Roman" w:eastAsia="Times New Roman" w:hAnsi="Times New Roman"/>
          <w:sz w:val="20"/>
          <w:szCs w:val="20"/>
          <w:color w:val="000000"/>
        </w:rPr>
        <w:t xml:space="preserve"> revokes such notice. Upon receipt of such notice, (i) the Borrower may revoke any pending request for a Borrowing of, </w:t>
      </w:r>
      <w:r>
        <w:rPr>
          <w:rFonts w:ascii="Times New Roman" w:cs="Times New Roman" w:eastAsia="Times New Roman" w:hAnsi="Times New Roman"/>
          <w:sz w:val="20"/>
          <w:szCs w:val="20"/>
          <w:u w:val="single" w:color="auto"/>
          <w:color w:val="0000FF"/>
        </w:rPr>
        <w:t>or</w:t>
      </w:r>
      <w:r>
        <w:rPr>
          <w:rFonts w:ascii="Times New Roman" w:cs="Times New Roman" w:eastAsia="Times New Roman" w:hAnsi="Times New Roman"/>
          <w:sz w:val="20"/>
          <w:szCs w:val="20"/>
          <w:color w:val="000000"/>
        </w:rPr>
        <w:t xml:space="preserve"> conversion to</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xml:space="preserve"> or continuation of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Loans (to the extent of the affected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Loans or Interest Periods) or, failing that, will be deemed to have converted such request into a request for a Borrowing of Base Rate Loans in the amount specified therein and (ii) any outstanding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shall be deemed to have been converted to Base Rate Loans immediately at the end of their respective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applicable Interest Period.</w:t>
      </w:r>
    </w:p>
    <w:p>
      <w:pPr>
        <w:spacing w:after="0" w:line="200"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Replacement of Term SOFR or Successor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Notwithstanding anything to the contrary in this Agreement or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other Loan Documents, but without limiting </w:t>
      </w:r>
      <w:r>
        <w:rPr>
          <w:rFonts w:ascii="Times New Roman" w:cs="Times New Roman" w:eastAsia="Times New Roman" w:hAnsi="Times New Roman"/>
          <w:sz w:val="20"/>
          <w:szCs w:val="20"/>
          <w:u w:val="single" w:color="auto"/>
          <w:color w:val="FF0000"/>
          <w:strike w:val="1"/>
        </w:rPr>
        <w:t>Section</w:t>
      </w:r>
      <w:r>
        <w:rPr>
          <w:rFonts w:ascii="Times New Roman" w:cs="Times New Roman" w:eastAsia="Times New Roman" w:hAnsi="Times New Roman"/>
          <w:sz w:val="20"/>
          <w:szCs w:val="20"/>
          <w:u w:val="single" w:color="auto"/>
          <w:color w:val="0000FF"/>
        </w:rPr>
        <w:t>Sections</w:t>
      </w:r>
      <w:r>
        <w:rPr>
          <w:rFonts w:ascii="Times New Roman" w:cs="Times New Roman" w:eastAsia="Times New Roman" w:hAnsi="Times New Roman"/>
          <w:sz w:val="20"/>
          <w:szCs w:val="20"/>
          <w:color w:val="000000"/>
        </w:rPr>
        <w:t xml:space="preserve"> 3.03(a</w:t>
      </w:r>
      <w:r>
        <w:rPr>
          <w:rFonts w:ascii="Times New Roman" w:cs="Times New Roman" w:eastAsia="Times New Roman" w:hAnsi="Times New Roman"/>
          <w:sz w:val="20"/>
          <w:szCs w:val="20"/>
          <w:u w:val="single" w:color="auto"/>
          <w:color w:val="0000FF"/>
        </w:rPr>
        <w:t>) and (b</w:t>
      </w:r>
      <w:r>
        <w:rPr>
          <w:rFonts w:ascii="Times New Roman" w:cs="Times New Roman" w:eastAsia="Times New Roman" w:hAnsi="Times New Roman"/>
          <w:sz w:val="20"/>
          <w:szCs w:val="20"/>
          <w:color w:val="000000"/>
        </w:rPr>
        <w:t>) above, if the Administrative Agent determines (which determination shall be conclusive and binding upon all parties hereto absent manifest error), or the Borrower or Required Lenders notify the Administrative Agent (with, in the case of the Required Lenders, a copy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5848350</wp:posOffset>
            </wp:positionH>
            <wp:positionV relativeFrom="paragraph">
              <wp:posOffset>-3133725</wp:posOffset>
            </wp:positionV>
            <wp:extent cx="7753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extLst>
                    </a:blip>
                    <a:srcRect/>
                    <a:stretch>
                      <a:fillRect/>
                    </a:stretch>
                  </pic:blipFill>
                  <pic:spPr bwMode="auto">
                    <a:xfrm>
                      <a:off x="0" y="0"/>
                      <a:ext cx="77533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-325755</wp:posOffset>
            </wp:positionV>
            <wp:extent cx="34861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9">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39" w:name="page140"/>
    <w:bookmarkEnd w:id="139"/>
    <w:p>
      <w:pPr>
        <w:spacing w:after="0" w:line="268" w:lineRule="auto"/>
        <w:rPr>
          <w:sz w:val="20"/>
          <w:szCs w:val="20"/>
          <w:color w:val="auto"/>
        </w:rPr>
      </w:pPr>
      <w:r>
        <w:rPr>
          <w:rFonts w:ascii="Times New Roman" w:cs="Times New Roman" w:eastAsia="Times New Roman" w:hAnsi="Times New Roman"/>
          <w:sz w:val="20"/>
          <w:szCs w:val="20"/>
          <w:color w:val="auto"/>
        </w:rPr>
        <w:t>Borrower) that the Borrower or Required Lenders (as applicable) have determined (which determination likewise shall be conclusive and binding upon all parties hereto absent manifest error), that:</w:t>
      </w:r>
    </w:p>
    <w:p>
      <w:pPr>
        <w:spacing w:after="0" w:line="161" w:lineRule="exact"/>
        <w:rPr>
          <w:sz w:val="20"/>
          <w:szCs w:val="20"/>
          <w:color w:val="auto"/>
        </w:rPr>
      </w:pPr>
    </w:p>
    <w:p>
      <w:pPr>
        <w:jc w:val="both"/>
        <w:ind w:left="740" w:firstLine="754"/>
        <w:spacing w:after="0" w:line="253" w:lineRule="auto"/>
        <w:tabs>
          <w:tab w:leader="none" w:pos="188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adequate and reasonable means do not exist for ascertaining one month, three month and six month interest periods of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including, without limitation, because the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Screen Rate is not available or published on a current basis and such circumstances are unlikely to be temporary; or</w:t>
      </w:r>
    </w:p>
    <w:p>
      <w:pPr>
        <w:spacing w:after="0" w:line="176" w:lineRule="exact"/>
        <w:rPr>
          <w:rFonts w:ascii="Times New Roman" w:cs="Times New Roman" w:eastAsia="Times New Roman" w:hAnsi="Times New Roman"/>
          <w:sz w:val="20"/>
          <w:szCs w:val="20"/>
          <w:color w:val="auto"/>
        </w:rPr>
      </w:pPr>
    </w:p>
    <w:p>
      <w:pPr>
        <w:jc w:val="both"/>
        <w:ind w:left="740" w:firstLine="754"/>
        <w:spacing w:after="0" w:line="242" w:lineRule="auto"/>
        <w:tabs>
          <w:tab w:leader="none" w:pos="189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Bloomberg</w:t>
      </w:r>
      <w:r>
        <w:rPr>
          <w:rFonts w:ascii="Times New Roman" w:cs="Times New Roman" w:eastAsia="Times New Roman" w:hAnsi="Times New Roman"/>
          <w:sz w:val="20"/>
          <w:szCs w:val="20"/>
          <w:u w:val="single" w:color="auto"/>
          <w:color w:val="0000FF"/>
        </w:rPr>
        <w:t>CME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any successor administrator of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Screen Rate or a Governmental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Authority having jurisdiction over the Administrative Agent or </w:t>
      </w:r>
      <w:r>
        <w:rPr>
          <w:rFonts w:ascii="Times New Roman" w:cs="Times New Roman" w:eastAsia="Times New Roman" w:hAnsi="Times New Roman"/>
          <w:sz w:val="20"/>
          <w:szCs w:val="20"/>
          <w:color w:val="FF0000"/>
          <w:strike w:val="1"/>
        </w:rPr>
        <w:t>Bloomberg or</w:t>
      </w:r>
      <w:r>
        <w:rPr>
          <w:rFonts w:ascii="Times New Roman" w:cs="Times New Roman" w:eastAsia="Times New Roman" w:hAnsi="Times New Roman"/>
          <w:sz w:val="20"/>
          <w:szCs w:val="20"/>
          <w:color w:val="000000"/>
        </w:rPr>
        <w:t xml:space="preserve"> such administrator with respect to its publication of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in each case acting in such capacity, has made a public statement identifying a specific date after which one month, three month and six month interest periods of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or the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Screen Rate shall or will no longer be </w:t>
      </w:r>
      <w:r>
        <w:rPr>
          <w:rFonts w:ascii="Times New Roman" w:cs="Times New Roman" w:eastAsia="Times New Roman" w:hAnsi="Times New Roman"/>
          <w:sz w:val="20"/>
          <w:szCs w:val="20"/>
          <w:u w:val="single" w:color="auto"/>
          <w:color w:val="0000FF"/>
        </w:rPr>
        <w:t>representative or</w:t>
      </w:r>
      <w:r>
        <w:rPr>
          <w:rFonts w:ascii="Times New Roman" w:cs="Times New Roman" w:eastAsia="Times New Roman" w:hAnsi="Times New Roman"/>
          <w:sz w:val="20"/>
          <w:szCs w:val="20"/>
          <w:color w:val="000000"/>
        </w:rPr>
        <w:t xml:space="preserve"> made available, or permitted to be used for determining the interest rate of U.S. dollar denominated syndicated loans, or shall or will otherwise cease, </w:t>
      </w:r>
      <w:r>
        <w:rPr>
          <w:rFonts w:ascii="Times New Roman" w:cs="Times New Roman" w:eastAsia="Times New Roman" w:hAnsi="Times New Roman"/>
          <w:sz w:val="20"/>
          <w:szCs w:val="20"/>
          <w:i w:val="1"/>
          <w:iCs w:val="1"/>
          <w:u w:val="single" w:color="auto"/>
          <w:color w:val="000000"/>
        </w:rPr>
        <w:t>provided</w:t>
      </w:r>
      <w:r>
        <w:rPr>
          <w:rFonts w:ascii="Times New Roman" w:cs="Times New Roman" w:eastAsia="Times New Roman" w:hAnsi="Times New Roman"/>
          <w:sz w:val="20"/>
          <w:szCs w:val="20"/>
          <w:color w:val="000000"/>
        </w:rPr>
        <w:t xml:space="preserve"> that, at the time of such statement, there is no successor administrator that is satisfactory to the Administrative Agent, that will continue to provide such </w:t>
      </w:r>
      <w:r>
        <w:rPr>
          <w:rFonts w:ascii="Times New Roman" w:cs="Times New Roman" w:eastAsia="Times New Roman" w:hAnsi="Times New Roman"/>
          <w:sz w:val="20"/>
          <w:szCs w:val="20"/>
          <w:u w:val="single" w:color="auto"/>
          <w:color w:val="0000FF"/>
        </w:rPr>
        <w:t>representative</w:t>
      </w:r>
      <w:r>
        <w:rPr>
          <w:rFonts w:ascii="Times New Roman" w:cs="Times New Roman" w:eastAsia="Times New Roman" w:hAnsi="Times New Roman"/>
          <w:sz w:val="20"/>
          <w:szCs w:val="20"/>
          <w:color w:val="000000"/>
        </w:rPr>
        <w:t xml:space="preserve"> interest periods of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after such specific date (the latest date on which one month, three month and six month interest periods of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or the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000000"/>
        </w:rPr>
        <w:t xml:space="preserve"> Screen Rate are no longer </w:t>
      </w:r>
      <w:r>
        <w:rPr>
          <w:rFonts w:ascii="Times New Roman" w:cs="Times New Roman" w:eastAsia="Times New Roman" w:hAnsi="Times New Roman"/>
          <w:sz w:val="20"/>
          <w:szCs w:val="20"/>
          <w:u w:val="single" w:color="auto"/>
          <w:color w:val="0000FF"/>
        </w:rPr>
        <w:t>representative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available permanently or indefinitely, the “</w:t>
      </w:r>
      <w:r>
        <w:rPr>
          <w:rFonts w:ascii="Times New Roman" w:cs="Times New Roman" w:eastAsia="Times New Roman" w:hAnsi="Times New Roman"/>
          <w:sz w:val="20"/>
          <w:szCs w:val="20"/>
          <w:i w:val="1"/>
          <w:iCs w:val="1"/>
          <w:u w:val="single" w:color="auto"/>
          <w:color w:val="000000"/>
        </w:rPr>
        <w:t>Scheduled Unavailability Date</w:t>
      </w:r>
      <w:r>
        <w:rPr>
          <w:rFonts w:ascii="Times New Roman" w:cs="Times New Roman" w:eastAsia="Times New Roman" w:hAnsi="Times New Roman"/>
          <w:sz w:val="20"/>
          <w:szCs w:val="20"/>
          <w:color w:val="000000"/>
        </w:rPr>
        <w:t>”);</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then, on a date and time determined by the Administrative Agent (any such date, the “</w:t>
      </w:r>
      <w:r>
        <w:rPr>
          <w:rFonts w:ascii="Times New Roman" w:cs="Times New Roman" w:eastAsia="Times New Roman" w:hAnsi="Times New Roman"/>
          <w:sz w:val="20"/>
          <w:szCs w:val="20"/>
          <w:u w:val="single" w:color="auto"/>
          <w:color w:val="FF0000"/>
          <w:strike w:val="1"/>
        </w:rPr>
        <w:t>B</w:t>
      </w:r>
      <w:r>
        <w:rPr>
          <w:rFonts w:ascii="Times New Roman" w:cs="Times New Roman" w:eastAsia="Times New Roman" w:hAnsi="Times New Roman"/>
          <w:sz w:val="20"/>
          <w:szCs w:val="20"/>
          <w:i w:val="1"/>
          <w:iCs w:val="1"/>
          <w:u w:val="single" w:color="auto"/>
          <w:color w:val="FF0000"/>
          <w:strike w:val="1"/>
        </w:rPr>
        <w:t>SBY</w:t>
      </w:r>
      <w:r>
        <w:rPr>
          <w:rFonts w:ascii="Times New Roman" w:cs="Times New Roman" w:eastAsia="Times New Roman" w:hAnsi="Times New Roman"/>
          <w:sz w:val="20"/>
          <w:szCs w:val="20"/>
          <w:i w:val="1"/>
          <w:iCs w:val="1"/>
          <w:u w:val="single" w:color="auto"/>
          <w:color w:val="0000FF"/>
        </w:rPr>
        <w:t>Term 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Replacement Date</w:t>
      </w:r>
      <w:r>
        <w:rPr>
          <w:rFonts w:ascii="Times New Roman" w:cs="Times New Roman" w:eastAsia="Times New Roman" w:hAnsi="Times New Roman"/>
          <w:sz w:val="20"/>
          <w:szCs w:val="20"/>
          <w:color w:val="auto"/>
        </w:rPr>
        <w:t xml:space="preserve">”), which date shall be at the end of an Interest Period or on the relevant </w:t>
      </w:r>
      <w:r>
        <w:rPr>
          <w:rFonts w:ascii="Times New Roman" w:cs="Times New Roman" w:eastAsia="Times New Roman" w:hAnsi="Times New Roman"/>
          <w:sz w:val="20"/>
          <w:szCs w:val="20"/>
          <w:color w:val="FF0000"/>
          <w:strike w:val="1"/>
        </w:rPr>
        <w:t>interest payment date</w:t>
      </w:r>
      <w:r>
        <w:rPr>
          <w:rFonts w:ascii="Times New Roman" w:cs="Times New Roman" w:eastAsia="Times New Roman" w:hAnsi="Times New Roman"/>
          <w:sz w:val="20"/>
          <w:szCs w:val="20"/>
          <w:u w:val="single" w:color="auto"/>
          <w:color w:val="0000FF"/>
        </w:rPr>
        <w:t>Interest Payment Date</w:t>
      </w:r>
      <w:r>
        <w:rPr>
          <w:rFonts w:ascii="Times New Roman" w:cs="Times New Roman" w:eastAsia="Times New Roman" w:hAnsi="Times New Roman"/>
          <w:sz w:val="20"/>
          <w:szCs w:val="20"/>
          <w:color w:val="auto"/>
        </w:rPr>
        <w:t xml:space="preserve">, as applicable, for interest calculated and, solely with respect to clause (ii) above, no later than the Scheduled Unavailability Date,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will be replaced hereunder and under any Loan Document with</w:t>
      </w:r>
      <w:r>
        <w:rPr>
          <w:rFonts w:ascii="Times New Roman" w:cs="Times New Roman" w:eastAsia="Times New Roman" w:hAnsi="Times New Roman"/>
          <w:sz w:val="20"/>
          <w:szCs w:val="20"/>
          <w:color w:val="FF0000"/>
          <w:strike w:val="1"/>
        </w:rPr>
        <w:t>, subject to the proviso below, the first available alternative set forth in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order below</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Daily Simple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i w:val="1"/>
          <w:iCs w:val="1"/>
          <w:u w:val="single" w:color="auto"/>
          <w:color w:val="0000FF"/>
        </w:rPr>
        <w:t>plus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the SOFR Adjustment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for any payment period for interest calculated that can be determined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20"/>
          <w:szCs w:val="20"/>
          <w:i w:val="1"/>
          <w:iCs w:val="1"/>
          <w:u w:val="single" w:color="auto"/>
          <w:color w:val="000000"/>
        </w:rPr>
        <w:t>Successor Rate</w:t>
      </w:r>
      <w:r>
        <w:rPr>
          <w:rFonts w:ascii="Times New Roman" w:cs="Times New Roman" w:eastAsia="Times New Roman" w:hAnsi="Times New Roman"/>
          <w:sz w:val="20"/>
          <w:szCs w:val="20"/>
          <w:i w:val="1"/>
          <w:iCs w:val="1"/>
          <w:color w:val="000000"/>
        </w:rPr>
        <w:t>”</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w:t>
      </w:r>
    </w:p>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FF0000"/>
          <w:strike w:val="1"/>
        </w:rPr>
        <w:t xml:space="preserve">(x)Term SOFR </w:t>
      </w:r>
      <w:r>
        <w:rPr>
          <w:rFonts w:ascii="Times New Roman" w:cs="Times New Roman" w:eastAsia="Times New Roman" w:hAnsi="Times New Roman"/>
          <w:sz w:val="20"/>
          <w:szCs w:val="20"/>
          <w:i w:val="1"/>
          <w:iCs w:val="1"/>
          <w:color w:val="FF0000"/>
          <w:strike w:val="1"/>
        </w:rPr>
        <w:t>plus</w:t>
      </w:r>
      <w:r>
        <w:rPr>
          <w:rFonts w:ascii="Times New Roman" w:cs="Times New Roman" w:eastAsia="Times New Roman" w:hAnsi="Times New Roman"/>
          <w:sz w:val="20"/>
          <w:szCs w:val="20"/>
          <w:color w:val="FF0000"/>
          <w:strike w:val="1"/>
        </w:rPr>
        <w:t xml:space="preserve"> the SOFR Adjustment; and</w:t>
      </w:r>
    </w:p>
    <w:p>
      <w:pPr>
        <w:spacing w:after="0" w:line="2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FF0000"/>
          <w:strike w:val="1"/>
        </w:rPr>
        <w:t xml:space="preserve">(y) Daily Simple SOFR </w:t>
      </w:r>
      <w:r>
        <w:rPr>
          <w:rFonts w:ascii="Times New Roman" w:cs="Times New Roman" w:eastAsia="Times New Roman" w:hAnsi="Times New Roman"/>
          <w:sz w:val="20"/>
          <w:szCs w:val="20"/>
          <w:i w:val="1"/>
          <w:iCs w:val="1"/>
          <w:color w:val="FF0000"/>
          <w:strike w:val="1"/>
        </w:rPr>
        <w:t>plus</w:t>
      </w:r>
      <w:r>
        <w:rPr>
          <w:rFonts w:ascii="Times New Roman" w:cs="Times New Roman" w:eastAsia="Times New Roman" w:hAnsi="Times New Roman"/>
          <w:sz w:val="20"/>
          <w:szCs w:val="20"/>
          <w:color w:val="FF0000"/>
          <w:strike w:val="1"/>
        </w:rPr>
        <w:t xml:space="preserve"> the SOFR Adjustment;</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u w:val="single" w:color="auto"/>
          <w:color w:val="FF0000"/>
          <w:strike w:val="1"/>
        </w:rPr>
        <w:t xml:space="preserve">provided </w:t>
      </w:r>
      <w:r>
        <w:rPr>
          <w:rFonts w:ascii="Times New Roman" w:cs="Times New Roman" w:eastAsia="Times New Roman" w:hAnsi="Times New Roman"/>
          <w:sz w:val="20"/>
          <w:szCs w:val="20"/>
          <w:color w:val="FF0000"/>
          <w:strike w:val="1"/>
        </w:rPr>
        <w:t>that, if initially BSBY is replaced with the rate contained in</w:t>
      </w:r>
      <w:r>
        <w:rPr>
          <w:rFonts w:ascii="Times New Roman" w:cs="Times New Roman" w:eastAsia="Times New Roman" w:hAnsi="Times New Roman"/>
          <w:sz w:val="20"/>
          <w:szCs w:val="20"/>
          <w:i w:val="1"/>
          <w:iCs w:val="1"/>
          <w:u w:val="single" w:color="auto"/>
          <w:color w:val="FF0000"/>
          <w:strike w:val="1"/>
        </w:rPr>
        <w:t xml:space="preserve"> </w:t>
      </w:r>
      <w:r>
        <w:rPr>
          <w:rFonts w:ascii="Times New Roman" w:cs="Times New Roman" w:eastAsia="Times New Roman" w:hAnsi="Times New Roman"/>
          <w:sz w:val="20"/>
          <w:szCs w:val="20"/>
          <w:u w:val="single" w:color="auto"/>
          <w:color w:val="FF0000"/>
          <w:strike w:val="1"/>
        </w:rPr>
        <w:t>clause (y)</w:t>
      </w:r>
      <w:r>
        <w:rPr>
          <w:rFonts w:ascii="Times New Roman" w:cs="Times New Roman" w:eastAsia="Times New Roman" w:hAnsi="Times New Roman"/>
          <w:sz w:val="20"/>
          <w:szCs w:val="20"/>
          <w:i w:val="1"/>
          <w:iCs w:val="1"/>
          <w:u w:val="single" w:color="auto"/>
          <w:color w:val="FF0000"/>
          <w:strike w:val="1"/>
        </w:rPr>
        <w:t xml:space="preserve"> </w:t>
      </w:r>
      <w:r>
        <w:rPr>
          <w:rFonts w:ascii="Times New Roman" w:cs="Times New Roman" w:eastAsia="Times New Roman" w:hAnsi="Times New Roman"/>
          <w:sz w:val="20"/>
          <w:szCs w:val="20"/>
          <w:color w:val="FF0000"/>
          <w:strike w:val="1"/>
        </w:rPr>
        <w:t>above (Daily Simple SOFR plus the SOFR</w:t>
      </w:r>
      <w:r>
        <w:rPr>
          <w:rFonts w:ascii="Times New Roman" w:cs="Times New Roman" w:eastAsia="Times New Roman" w:hAnsi="Times New Roman"/>
          <w:sz w:val="20"/>
          <w:szCs w:val="20"/>
          <w:i w:val="1"/>
          <w:iCs w:val="1"/>
          <w:u w:val="single" w:color="auto"/>
          <w:color w:val="FF0000"/>
          <w:strike w:val="1"/>
        </w:rPr>
        <w:t xml:space="preserve"> </w:t>
      </w:r>
      <w:r>
        <w:rPr>
          <w:rFonts w:ascii="Times New Roman" w:cs="Times New Roman" w:eastAsia="Times New Roman" w:hAnsi="Times New Roman"/>
          <w:sz w:val="20"/>
          <w:szCs w:val="20"/>
          <w:color w:val="FF0000"/>
          <w:strike w:val="1"/>
        </w:rPr>
        <w:t xml:space="preserve">Adjustment) and subsequent to such replacement, the Administrative Agent determines that Term SOFR has become available and is administratively feasible for the Administrative Agent in its sole discretion,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Successor Rate shall be Term SOFR </w:t>
      </w:r>
      <w:r>
        <w:rPr>
          <w:rFonts w:ascii="Times New Roman" w:cs="Times New Roman" w:eastAsia="Times New Roman" w:hAnsi="Times New Roman"/>
          <w:sz w:val="20"/>
          <w:szCs w:val="20"/>
          <w:i w:val="1"/>
          <w:iCs w:val="1"/>
          <w:color w:val="FF0000"/>
          <w:strike w:val="1"/>
        </w:rPr>
        <w:t>plus</w:t>
      </w:r>
      <w:r>
        <w:rPr>
          <w:rFonts w:ascii="Times New Roman" w:cs="Times New Roman" w:eastAsia="Times New Roman" w:hAnsi="Times New Roman"/>
          <w:sz w:val="20"/>
          <w:szCs w:val="20"/>
          <w:color w:val="FF0000"/>
          <w:strike w:val="1"/>
        </w:rPr>
        <w:t xml:space="preserve"> the SOFR Adjustment.</w:t>
      </w:r>
    </w:p>
    <w:p>
      <w:pPr>
        <w:spacing w:after="0" w:line="187" w:lineRule="exact"/>
        <w:rPr>
          <w:sz w:val="20"/>
          <w:szCs w:val="20"/>
          <w:color w:val="auto"/>
        </w:rPr>
      </w:pPr>
    </w:p>
    <w:p>
      <w:pPr>
        <w:ind w:left="740"/>
        <w:spacing w:after="0" w:line="268" w:lineRule="auto"/>
        <w:rPr>
          <w:sz w:val="20"/>
          <w:szCs w:val="20"/>
          <w:color w:val="auto"/>
        </w:rPr>
      </w:pPr>
      <w:r>
        <w:rPr>
          <w:rFonts w:ascii="Times New Roman" w:cs="Times New Roman" w:eastAsia="Times New Roman" w:hAnsi="Times New Roman"/>
          <w:sz w:val="20"/>
          <w:szCs w:val="20"/>
          <w:color w:val="auto"/>
        </w:rPr>
        <w:t>If the Successor Rate is Daily Simple SOFR plus the SOFR Adjustment, all interest payments will be payable on a quarterly basis.</w:t>
      </w:r>
    </w:p>
    <w:p>
      <w:pPr>
        <w:spacing w:after="0" w:line="200" w:lineRule="exact"/>
        <w:rPr>
          <w:sz w:val="20"/>
          <w:szCs w:val="20"/>
          <w:color w:val="auto"/>
        </w:rPr>
      </w:pPr>
    </w:p>
    <w:p>
      <w:pPr>
        <w:spacing w:after="0" w:line="36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40" w:name="page141"/>
    <w:bookmarkEnd w:id="140"/>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herein, (i) if the Administrative Agent determines that </w:t>
      </w:r>
      <w:r>
        <w:rPr>
          <w:rFonts w:ascii="Times New Roman" w:cs="Times New Roman" w:eastAsia="Times New Roman" w:hAnsi="Times New Roman"/>
          <w:sz w:val="20"/>
          <w:szCs w:val="20"/>
          <w:color w:val="FF0000"/>
          <w:strike w:val="1"/>
        </w:rPr>
        <w:t>neither of the alternatives set forth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in clauses (x) and (y) above are</w:t>
      </w:r>
      <w:r>
        <w:rPr>
          <w:rFonts w:ascii="Times New Roman" w:cs="Times New Roman" w:eastAsia="Times New Roman" w:hAnsi="Times New Roman"/>
          <w:sz w:val="20"/>
          <w:szCs w:val="20"/>
          <w:u w:val="single" w:color="auto"/>
          <w:color w:val="0000FF"/>
        </w:rPr>
        <w:t>Daily Simple SOFR is not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available on or prior to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Replacement Date or (ii) if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the events or circumstances of the type described in Section 3.03(b)(i) or (ii) have occurred with respect to the Successor Rate then in effect, then in each case, the Administrative Agent and the Borrower may amend this Agreement solely for purpose of replacing </w:t>
      </w:r>
      <w:r>
        <w:rPr>
          <w:rFonts w:ascii="Times New Roman" w:cs="Times New Roman" w:eastAsia="Times New Roman" w:hAnsi="Times New Roman"/>
          <w:sz w:val="20"/>
          <w:szCs w:val="20"/>
          <w:color w:val="FF0000"/>
          <w:strike w:val="1"/>
        </w:rPr>
        <w:t>BSBY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or any then current Successor Rate in accordance with this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3.03</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at the end of any Interest Period,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relevant </w:t>
      </w:r>
      <w:r>
        <w:rPr>
          <w:rFonts w:ascii="Times New Roman" w:cs="Times New Roman" w:eastAsia="Times New Roman" w:hAnsi="Times New Roman"/>
          <w:sz w:val="20"/>
          <w:szCs w:val="20"/>
          <w:color w:val="FF0000"/>
          <w:strike w:val="1"/>
        </w:rPr>
        <w:t>interest payment date</w:t>
      </w:r>
      <w:r>
        <w:rPr>
          <w:rFonts w:ascii="Times New Roman" w:cs="Times New Roman" w:eastAsia="Times New Roman" w:hAnsi="Times New Roman"/>
          <w:sz w:val="20"/>
          <w:szCs w:val="20"/>
          <w:u w:val="single" w:color="auto"/>
          <w:color w:val="0000FF"/>
        </w:rPr>
        <w:t>Interest Payment Date</w:t>
      </w:r>
      <w:r>
        <w:rPr>
          <w:rFonts w:ascii="Times New Roman" w:cs="Times New Roman" w:eastAsia="Times New Roman" w:hAnsi="Times New Roman"/>
          <w:sz w:val="20"/>
          <w:szCs w:val="20"/>
          <w:color w:val="000000"/>
        </w:rPr>
        <w:t xml:space="preserve"> or payment period for interest calculated, as applicable, with </w:t>
      </w:r>
      <w:r>
        <w:rPr>
          <w:rFonts w:ascii="Times New Roman" w:cs="Times New Roman" w:eastAsia="Times New Roman" w:hAnsi="Times New Roman"/>
          <w:sz w:val="20"/>
          <w:szCs w:val="20"/>
          <w:color w:val="FF0000"/>
          <w:strike w:val="1"/>
        </w:rPr>
        <w:t>another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alternate</w:t>
      </w:r>
      <w:r>
        <w:rPr>
          <w:rFonts w:ascii="Times New Roman" w:cs="Times New Roman" w:eastAsia="Times New Roman" w:hAnsi="Times New Roman"/>
          <w:sz w:val="20"/>
          <w:szCs w:val="20"/>
          <w:u w:val="single" w:color="auto"/>
          <w:color w:val="0000FF"/>
        </w:rPr>
        <w:t>an alternative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benchmark rate giving due consideration to any evolving or then existing convention for similar U.S. dollar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denominated credit facilities syndicated and agented in the United States for such alternative </w:t>
      </w:r>
      <w:r>
        <w:rPr>
          <w:rFonts w:ascii="Times New Roman" w:cs="Times New Roman" w:eastAsia="Times New Roman" w:hAnsi="Times New Roman"/>
          <w:sz w:val="20"/>
          <w:szCs w:val="20"/>
          <w:color w:val="FF0000"/>
          <w:strike w:val="1"/>
        </w:rPr>
        <w:t>benchmarks</w:t>
      </w:r>
      <w:r>
        <w:rPr>
          <w:rFonts w:ascii="Times New Roman" w:cs="Times New Roman" w:eastAsia="Times New Roman" w:hAnsi="Times New Roman"/>
          <w:sz w:val="20"/>
          <w:szCs w:val="20"/>
          <w:u w:val="single" w:color="auto"/>
          <w:color w:val="0000FF"/>
        </w:rPr>
        <w:t>benchmark</w:t>
      </w:r>
      <w:r>
        <w:rPr>
          <w:rFonts w:ascii="Times New Roman" w:cs="Times New Roman" w:eastAsia="Times New Roman" w:hAnsi="Times New Roman"/>
          <w:sz w:val="20"/>
          <w:szCs w:val="20"/>
          <w:color w:val="000000"/>
        </w:rPr>
        <w:t xml:space="preserve"> and, in each case, including any mathematical or other adjustments to such benchmark giving due consideration to any evolving or then existing convention for similar U.S. dollar denominated credit facilities syndicated and agented in the United States for such </w:t>
      </w:r>
      <w:r>
        <w:rPr>
          <w:rFonts w:ascii="Times New Roman" w:cs="Times New Roman" w:eastAsia="Times New Roman" w:hAnsi="Times New Roman"/>
          <w:sz w:val="20"/>
          <w:szCs w:val="20"/>
          <w:color w:val="FF0000"/>
          <w:strike w:val="1"/>
        </w:rPr>
        <w:t>benchmarks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which adjustment or method for calculating such adjustment shall be published on an information service as selected by the Administrative Agent from time to time in its reasonable discretion and may be periodically updated</w:t>
      </w:r>
      <w:r>
        <w:rPr>
          <w:rFonts w:ascii="Times New Roman" w:cs="Times New Roman" w:eastAsia="Times New Roman" w:hAnsi="Times New Roman"/>
          <w:sz w:val="20"/>
          <w:szCs w:val="20"/>
          <w:u w:val="single" w:color="auto"/>
          <w:color w:val="0000FF"/>
          <w:strike w:val="1"/>
        </w:rPr>
        <w:t>benchmark</w:t>
      </w:r>
      <w:r>
        <w:rPr>
          <w:rFonts w:ascii="Times New Roman" w:cs="Times New Roman" w:eastAsia="Times New Roman" w:hAnsi="Times New Roman"/>
          <w:sz w:val="20"/>
          <w:szCs w:val="20"/>
          <w:color w:val="000000"/>
          <w:strike w:val="1"/>
        </w:rPr>
        <w:t>. For the avoidance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of doubt, any such proposed rate and adjustments</w:t>
      </w:r>
      <w:r>
        <w:rPr>
          <w:rFonts w:ascii="Times New Roman" w:cs="Times New Roman" w:eastAsia="Times New Roman" w:hAnsi="Times New Roman"/>
          <w:sz w:val="20"/>
          <w:szCs w:val="20"/>
          <w:u w:val="single" w:color="auto"/>
          <w:color w:val="0000FF"/>
          <w:strike w:val="1"/>
        </w:rPr>
        <w:t>,</w:t>
      </w:r>
      <w:r>
        <w:rPr>
          <w:rFonts w:ascii="Times New Roman" w:cs="Times New Roman" w:eastAsia="Times New Roman" w:hAnsi="Times New Roman"/>
          <w:sz w:val="20"/>
          <w:szCs w:val="20"/>
          <w:color w:val="000000"/>
          <w:strike w:val="1"/>
        </w:rPr>
        <w:t xml:space="preserve"> shall constitute a “</w:t>
      </w:r>
      <w:r>
        <w:rPr>
          <w:rFonts w:ascii="Times New Roman" w:cs="Times New Roman" w:eastAsia="Times New Roman" w:hAnsi="Times New Roman"/>
          <w:sz w:val="20"/>
          <w:szCs w:val="20"/>
          <w:i w:val="1"/>
          <w:iCs w:val="1"/>
          <w:u w:val="single" w:color="auto"/>
          <w:color w:val="000000"/>
          <w:strike w:val="1"/>
        </w:rPr>
        <w:t>Successor Rate</w:t>
      </w:r>
      <w:r>
        <w:rPr>
          <w:rFonts w:ascii="Times New Roman" w:cs="Times New Roman" w:eastAsia="Times New Roman" w:hAnsi="Times New Roman"/>
          <w:sz w:val="20"/>
          <w:szCs w:val="20"/>
          <w:color w:val="000000"/>
          <w:strike w:val="1"/>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The Administrative Agent will promptly (in one or more notices) notify the Borrower and each Lender of the implementation of any Successor Rate.</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3" w:lineRule="exact"/>
        <w:rPr>
          <w:sz w:val="20"/>
          <w:szCs w:val="20"/>
          <w:color w:val="auto"/>
        </w:rPr>
      </w:pPr>
    </w:p>
    <w:p>
      <w:pPr>
        <w:ind w:right="20" w:firstLine="745"/>
        <w:spacing w:after="0" w:line="268" w:lineRule="auto"/>
        <w:tabs>
          <w:tab w:leader="none" w:pos="1157" w:val="left"/>
        </w:tabs>
        <w:numPr>
          <w:ilvl w:val="0"/>
          <w:numId w:val="11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For purposes of this Section 3.03, those Lenders that either have not made, or do not have an obligation under this Agreement to make, the relevant Loans in Dollars shall be excluded from any determination of Required Lenders.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3.04 </w:t>
      </w:r>
      <w:r>
        <w:rPr>
          <w:rFonts w:ascii="Times New Roman" w:cs="Times New Roman" w:eastAsia="Times New Roman" w:hAnsi="Times New Roman"/>
          <w:sz w:val="20"/>
          <w:szCs w:val="20"/>
          <w:b w:val="1"/>
          <w:bCs w:val="1"/>
          <w:u w:val="single" w:color="auto"/>
          <w:color w:val="auto"/>
        </w:rPr>
        <w:t>Increased Costs.</w:t>
      </w:r>
    </w:p>
    <w:p>
      <w:pPr>
        <w:spacing w:after="0" w:line="219" w:lineRule="exact"/>
        <w:rPr>
          <w:sz w:val="20"/>
          <w:szCs w:val="20"/>
          <w:color w:val="auto"/>
        </w:rPr>
      </w:pPr>
    </w:p>
    <w:p>
      <w:pPr>
        <w:ind w:left="1140" w:hanging="395"/>
        <w:spacing w:after="0"/>
        <w:tabs>
          <w:tab w:leader="none" w:pos="11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4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41" w:name="page142"/>
    <w:bookmarkEnd w:id="141"/>
    <w:p>
      <w:pPr>
        <w:jc w:val="both"/>
        <w:ind w:left="740" w:firstLine="754"/>
        <w:spacing w:after="0" w:line="253" w:lineRule="auto"/>
        <w:tabs>
          <w:tab w:leader="none" w:pos="18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76" w:lineRule="exact"/>
        <w:rPr>
          <w:rFonts w:ascii="Times New Roman" w:cs="Times New Roman" w:eastAsia="Times New Roman" w:hAnsi="Times New Roman"/>
          <w:sz w:val="20"/>
          <w:szCs w:val="20"/>
          <w:color w:val="auto"/>
        </w:rPr>
      </w:pPr>
    </w:p>
    <w:p>
      <w:pPr>
        <w:jc w:val="both"/>
        <w:ind w:left="740" w:right="20" w:firstLine="754"/>
        <w:spacing w:after="0" w:line="253" w:lineRule="auto"/>
        <w:tabs>
          <w:tab w:leader="none" w:pos="18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of the definition of Excluded Taxes and (C) Connection Income Taxes) on its loans, loan principal, letters of credit, commitments, or other obligations, or its deposits, reserves, other liabilities or capital attributable thereto; or</w:t>
      </w:r>
    </w:p>
    <w:p>
      <w:pPr>
        <w:spacing w:after="0" w:line="176" w:lineRule="exact"/>
        <w:rPr>
          <w:rFonts w:ascii="Times New Roman" w:cs="Times New Roman" w:eastAsia="Times New Roman" w:hAnsi="Times New Roman"/>
          <w:sz w:val="20"/>
          <w:szCs w:val="20"/>
          <w:color w:val="auto"/>
        </w:rPr>
      </w:pPr>
    </w:p>
    <w:p>
      <w:pPr>
        <w:ind w:left="740" w:right="20" w:firstLine="754"/>
        <w:spacing w:after="0" w:line="268" w:lineRule="auto"/>
        <w:tabs>
          <w:tab w:leader="none" w:pos="18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 on any Lender or the L/C Issuer any other condition, cost or expense affecting this Agreement or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made by such Lender or any Letter of Credit or participation therein;</w:t>
      </w:r>
    </w:p>
    <w:p>
      <w:pPr>
        <w:spacing w:after="0" w:line="1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84" w:lineRule="exact"/>
        <w:rPr>
          <w:sz w:val="20"/>
          <w:szCs w:val="20"/>
          <w:color w:val="auto"/>
        </w:rPr>
      </w:pPr>
    </w:p>
    <w:p>
      <w:pPr>
        <w:jc w:val="both"/>
        <w:ind w:firstLine="745"/>
        <w:spacing w:after="0" w:line="256" w:lineRule="auto"/>
        <w:tabs>
          <w:tab w:leader="none" w:pos="1144"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Capital Requirements</w:t>
      </w:r>
      <w:r>
        <w:rPr>
          <w:rFonts w:ascii="Times New Roman" w:cs="Times New Roman" w:eastAsia="Times New Roman" w:hAnsi="Times New Roman"/>
          <w:sz w:val="19"/>
          <w:szCs w:val="19"/>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77" w:lineRule="exact"/>
        <w:rPr>
          <w:rFonts w:ascii="Times New Roman" w:cs="Times New Roman" w:eastAsia="Times New Roman" w:hAnsi="Times New Roman"/>
          <w:sz w:val="19"/>
          <w:szCs w:val="19"/>
          <w:color w:val="auto"/>
        </w:rPr>
      </w:pPr>
    </w:p>
    <w:p>
      <w:pPr>
        <w:jc w:val="both"/>
        <w:ind w:firstLine="745"/>
        <w:spacing w:after="0" w:line="249" w:lineRule="auto"/>
        <w:tabs>
          <w:tab w:leader="none" w:pos="1171"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 certificate of a Lender or the L/C Issuer setting forth the amount or amounts necessary to compensate such Lender or the L/C Issuer or its holding company, as the case may be, as specified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and delivered to the Borrower shall be conclusive absent manifest error. The Borrower shall pay such Lender or the L/C Issuer, as the case may be, the amount shown as due on any such certificate within ten (10) days after receipt thereof.</w:t>
      </w:r>
    </w:p>
    <w:p>
      <w:pPr>
        <w:spacing w:after="0" w:line="178"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not constitute a waiver of such Lender’s or the L/C Issuer’s right to demand such compensation, provided that the Borrower shall not be required to compensate a Lender or the L/C Issuer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for any increased costs incurred or reductions suffered more than six (6) months prior to the date that such Lender or the L/C Issuer, as the case may be,</w:t>
      </w:r>
    </w:p>
    <w:p>
      <w:pPr>
        <w:spacing w:after="0" w:line="200" w:lineRule="exact"/>
        <w:rPr>
          <w:sz w:val="20"/>
          <w:szCs w:val="20"/>
          <w:color w:val="auto"/>
        </w:rPr>
      </w:pPr>
    </w:p>
    <w:p>
      <w:pPr>
        <w:spacing w:after="0" w:line="38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42" w:name="page143"/>
    <w:bookmarkEnd w:id="142"/>
    <w:p>
      <w:pPr>
        <w:jc w:val="both"/>
        <w:ind w:left="760"/>
        <w:spacing w:after="0" w:line="273" w:lineRule="auto"/>
        <w:rPr>
          <w:sz w:val="20"/>
          <w:szCs w:val="20"/>
          <w:color w:val="auto"/>
        </w:rPr>
      </w:pPr>
      <w:r>
        <w:rPr>
          <w:rFonts w:ascii="Times New Roman" w:cs="Times New Roman" w:eastAsia="Times New Roman" w:hAnsi="Times New Roman"/>
          <w:sz w:val="19"/>
          <w:szCs w:val="19"/>
          <w:color w:val="auto"/>
        </w:rPr>
        <w:t>notifies the Borrower of the Change in Law giving rise to such increased costs or reductions and of such Lender’s or the L/C Issuer’s intention to claim compensation therefor (except that, if the Change in Law giving rise to such increased costs or reductions is retroactive, then the six (6) month period referred to above shall be extended to include the period of retroactive effect thereof).</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3.05 </w:t>
      </w:r>
      <w:r>
        <w:rPr>
          <w:rFonts w:ascii="Times New Roman" w:cs="Times New Roman" w:eastAsia="Times New Roman" w:hAnsi="Times New Roman"/>
          <w:sz w:val="20"/>
          <w:szCs w:val="20"/>
          <w:b w:val="1"/>
          <w:bCs w:val="1"/>
          <w:u w:val="single" w:color="auto"/>
          <w:color w:val="auto"/>
        </w:rPr>
        <w:t>Compensation for Losses.</w:t>
      </w:r>
    </w:p>
    <w:p>
      <w:pPr>
        <w:spacing w:after="0" w:line="219"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61" w:lineRule="exact"/>
        <w:rPr>
          <w:sz w:val="20"/>
          <w:szCs w:val="20"/>
          <w:color w:val="auto"/>
        </w:rPr>
      </w:pPr>
    </w:p>
    <w:p>
      <w:pPr>
        <w:ind w:left="760" w:right="20" w:firstLine="745"/>
        <w:spacing w:after="0" w:line="295" w:lineRule="auto"/>
        <w:tabs>
          <w:tab w:leader="none" w:pos="1904"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37" w:lineRule="exact"/>
        <w:rPr>
          <w:rFonts w:ascii="Times New Roman" w:cs="Times New Roman" w:eastAsia="Times New Roman" w:hAnsi="Times New Roman"/>
          <w:sz w:val="19"/>
          <w:szCs w:val="19"/>
          <w:color w:val="auto"/>
        </w:rPr>
      </w:pPr>
    </w:p>
    <w:p>
      <w:pPr>
        <w:ind w:left="760" w:right="20" w:firstLine="745"/>
        <w:spacing w:after="0" w:line="268" w:lineRule="auto"/>
        <w:tabs>
          <w:tab w:leader="none" w:pos="190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60" w:lineRule="exact"/>
        <w:rPr>
          <w:rFonts w:ascii="Times New Roman" w:cs="Times New Roman" w:eastAsia="Times New Roman" w:hAnsi="Times New Roman"/>
          <w:sz w:val="20"/>
          <w:szCs w:val="20"/>
          <w:color w:val="auto"/>
        </w:rPr>
      </w:pPr>
    </w:p>
    <w:p>
      <w:pPr>
        <w:ind w:left="760" w:firstLine="745"/>
        <w:spacing w:after="0" w:line="268" w:lineRule="auto"/>
        <w:tabs>
          <w:tab w:leader="none" w:pos="190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 on a day other than the last day of the Interest Period therefor as a result of a request by the Borrower pursuant to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excluding any loss of anticipated profits but including any loss or expense arising from the liquidation or reemployment of funds obtained by it to maintain such Loan or from fees payable to terminate the deposits from which such funds were obtained. The Borrower shall also pay customary administrative fees charged by such Lender in connection with the foregoing.</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3.06 </w:t>
      </w:r>
      <w:r>
        <w:rPr>
          <w:rFonts w:ascii="Times New Roman" w:cs="Times New Roman" w:eastAsia="Times New Roman" w:hAnsi="Times New Roman"/>
          <w:sz w:val="20"/>
          <w:szCs w:val="20"/>
          <w:b w:val="1"/>
          <w:bCs w:val="1"/>
          <w:u w:val="single" w:color="auto"/>
          <w:color w:val="auto"/>
        </w:rPr>
        <w:t>Mitigation Obligations; Replacement of Lenders.</w:t>
      </w:r>
    </w:p>
    <w:p>
      <w:pPr>
        <w:spacing w:after="0" w:line="219" w:lineRule="exact"/>
        <w:rPr>
          <w:sz w:val="20"/>
          <w:szCs w:val="20"/>
          <w:color w:val="auto"/>
        </w:rPr>
      </w:pPr>
    </w:p>
    <w:p>
      <w:pPr>
        <w:jc w:val="both"/>
        <w:ind w:left="760" w:firstLine="745"/>
        <w:spacing w:after="0" w:line="242" w:lineRule="auto"/>
        <w:tabs>
          <w:tab w:leader="none" w:pos="190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requires the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86"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xml:space="preserve">), the Borrower may replace such Lender in accordance with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3" w:name="page144"/>
    <w:bookmarkEnd w:id="143"/>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3.07 </w:t>
      </w:r>
      <w:r>
        <w:rPr>
          <w:rFonts w:ascii="Times New Roman" w:cs="Times New Roman" w:eastAsia="Times New Roman" w:hAnsi="Times New Roman"/>
          <w:sz w:val="20"/>
          <w:szCs w:val="20"/>
          <w:b w:val="1"/>
          <w:bCs w:val="1"/>
          <w:u w:val="single" w:color="auto"/>
          <w:color w:val="auto"/>
        </w:rPr>
        <w:t>Survival.</w:t>
      </w:r>
    </w:p>
    <w:p>
      <w:pPr>
        <w:spacing w:after="0" w:line="219"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All of the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Commitments, repayment of all other Obligations hereunder, resignation of the Administrative Agent and the Facility Termination Date.</w:t>
      </w:r>
    </w:p>
    <w:p>
      <w:pPr>
        <w:spacing w:after="0" w:line="15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2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PRECEDENT TO CREDIT EXTENSIONS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4.01 </w:t>
      </w:r>
      <w:r>
        <w:rPr>
          <w:rFonts w:ascii="Times New Roman" w:cs="Times New Roman" w:eastAsia="Times New Roman" w:hAnsi="Times New Roman"/>
          <w:sz w:val="20"/>
          <w:szCs w:val="20"/>
          <w:b w:val="1"/>
          <w:bCs w:val="1"/>
          <w:u w:val="single" w:color="auto"/>
          <w:color w:val="auto"/>
        </w:rPr>
        <w:t>Conditions of Initial Credit Extension.</w:t>
      </w:r>
    </w:p>
    <w:p>
      <w:pPr>
        <w:spacing w:after="0" w:line="219"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The obligation of the L/C Issuer and each Lender to make its initial Credit Extension hereunder is subject to satisfaction of the following conditions precedent:</w:t>
      </w:r>
    </w:p>
    <w:p>
      <w:pPr>
        <w:spacing w:after="0" w:line="161" w:lineRule="exact"/>
        <w:rPr>
          <w:sz w:val="20"/>
          <w:szCs w:val="20"/>
          <w:color w:val="auto"/>
        </w:rPr>
      </w:pPr>
    </w:p>
    <w:p>
      <w:pPr>
        <w:jc w:val="both"/>
        <w:ind w:left="760" w:firstLine="745"/>
        <w:spacing w:after="0" w:line="244"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of Credit Agreement; Loan Documents</w:t>
      </w:r>
      <w:r>
        <w:rPr>
          <w:rFonts w:ascii="Times New Roman" w:cs="Times New Roman" w:eastAsia="Times New Roman" w:hAnsi="Times New Roman"/>
          <w:sz w:val="20"/>
          <w:szCs w:val="20"/>
          <w:color w:val="auto"/>
        </w:rPr>
        <w:t>. The Administrative Agent shall have received (i) counterparts of this Agreement, executed by a Responsible Officer of each Loan Party and a duly authorized officer of each Lender, (ii) for the account of each Lender requesting a Note, a Note executed by a Responsible Officer of the Borrower, (iii) counterparts of the Security Agreement and each other Collateral Document required to be executed on the Closing Date, executed by a Responsible Officer of the applicable Loan Parties and a duly authorized officer of each other Person party thereto, as applicable and (iv) counterparts of any other Loan Document required to be executed on the Closing Date, executed by a Responsible Officer of the applicable Loan Party and a duly authorized officer of each other Person party thereto</w:t>
      </w:r>
      <w:r>
        <w:rPr>
          <w:rFonts w:ascii="Times New Roman" w:cs="Times New Roman" w:eastAsia="Times New Roman" w:hAnsi="Times New Roman"/>
          <w:sz w:val="20"/>
          <w:szCs w:val="20"/>
          <w:color w:val="7030A0"/>
        </w:rPr>
        <w:t>.</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The Administrative Agent shall have received a certificate delivered by a Responsible Officer of each Loan Party, dated the Closing Date, certifying as to the Organization Documents of each Loan Party (which, to the extent filed with a Governmental Authority, shall be certified as of a recent date by such Governmental Authority), the resolutions of the governing body of each Loan Party, the good standing, existence or its equivalent of each Loan Party and of the incumbency (including specimen signatures) of the Responsible Officers of each Loan Party.</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 of Counsel</w:t>
      </w:r>
      <w:r>
        <w:rPr>
          <w:rFonts w:ascii="Times New Roman" w:cs="Times New Roman" w:eastAsia="Times New Roman" w:hAnsi="Times New Roman"/>
          <w:sz w:val="20"/>
          <w:szCs w:val="20"/>
          <w:color w:val="auto"/>
        </w:rPr>
        <w:t>. The Administrative Agent shall have received an opinion or opinions of counsel for the Loan Parties, dated the Closing Date and addressed to the Administrative Agent and the Lenders, in form and substance acceptable to the Administrative Agent.</w:t>
      </w:r>
    </w:p>
    <w:p>
      <w:pPr>
        <w:spacing w:after="0" w:line="176" w:lineRule="exact"/>
        <w:rPr>
          <w:rFonts w:ascii="Times New Roman" w:cs="Times New Roman" w:eastAsia="Times New Roman" w:hAnsi="Times New Roman"/>
          <w:sz w:val="20"/>
          <w:szCs w:val="20"/>
          <w:color w:val="auto"/>
        </w:rPr>
      </w:pPr>
    </w:p>
    <w:p>
      <w:pPr>
        <w:ind w:left="760" w:firstLine="745"/>
        <w:spacing w:after="0" w:line="268" w:lineRule="auto"/>
        <w:tabs>
          <w:tab w:leader="none" w:pos="195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xml:space="preserve">. The Administrative Agent and the Lenders shall have received copies of the financial statements referred to in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each in form and substance satisfactory to each of them.</w:t>
      </w:r>
    </w:p>
    <w:p>
      <w:pPr>
        <w:spacing w:after="0" w:line="160" w:lineRule="exact"/>
        <w:rPr>
          <w:rFonts w:ascii="Times New Roman" w:cs="Times New Roman" w:eastAsia="Times New Roman" w:hAnsi="Times New Roman"/>
          <w:sz w:val="20"/>
          <w:szCs w:val="20"/>
          <w:color w:val="auto"/>
        </w:rPr>
      </w:pPr>
    </w:p>
    <w:p>
      <w:pPr>
        <w:ind w:left="760" w:firstLine="745"/>
        <w:spacing w:after="0" w:line="268"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 Property Collateral</w:t>
      </w:r>
      <w:r>
        <w:rPr>
          <w:rFonts w:ascii="Times New Roman" w:cs="Times New Roman" w:eastAsia="Times New Roman" w:hAnsi="Times New Roman"/>
          <w:sz w:val="20"/>
          <w:szCs w:val="20"/>
          <w:color w:val="auto"/>
        </w:rPr>
        <w:t>. The Administrative Agent shall have received, in form and substance satisfactory to the Administrative Agent:</w:t>
      </w:r>
    </w:p>
    <w:p>
      <w:pPr>
        <w:spacing w:after="0" w:line="161" w:lineRule="exact"/>
        <w:rPr>
          <w:sz w:val="20"/>
          <w:szCs w:val="20"/>
          <w:color w:val="auto"/>
        </w:rPr>
      </w:pPr>
    </w:p>
    <w:p>
      <w:pPr>
        <w:jc w:val="both"/>
        <w:ind w:left="1500" w:firstLine="749"/>
        <w:spacing w:after="0" w:line="249" w:lineRule="auto"/>
        <w:rPr>
          <w:sz w:val="20"/>
          <w:szCs w:val="20"/>
          <w:color w:val="auto"/>
        </w:rPr>
      </w:pPr>
      <w:r>
        <w:rPr>
          <w:rFonts w:ascii="Times New Roman" w:cs="Times New Roman" w:eastAsia="Times New Roman" w:hAnsi="Times New Roman"/>
          <w:sz w:val="20"/>
          <w:szCs w:val="20"/>
          <w:color w:val="auto"/>
        </w:rPr>
        <w:t>(i)(A) searches of UCC filings in the jurisdiction of incorporation or formation, as applicable, of each Loan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judgment and bankruptcy searches;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4" w:name="page145"/>
    <w:bookmarkEnd w:id="144"/>
    <w:p>
      <w:pPr>
        <w:jc w:val="both"/>
        <w:ind w:left="380" w:firstLine="749"/>
        <w:spacing w:after="0" w:line="253" w:lineRule="auto"/>
        <w:rPr>
          <w:sz w:val="20"/>
          <w:szCs w:val="20"/>
          <w:color w:val="auto"/>
        </w:rPr>
      </w:pPr>
      <w:r>
        <w:rPr>
          <w:rFonts w:ascii="Times New Roman" w:cs="Times New Roman" w:eastAsia="Times New Roman" w:hAnsi="Times New Roman"/>
          <w:sz w:val="20"/>
          <w:szCs w:val="20"/>
          <w:color w:val="auto"/>
        </w:rPr>
        <w:t>(ii)searches of ownership of Intellectual Property in the appropriate governmental offices and such patent/trademark/copyright filings as requested by the Administrative Agent in order to perfect the Administrative Agent’s security interest in the Intellectual Property;</w:t>
      </w:r>
    </w:p>
    <w:p>
      <w:pPr>
        <w:spacing w:after="0" w:line="176" w:lineRule="exact"/>
        <w:rPr>
          <w:sz w:val="20"/>
          <w:szCs w:val="20"/>
          <w:color w:val="auto"/>
        </w:rPr>
      </w:pPr>
    </w:p>
    <w:p>
      <w:pPr>
        <w:jc w:val="both"/>
        <w:ind w:left="380" w:firstLine="749"/>
        <w:spacing w:after="0" w:line="268" w:lineRule="auto"/>
        <w:rPr>
          <w:sz w:val="20"/>
          <w:szCs w:val="20"/>
          <w:color w:val="auto"/>
        </w:rPr>
      </w:pPr>
      <w:r>
        <w:rPr>
          <w:rFonts w:ascii="Times New Roman" w:cs="Times New Roman" w:eastAsia="Times New Roman" w:hAnsi="Times New Roman"/>
          <w:sz w:val="20"/>
          <w:szCs w:val="20"/>
          <w:color w:val="auto"/>
        </w:rPr>
        <w:t>(iii)completed UCC financing statements for each appropriate jurisdiction as is necessary, in the Administrative Agent’s sole discretion, to perfect the Administrative Agent’s security interest in the Collateral;</w:t>
      </w:r>
    </w:p>
    <w:p>
      <w:pPr>
        <w:spacing w:after="0" w:line="161" w:lineRule="exact"/>
        <w:rPr>
          <w:sz w:val="20"/>
          <w:szCs w:val="20"/>
          <w:color w:val="auto"/>
        </w:rPr>
      </w:pPr>
    </w:p>
    <w:p>
      <w:pPr>
        <w:jc w:val="both"/>
        <w:ind w:left="380" w:firstLine="749"/>
        <w:spacing w:after="0" w:line="268" w:lineRule="auto"/>
        <w:rPr>
          <w:sz w:val="20"/>
          <w:szCs w:val="20"/>
          <w:color w:val="auto"/>
        </w:rPr>
      </w:pPr>
      <w:r>
        <w:rPr>
          <w:rFonts w:ascii="Times New Roman" w:cs="Times New Roman" w:eastAsia="Times New Roman" w:hAnsi="Times New Roman"/>
          <w:sz w:val="20"/>
          <w:szCs w:val="20"/>
          <w:color w:val="auto"/>
        </w:rPr>
        <w:t>(iv)stock or membership certificates, if any, evidencing the Pledged Equity and undated stock or transfer powers duly executed in blank; in each case to the extent such Pledged Equity is certificated; and</w:t>
      </w:r>
    </w:p>
    <w:p>
      <w:pPr>
        <w:spacing w:after="0" w:line="161" w:lineRule="exact"/>
        <w:rPr>
          <w:sz w:val="20"/>
          <w:szCs w:val="20"/>
          <w:color w:val="auto"/>
        </w:rPr>
      </w:pPr>
    </w:p>
    <w:p>
      <w:pPr>
        <w:jc w:val="both"/>
        <w:ind w:left="380" w:firstLine="749"/>
        <w:spacing w:after="0" w:line="249" w:lineRule="auto"/>
        <w:rPr>
          <w:sz w:val="20"/>
          <w:szCs w:val="20"/>
          <w:color w:val="auto"/>
        </w:rPr>
      </w:pPr>
      <w:r>
        <w:rPr>
          <w:rFonts w:ascii="Times New Roman" w:cs="Times New Roman" w:eastAsia="Times New Roman" w:hAnsi="Times New Roman"/>
          <w:sz w:val="20"/>
          <w:szCs w:val="20"/>
          <w:color w:val="auto"/>
        </w:rPr>
        <w:t>(v)to the extent required to be delivered, filed, registered or recorded pursuant to the terms and conditions of the Collateral Documents, all instruments, documents and chattel paper in the possession of any of the Loan Parties, together with allonges or assignments as may be necessary or appropriate to create and perfect the Administrative Agent’s and the Lenders’ security interest in the Collateral.</w:t>
      </w:r>
    </w:p>
    <w:p>
      <w:pPr>
        <w:spacing w:after="0" w:line="178" w:lineRule="exact"/>
        <w:rPr>
          <w:sz w:val="20"/>
          <w:szCs w:val="20"/>
          <w:color w:val="auto"/>
        </w:rPr>
      </w:pPr>
    </w:p>
    <w:p>
      <w:pPr>
        <w:jc w:val="both"/>
        <w:ind w:left="-360" w:firstLine="745"/>
        <w:spacing w:after="0" w:line="253" w:lineRule="auto"/>
        <w:tabs>
          <w:tab w:leader="none" w:pos="81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 Casualty, Property and Business Interruption Insurance</w:t>
      </w:r>
      <w:r>
        <w:rPr>
          <w:rFonts w:ascii="Times New Roman" w:cs="Times New Roman" w:eastAsia="Times New Roman" w:hAnsi="Times New Roman"/>
          <w:sz w:val="20"/>
          <w:szCs w:val="20"/>
          <w:color w:val="auto"/>
        </w:rPr>
        <w:t>. The Administrative Agent shall have received certificates and endorsements of insurance evidencing liability, casualty, property and business interruption insurance meeting the requirements set forth herein or in the Collateral Documents or as required by the Administrative Agent.</w:t>
      </w:r>
    </w:p>
    <w:p>
      <w:pPr>
        <w:spacing w:after="0" w:line="176" w:lineRule="exact"/>
        <w:rPr>
          <w:rFonts w:ascii="Times New Roman" w:cs="Times New Roman" w:eastAsia="Times New Roman" w:hAnsi="Times New Roman"/>
          <w:sz w:val="20"/>
          <w:szCs w:val="20"/>
          <w:color w:val="auto"/>
        </w:rPr>
      </w:pPr>
    </w:p>
    <w:p>
      <w:pPr>
        <w:jc w:val="both"/>
        <w:ind w:left="-360" w:firstLine="745"/>
        <w:spacing w:after="0" w:line="253" w:lineRule="auto"/>
        <w:tabs>
          <w:tab w:leader="none" w:pos="7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certificate signed by a Responsible Officer of the Borrower as to the financial condition, solvency and related matters of the Borrower and its Subsidiaries, taken as a whole, after giving effect to the initial Borrowings under the Loan Documents and the other transactions contemplated hereby.</w:t>
      </w:r>
    </w:p>
    <w:p>
      <w:pPr>
        <w:spacing w:after="0" w:line="176" w:lineRule="exact"/>
        <w:rPr>
          <w:sz w:val="20"/>
          <w:szCs w:val="20"/>
          <w:color w:val="auto"/>
        </w:rPr>
      </w:pPr>
    </w:p>
    <w:p>
      <w:pPr>
        <w:ind w:left="-360" w:firstLine="745"/>
        <w:spacing w:after="0" w:line="268" w:lineRule="auto"/>
        <w:tabs>
          <w:tab w:leader="none" w:pos="7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The Administrative Agent shall have received a Loan Notice with respect to the Loans to be made on the Closing Date.</w:t>
      </w:r>
    </w:p>
    <w:p>
      <w:pPr>
        <w:spacing w:after="0" w:line="160"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Indebtedness of the Loan Parties</w:t>
      </w:r>
      <w:r>
        <w:rPr>
          <w:rFonts w:ascii="Times New Roman" w:cs="Times New Roman" w:eastAsia="Times New Roman" w:hAnsi="Times New Roman"/>
          <w:sz w:val="20"/>
          <w:szCs w:val="20"/>
          <w:color w:val="auto"/>
        </w:rPr>
        <w:t xml:space="preserve">. All of the existing Indebtedness for borrowed money of the Borrower and its Subsidiaries (including Indebtedness under the Existing Credit Agreement but excluding Indebtedness permitted to exist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shall be (or substantially concurrently with the initial borrowing will be) repaid in full, and all security interests securing the same shall be terminated on or prior to the Closing Date.</w:t>
      </w:r>
    </w:p>
    <w:p>
      <w:pPr>
        <w:spacing w:after="0" w:line="178"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Anti-Money-Laundering; Beneficial Ownership</w:t>
      </w:r>
      <w:r>
        <w:rPr>
          <w:rFonts w:ascii="Times New Roman" w:cs="Times New Roman" w:eastAsia="Times New Roman" w:hAnsi="Times New Roman"/>
          <w:sz w:val="20"/>
          <w:szCs w:val="20"/>
          <w:color w:val="auto"/>
        </w:rPr>
        <w:t>. Upon the reasonable request of any Lender in writing (including by email),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p>
      <w:pPr>
        <w:spacing w:after="0" w:line="182" w:lineRule="exact"/>
        <w:rPr>
          <w:rFonts w:ascii="Times New Roman" w:cs="Times New Roman" w:eastAsia="Times New Roman" w:hAnsi="Times New Roman"/>
          <w:sz w:val="20"/>
          <w:szCs w:val="20"/>
          <w:color w:val="auto"/>
        </w:rPr>
      </w:pPr>
    </w:p>
    <w:p>
      <w:pPr>
        <w:jc w:val="both"/>
        <w:ind w:left="-360" w:firstLine="745"/>
        <w:spacing w:after="0" w:line="253" w:lineRule="auto"/>
        <w:tabs>
          <w:tab w:leader="none" w:pos="85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The Administrative Agent shall have received evidence that all members, boards of directors, governmental, shareholder and material third party consents and approvals in respect of the Loan Parties necessary for their entry into this Agreement have been obtained.</w:t>
      </w:r>
    </w:p>
    <w:p>
      <w:pPr>
        <w:spacing w:after="0" w:line="200" w:lineRule="exact"/>
        <w:rPr>
          <w:sz w:val="20"/>
          <w:szCs w:val="20"/>
          <w:color w:val="auto"/>
        </w:rPr>
      </w:pPr>
    </w:p>
    <w:p>
      <w:pPr>
        <w:spacing w:after="0" w:line="3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45" w:name="page146"/>
    <w:bookmarkEnd w:id="145"/>
    <w:p>
      <w:pPr>
        <w:jc w:val="both"/>
        <w:ind w:left="760" w:firstLine="745"/>
        <w:spacing w:after="0" w:line="246" w:lineRule="auto"/>
        <w:tabs>
          <w:tab w:leader="none" w:pos="191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xml:space="preserve">. The Administrative Agent and the Lenders shall have received (or, if applicable, will receive simultaneously with the funding of the proceeds from the initial funding of the Loans on the Closing Date) (i) all expenses required to be paid by the Borrower to the Administrative Agent and the Lenders for which invoices have been presented at least one (1) Business Day prior to the Closing Date, and (ii) all fees, if any, due and owing by the Borrower to the Administrative Agent and the Lenders on or prior to the Closing Date pursuant to the Engagement Letter and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9.03(c</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4.02 </w:t>
      </w:r>
      <w:r>
        <w:rPr>
          <w:rFonts w:ascii="Times New Roman" w:cs="Times New Roman" w:eastAsia="Times New Roman" w:hAnsi="Times New Roman"/>
          <w:sz w:val="20"/>
          <w:szCs w:val="20"/>
          <w:b w:val="1"/>
          <w:bCs w:val="1"/>
          <w:u w:val="single" w:color="auto"/>
          <w:color w:val="auto"/>
        </w:rPr>
        <w:t>Conditions to all Credit Extensions.</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The obligation of each Lender and each L/C Issuer to honor any Request for Credit Extension (other than, with respect to clauses (a) and (b) below, a Loan Notice requesting only a conversion of Loans to the other Type, or a continuation of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Loans) is subject to the following conditions precedent:</w:t>
      </w:r>
    </w:p>
    <w:p>
      <w:pPr>
        <w:spacing w:after="0" w:line="176" w:lineRule="exact"/>
        <w:rPr>
          <w:sz w:val="20"/>
          <w:szCs w:val="20"/>
          <w:color w:val="auto"/>
        </w:rPr>
      </w:pPr>
    </w:p>
    <w:p>
      <w:pPr>
        <w:jc w:val="both"/>
        <w:ind w:left="760" w:firstLine="745"/>
        <w:spacing w:after="0" w:line="242" w:lineRule="auto"/>
        <w:tabs>
          <w:tab w:leader="none" w:pos="190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Sections 2.02(g)(ii)(B)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the representations and warranties of the Borrower and each other Loan Party contained in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shall be true and correct in all material respects (and in all respects if any such representation or warranty is already qualified by materiality or reference to Material Adverse Effect)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1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2.02(g)(ii)(B)</w:t>
      </w:r>
      <w:r>
        <w:rPr>
          <w:rFonts w:ascii="Times New Roman" w:cs="Times New Roman" w:eastAsia="Times New Roman" w:hAnsi="Times New Roman"/>
          <w:sz w:val="20"/>
          <w:szCs w:val="20"/>
          <w:color w:val="auto"/>
        </w:rPr>
        <w:t>, no Default shall exist or would result immediately after giving effect to such proposed Credit Extension or from the application of the proceeds thereof.</w:t>
      </w:r>
    </w:p>
    <w:p>
      <w:pPr>
        <w:spacing w:after="0" w:line="160" w:lineRule="exact"/>
        <w:rPr>
          <w:rFonts w:ascii="Times New Roman" w:cs="Times New Roman" w:eastAsia="Times New Roman" w:hAnsi="Times New Roman"/>
          <w:sz w:val="20"/>
          <w:szCs w:val="20"/>
          <w:color w:val="auto"/>
        </w:rPr>
      </w:pPr>
    </w:p>
    <w:p>
      <w:pPr>
        <w:ind w:left="760" w:firstLine="745"/>
        <w:spacing w:after="0" w:line="268" w:lineRule="auto"/>
        <w:tabs>
          <w:tab w:leader="none" w:pos="190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The Administrative Agent and, if applicable, the applicable L/C Issuer or the Swingline Lender, shall have received a Request for Credit Extension in accordance with the requirements hereof.</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only a conversion of Loans to the other Type or a continuation of </w:t>
      </w:r>
      <w:r>
        <w:rPr>
          <w:rFonts w:ascii="Times New Roman" w:cs="Times New Roman" w:eastAsia="Times New Roman" w:hAnsi="Times New Roman"/>
          <w:sz w:val="20"/>
          <w:szCs w:val="20"/>
          <w:color w:val="FF0000"/>
          <w:strike w:val="1"/>
        </w:rPr>
        <w:t>BSBY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submitted by the Borrower shall be deemed to be a representation and warranty that the conditions specified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in </w:t>
      </w:r>
      <w:r>
        <w:rPr>
          <w:rFonts w:ascii="Times New Roman" w:cs="Times New Roman" w:eastAsia="Times New Roman" w:hAnsi="Times New Roman"/>
          <w:sz w:val="20"/>
          <w:szCs w:val="20"/>
          <w:u w:val="single" w:color="auto"/>
          <w:color w:val="000000"/>
        </w:rPr>
        <w:t>Sections 4.02(a)</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(b)</w:t>
      </w:r>
      <w:r>
        <w:rPr>
          <w:rFonts w:ascii="Times New Roman" w:cs="Times New Roman" w:eastAsia="Times New Roman" w:hAnsi="Times New Roman"/>
          <w:sz w:val="20"/>
          <w:szCs w:val="20"/>
          <w:color w:val="000000"/>
        </w:rPr>
        <w:t xml:space="preserve"> have been satisfied on and as of the date of the applicable Credit Extension.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6" w:name="page147"/>
    <w:bookmarkEnd w:id="146"/>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Loan Party represents and warrants to the Administrative Agent and the Lenders, as of the date made or deemed made, that:</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5.01 </w:t>
      </w:r>
      <w:r>
        <w:rPr>
          <w:rFonts w:ascii="Times New Roman" w:cs="Times New Roman" w:eastAsia="Times New Roman" w:hAnsi="Times New Roman"/>
          <w:sz w:val="20"/>
          <w:szCs w:val="20"/>
          <w:b w:val="1"/>
          <w:bCs w:val="1"/>
          <w:u w:val="single" w:color="auto"/>
          <w:color w:val="auto"/>
        </w:rPr>
        <w:t>Existence, Qualification and Power</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Each Loan Party and each of its Subsidiaries (a) is (i) duly organized or formed and validly existing and (ii) as applicable, in good standing, in each case,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0"/>
          <w:szCs w:val="20"/>
          <w:u w:val="single" w:color="auto"/>
          <w:color w:val="auto"/>
        </w:rPr>
        <w:t>clause (a)(ii)</w:t>
      </w:r>
      <w:r>
        <w:rPr>
          <w:rFonts w:ascii="Times New Roman" w:cs="Times New Roman" w:eastAsia="Times New Roman" w:hAnsi="Times New Roman"/>
          <w:sz w:val="20"/>
          <w:szCs w:val="20"/>
          <w:color w:val="auto"/>
        </w:rPr>
        <w:t xml:space="preserve"> (other than with respect to the Borrower and, solely on the Closing Date, any other Loan Party)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that failure to do so could not reasonably be expected to have a Material Adverse Effect.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5.02 </w:t>
      </w:r>
      <w:r>
        <w:rPr>
          <w:rFonts w:ascii="Times New Roman" w:cs="Times New Roman" w:eastAsia="Times New Roman" w:hAnsi="Times New Roman"/>
          <w:sz w:val="20"/>
          <w:szCs w:val="20"/>
          <w:b w:val="1"/>
          <w:bCs w:val="1"/>
          <w:u w:val="single" w:color="auto"/>
          <w:color w:val="auto"/>
        </w:rPr>
        <w:t>Authorization; No Contravention.</w:t>
      </w:r>
    </w:p>
    <w:p>
      <w:pPr>
        <w:spacing w:after="0" w:line="21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execution, delivery and performance by each Loan Party of each Loan Document to which such Person is a party have been duly authorized by all necessary corporate or other organizational action, and do not (a) contravene the terms of any of such Person’s Organization Documents; (b) conflict with or result in any breach or contravention of, or the creation of any Lien (other than a Permitted Lien) under, or require any payment to be made under (i) any Contractual Obligation to which such Person is a party or affecting such Person or the properties of such Person or any of its Subsidiaries or (ii) any material order, injunction, writ or decree of any Governmental Authority or any material arbitral award to which such Person or its property is subject; or (c) violate any Applicable Law, except in any case referred to in clause (b)(i), to the extent that such conflict, breach, contravention or payment (but not creation of Liens) would not reasonably be expected to have a Material Adverse Effect.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5.03 </w:t>
      </w:r>
      <w:r>
        <w:rPr>
          <w:rFonts w:ascii="Times New Roman" w:cs="Times New Roman" w:eastAsia="Times New Roman" w:hAnsi="Times New Roman"/>
          <w:sz w:val="20"/>
          <w:szCs w:val="20"/>
          <w:b w:val="1"/>
          <w:bCs w:val="1"/>
          <w:u w:val="single" w:color="auto"/>
          <w:color w:val="auto"/>
        </w:rPr>
        <w:t>Governmental Authorization; Other Consents.</w:t>
      </w:r>
    </w:p>
    <w:p>
      <w:pPr>
        <w:spacing w:after="0" w:line="21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other than (i) authorizations, approvals, actions, notices and filings which have been duly obtained or are required for the exercise by the Administrative Agent or any Lender of remedies in respect of Collateral pursuant to the Collateral Documents in the ordinary course, (ii) filings to perfect the Liens created by the Collateral Documents, and (iii) those approvals, consents, exemptions, authorizations, filings or other actions or notices the failure of which to obtain or make could not, either individually or in the aggregate, reasonably be expected to have a Material Adverse Effect.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7" w:name="page148"/>
    <w:bookmarkEnd w:id="147"/>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5.04 </w:t>
      </w:r>
      <w:r>
        <w:rPr>
          <w:rFonts w:ascii="Times New Roman" w:cs="Times New Roman" w:eastAsia="Times New Roman" w:hAnsi="Times New Roman"/>
          <w:sz w:val="20"/>
          <w:szCs w:val="20"/>
          <w:b w:val="1"/>
          <w:bCs w:val="1"/>
          <w:u w:val="single" w:color="auto"/>
          <w:color w:val="auto"/>
        </w:rPr>
        <w:t>Binding Effect.</w:t>
      </w:r>
    </w:p>
    <w:p>
      <w:pPr>
        <w:spacing w:after="0" w:line="21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subject to applicable bankruptcy, insolvency, reorganization, moratorium or other laws affecting creditors’ rights generally and the enforcement thereof and subject to general principals of equity.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5.05 </w:t>
      </w:r>
      <w:r>
        <w:rPr>
          <w:rFonts w:ascii="Times New Roman" w:cs="Times New Roman" w:eastAsia="Times New Roman" w:hAnsi="Times New Roman"/>
          <w:sz w:val="20"/>
          <w:szCs w:val="20"/>
          <w:b w:val="1"/>
          <w:bCs w:val="1"/>
          <w:u w:val="single" w:color="auto"/>
          <w:color w:val="auto"/>
        </w:rPr>
        <w:t>Financial Statements; No Material Adverse Effect.</w:t>
      </w:r>
    </w:p>
    <w:p>
      <w:pPr>
        <w:spacing w:after="0" w:line="219" w:lineRule="exact"/>
        <w:rPr>
          <w:sz w:val="20"/>
          <w:szCs w:val="20"/>
          <w:color w:val="auto"/>
        </w:rPr>
      </w:pPr>
    </w:p>
    <w:p>
      <w:pPr>
        <w:jc w:val="both"/>
        <w:ind w:left="760" w:firstLine="745"/>
        <w:spacing w:after="0" w:line="245" w:lineRule="auto"/>
        <w:tabs>
          <w:tab w:leader="none" w:pos="194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The Audited Financial Statements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of the Borrower and its Subsidiaries required to be set forth therein in accordance with GAAP.</w:t>
      </w:r>
    </w:p>
    <w:p>
      <w:pPr>
        <w:spacing w:after="0" w:line="182"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The unaudited Consolidated balance sheet of the Borrower and its Subsidiaries dated June 30, 2021,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cash flows and changes in Shareholders’ Equity for the period covered thereby, subject to the absence of footnotes and to normal year-end and audit adjustments.</w:t>
      </w:r>
    </w:p>
    <w:p>
      <w:pPr>
        <w:spacing w:after="0" w:line="182" w:lineRule="exact"/>
        <w:rPr>
          <w:rFonts w:ascii="Times New Roman" w:cs="Times New Roman" w:eastAsia="Times New Roman" w:hAnsi="Times New Roman"/>
          <w:sz w:val="20"/>
          <w:szCs w:val="20"/>
          <w:color w:val="auto"/>
        </w:rPr>
      </w:pPr>
    </w:p>
    <w:p>
      <w:pPr>
        <w:ind w:left="760" w:firstLine="745"/>
        <w:spacing w:after="0" w:line="268" w:lineRule="auto"/>
        <w:tabs>
          <w:tab w:leader="none" w:pos="190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Since December 31, 2020, there has been no event or circumstance, either individually or in the aggregate, that has had or could reasonably be expected to have a Material Adverse Effect.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5.06 </w:t>
      </w:r>
      <w:r>
        <w:rPr>
          <w:rFonts w:ascii="Times New Roman" w:cs="Times New Roman" w:eastAsia="Times New Roman" w:hAnsi="Times New Roman"/>
          <w:sz w:val="20"/>
          <w:szCs w:val="20"/>
          <w:b w:val="1"/>
          <w:bCs w:val="1"/>
          <w:u w:val="single" w:color="auto"/>
          <w:color w:val="auto"/>
        </w:rPr>
        <w:t>Litigation.</w:t>
      </w:r>
    </w:p>
    <w:p>
      <w:pPr>
        <w:spacing w:after="0" w:line="21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There are no actions, suits, proceedings, claims or disputes pending or, to the knowledge of the Loan Parties, threatened in writing, at law, in equity, in arbitration or before any Governmental Authority, by or against any Loan Party or any Subsidiary or against any of their properties or revenues (a) on the Closing Date that purport to affect or pertain to this Agreement or any other Loan Document or any of the transactions contemplated hereby, or (b) that either individually or in the aggregate could reasonably be expected to have a Material Adverse Effect.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5.07 </w:t>
      </w:r>
      <w:r>
        <w:rPr>
          <w:rFonts w:ascii="Times New Roman" w:cs="Times New Roman" w:eastAsia="Times New Roman" w:hAnsi="Times New Roman"/>
          <w:sz w:val="20"/>
          <w:szCs w:val="20"/>
          <w:b w:val="1"/>
          <w:bCs w:val="1"/>
          <w:u w:val="single" w:color="auto"/>
          <w:color w:val="auto"/>
        </w:rPr>
        <w:t>No Default.</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Neither any Loan Party nor any Subsidiary thereof is in default under or with respect to, or a party to, any Contractual Obligation that could, either individually or in the aggregate, reasonably be expected to have a Material Adverse Effect. No Default has occurred and is continuing.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8" w:name="page149"/>
    <w:bookmarkEnd w:id="148"/>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5.08 </w:t>
      </w:r>
      <w:r>
        <w:rPr>
          <w:rFonts w:ascii="Times New Roman" w:cs="Times New Roman" w:eastAsia="Times New Roman" w:hAnsi="Times New Roman"/>
          <w:sz w:val="20"/>
          <w:szCs w:val="20"/>
          <w:b w:val="1"/>
          <w:bCs w:val="1"/>
          <w:u w:val="single" w:color="auto"/>
          <w:color w:val="auto"/>
        </w:rPr>
        <w:t>Ownership of Property</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5.09 </w:t>
      </w:r>
      <w:r>
        <w:rPr>
          <w:rFonts w:ascii="Times New Roman" w:cs="Times New Roman" w:eastAsia="Times New Roman" w:hAnsi="Times New Roman"/>
          <w:sz w:val="20"/>
          <w:szCs w:val="20"/>
          <w:b w:val="1"/>
          <w:bCs w:val="1"/>
          <w:u w:val="single" w:color="auto"/>
          <w:color w:val="auto"/>
        </w:rPr>
        <w:t>Environmental Compliance.</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The Borrower has reasonably concluded that the Loan Parties and their Subsidiaries are not in violation of Environmental Laws and there are no claims against the Loan Parties or their Subsidiaries alleging violations of Environmental Law that in either case would, individually or in the aggregate, reasonably be expected to have a Material Adverse Effect.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5.10 </w:t>
      </w:r>
      <w:r>
        <w:rPr>
          <w:rFonts w:ascii="Times New Roman" w:cs="Times New Roman" w:eastAsia="Times New Roman" w:hAnsi="Times New Roman"/>
          <w:sz w:val="20"/>
          <w:szCs w:val="20"/>
          <w:b w:val="1"/>
          <w:bCs w:val="1"/>
          <w:u w:val="single" w:color="auto"/>
          <w:color w:val="auto"/>
        </w:rPr>
        <w:t>Insurance.</w:t>
      </w:r>
    </w:p>
    <w:p>
      <w:pPr>
        <w:spacing w:after="0" w:line="21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properties of the Borrower and its Subsidiaries are insured with insurance companies not Affiliates of the Borrower that, to the Borrower’s knowledge, are financially sound and reputable, in such amounts with such deductibles and covering such risks as are customarily carried by companies engaged in similar businesses and owning similar properties in localities where the applicable Loan Party or the applicable Subsidiary operates.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5.11 </w:t>
      </w:r>
      <w:r>
        <w:rPr>
          <w:rFonts w:ascii="Times New Roman" w:cs="Times New Roman" w:eastAsia="Times New Roman" w:hAnsi="Times New Roman"/>
          <w:sz w:val="20"/>
          <w:szCs w:val="20"/>
          <w:b w:val="1"/>
          <w:bCs w:val="1"/>
          <w:u w:val="single" w:color="auto"/>
          <w:color w:val="auto"/>
        </w:rPr>
        <w:t>Taxes.</w:t>
      </w:r>
    </w:p>
    <w:p>
      <w:pPr>
        <w:spacing w:after="0" w:line="21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Each Loan Party and its Subsidiaries have filed all material federal, state and other tax returns and reports required to be filed, and have paid all material federal, state and other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could reasonably be expected to have a Material Adverse Effect, nor is there any tax sharing agreement applicable to the Borrower or any Subsidiary (other than any such agreements among the same).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5.12 </w:t>
      </w:r>
      <w:r>
        <w:rPr>
          <w:rFonts w:ascii="Times New Roman" w:cs="Times New Roman" w:eastAsia="Times New Roman" w:hAnsi="Times New Roman"/>
          <w:sz w:val="20"/>
          <w:szCs w:val="20"/>
          <w:b w:val="1"/>
          <w:bCs w:val="1"/>
          <w:u w:val="single" w:color="auto"/>
          <w:color w:val="auto"/>
        </w:rPr>
        <w:t>ERISA Compliance.</w:t>
      </w:r>
    </w:p>
    <w:p>
      <w:pPr>
        <w:spacing w:after="0" w:line="219" w:lineRule="exact"/>
        <w:rPr>
          <w:sz w:val="20"/>
          <w:szCs w:val="20"/>
          <w:color w:val="auto"/>
        </w:rPr>
      </w:pPr>
    </w:p>
    <w:p>
      <w:pPr>
        <w:jc w:val="both"/>
        <w:ind w:left="760" w:firstLine="745"/>
        <w:spacing w:after="0" w:line="244" w:lineRule="auto"/>
        <w:tabs>
          <w:tab w:leader="none" w:pos="190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either individually or in the aggregate, to have a Material Adverse Effect, each Plan is in compliance in all material respects with the applicable provisions of ERISA, the Code and other federal or state laws. Each Pension Plan that is intended to be a qualified plan under Section 401(a) of the Code has received a favorable determination letter or is subject to a favorable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Borrower, nothing has occurred that would reasonably be expected to prevent or cause the loss of such tax-qualified status.</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9" w:name="page150"/>
    <w:bookmarkEnd w:id="149"/>
    <w:p>
      <w:pPr>
        <w:jc w:val="both"/>
        <w:ind w:left="760" w:right="20" w:firstLine="745"/>
        <w:spacing w:after="0" w:line="253" w:lineRule="auto"/>
        <w:tabs>
          <w:tab w:leader="none" w:pos="190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result in a Material Adverse Effect, no ERISA Event has occurred, and neither the Borrower nor any ERISA Affiliate is aware of any fact, event or circumstance that could reasonably be expected to constitute or result in an ERISA Event with respect to any Pension Plan or Multiemployer Plan.</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result in a Material Adverse Effect (i)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(ii) neither the Borrower nor any ERISA Affiliate has incurred any liability to the PBGC other than for the payment of premiums, and there are no premium payments which have become due that are unpaid; and (iii) neither the Borrower nor any ERISA Affiliate has engaged in a transaction that could reasonably be expected to be subject to Section 4069 or Section 4212(c) of ERISA.</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represents and warrants as of the Closing Date that the Borrower is not and will not be using “plan assets” (within the meaning of Section 3(42) of ERISA) of one or more Benefit Plans with respect to the Borrower’s entrance into, participation in, administration of and performance of the Loans, the Letters of Credit, the Commitments or this Agreement.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5.13 </w:t>
      </w:r>
      <w:r>
        <w:rPr>
          <w:rFonts w:ascii="Times New Roman" w:cs="Times New Roman" w:eastAsia="Times New Roman" w:hAnsi="Times New Roman"/>
          <w:sz w:val="20"/>
          <w:szCs w:val="20"/>
          <w:b w:val="1"/>
          <w:bCs w:val="1"/>
          <w:u w:val="single" w:color="auto"/>
          <w:color w:val="auto"/>
        </w:rPr>
        <w:t>Margin Regulations; Investment Company Act.</w:t>
      </w:r>
    </w:p>
    <w:p>
      <w:pPr>
        <w:spacing w:after="0" w:line="219" w:lineRule="exact"/>
        <w:rPr>
          <w:sz w:val="20"/>
          <w:szCs w:val="20"/>
          <w:color w:val="auto"/>
        </w:rPr>
      </w:pPr>
    </w:p>
    <w:p>
      <w:pPr>
        <w:jc w:val="both"/>
        <w:ind w:left="760" w:firstLine="745"/>
        <w:spacing w:after="0" w:line="259" w:lineRule="auto"/>
        <w:tabs>
          <w:tab w:leader="none" w:pos="1904"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Margin Regulations</w:t>
      </w:r>
      <w:r>
        <w:rPr>
          <w:rFonts w:ascii="Times New Roman" w:cs="Times New Roman" w:eastAsia="Times New Roman" w:hAnsi="Times New Roman"/>
          <w:sz w:val="19"/>
          <w:szCs w:val="19"/>
          <w:color w:val="auto"/>
        </w:rPr>
        <w:t xml:space="preserve">. Neither the Borrower nor any of its Subsidiaries is engaged or will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 or drawing under each Letter of Credit, not more than twenty-five percent (25%) of the value of the assets (either of the Borrower only or of the Borrower and its Subsidiaries on a Consolidated basis) subject to the provisions of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7.05</w:t>
      </w:r>
      <w:r>
        <w:rPr>
          <w:rFonts w:ascii="Times New Roman" w:cs="Times New Roman" w:eastAsia="Times New Roman" w:hAnsi="Times New Roman"/>
          <w:sz w:val="19"/>
          <w:szCs w:val="19"/>
          <w:color w:val="auto"/>
        </w:rPr>
        <w:t xml:space="preserve"> or subject to any restriction contained in any agreement or instrument between the Borrower or any of its Subsidiaries and any Lender or any Affiliate of any Lender relating to Indebtedness and within the scope of </w:t>
      </w:r>
      <w:r>
        <w:rPr>
          <w:rFonts w:ascii="Times New Roman" w:cs="Times New Roman" w:eastAsia="Times New Roman" w:hAnsi="Times New Roman"/>
          <w:sz w:val="19"/>
          <w:szCs w:val="19"/>
          <w:u w:val="single" w:color="auto"/>
          <w:color w:val="auto"/>
        </w:rPr>
        <w:t>Section 8.01(e</w:t>
      </w:r>
      <w:r>
        <w:rPr>
          <w:rFonts w:ascii="Times New Roman" w:cs="Times New Roman" w:eastAsia="Times New Roman" w:hAnsi="Times New Roman"/>
          <w:sz w:val="19"/>
          <w:szCs w:val="19"/>
          <w:color w:val="auto"/>
        </w:rPr>
        <w:t>) will be margin stock.</w:t>
      </w:r>
    </w:p>
    <w:p>
      <w:pPr>
        <w:spacing w:after="0" w:line="169" w:lineRule="exact"/>
        <w:rPr>
          <w:rFonts w:ascii="Times New Roman" w:cs="Times New Roman" w:eastAsia="Times New Roman" w:hAnsi="Times New Roman"/>
          <w:sz w:val="19"/>
          <w:szCs w:val="19"/>
          <w:color w:val="auto"/>
        </w:rPr>
      </w:pPr>
    </w:p>
    <w:p>
      <w:pPr>
        <w:ind w:left="760" w:firstLine="745"/>
        <w:spacing w:after="0" w:line="268" w:lineRule="auto"/>
        <w:tabs>
          <w:tab w:leader="none" w:pos="190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None of the Borrower or any Subsidiary is or is required to be registered as an “investment company” under the Investment Company Act of 1940.</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5.14 </w:t>
      </w:r>
      <w:r>
        <w:rPr>
          <w:rFonts w:ascii="Times New Roman" w:cs="Times New Roman" w:eastAsia="Times New Roman" w:hAnsi="Times New Roman"/>
          <w:sz w:val="20"/>
          <w:szCs w:val="20"/>
          <w:b w:val="1"/>
          <w:bCs w:val="1"/>
          <w:u w:val="single" w:color="auto"/>
          <w:color w:val="auto"/>
        </w:rPr>
        <w:t>Disclosure.</w:t>
      </w:r>
    </w:p>
    <w:p>
      <w:pPr>
        <w:spacing w:after="0" w:line="21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all taken as a whole, contains any material misstatement of fact or omits to state any material fact necessary to make the statements therein, in the light of the circumstances under which they were made, not misleading in any material respect;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projected financial information, each Loan Party represents only that such information was prepared in good faith based upon assumptions believed to be reasonable at the time (it being understood that projections are subject to certain contingencies and assumptions beyond the control of the Borrower and its Subsidiaries, and no assurance can be given that such projections will be realized).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0" w:name="page151"/>
    <w:bookmarkEnd w:id="150"/>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5.15 </w:t>
      </w:r>
      <w:r>
        <w:rPr>
          <w:rFonts w:ascii="Times New Roman" w:cs="Times New Roman" w:eastAsia="Times New Roman" w:hAnsi="Times New Roman"/>
          <w:sz w:val="20"/>
          <w:szCs w:val="20"/>
          <w:b w:val="1"/>
          <w:bCs w:val="1"/>
          <w:u w:val="single" w:color="auto"/>
          <w:color w:val="auto"/>
        </w:rPr>
        <w:t>Compliance with Laws.</w:t>
      </w:r>
    </w:p>
    <w:p>
      <w:pPr>
        <w:spacing w:after="0" w:line="21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Loan Party and each Subsidiary thereof is in compliance with the requirements of all Applicable Laws and all orders, writs, injunctions and decrees applicable to it or to its properties, except in such instances in which (a) such requirement of Law or order, writ, injunction or decree is being contested in good faith by appropriate proceedings or other action diligently conducted or (b) the failure to comply therewith, either individually or in the aggregate, could not reasonably be expected to have a Material Adverse Effect.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5.16 </w:t>
      </w:r>
      <w:r>
        <w:rPr>
          <w:rFonts w:ascii="Times New Roman" w:cs="Times New Roman" w:eastAsia="Times New Roman" w:hAnsi="Times New Roman"/>
          <w:sz w:val="20"/>
          <w:szCs w:val="20"/>
          <w:b w:val="1"/>
          <w:bCs w:val="1"/>
          <w:u w:val="single" w:color="auto"/>
          <w:color w:val="auto"/>
        </w:rPr>
        <w:t>Solvency.</w:t>
      </w:r>
    </w:p>
    <w:p>
      <w:pPr>
        <w:spacing w:after="0" w:line="219"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On and as of the Closing Date, after giving effect to the transactions occurring on the Closing Date, the Borrower and its Subsidiaries, taken as a whole on a Consolidated basis, are Solvent.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5.17 </w:t>
      </w:r>
      <w:r>
        <w:rPr>
          <w:rFonts w:ascii="Times New Roman" w:cs="Times New Roman" w:eastAsia="Times New Roman" w:hAnsi="Times New Roman"/>
          <w:sz w:val="20"/>
          <w:szCs w:val="20"/>
          <w:b w:val="1"/>
          <w:bCs w:val="1"/>
          <w:u w:val="single" w:color="auto"/>
          <w:color w:val="auto"/>
        </w:rPr>
        <w:t>Sanctions Concerns and Anti-Corruption Laws.</w:t>
      </w:r>
    </w:p>
    <w:p>
      <w:pPr>
        <w:spacing w:after="0" w:line="219" w:lineRule="exact"/>
        <w:rPr>
          <w:sz w:val="20"/>
          <w:szCs w:val="20"/>
          <w:color w:val="auto"/>
        </w:rPr>
      </w:pPr>
    </w:p>
    <w:p>
      <w:pPr>
        <w:jc w:val="both"/>
        <w:ind w:left="760" w:firstLine="745"/>
        <w:spacing w:after="0" w:line="244" w:lineRule="auto"/>
        <w:tabs>
          <w:tab w:leader="none" w:pos="194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Sanctions Concerns</w:t>
      </w:r>
      <w:r>
        <w:rPr>
          <w:rFonts w:ascii="Times New Roman" w:cs="Times New Roman" w:eastAsia="Times New Roman" w:hAnsi="Times New Roman"/>
          <w:sz w:val="20"/>
          <w:szCs w:val="20"/>
          <w:color w:val="auto"/>
        </w:rPr>
        <w:t>. No Loan Party, nor any Subsidiary, nor, to the knowledge of the Loan Parties and their Subsidiaries, any director, officer, employee, agent, affiliate or representative thereof,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Borrower and its Subsidiaries have conducted their businesses in compliance in all material respects with all applicable Sanctions and have instituted and maintained policies and procedures designed to promote and achieve compliance with such Sanctions.</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1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The Loan Parties and their Subsidiaries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5.18 </w:t>
      </w:r>
      <w:r>
        <w:rPr>
          <w:rFonts w:ascii="Times New Roman" w:cs="Times New Roman" w:eastAsia="Times New Roman" w:hAnsi="Times New Roman"/>
          <w:sz w:val="20"/>
          <w:szCs w:val="20"/>
          <w:b w:val="1"/>
          <w:bCs w:val="1"/>
          <w:u w:val="single" w:color="auto"/>
          <w:color w:val="auto"/>
        </w:rPr>
        <w:t>Subsidiaries; Equity Interests; Loan Parties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left="760" w:firstLine="745"/>
        <w:spacing w:after="0" w:line="256" w:lineRule="auto"/>
        <w:tabs>
          <w:tab w:leader="none" w:pos="1931"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Subsidiaries, Joint Ventures, Partnerships and Equity Investments</w:t>
      </w:r>
      <w:r>
        <w:rPr>
          <w:rFonts w:ascii="Times New Roman" w:cs="Times New Roman" w:eastAsia="Times New Roman" w:hAnsi="Times New Roman"/>
          <w:sz w:val="19"/>
          <w:szCs w:val="19"/>
          <w:color w:val="auto"/>
        </w:rPr>
        <w:t xml:space="preserve">. Set forth on </w:t>
      </w:r>
      <w:r>
        <w:rPr>
          <w:rFonts w:ascii="Times New Roman" w:cs="Times New Roman" w:eastAsia="Times New Roman" w:hAnsi="Times New Roman"/>
          <w:sz w:val="19"/>
          <w:szCs w:val="19"/>
          <w:u w:val="single" w:color="auto"/>
          <w:color w:val="auto"/>
        </w:rPr>
        <w:t>Schedule 5.18(a</w:t>
      </w:r>
      <w:r>
        <w:rPr>
          <w:rFonts w:ascii="Times New Roman" w:cs="Times New Roman" w:eastAsia="Times New Roman" w:hAnsi="Times New Roman"/>
          <w:sz w:val="19"/>
          <w:szCs w:val="19"/>
          <w:color w:val="auto"/>
        </w:rPr>
        <w:t>) is the following information which is true and complete in all respects as of the Closing Date: (i) a complete and accurate list of all Subsidiaries, joint ventures and partnerships and other equity investments of the Loan Parties as of the Closing Date, (ii) the number of shares of each class of Equity Interests in each Subsidiary outstanding, (iii) the number and percentage of outstanding shares of each class of Equity Interests owned by the Loan Parties and their Subsidiaries, (iv) the class or nature of such Equity Interests (</w:t>
      </w:r>
      <w:r>
        <w:rPr>
          <w:rFonts w:ascii="Times New Roman" w:cs="Times New Roman" w:eastAsia="Times New Roman" w:hAnsi="Times New Roman"/>
          <w:sz w:val="19"/>
          <w:szCs w:val="19"/>
          <w:i w:val="1"/>
          <w:iCs w:val="1"/>
          <w:color w:val="auto"/>
        </w:rPr>
        <w:t>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9"/>
          <w:szCs w:val="19"/>
          <w:color w:val="auto"/>
        </w:rPr>
        <w:t>., voting, non-voting, preferred, etc.), and (v) whether each Subsidiary is a Material Subsidiary as of the Closing Date. The outstanding Equity Interests in all Subsidiaries are validly issued, fully paid and non-assessable and are owned free and clear of all Liens (other than Permitted Liens). There are no outstanding subscriptions, options, warrants, calls, rights or other agreements or commitments (other than stock options granted to employees or directors and directors’ qualifying shares) of any nature relating to the Equity Interests of any Loan Party (other than the Borrower) or any Subsidiary thereof, except as not prohibited under the Loan Documents.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1" w:name="page152"/>
    <w:bookmarkEnd w:id="151"/>
    <w:p>
      <w:pPr>
        <w:jc w:val="both"/>
        <w:ind w:left="760" w:firstLine="745"/>
        <w:spacing w:after="0" w:line="243" w:lineRule="auto"/>
        <w:tabs>
          <w:tab w:leader="none" w:pos="191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5.18(b</w:t>
      </w:r>
      <w:r>
        <w:rPr>
          <w:rFonts w:ascii="Times New Roman" w:cs="Times New Roman" w:eastAsia="Times New Roman" w:hAnsi="Times New Roman"/>
          <w:sz w:val="20"/>
          <w:szCs w:val="20"/>
          <w:color w:val="auto"/>
        </w:rPr>
        <w:t>) is a complete and accurate list of all Loan Parties, showing as of the Closing Date (as to each Loan Party) (i) the exact legal name, (ii) any former legal names of such Loan Party in the four (4) months prior to the Closing Date, (iii) the jurisdiction of its incorporation or organization, as applicable, (iv) the type of organization, (v) the address of its chief executive office, (vi) the address of its principal place of business, (vii) its U.S. federal taxpayer identification number or, in the case of any non-U.S. Loan Party that does not have a U.S. taxpayer identification number, if applicable, its unique identification number issued to it by the jurisdiction of its incorporation or organization, (viii) the organization identification number, and (ix) ownership information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publicly held or if private or partnership, the owners and partners of each of the Loan Parties).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5.19 </w:t>
      </w:r>
      <w:r>
        <w:rPr>
          <w:rFonts w:ascii="Times New Roman" w:cs="Times New Roman" w:eastAsia="Times New Roman" w:hAnsi="Times New Roman"/>
          <w:sz w:val="20"/>
          <w:szCs w:val="20"/>
          <w:b w:val="1"/>
          <w:bCs w:val="1"/>
          <w:u w:val="single" w:color="auto"/>
          <w:color w:val="auto"/>
        </w:rPr>
        <w:t>Collateral Representations.</w:t>
      </w:r>
    </w:p>
    <w:p>
      <w:pPr>
        <w:spacing w:after="0" w:line="219" w:lineRule="exact"/>
        <w:rPr>
          <w:sz w:val="20"/>
          <w:szCs w:val="20"/>
          <w:color w:val="auto"/>
        </w:rPr>
      </w:pPr>
    </w:p>
    <w:p>
      <w:pPr>
        <w:jc w:val="both"/>
        <w:ind w:left="760" w:firstLine="745"/>
        <w:spacing w:after="0" w:line="246" w:lineRule="auto"/>
        <w:tabs>
          <w:tab w:leader="none" w:pos="197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The provisions of the Collateral Documents are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completed prior to the Closing Date and as contemplated hereby and by the Collateral Documents, no filing or other action will be necessary to perfect or protect such Liens.</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5.19(b)</w:t>
      </w:r>
      <w:r>
        <w:rPr>
          <w:rFonts w:ascii="Times New Roman" w:cs="Times New Roman" w:eastAsia="Times New Roman" w:hAnsi="Times New Roman"/>
          <w:sz w:val="20"/>
          <w:szCs w:val="20"/>
          <w:color w:val="auto"/>
        </w:rPr>
        <w:t>, as of the Closing Date, is a list of all U.S. federally registered or issued Intellectual Property (including all applications for registration and issuance) owned by each of the Loan Parties or that each of the Loan Parties has the right to (including the name/title, current owner, registration or application number, and registration or application date and such other information as reasonably requested by the Administrative Agent).</w:t>
      </w:r>
    </w:p>
    <w:p>
      <w:pPr>
        <w:spacing w:after="0" w:line="178"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1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5.19(c)</w:t>
      </w:r>
      <w:r>
        <w:rPr>
          <w:rFonts w:ascii="Times New Roman" w:cs="Times New Roman" w:eastAsia="Times New Roman" w:hAnsi="Times New Roman"/>
          <w:sz w:val="20"/>
          <w:szCs w:val="20"/>
          <w:color w:val="auto"/>
        </w:rPr>
        <w:t>, as of the Closing Date, is a list of all real property located in the United States that is owned or leased by any Loan Party (in each case, including (i) the name of the Loan Party owning (or leasing) such property, (ii) the property address, and (iii) the city, county, state and zip code which such property is located).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5.20 </w:t>
      </w:r>
      <w:r>
        <w:rPr>
          <w:rFonts w:ascii="Times New Roman" w:cs="Times New Roman" w:eastAsia="Times New Roman" w:hAnsi="Times New Roman"/>
          <w:sz w:val="20"/>
          <w:szCs w:val="20"/>
          <w:b w:val="1"/>
          <w:bCs w:val="1"/>
          <w:u w:val="single" w:color="auto"/>
          <w:color w:val="auto"/>
        </w:rPr>
        <w:t>Affected Financial Institutions.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 Loan Party is an Affected Financial Institution.</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5.21 </w:t>
      </w:r>
      <w:r>
        <w:rPr>
          <w:rFonts w:ascii="Times New Roman" w:cs="Times New Roman" w:eastAsia="Times New Roman" w:hAnsi="Times New Roman"/>
          <w:sz w:val="20"/>
          <w:szCs w:val="20"/>
          <w:b w:val="1"/>
          <w:bCs w:val="1"/>
          <w:u w:val="single" w:color="auto"/>
          <w:color w:val="auto"/>
        </w:rPr>
        <w:t>Covered Entities.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 Loan Party is a Covered Entity.</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5.22 </w:t>
      </w:r>
      <w:r>
        <w:rPr>
          <w:rFonts w:ascii="Times New Roman" w:cs="Times New Roman" w:eastAsia="Times New Roman" w:hAnsi="Times New Roman"/>
          <w:sz w:val="20"/>
          <w:szCs w:val="20"/>
          <w:b w:val="1"/>
          <w:bCs w:val="1"/>
          <w:u w:val="single" w:color="auto"/>
          <w:color w:val="auto"/>
        </w:rPr>
        <w:t>Beneficial Ownership Certification.</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of the Closing Date, the information included in the Beneficial Ownership Certification, if applicable, is true and correct in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respects.</w:t>
      </w:r>
    </w:p>
    <w:p>
      <w:pPr>
        <w:spacing w:after="0" w:line="18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219"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Each of the Loan Parties hereby covenants and agrees that on the Closing Date and thereafter until the Facility Termination Date, such Loan Party shall, and shall cause each of its Subsidiaries to: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2" w:name="page153"/>
    <w:bookmarkEnd w:id="152"/>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6.01 </w:t>
      </w:r>
      <w:r>
        <w:rPr>
          <w:rFonts w:ascii="Times New Roman" w:cs="Times New Roman" w:eastAsia="Times New Roman" w:hAnsi="Times New Roman"/>
          <w:sz w:val="20"/>
          <w:szCs w:val="20"/>
          <w:b w:val="1"/>
          <w:bCs w:val="1"/>
          <w:u w:val="single" w:color="auto"/>
          <w:color w:val="auto"/>
        </w:rPr>
        <w:t>Financial Statements.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Deliver to the Administrative Agent (which shall provide to each Lender):</w:t>
      </w:r>
    </w:p>
    <w:p>
      <w:pPr>
        <w:spacing w:after="0" w:line="215" w:lineRule="exact"/>
        <w:rPr>
          <w:sz w:val="20"/>
          <w:szCs w:val="20"/>
          <w:color w:val="auto"/>
        </w:rPr>
      </w:pPr>
    </w:p>
    <w:p>
      <w:pPr>
        <w:jc w:val="both"/>
        <w:ind w:left="760" w:firstLine="745"/>
        <w:spacing w:after="0" w:line="242" w:lineRule="auto"/>
        <w:tabs>
          <w:tab w:leader="none" w:pos="19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Within ninety (90) days after the end of each fiscal year of the Borrower (or, if earlier, when required to be filed with the SEC), commencing in respect of the fiscal year ending December 31, 2021,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(other than such exception or qualification that is with respect to, or expressly resulting solely from the occurrence of the Maturity Date under this Agreement that is scheduled to occur within one (1) year from the time such report and opinion are delivered).</w:t>
      </w:r>
    </w:p>
    <w:p>
      <w:pPr>
        <w:spacing w:after="0" w:line="186"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Within forty-five (45) days after the end of each of the first three (3) fiscal quarters of each fiscal year of the Borrower (or, if earlier, when required to be filed with the SEC), commencing in respect of the fiscal quarter ending September 30, 2021), a Consolidated balance sheet of the Borrower and its Subsidiaries as at the end of such fiscal quarter, and the related Consolidated statements of income or operations,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prepared in accordance with GAAP, such Consolidated statements to be certified by the chief executive officer, chief financial officer, treasurer or controller who is a Responsible Officer of the Borrower as fairly presenting in all material respects the financial condition, results of operations, Shareholders’ Equity and cash flows of the Borrower and its Subsidiaries, subject to normal year-end and audit adjustments and the absence of footnotes.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As to any information contained in materials furnished pursuant to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the Borrower shall not be separately required to furnish such information under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but the foregoing shall not be in derogation of the obligation of the Borrower to furnish the information and materials described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above at the times specified therein.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6.02 </w:t>
      </w:r>
      <w:r>
        <w:rPr>
          <w:rFonts w:ascii="Times New Roman" w:cs="Times New Roman" w:eastAsia="Times New Roman" w:hAnsi="Times New Roman"/>
          <w:sz w:val="20"/>
          <w:szCs w:val="20"/>
          <w:b w:val="1"/>
          <w:bCs w:val="1"/>
          <w:u w:val="single" w:color="auto"/>
          <w:color w:val="auto"/>
        </w:rPr>
        <w:t>Certificates; Other Information.</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Deliver to the Administrative Agent (which shall provide to each Lender):</w:t>
      </w:r>
    </w:p>
    <w:p>
      <w:pPr>
        <w:spacing w:after="0" w:line="215" w:lineRule="exact"/>
        <w:rPr>
          <w:sz w:val="20"/>
          <w:szCs w:val="20"/>
          <w:color w:val="auto"/>
        </w:rPr>
      </w:pPr>
    </w:p>
    <w:p>
      <w:pPr>
        <w:jc w:val="both"/>
        <w:ind w:left="760" w:firstLine="745"/>
        <w:spacing w:after="0" w:line="246" w:lineRule="auto"/>
        <w:tabs>
          <w:tab w:leader="none" w:pos="191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Within the time period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are due, a duly completed Compliance Certificate signed by a Responsible Officer of the Borrower. Except to the extent, if any, the Administrative Agent or (through the Administrative Agent) a Lender requests (at least ten (10) Business Days prior to the due date thereof) executed originals, delivery of the Compliance Certificate may be by electronic communication including fax or email and shall be deemed to be an original and authentic counterpart thereof for all purposes.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3" w:name="page154"/>
    <w:bookmarkEnd w:id="153"/>
    <w:p>
      <w:pPr>
        <w:jc w:val="both"/>
        <w:ind w:left="-360" w:firstLine="745"/>
        <w:spacing w:after="0" w:line="249" w:lineRule="auto"/>
        <w:tabs>
          <w:tab w:leader="none" w:pos="79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Reports; Management Letters; Recommendations</w:t>
      </w:r>
      <w:r>
        <w:rPr>
          <w:rFonts w:ascii="Times New Roman" w:cs="Times New Roman" w:eastAsia="Times New Roman" w:hAnsi="Times New Roman"/>
          <w:sz w:val="20"/>
          <w:szCs w:val="20"/>
          <w:color w:val="auto"/>
        </w:rPr>
        <w:t>. Promptly after any request by the Administrative Agent or (through the Administrative Agent)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178"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78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Reports; Etc</w:t>
      </w:r>
      <w:r>
        <w:rPr>
          <w:rFonts w:ascii="Times New Roman" w:cs="Times New Roman" w:eastAsia="Times New Roman" w:hAnsi="Times New Roman"/>
          <w:sz w:val="20"/>
          <w:szCs w:val="20"/>
          <w:color w:val="auto"/>
        </w:rPr>
        <w:t>. 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83" w:lineRule="exact"/>
        <w:rPr>
          <w:rFonts w:ascii="Times New Roman" w:cs="Times New Roman" w:eastAsia="Times New Roman" w:hAnsi="Times New Roman"/>
          <w:sz w:val="20"/>
          <w:szCs w:val="20"/>
          <w:color w:val="auto"/>
        </w:rPr>
      </w:pPr>
    </w:p>
    <w:p>
      <w:pPr>
        <w:jc w:val="both"/>
        <w:ind w:left="-360" w:firstLine="745"/>
        <w:spacing w:after="0" w:line="266" w:lineRule="auto"/>
        <w:tabs>
          <w:tab w:leader="none" w:pos="798"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Debt Securities Statements and Reports</w:t>
      </w:r>
      <w:r>
        <w:rPr>
          <w:rFonts w:ascii="Times New Roman" w:cs="Times New Roman" w:eastAsia="Times New Roman" w:hAnsi="Times New Roman"/>
          <w:sz w:val="19"/>
          <w:szCs w:val="19"/>
          <w:color w:val="auto"/>
        </w:rPr>
        <w:t xml:space="preserve">. Promptly after the furnishing thereof, copies of any material statement or report furnished to any holder of debt securities of any Loan Party or of any of its Subsidiaries pursuant to the terms of any indenture, loan or credit or similar agreement, in each case, with an outstanding principal amount in excess of the Threshold Amount and not otherwise required to be furnished to the Lenders pursuant to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or any other clause of this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w:t>
      </w:r>
    </w:p>
    <w:p>
      <w:pPr>
        <w:spacing w:after="0" w:line="164" w:lineRule="exact"/>
        <w:rPr>
          <w:rFonts w:ascii="Times New Roman" w:cs="Times New Roman" w:eastAsia="Times New Roman" w:hAnsi="Times New Roman"/>
          <w:sz w:val="19"/>
          <w:szCs w:val="19"/>
          <w:color w:val="auto"/>
        </w:rPr>
      </w:pPr>
    </w:p>
    <w:p>
      <w:pPr>
        <w:jc w:val="both"/>
        <w:ind w:left="-360" w:firstLine="745"/>
        <w:spacing w:after="0" w:line="246" w:lineRule="auto"/>
        <w:tabs>
          <w:tab w:leader="none" w:pos="78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 Notices</w:t>
      </w:r>
      <w:r>
        <w:rPr>
          <w:rFonts w:ascii="Times New Roman" w:cs="Times New Roman" w:eastAsia="Times New Roman" w:hAnsi="Times New Roman"/>
          <w:sz w:val="20"/>
          <w:szCs w:val="20"/>
          <w:color w:val="auto"/>
        </w:rPr>
        <w:t>. Promptly, and in any event within five (5) Business Days after receipt thereof by any Loan Party or any Subsidiary thereof (or such longer period as is acceptable to the Administrative Agent), copies of each material notice or other material correspondence received from the SEC (or comparable agency of competent jurisdiction in any applicable non-U.S. jurisdiction) concerning any material investigation or possible material investigation or other material inquiry by such agency regarding financial or other operational results of any Loan Party or any Subsidiary thereof.</w:t>
      </w:r>
    </w:p>
    <w:p>
      <w:pPr>
        <w:spacing w:after="0" w:line="183"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78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(i) Promptly after receipt thereof by any Loan Party or any Subsidiary thereof, copies of all written notices of default or event of default received under or pursuant to any instrument, indenture, loan or credit or similar agreement with an outstanding principal amount in excess of the Threshold Amount, (ii) promptly after execution or effectiveness thereof, copies of any amendment, waiver or other modification in respect of any such indenture, loan or credit or similar agreement with an outstanding principal amount in excess of the Threshold Amount, and (iii) from time to time upon request by the Administrative Agent, such information and reports regarding such instruments, indentures and loan and credit and similar agreements with an outstanding principal amount in excess of the Threshold Amount as the Administrative Agent may reasonably request.</w:t>
      </w:r>
    </w:p>
    <w:p>
      <w:pPr>
        <w:spacing w:after="0" w:line="183" w:lineRule="exact"/>
        <w:rPr>
          <w:rFonts w:ascii="Times New Roman" w:cs="Times New Roman" w:eastAsia="Times New Roman" w:hAnsi="Times New Roman"/>
          <w:sz w:val="20"/>
          <w:szCs w:val="20"/>
          <w:color w:val="auto"/>
        </w:rPr>
      </w:pPr>
    </w:p>
    <w:p>
      <w:pPr>
        <w:jc w:val="both"/>
        <w:ind w:left="-360" w:right="20" w:firstLine="745"/>
        <w:spacing w:after="0" w:line="253" w:lineRule="auto"/>
        <w:tabs>
          <w:tab w:leader="none" w:pos="78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Notice</w:t>
      </w:r>
      <w:r>
        <w:rPr>
          <w:rFonts w:ascii="Times New Roman" w:cs="Times New Roman" w:eastAsia="Times New Roman" w:hAnsi="Times New Roman"/>
          <w:sz w:val="20"/>
          <w:szCs w:val="20"/>
          <w:color w:val="auto"/>
        </w:rPr>
        <w:t>. Promptly after the written assertion or occurrence thereof, notice of any action or proceeding against or of any noncompliance by any Loan Party or any of its Subsidiaries with any Environmental Law or Environmental Permit that could reasonably be expected to have a Material Adverse Effect.</w:t>
      </w:r>
    </w:p>
    <w:p>
      <w:pPr>
        <w:spacing w:after="0" w:line="176"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81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Anti-Money-Laundering; Beneficial Ownership Regulation</w:t>
      </w:r>
      <w:r>
        <w:rPr>
          <w:rFonts w:ascii="Times New Roman" w:cs="Times New Roman" w:eastAsia="Times New Roman" w:hAnsi="Times New Roman"/>
          <w:sz w:val="20"/>
          <w:szCs w:val="20"/>
          <w:color w:val="auto"/>
        </w:rPr>
        <w:t>. Promptly following any request therefor, information and documentation reasonably requested by the Administrative Agent or (through the Administrative Agent) any Lender for purposes of compliance with applicable “know your customer” and anti-money-laundering rules and regulations, including, without limitation, the Patriot Act.</w:t>
      </w:r>
    </w:p>
    <w:p>
      <w:pPr>
        <w:spacing w:after="0" w:line="200" w:lineRule="exact"/>
        <w:rPr>
          <w:sz w:val="20"/>
          <w:szCs w:val="20"/>
          <w:color w:val="auto"/>
        </w:rPr>
      </w:pPr>
    </w:p>
    <w:p>
      <w:pPr>
        <w:spacing w:after="0" w:line="3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54" w:name="page155"/>
    <w:bookmarkEnd w:id="154"/>
    <w:p>
      <w:pPr>
        <w:spacing w:after="0" w:line="188" w:lineRule="exact"/>
        <w:rPr>
          <w:sz w:val="20"/>
          <w:szCs w:val="20"/>
          <w:color w:val="auto"/>
        </w:rPr>
      </w:pPr>
    </w:p>
    <w:p>
      <w:pPr>
        <w:jc w:val="both"/>
        <w:ind w:left="760" w:firstLine="745"/>
        <w:spacing w:after="0" w:line="249" w:lineRule="auto"/>
        <w:tabs>
          <w:tab w:leader="none" w:pos="194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Ownership</w:t>
      </w:r>
      <w:r>
        <w:rPr>
          <w:rFonts w:ascii="Times New Roman" w:cs="Times New Roman" w:eastAsia="Times New Roman" w:hAnsi="Times New Roman"/>
          <w:sz w:val="20"/>
          <w:szCs w:val="20"/>
          <w:color w:val="auto"/>
        </w:rPr>
        <w:t>. To the extent the Borrower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w:t>
      </w:r>
    </w:p>
    <w:p>
      <w:pPr>
        <w:spacing w:after="0" w:line="178"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1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Information</w:t>
      </w:r>
      <w:r>
        <w:rPr>
          <w:rFonts w:ascii="Times New Roman" w:cs="Times New Roman" w:eastAsia="Times New Roman" w:hAnsi="Times New Roman"/>
          <w:sz w:val="20"/>
          <w:szCs w:val="20"/>
          <w:color w:val="auto"/>
        </w:rPr>
        <w:t xml:space="preserve">. Promptly, such additional information regarding the business, financial, legal or corporate affairs of any Loan Party or any Subsidiary thereof, or compliance with the terms of the Loan Documents, as the Administrative Agent or (through the Administrative Agent) any Lender may from time to time reasonably request;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shall require any Loan Party or Subsidiary to take any action that would violate any third party customary confidentiality agreement with any Person that is not an Affiliate or waive any attorney client or similar privilege or otherwise not be required to be disclosed pursuant to the last sentence of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Section 6.03(d) (to the extent any such documents, notice or other items are included in materials otherwise filed with the SEC) may be delivered electronically and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notify the Administrative Agent (by fax transmission or e-mail transmission) of the posting thereof.</w:t>
      </w:r>
    </w:p>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Borrower hereby acknowledges that (i) the Administrative Agent and/or an Affiliate thereof may, but shall not be obligated to, make available to the Lenders and the L/C Issuer materials and/or information provided by or on behalf of the Borrower hereunder (collectively, “</w:t>
      </w:r>
      <w:r>
        <w:rPr>
          <w:rFonts w:ascii="Times New Roman" w:cs="Times New Roman" w:eastAsia="Times New Roman" w:hAnsi="Times New Roman"/>
          <w:sz w:val="20"/>
          <w:szCs w:val="20"/>
          <w:i w:val="1"/>
          <w:iCs w:val="1"/>
          <w:u w:val="single" w:color="auto"/>
          <w:color w:val="auto"/>
        </w:rPr>
        <w:t>Borrower Materials</w:t>
      </w:r>
      <w:r>
        <w:rPr>
          <w:rFonts w:ascii="Times New Roman" w:cs="Times New Roman" w:eastAsia="Times New Roman" w:hAnsi="Times New Roman"/>
          <w:sz w:val="20"/>
          <w:szCs w:val="20"/>
          <w:color w:val="auto"/>
        </w:rPr>
        <w:t>”) by posting the Borrower Materials on IntraLinks, Syndtrak, ClearPar or a substantially similar electronic transmission system (the “</w:t>
      </w:r>
      <w:r>
        <w:rPr>
          <w:rFonts w:ascii="Times New Roman" w:cs="Times New Roman" w:eastAsia="Times New Roman" w:hAnsi="Times New Roman"/>
          <w:sz w:val="20"/>
          <w:szCs w:val="20"/>
          <w:i w:val="1"/>
          <w:iCs w:val="1"/>
          <w:u w:val="single" w:color="auto"/>
          <w:color w:val="auto"/>
        </w:rPr>
        <w:t>Platform</w:t>
      </w:r>
      <w:r>
        <w:rPr>
          <w:rFonts w:ascii="Times New Roman" w:cs="Times New Roman" w:eastAsia="Times New Roman" w:hAnsi="Times New Roman"/>
          <w:sz w:val="20"/>
          <w:szCs w:val="20"/>
          <w:color w:val="auto"/>
        </w:rPr>
        <w:t>”) and (ii) certain of the Lenders (each, a “</w:t>
      </w:r>
      <w:r>
        <w:rPr>
          <w:rFonts w:ascii="Times New Roman" w:cs="Times New Roman" w:eastAsia="Times New Roman" w:hAnsi="Times New Roman"/>
          <w:sz w:val="20"/>
          <w:szCs w:val="20"/>
          <w:i w:val="1"/>
          <w:iCs w:val="1"/>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(A) all such Borrower Materials shall be clearly and conspicuously marked “PUBLIC” which, at a minimum, shall mean that the word “PUBLIC” shall appear prominently on the first page thereof; (B) by marking Borrower Materials “PUBLIC,” the Borrower shall be deemed to have authorized the Administrative Agent, any Affiliate thereof, the Arranger,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(C) all Borrower Materials marked “PUBLIC” are permitted to be made available through a portion of the Platform designated “Public Side Information;” and (D) the Administrative Agent and any Affiliate thereof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6.03 </w:t>
      </w:r>
      <w:r>
        <w:rPr>
          <w:rFonts w:ascii="Times New Roman" w:cs="Times New Roman" w:eastAsia="Times New Roman" w:hAnsi="Times New Roman"/>
          <w:sz w:val="20"/>
          <w:szCs w:val="20"/>
          <w:b w:val="1"/>
          <w:bCs w:val="1"/>
          <w:u w:val="single" w:color="auto"/>
          <w:color w:val="auto"/>
        </w:rPr>
        <w:t>Notices.</w:t>
      </w:r>
    </w:p>
    <w:p>
      <w:pPr>
        <w:spacing w:after="0" w:line="219"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 xml:space="preserve">Promptly, but in any event within five (5) Business Days (except that, with respect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only, such time period shall be three (3) Business Days) of a Responsible Officer of the Borrower obtaining knowledge thereof) notify the Administrative Agent:</w:t>
      </w:r>
    </w:p>
    <w:p>
      <w:pPr>
        <w:spacing w:after="0" w:line="161" w:lineRule="exact"/>
        <w:rPr>
          <w:sz w:val="20"/>
          <w:szCs w:val="20"/>
          <w:color w:val="auto"/>
        </w:rPr>
      </w:pPr>
    </w:p>
    <w:p>
      <w:pPr>
        <w:ind w:left="1900" w:hanging="395"/>
        <w:spacing w:after="0"/>
        <w:tabs>
          <w:tab w:leader="none" w:pos="19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w:t>
      </w:r>
    </w:p>
    <w:p>
      <w:pPr>
        <w:spacing w:after="0" w:line="21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matter that has resulted or could reasonably be expected to result in a Material Adverse Effect;</w:t>
      </w:r>
    </w:p>
    <w:p>
      <w:pPr>
        <w:spacing w:after="0" w:line="21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ERISA Event that could reasonably be expected to result in a Material Adverse Effect;</w:t>
      </w:r>
    </w:p>
    <w:p>
      <w:pPr>
        <w:spacing w:after="0" w:line="214"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0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material change in accounting policies or financial reporting practices by any Loan Party or any Subsidiary thereof, including any determination by the Borrower referred to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(i) occurrence of any Disposition of property or assets for which the Borrower is required to make a mandatory prepayment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and (ii) Debt issuance for which the Borrower is required to make a mandatory prepayment pursuant to </w:t>
      </w:r>
      <w:r>
        <w:rPr>
          <w:rFonts w:ascii="Times New Roman" w:cs="Times New Roman" w:eastAsia="Times New Roman" w:hAnsi="Times New Roman"/>
          <w:sz w:val="20"/>
          <w:szCs w:val="20"/>
          <w:u w:val="single" w:color="auto"/>
          <w:color w:val="auto"/>
        </w:rPr>
        <w:t>Section 2.05(b)(ii</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shall be accompanied by a statement of a Responsible Officer of the Borrower setting forth details of the occurrence referred to therein and to the extent applicable, stating what action the Borrower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shall describe with particularity any and all provisions of this Agreement and any other Loan Document that have been breached.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6.04 </w:t>
      </w:r>
      <w:r>
        <w:rPr>
          <w:rFonts w:ascii="Times New Roman" w:cs="Times New Roman" w:eastAsia="Times New Roman" w:hAnsi="Times New Roman"/>
          <w:sz w:val="20"/>
          <w:szCs w:val="20"/>
          <w:b w:val="1"/>
          <w:bCs w:val="1"/>
          <w:u w:val="single" w:color="auto"/>
          <w:color w:val="auto"/>
        </w:rPr>
        <w:t>Payment of Taxes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Pay and discharge as the same shall become due and payable, all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6.05 </w:t>
      </w:r>
      <w:r>
        <w:rPr>
          <w:rFonts w:ascii="Times New Roman" w:cs="Times New Roman" w:eastAsia="Times New Roman" w:hAnsi="Times New Roman"/>
          <w:sz w:val="20"/>
          <w:szCs w:val="20"/>
          <w:b w:val="1"/>
          <w:bCs w:val="1"/>
          <w:u w:val="single" w:color="auto"/>
          <w:color w:val="auto"/>
        </w:rPr>
        <w:t>Preservation of Existence, Etc</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left="760" w:firstLine="745"/>
        <w:spacing w:after="0" w:line="249" w:lineRule="auto"/>
        <w:tabs>
          <w:tab w:leader="none" w:pos="190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unless (other than with respect to the preservation of the legal existence of the Loan Parties and the good standing of the Borrower) the failure to do so could not reasonably be expected to have, individually or in the aggregate, a Material Adverse Effect;</w:t>
      </w:r>
    </w:p>
    <w:p>
      <w:pPr>
        <w:spacing w:after="0" w:line="178"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spacing w:after="0" w:line="176"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0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or renew all of its registered patents, trademarks, trade names and service marks, the non-preservation of which could reasonably be expected to have a Material Adverse Effect.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6" w:name="page157"/>
    <w:bookmarkEnd w:id="156"/>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6.06 </w:t>
      </w:r>
      <w:r>
        <w:rPr>
          <w:rFonts w:ascii="Times New Roman" w:cs="Times New Roman" w:eastAsia="Times New Roman" w:hAnsi="Times New Roman"/>
          <w:sz w:val="20"/>
          <w:szCs w:val="20"/>
          <w:b w:val="1"/>
          <w:bCs w:val="1"/>
          <w:u w:val="single" w:color="auto"/>
          <w:color w:val="auto"/>
        </w:rPr>
        <w:t>Maintenance of Properties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left="760" w:firstLine="745"/>
        <w:spacing w:after="0" w:line="253" w:lineRule="auto"/>
        <w:tabs>
          <w:tab w:leader="none" w:pos="190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preserve and protect all of its material properties and equipment necessary in the operation of its business in good working order and condition, ordinary wear and tear excepted, except to the extent failure to do so could reasonably be expected to have a Material Adverse Effect; and</w:t>
      </w:r>
    </w:p>
    <w:p>
      <w:pPr>
        <w:spacing w:after="0" w:line="176"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0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necessary repairs thereto and renewals and replacements thereof except where the failure to do so could not reasonably be expected to have a Material Adverse Effect.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6.07 </w:t>
      </w:r>
      <w:r>
        <w:rPr>
          <w:rFonts w:ascii="Times New Roman" w:cs="Times New Roman" w:eastAsia="Times New Roman" w:hAnsi="Times New Roman"/>
          <w:sz w:val="20"/>
          <w:szCs w:val="20"/>
          <w:b w:val="1"/>
          <w:bCs w:val="1"/>
          <w:u w:val="single" w:color="auto"/>
          <w:color w:val="auto"/>
        </w:rPr>
        <w:t>Maintenance of Insurance.</w:t>
      </w:r>
    </w:p>
    <w:p>
      <w:pPr>
        <w:spacing w:after="0" w:line="219" w:lineRule="exact"/>
        <w:rPr>
          <w:sz w:val="20"/>
          <w:szCs w:val="20"/>
          <w:color w:val="auto"/>
        </w:rPr>
      </w:pPr>
    </w:p>
    <w:p>
      <w:pPr>
        <w:jc w:val="both"/>
        <w:ind w:left="760" w:firstLine="745"/>
        <w:spacing w:after="0" w:line="243" w:lineRule="auto"/>
        <w:tabs>
          <w:tab w:leader="none" w:pos="194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Insurance</w:t>
      </w:r>
      <w:r>
        <w:rPr>
          <w:rFonts w:ascii="Times New Roman" w:cs="Times New Roman" w:eastAsia="Times New Roman" w:hAnsi="Times New Roman"/>
          <w:sz w:val="20"/>
          <w:szCs w:val="20"/>
          <w:color w:val="auto"/>
        </w:rPr>
        <w:t>. Maintain with insurance companies not Affiliates of the Borrower believed by the Borrower to be financially sound and reputable,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with any such property or general liability insurance to (i) provide for not less than thirty (30) days’ prior notice to the Administrative Agent of termination, lapse or cancellation of such insurance (or ten (10) days’ prior notice in the case of cancellation due to the nonpayment of premiums), and (ii) name the Administrative Agent as mortgagee (in the case of property insurance) or additional insured on behalf of the Secured Parties (in the case of liability insurance) or loss payee (in the case of property insurance), as applicable.</w:t>
      </w:r>
    </w:p>
    <w:p>
      <w:pPr>
        <w:spacing w:after="0" w:line="186"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Flood Insurance</w:t>
      </w:r>
      <w:r>
        <w:rPr>
          <w:rFonts w:ascii="Times New Roman" w:cs="Times New Roman" w:eastAsia="Times New Roman" w:hAnsi="Times New Roman"/>
          <w:sz w:val="20"/>
          <w:szCs w:val="20"/>
          <w:color w:val="auto"/>
        </w:rPr>
        <w:t>. 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(v) maintain, or cause to be maintained, with a financially sound and reputable insurer,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 The Borrower shall promptly notify the Administrative Agent of any Mortgaged Property that is, or becomes, a Flood Hazard Property.</w:t>
      </w:r>
    </w:p>
    <w:p>
      <w:pPr>
        <w:spacing w:after="0" w:line="186"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4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Insurance</w:t>
      </w:r>
      <w:r>
        <w:rPr>
          <w:rFonts w:ascii="Times New Roman" w:cs="Times New Roman" w:eastAsia="Times New Roman" w:hAnsi="Times New Roman"/>
          <w:sz w:val="20"/>
          <w:szCs w:val="20"/>
          <w:color w:val="auto"/>
        </w:rPr>
        <w:t>. Cause the Administrative Agent to be named as lenders’ loss payable, loss payee or mortgagee, as its interest may appear, and/or additional insured with respect of any such insurance providing general liability or property coverage, and cause, unless otherwise agreed to by the Administrative Agent,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be altered or cancelled (or ten (10) days prior notice in the case of cancellation due to the nonpayment of premiums). As requested by the Administrative Agent, the Loan Parties agree to deliver to the Administrative Agent an Authorization to Share Insurance Information, in a form acceptable to the Administrative Agent.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6.08 </w:t>
      </w:r>
      <w:r>
        <w:rPr>
          <w:rFonts w:ascii="Times New Roman" w:cs="Times New Roman" w:eastAsia="Times New Roman" w:hAnsi="Times New Roman"/>
          <w:sz w:val="20"/>
          <w:szCs w:val="20"/>
          <w:b w:val="1"/>
          <w:bCs w:val="1"/>
          <w:u w:val="single" w:color="auto"/>
          <w:color w:val="auto"/>
        </w:rPr>
        <w:t>Compliance with Laws.</w:t>
      </w:r>
    </w:p>
    <w:p>
      <w:pPr>
        <w:spacing w:after="0" w:line="219"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Comply with the requirements of all Applicable Laws and all orders, writs, injunctions and decrees applicable to it or to its business or property, except in such instances in which (a) such requirement of Law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7" w:name="page158"/>
    <w:bookmarkEnd w:id="157"/>
    <w:p>
      <w:pPr>
        <w:ind w:right="20"/>
        <w:spacing w:after="0" w:line="268" w:lineRule="auto"/>
        <w:rPr>
          <w:sz w:val="20"/>
          <w:szCs w:val="20"/>
          <w:color w:val="auto"/>
        </w:rPr>
      </w:pPr>
      <w:r>
        <w:rPr>
          <w:rFonts w:ascii="Times New Roman" w:cs="Times New Roman" w:eastAsia="Times New Roman" w:hAnsi="Times New Roman"/>
          <w:sz w:val="20"/>
          <w:szCs w:val="20"/>
          <w:color w:val="auto"/>
        </w:rPr>
        <w:t>or order, writ, injunction or decree is being contested in good faith by appropriate proceedings or other action diligently conducted; or (b) the failure to comply therewith could not reasonably be expected to have a Material Adverse Effect.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6.09 </w:t>
      </w:r>
      <w:r>
        <w:rPr>
          <w:rFonts w:ascii="Times New Roman" w:cs="Times New Roman" w:eastAsia="Times New Roman" w:hAnsi="Times New Roman"/>
          <w:sz w:val="20"/>
          <w:szCs w:val="20"/>
          <w:b w:val="1"/>
          <w:bCs w:val="1"/>
          <w:u w:val="single" w:color="auto"/>
          <w:color w:val="auto"/>
        </w:rPr>
        <w:t>Books and Records.</w:t>
      </w:r>
    </w:p>
    <w:p>
      <w:pPr>
        <w:spacing w:after="0" w:line="219" w:lineRule="exact"/>
        <w:rPr>
          <w:sz w:val="20"/>
          <w:szCs w:val="20"/>
          <w:color w:val="auto"/>
        </w:rPr>
      </w:pPr>
    </w:p>
    <w:p>
      <w:pPr>
        <w:jc w:val="both"/>
        <w:ind w:left="760" w:firstLine="745"/>
        <w:spacing w:after="0" w:line="253" w:lineRule="auto"/>
        <w:tabs>
          <w:tab w:leader="none" w:pos="190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proper books of record and account, in which full, true and correct entries in conformity in all material respects with GAAP consistently applied shall be made of all financial transactions and matters involving the assets and business of such Loan Party or such Subsidiary, as the case may be; and</w:t>
      </w:r>
    </w:p>
    <w:p>
      <w:pPr>
        <w:spacing w:after="0" w:line="176" w:lineRule="exact"/>
        <w:rPr>
          <w:rFonts w:ascii="Times New Roman" w:cs="Times New Roman" w:eastAsia="Times New Roman" w:hAnsi="Times New Roman"/>
          <w:sz w:val="20"/>
          <w:szCs w:val="20"/>
          <w:color w:val="auto"/>
        </w:rPr>
      </w:pPr>
    </w:p>
    <w:p>
      <w:pPr>
        <w:ind w:left="760" w:right="80" w:firstLine="745"/>
        <w:spacing w:after="0" w:line="268" w:lineRule="auto"/>
        <w:tabs>
          <w:tab w:leader="none" w:pos="190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such books of record and account in material conformity with all applicable requirements of any Governmental Authority having regulatory jurisdiction over such Loan Party or such Subsidiary, as the case may be.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6.10 </w:t>
      </w:r>
      <w:r>
        <w:rPr>
          <w:rFonts w:ascii="Times New Roman" w:cs="Times New Roman" w:eastAsia="Times New Roman" w:hAnsi="Times New Roman"/>
          <w:sz w:val="20"/>
          <w:szCs w:val="20"/>
          <w:b w:val="1"/>
          <w:bCs w:val="1"/>
          <w:u w:val="single" w:color="auto"/>
          <w:color w:val="auto"/>
        </w:rPr>
        <w:t>Inspection Rights</w:t>
      </w:r>
      <w:r>
        <w:rPr>
          <w:rFonts w:ascii="Times New Roman" w:cs="Times New Roman" w:eastAsia="Times New Roman" w:hAnsi="Times New Roman"/>
          <w:sz w:val="20"/>
          <w:szCs w:val="20"/>
          <w:b w:val="1"/>
          <w:bCs w:val="1"/>
          <w:color w:val="auto"/>
        </w:rPr>
        <w:t>.</w:t>
      </w:r>
    </w:p>
    <w:p>
      <w:pPr>
        <w:spacing w:after="0" w:line="21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Permit representatives and independent contractors of the Administrative Agent (which may be accompanied by representatives and independent contractors of one or more Lenders) to visit and inspect any of its properties, to examine its corporate, financial and operating records, and make copies thereof or abstracts therefrom, and to discuss its affairs, finances and accounts with its directors, officers, and independent public accountants (to the extent the Borrower’s officers are afforded a reasonable opportunity to participate), all at such reasonable times during normal business hours and as often as may be reasonably desired, upon reasonable advance notice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so long as no Event of Default then exists, except for one collective visit per calendar year (which shall be at the reasonable expense of the Borrower), all such visits and inspections shall be at the sole expense of the Administrative Agent and participating Lenders and such visits and inspections shall occur no more frequently than semi-annually, (ii) when an Event of Default exists the Administrative Agent (which may be accompanied by one or more Lenders) (or any of their respective representatives or independent contractors) may do any of the foregoing at the reasonable expense of the Borrower at any time during normal business hours and without advance notice and (iii) in respect of any such discussions with any independent accountants, the Borrower or such Subsidiary, as the case may be, must receive reasonable advance notice thereof and a reasonable opportunity to participate therein and such discussions will be subject to the execution of any non-reliance letter or other customary requirements of such accountants. Notwithstanding anything to the contrary in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no Loan Party or Subsidiary will be required to disclose or permit the inspection or discussion of, any document, information or other matter (x) that constitutes non-financial trade secrets, (y) in respect of which disclosure to the Administrative Agent or any Lender (or their respective representatives or contractors) is prohibited by requirements of Law or any binding agreement (not entered into in contemplation hereof), or (z) that is subject to attorney client privilege or constitutes attorney work product.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6.11 </w:t>
      </w:r>
      <w:r>
        <w:rPr>
          <w:rFonts w:ascii="Times New Roman" w:cs="Times New Roman" w:eastAsia="Times New Roman" w:hAnsi="Times New Roman"/>
          <w:sz w:val="20"/>
          <w:szCs w:val="20"/>
          <w:b w:val="1"/>
          <w:bCs w:val="1"/>
          <w:u w:val="single" w:color="auto"/>
          <w:color w:val="auto"/>
        </w:rPr>
        <w:t>Use of Proceeds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Use the proceeds (a) of the Term Facility and Revolving Facility to (i) refinance certain existing indebtedness of the Borrower and its subsidiaries; (ii) pay fees and expenses incurred in connection with the transactions contemplated in this Agreement; and (iii) provide ongoing working capital and for other general corporate purposes of the Loan Parties and their subsidiaries; and (b) and of any Incremental Facility for any general corporate purpose of the Borrower agreed to by the lenders thereof (including for Permitted Acquisitions and other permitted Investments, permitted Restricted Payments, Permitted Refinancings and any other transaction not prohibited by this Agreement or any other Loan Document); in each case, not in contravention of any Law or of any Loan Document.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8" w:name="page159"/>
    <w:bookmarkEnd w:id="158"/>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6.12 </w:t>
      </w:r>
      <w:r>
        <w:rPr>
          <w:rFonts w:ascii="Times New Roman" w:cs="Times New Roman" w:eastAsia="Times New Roman" w:hAnsi="Times New Roman"/>
          <w:sz w:val="20"/>
          <w:szCs w:val="20"/>
          <w:b w:val="1"/>
          <w:bCs w:val="1"/>
          <w:u w:val="single" w:color="auto"/>
          <w:color w:val="auto"/>
        </w:rPr>
        <w:t>Covenant to Guarantee Obligations.</w:t>
      </w:r>
    </w:p>
    <w:p>
      <w:pPr>
        <w:spacing w:after="0" w:line="21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Within forty-five (45) days (or such longer period of time as is agreed to by the Administrative Agent in its sole discretion) after the acquisition or formation of any Subsidiary (other than an Excluded Subsidiary), or the designation by the Borrower in its sole discretion of a Foreign Subsidiary to become a Designated Foreign Subsidiary Guarantor or an Immaterial Subsidiary as not being an Excluded Subsidiary,</w:t>
      </w:r>
    </w:p>
    <w:p>
      <w:pPr>
        <w:spacing w:after="0" w:line="2" w:lineRule="exact"/>
        <w:rPr>
          <w:sz w:val="20"/>
          <w:szCs w:val="20"/>
          <w:color w:val="auto"/>
        </w:rPr>
      </w:pPr>
    </w:p>
    <w:p>
      <w:pPr>
        <w:jc w:val="both"/>
        <w:ind w:firstLine="8"/>
        <w:spacing w:after="0" w:line="239" w:lineRule="auto"/>
        <w:tabs>
          <w:tab w:leader="none" w:pos="27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cause such Person to become a Guarantor hereunder by way of execution of a Joinder Agreement or, in the case of a Designated Foreign Subsidiary Guarantor, such other documentation as may be reasonably requested by the Administrative Agent for such Foreign Subsidiary to become a Guarantor, all such documentation to be in form and substance reasonably satisfactory to the Administrative Agent, and (b) provide all other documentation and other information reasonably requested by the Administrative Agent or (through the Administrative Agent) any Lender to satisfy applicable “know your customer” and anti-money laundering rules and regulations, including the Patriot Act, all in form, content and scope reasonably satisfactory to the Administrative Agent. In connection with the foregoing, the Loan Parties shall deliver to the Administrative Agent, with respect to each new Guarantor to the extent applicable, substantially the same documentation required pursuant to </w:t>
      </w:r>
      <w:r>
        <w:rPr>
          <w:rFonts w:ascii="Times New Roman" w:cs="Times New Roman" w:eastAsia="Times New Roman" w:hAnsi="Times New Roman"/>
          <w:sz w:val="20"/>
          <w:szCs w:val="20"/>
          <w:u w:val="single" w:color="auto"/>
          <w:color w:val="auto"/>
        </w:rPr>
        <w:t>Sections 4.01(b)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and favorable opinions of counsel to such Person (which should cover, among other things, the legality, binding effect and enforceability) and, with respect to any Designated Foreign Subsidiary Guarantor, the Loan Parties shall deliver such other documentation and deliverables, and take such other actions, as reasonably requested by the Administrative Agent, in each case, as are customary in the applicable jurisdiction in connection with the making of a Guarantee or granting of a security interest by a Person in such jurisdiction, all in form, content and scope reasonably satisfactory to the Administrative Agent.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6.13 </w:t>
      </w:r>
      <w:r>
        <w:rPr>
          <w:rFonts w:ascii="Times New Roman" w:cs="Times New Roman" w:eastAsia="Times New Roman" w:hAnsi="Times New Roman"/>
          <w:sz w:val="20"/>
          <w:szCs w:val="20"/>
          <w:b w:val="1"/>
          <w:bCs w:val="1"/>
          <w:u w:val="single" w:color="auto"/>
          <w:color w:val="auto"/>
        </w:rPr>
        <w:t>Covenant to Give Security.</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Except with respect to Excluded Property:</w:t>
      </w:r>
    </w:p>
    <w:p>
      <w:pPr>
        <w:spacing w:after="0" w:line="215" w:lineRule="exact"/>
        <w:rPr>
          <w:sz w:val="20"/>
          <w:szCs w:val="20"/>
          <w:color w:val="auto"/>
        </w:rPr>
      </w:pPr>
    </w:p>
    <w:p>
      <w:pPr>
        <w:jc w:val="both"/>
        <w:ind w:left="760" w:firstLine="745"/>
        <w:spacing w:after="0" w:line="241" w:lineRule="auto"/>
        <w:tabs>
          <w:tab w:leader="none" w:pos="190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Interests and Personal Property</w:t>
      </w:r>
      <w:r>
        <w:rPr>
          <w:rFonts w:ascii="Times New Roman" w:cs="Times New Roman" w:eastAsia="Times New Roman" w:hAnsi="Times New Roman"/>
          <w:sz w:val="20"/>
          <w:szCs w:val="20"/>
          <w:color w:val="auto"/>
        </w:rPr>
        <w:t>. Within forty-five (45) days (or such longer period of time as is agreed to by the Administrative Agent in its sole discretion) after the formation or acquisition of any Subsidiary (other than an Excluded Subsidiary) by any Loan Party, or of any Subsidiary no longer constituting an Excluded Subsidiary, cause (i) one hundred percent (100%) of the issued and outstanding Equity Interests of each Material Wholly Owned Domestic Subsidiary (other than any FSHCO) and (ii) sixty-five percent (65%) (or such greater percentage that could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of each Material Wholly Owned Foreign Subsidiary or Material Wholly Owned Domestic Subsidiary that is a FSHCO, in each case, directly owned by any Loan Party to be subject at all times to a first priority, perfected Lien in favor of the Administrative Agent pursuant to the terms and conditions of the Collateral Documents, and, in connection with the foregoing, deliver to the Administrative Agent such other documentation as the Administrative Agent may reasonably request, including any filings and deliveries to perfect such Liens and favorable opinions of counsel all in form and substance reasonably satisfactory to the Administrative Agent.</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18"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Property</w:t>
      </w:r>
      <w:r>
        <w:rPr>
          <w:rFonts w:ascii="Times New Roman" w:cs="Times New Roman" w:eastAsia="Times New Roman" w:hAnsi="Times New Roman"/>
          <w:sz w:val="20"/>
          <w:szCs w:val="20"/>
          <w:color w:val="auto"/>
        </w:rPr>
        <w:t>. With respect to any property (other than Excluded Property) acquired by any Loan Party after the Closing Date that is not subject to a Lien thereunder, but in any event subject to the terms, conditions and limitations thereunder, within sixty (60) days after the acquisition thereof (or, in the case of real property, one hundred twenty (120) days) (or, in each case, such longer period of time as is agreed to by the Administrative Agent in its sole discretion), such Loan Party shall (i) cause all such property to be subject to first priority, perfected and, in the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9" w:name="page160"/>
    <w:bookmarkEnd w:id="159"/>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case of real property, title insured Liens in favor of the Administrative Agent to secure the Secured Obligations pursuant to the Collateral Documents to the extent required thereunder and, (ii) in connection with the foregoing, upon the Administrative Agent’s reasonable request, deliver to the Administrative Agent such other documentation, including filings and deliveries necessary to perfect such Liens, Organization Documents, resolutions, Mortgages, Mortgaged Property Support Documents and favorable opinions of counsel to such Person, all in form, content and scope reasonably satisfactory to the Administrative Agent.</w:t>
      </w:r>
    </w:p>
    <w:p>
      <w:pPr>
        <w:spacing w:after="0" w:line="183" w:lineRule="exact"/>
        <w:rPr>
          <w:sz w:val="20"/>
          <w:szCs w:val="20"/>
          <w:color w:val="auto"/>
        </w:rPr>
      </w:pPr>
    </w:p>
    <w:p>
      <w:pPr>
        <w:ind w:left="1900" w:hanging="395"/>
        <w:spacing w:after="0"/>
        <w:tabs>
          <w:tab w:leader="none" w:pos="19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1500" w:firstLine="754"/>
        <w:spacing w:after="0" w:line="243" w:lineRule="auto"/>
        <w:tabs>
          <w:tab w:leader="none" w:pos="2644"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the Loan Parties shall not be required, nor shall the Administrative Agent be authorized to take, absent agreement of the Borrower, any action in any jurisdiction outside of the United States (other than, with respect to any Designated Foreign Subsidiary Guarantor, the Approved Jurisdiction in which such Designated Foreign Subsidiary Guarantor is organized) to create or perfect any security interest with respect to any assets located outside of the United States (it being understood that, absent agreement of the Borrower, there shall be no security agreements or pledge agreements governed under the laws of any jurisdiction outside the United States (other than, with respect to any Designated Foreign Subsidiary Guarantor, the Approved Jurisdiction in which such Designated Foreign Subsidiary Guarantor is organized)).</w:t>
      </w:r>
    </w:p>
    <w:p>
      <w:pPr>
        <w:spacing w:after="0" w:line="186" w:lineRule="exact"/>
        <w:rPr>
          <w:rFonts w:ascii="Times New Roman" w:cs="Times New Roman" w:eastAsia="Times New Roman" w:hAnsi="Times New Roman"/>
          <w:sz w:val="20"/>
          <w:szCs w:val="20"/>
          <w:color w:val="auto"/>
        </w:rPr>
      </w:pPr>
    </w:p>
    <w:p>
      <w:pPr>
        <w:jc w:val="both"/>
        <w:ind w:left="1500" w:firstLine="754"/>
        <w:spacing w:after="0" w:line="258" w:lineRule="auto"/>
        <w:tabs>
          <w:tab w:leader="none" w:pos="2644"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Loan Party following the pledge by any Loan Party in favor of the Administrative Agent of greater than sixty-five percent (65%) of the issued and outstanding Equity Interests entitled to vote (within the meaning of Treas. Reg. Section 1.956-2(c)(2)) of any Material Wholly Owned Foreign Subsidiary or Material Wholly Owned Domestic Subsidiary that is a FSHCO directly owned by such Loan Party, the Borrower determines in its reasonable business judgment that such pledge is reasonably expected to cause any material adverse tax consequences to the Borrower or its Subsidiaries, the Administrative Agent shall, upon the request of the Borrower, reasonably promptly release and discharge its Lien on such Equity Interests to the extent exceeding sixty-five percent (65%) thereof, and the Administrative Agent agrees to take all actions reasonably requested by the Borrower to evidence such discharge and release.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6.14 </w:t>
      </w:r>
      <w:r>
        <w:rPr>
          <w:rFonts w:ascii="Times New Roman" w:cs="Times New Roman" w:eastAsia="Times New Roman" w:hAnsi="Times New Roman"/>
          <w:sz w:val="20"/>
          <w:szCs w:val="20"/>
          <w:b w:val="1"/>
          <w:bCs w:val="1"/>
          <w:u w:val="single" w:color="auto"/>
          <w:color w:val="auto"/>
        </w:rPr>
        <w:t>Anti-Corruption Laws; Sanctions.</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6.15 </w:t>
      </w:r>
      <w:r>
        <w:rPr>
          <w:rFonts w:ascii="Times New Roman" w:cs="Times New Roman" w:eastAsia="Times New Roman" w:hAnsi="Times New Roman"/>
          <w:sz w:val="20"/>
          <w:szCs w:val="20"/>
          <w:b w:val="1"/>
          <w:bCs w:val="1"/>
          <w:u w:val="single" w:color="auto"/>
          <w:color w:val="auto"/>
        </w:rPr>
        <w:t>Further Assurances.</w:t>
      </w:r>
    </w:p>
    <w:p>
      <w:pPr>
        <w:spacing w:after="0" w:line="21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Promptly upon reasonable request by the Administrative Agent, or any Lender through the Administrative Agent, (a) cooperate in the correction of any material defect or error discovered in any Loan Document or in the execution, acknowledgment, filing or recordation thereof, and (b) subject to </w:t>
      </w:r>
      <w:r>
        <w:rPr>
          <w:rFonts w:ascii="Times New Roman" w:cs="Times New Roman" w:eastAsia="Times New Roman" w:hAnsi="Times New Roman"/>
          <w:sz w:val="20"/>
          <w:szCs w:val="20"/>
          <w:u w:val="single" w:color="auto"/>
          <w:color w:val="auto"/>
        </w:rPr>
        <w:t>Section 6.13(c)</w:t>
      </w:r>
      <w:r>
        <w:rPr>
          <w:rFonts w:ascii="Times New Roman" w:cs="Times New Roman" w:eastAsia="Times New Roman" w:hAnsi="Times New Roman"/>
          <w:sz w:val="20"/>
          <w:szCs w:val="20"/>
          <w:color w:val="auto"/>
        </w:rPr>
        <w:t>,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0" w:name="page161"/>
    <w:bookmarkEnd w:id="160"/>
    <w:p>
      <w:pPr>
        <w:jc w:val="both"/>
        <w:spacing w:after="0" w:line="246" w:lineRule="auto"/>
        <w:rPr>
          <w:sz w:val="20"/>
          <w:szCs w:val="20"/>
          <w:color w:val="auto"/>
        </w:rPr>
      </w:pPr>
      <w:r>
        <w:rPr>
          <w:rFonts w:ascii="Times New Roman" w:cs="Times New Roman" w:eastAsia="Times New Roman" w:hAnsi="Times New Roman"/>
          <w:sz w:val="20"/>
          <w:szCs w:val="20"/>
          <w:color w:val="auto"/>
        </w:rPr>
        <w:t>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6.16 </w:t>
      </w:r>
      <w:r>
        <w:rPr>
          <w:rFonts w:ascii="Times New Roman" w:cs="Times New Roman" w:eastAsia="Times New Roman" w:hAnsi="Times New Roman"/>
          <w:sz w:val="20"/>
          <w:szCs w:val="20"/>
          <w:b w:val="1"/>
          <w:bCs w:val="1"/>
          <w:u w:val="single" w:color="auto"/>
          <w:color w:val="auto"/>
        </w:rPr>
        <w:t>Post-Closing Covenant.</w:t>
      </w:r>
    </w:p>
    <w:p>
      <w:pPr>
        <w:spacing w:after="0" w:line="21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The Loan Parties shall comply with their obligations described in </w:t>
      </w:r>
      <w:r>
        <w:rPr>
          <w:rFonts w:ascii="Times New Roman" w:cs="Times New Roman" w:eastAsia="Times New Roman" w:hAnsi="Times New Roman"/>
          <w:sz w:val="20"/>
          <w:szCs w:val="20"/>
          <w:u w:val="single" w:color="auto"/>
          <w:color w:val="auto"/>
        </w:rPr>
        <w:t>Schedule 6.16</w:t>
      </w:r>
      <w:r>
        <w:rPr>
          <w:rFonts w:ascii="Times New Roman" w:cs="Times New Roman" w:eastAsia="Times New Roman" w:hAnsi="Times New Roman"/>
          <w:sz w:val="20"/>
          <w:szCs w:val="20"/>
          <w:color w:val="auto"/>
        </w:rPr>
        <w:t>, in each case, within the applicable periods of time specified in such Schedule with respect to the relevant item (or such longer periods as the Administrative Agent may agree in its reasonable discretion). Notwithstanding anything to the contrary contained in this Agreement or any other Loan Document, the parties hereto acknowledge and agree that all conditions precedent and representations and covenants contained in this Agreement and the other Loan Documents shall be deemed modified to the extent appropriate to permit such actions within such time frames set forth on Schedule 6.16 rather than on the Closing Date.</w:t>
      </w:r>
    </w:p>
    <w:p>
      <w:pPr>
        <w:spacing w:after="0" w:line="17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Each of the Loan Parties hereby covenants and agrees that on the Closing Date and thereafter until the Facility Termination Date, no</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Party shall, nor shall it permit any Subsidiary to, directly or indirectly:</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7.01 </w:t>
      </w:r>
      <w:r>
        <w:rPr>
          <w:rFonts w:ascii="Times New Roman" w:cs="Times New Roman" w:eastAsia="Times New Roman" w:hAnsi="Times New Roman"/>
          <w:sz w:val="20"/>
          <w:szCs w:val="20"/>
          <w:b w:val="1"/>
          <w:bCs w:val="1"/>
          <w:u w:val="single" w:color="auto"/>
          <w:color w:val="auto"/>
        </w:rPr>
        <w:t>Liens.</w:t>
      </w:r>
    </w:p>
    <w:p>
      <w:pPr>
        <w:spacing w:after="0" w:line="21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Create, incur, assume or suffer to exist any Lien upon any of its property, assets or revenues, whether now owned or hereafter acquired, except for the following (the “</w:t>
      </w:r>
      <w:r>
        <w:rPr>
          <w:rFonts w:ascii="Times New Roman" w:cs="Times New Roman" w:eastAsia="Times New Roman" w:hAnsi="Times New Roman"/>
          <w:sz w:val="20"/>
          <w:szCs w:val="20"/>
          <w:i w:val="1"/>
          <w:iCs w:val="1"/>
          <w:u w:val="single" w:color="auto"/>
          <w:color w:val="auto"/>
        </w:rPr>
        <w:t>Permitted Liens</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1900" w:hanging="395"/>
        <w:spacing w:after="0"/>
        <w:tabs>
          <w:tab w:leader="none" w:pos="19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pursuant to any Loan Document;</w:t>
      </w:r>
    </w:p>
    <w:p>
      <w:pPr>
        <w:spacing w:after="0" w:line="21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Closing Date and listed on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and any modifications, replacements, renewals, restructurings, refinancings or extensions thereof;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(i) any such Lien does not encumber any property other than (A) property encumbered on the Closing Date, (B) after-acquired property that is affixed or incorporated into the property covered by such Lien on the Closing Date and (C) proceeds and products thereof and (ii) the modification, replacement, renewal, restructuring, refinancing or extension of the obligations secured or benefited by such Liens, to the extent constituting Indebtedness, is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inchoate Liens for Taxes not yet delinquent for more than thirty (30) days or which are being contested in good faith and by appropriate proceedings or other action diligently conducted, if adequate reserves with respect thereto are maintained on the books of the applicable Person in accordance with GAAP;</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statutory Liens such as carriers’, warehousemen’s, mechanics’, materialmen’s, repairmen’s or other like Liens arising in the ordinary course of business which are not overdue for a period of more than sixty (60) days or which are being contested in good faith and by appropriate proceedings or other action diligently conducted;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adequate reserves with respect thereto are maintained on the books of the applicable Person;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1" w:name="page162"/>
    <w:bookmarkEnd w:id="161"/>
    <w:p>
      <w:pPr>
        <w:jc w:val="both"/>
        <w:ind w:left="-360" w:firstLine="745"/>
        <w:spacing w:after="0" w:line="242" w:lineRule="auto"/>
        <w:tabs>
          <w:tab w:leader="none" w:pos="7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(other than any Lien imposed by ERISA) (i) imposed by requirements of Law or deposits made in connection therewith in the ordinary course of business in connection with workers’ compensation, unemployment insurance and other types of social security legislation, (ii) incurred in the ordinary course of business to secure the performance of tenders, statutory obligations (other than excise taxes), surety, stay, customs and appeal bonds, statutory bonds, bids, leases, government contracts, trade contracts, performance and return of money bonds and other similar obligations (exclusive of obligations for the payment of borrowed money) or (iii) arising by virtue of deposits made in the ordinary course of business to secure liability for premiums to insurance carriers;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(A) with respect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such Liens are for amounts not yet due and payable or delinquent or, to the extent such amounts are so due and payable, such amounts are being contested in good faith by appropriate proceedings for which adequate reserves have been established in accordance with GAAP and (B) to the extent such Liens are not imposed by requirements of Law, such Liens shall in no event encumber any property other than cash and Cash Equivalents issued to support payment of such obligations;</w:t>
      </w:r>
    </w:p>
    <w:p>
      <w:pPr>
        <w:spacing w:after="0" w:line="186"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7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(including zoning restrictions), covenants, licenses, encroachments, protrusions and other similar charges or encumbrances, and minor title deficiencies on or with respect to any real property, in each case whether now or hereafter in existence, not (i) securing Indebtedness, (ii) individually or in the aggregate materially impairing the value or marketability of such real property or (iii) individually or in the aggregate materially interfering with the ordinary conduct of the business of the Borrower at such real property;</w:t>
      </w:r>
    </w:p>
    <w:p>
      <w:pPr>
        <w:spacing w:after="0" w:line="183" w:lineRule="exact"/>
        <w:rPr>
          <w:rFonts w:ascii="Times New Roman" w:cs="Times New Roman" w:eastAsia="Times New Roman" w:hAnsi="Times New Roman"/>
          <w:sz w:val="20"/>
          <w:szCs w:val="20"/>
          <w:color w:val="auto"/>
        </w:rPr>
      </w:pPr>
    </w:p>
    <w:p>
      <w:pPr>
        <w:jc w:val="both"/>
        <w:ind w:left="-360" w:firstLine="745"/>
        <w:spacing w:after="0" w:line="253" w:lineRule="auto"/>
        <w:tabs>
          <w:tab w:leader="none" w:pos="7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judgments, attachments or awards not resulting in an Event of Default and notices of lis pendens and associated rights related to litigation being contested in good faith by appropriate proceedings or other action and for which adequate reserves have been made;</w:t>
      </w:r>
    </w:p>
    <w:p>
      <w:pPr>
        <w:spacing w:after="0" w:line="172"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7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7.02(c)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 such Liens do not at any time encumber any property other than the property financed by or leased pursuant to such Indebtedness together with any accessions or additions thereto, any proceeds and replacements thereof, and customary security deposits (it being understood that individual financings of equipment provided by one lender may be cross collateralized to other financings of equipment provided by such lender), (ii) the Indebtedness secured thereby does not exceed the cost of acquiring, constructing or improving such fixed or capital assets plus the amount of any fees or other expenses incurred in connection therewith and (iii) such Liens attach to such property concurrently with or within two hundred seventy (270) days after the acquisition, construction, repair or lease thereof or improvement thereon, as the case may be;</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47" w:lineRule="auto"/>
        <w:tabs>
          <w:tab w:leader="none" w:pos="7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7.02(d)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(i) such Lien is not created in contemplation of or in connection with such acquisition, (ii) such Lien shall not apply to any other property of the Borrower or any other Subsidiary (other than improvements on the property subject thereto, accessions thereto and proceeds thereof), and (iii) such Lien shall secure only those obligations it secures on the date of acquisition, and any renewals, replacements, refinancings, restructurings or extensions thereof so long as permitted under </w:t>
      </w:r>
      <w:r>
        <w:rPr>
          <w:rFonts w:ascii="Times New Roman" w:cs="Times New Roman" w:eastAsia="Times New Roman" w:hAnsi="Times New Roman"/>
          <w:sz w:val="20"/>
          <w:szCs w:val="20"/>
          <w:u w:val="single" w:color="auto"/>
          <w:color w:val="auto"/>
        </w:rPr>
        <w:t>Section 7.02(d)</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of the properties of the Borrower or any Subsidiary granted by the Borrower or such Subsidiary to third parties, in each case entered into in the ordinary course of business so long no such leases, individually or in the aggregate, interfere in any material respect with the ordinary conduct of the business of the Borrower and its Subsidiaries or materially impair the use (for its intended purposes) or the value of the property subject thereto;</w:t>
      </w:r>
    </w:p>
    <w:p>
      <w:pPr>
        <w:spacing w:after="0" w:line="200" w:lineRule="exact"/>
        <w:rPr>
          <w:sz w:val="20"/>
          <w:szCs w:val="20"/>
          <w:color w:val="auto"/>
        </w:rPr>
      </w:pPr>
    </w:p>
    <w:p>
      <w:pPr>
        <w:spacing w:after="0" w:line="3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62" w:name="page163"/>
    <w:bookmarkEnd w:id="162"/>
    <w:p>
      <w:pPr>
        <w:ind w:left="-360" w:firstLine="745"/>
        <w:spacing w:after="0" w:line="268"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entered into by the Borrower or any Subsidiary in the ordinary course of business;</w:t>
      </w:r>
    </w:p>
    <w:p>
      <w:pPr>
        <w:spacing w:after="0" w:line="160"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bankers’ Liens, rights of setoff and other similar Liens existing solely with respect to cash and Cash Equivalents on deposit in one or more accounts maintained by the Borrower or any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that</w:t>
      </w:r>
      <w:r>
        <w:rPr>
          <w:rFonts w:ascii="Times New Roman" w:cs="Times New Roman" w:eastAsia="Times New Roman" w:hAnsi="Times New Roman"/>
          <w:sz w:val="20"/>
          <w:szCs w:val="20"/>
          <w:color w:val="auto"/>
        </w:rPr>
        <w:t>, unless such Liens are non-consensual and arise by operation of law, in no case shall any such Liens secure (either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directly or indirectly) the repayment of any Indebtedness;</w:t>
      </w:r>
    </w:p>
    <w:p>
      <w:pPr>
        <w:spacing w:after="0" w:line="182" w:lineRule="exact"/>
        <w:rPr>
          <w:rFonts w:ascii="Times New Roman" w:cs="Times New Roman" w:eastAsia="Times New Roman" w:hAnsi="Times New Roman"/>
          <w:sz w:val="20"/>
          <w:szCs w:val="20"/>
          <w:color w:val="auto"/>
        </w:rPr>
      </w:pPr>
    </w:p>
    <w:p>
      <w:pPr>
        <w:ind w:left="-360" w:right="40" w:firstLine="745"/>
        <w:spacing w:after="0" w:line="268"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and sublicenses of Intellectual Property granted by the Borrower or any Subsidiary in the ordinary course of business and not interfering in any material respect with the ordinary conduct of business of the Borrower;</w:t>
      </w:r>
    </w:p>
    <w:p>
      <w:pPr>
        <w:spacing w:after="0" w:line="160" w:lineRule="exact"/>
        <w:rPr>
          <w:rFonts w:ascii="Times New Roman" w:cs="Times New Roman" w:eastAsia="Times New Roman" w:hAnsi="Times New Roman"/>
          <w:sz w:val="20"/>
          <w:szCs w:val="20"/>
          <w:color w:val="auto"/>
        </w:rPr>
      </w:pPr>
    </w:p>
    <w:p>
      <w:pPr>
        <w:ind w:left="-360" w:right="40" w:firstLine="745"/>
        <w:spacing w:after="0" w:line="268"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of UCC financing statements solely as a precautionary measure in connection with operating leases or consignment of goods;</w:t>
      </w:r>
    </w:p>
    <w:p>
      <w:pPr>
        <w:spacing w:after="0" w:line="160" w:lineRule="exact"/>
        <w:rPr>
          <w:rFonts w:ascii="Times New Roman" w:cs="Times New Roman" w:eastAsia="Times New Roman" w:hAnsi="Times New Roman"/>
          <w:sz w:val="20"/>
          <w:szCs w:val="20"/>
          <w:color w:val="auto"/>
        </w:rPr>
      </w:pPr>
    </w:p>
    <w:p>
      <w:pPr>
        <w:ind w:left="-360" w:right="40" w:firstLine="745"/>
        <w:spacing w:after="0" w:line="268"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attached to cash earnest money deposits made by a Loan Party in connection with any letter of intent or purchase agreement entered into by a Loan Party;</w:t>
      </w:r>
    </w:p>
    <w:p>
      <w:pPr>
        <w:spacing w:after="0" w:line="160"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Equity Interests of a Foreign Subsidiary or assets to be sold pursuant to an agreement entered into for the Disposition of all or substantially all the Equity Interests or assets of a Foreign Subsidiary, in each case to the extent permitted by the terms hereof, pending the closing of such Disposition;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in no case shall any such Liens secure (either directly or indirectly) the repayment of any Indebtedness;</w:t>
      </w:r>
    </w:p>
    <w:p>
      <w:pPr>
        <w:spacing w:after="0" w:line="178" w:lineRule="exact"/>
        <w:rPr>
          <w:rFonts w:ascii="Times New Roman" w:cs="Times New Roman" w:eastAsia="Times New Roman" w:hAnsi="Times New Roman"/>
          <w:sz w:val="20"/>
          <w:szCs w:val="20"/>
          <w:color w:val="auto"/>
        </w:rPr>
      </w:pPr>
    </w:p>
    <w:p>
      <w:pPr>
        <w:ind w:left="-360" w:right="20" w:firstLine="745"/>
        <w:spacing w:after="0" w:line="268"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60" w:lineRule="exact"/>
        <w:rPr>
          <w:rFonts w:ascii="Times New Roman" w:cs="Times New Roman" w:eastAsia="Times New Roman" w:hAnsi="Times New Roman"/>
          <w:sz w:val="20"/>
          <w:szCs w:val="20"/>
          <w:color w:val="auto"/>
        </w:rPr>
      </w:pPr>
    </w:p>
    <w:p>
      <w:pPr>
        <w:ind w:left="-360" w:right="20" w:firstLine="745"/>
        <w:spacing w:after="0" w:line="268"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Equity Interests of any Foreign Subsidiary or on the property of any Foreign Subsidiary, in each case, that arise by operation of law;</w:t>
      </w:r>
    </w:p>
    <w:p>
      <w:pPr>
        <w:spacing w:after="0" w:line="160" w:lineRule="exact"/>
        <w:rPr>
          <w:rFonts w:ascii="Times New Roman" w:cs="Times New Roman" w:eastAsia="Times New Roman" w:hAnsi="Times New Roman"/>
          <w:sz w:val="20"/>
          <w:szCs w:val="20"/>
          <w:color w:val="auto"/>
        </w:rPr>
      </w:pPr>
    </w:p>
    <w:p>
      <w:pPr>
        <w:ind w:left="-360" w:firstLine="745"/>
        <w:spacing w:after="0" w:line="268"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deposit or other pledge of cash collateral pursuant to the terms of, and to secure obligations under, Swap Contracts permitted under </w:t>
      </w:r>
      <w:r>
        <w:rPr>
          <w:rFonts w:ascii="Times New Roman" w:cs="Times New Roman" w:eastAsia="Times New Roman" w:hAnsi="Times New Roman"/>
          <w:sz w:val="20"/>
          <w:szCs w:val="20"/>
          <w:u w:val="single" w:color="auto"/>
          <w:color w:val="auto"/>
        </w:rPr>
        <w:t>Section 7.02(j)</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360" w:right="20" w:firstLine="745"/>
        <w:spacing w:after="0" w:line="268"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property of Subsidiaries that are not Loan Parties securing Indebtedness of such Subsidiaries permitted under </w:t>
      </w:r>
      <w:r>
        <w:rPr>
          <w:rFonts w:ascii="Times New Roman" w:cs="Times New Roman" w:eastAsia="Times New Roman" w:hAnsi="Times New Roman"/>
          <w:sz w:val="20"/>
          <w:szCs w:val="20"/>
          <w:u w:val="single" w:color="auto"/>
          <w:color w:val="auto"/>
        </w:rPr>
        <w:t>Section 7.02(n)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such Liens are limited to the property of any such Subsidiary that is not a Loan Party; and</w:t>
      </w:r>
    </w:p>
    <w:p>
      <w:pPr>
        <w:spacing w:after="0" w:line="160" w:lineRule="exact"/>
        <w:rPr>
          <w:rFonts w:ascii="Times New Roman" w:cs="Times New Roman" w:eastAsia="Times New Roman" w:hAnsi="Times New Roman"/>
          <w:sz w:val="20"/>
          <w:szCs w:val="20"/>
          <w:color w:val="auto"/>
        </w:rPr>
      </w:pPr>
    </w:p>
    <w:p>
      <w:pPr>
        <w:jc w:val="both"/>
        <w:ind w:left="-360" w:firstLine="745"/>
        <w:spacing w:after="0" w:line="253"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accounts receivable of Corsair Memory owed from the Permitted Factoring Customers and related assets (as described in the Permitted Factoring Agreement) securing obligations incurred in connection with the Permitted Factoring Program; and</w:t>
      </w:r>
    </w:p>
    <w:p>
      <w:pPr>
        <w:spacing w:after="0" w:line="176"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not permitted by the foregoing clauses of this Section 7.01 securing Indebtedness or other obligations permitted pursuant to this Agreement in an aggregate principal amount not to exceed $10,000,000 at any one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the Permitted Factoring Program is in effect, the foregoing basket for Liens may not be utilized in connection with any factoring program of the Borrower or any of its Subsidiaries.</w:t>
      </w:r>
    </w:p>
    <w:p>
      <w:pPr>
        <w:spacing w:after="0" w:line="200" w:lineRule="exact"/>
        <w:rPr>
          <w:sz w:val="20"/>
          <w:szCs w:val="20"/>
          <w:color w:val="auto"/>
        </w:rPr>
      </w:pPr>
    </w:p>
    <w:p>
      <w:pPr>
        <w:spacing w:after="0" w:line="3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2"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b w:val="1"/>
          <w:bCs w:val="1"/>
          <w:color w:val="auto"/>
        </w:rPr>
        <w:t xml:space="preserve">7.02 </w:t>
      </w:r>
      <w:r>
        <w:rPr>
          <w:rFonts w:ascii="Times New Roman" w:cs="Times New Roman" w:eastAsia="Times New Roman" w:hAnsi="Times New Roman"/>
          <w:sz w:val="20"/>
          <w:szCs w:val="20"/>
          <w:b w:val="1"/>
          <w:bCs w:val="1"/>
          <w:u w:val="single" w:color="auto"/>
          <w:color w:val="auto"/>
        </w:rPr>
        <w:t>Indebtedness.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Create, incur, assume or suffer to exist any Indebtedness, except:</w:t>
      </w:r>
    </w:p>
    <w:p>
      <w:pPr>
        <w:spacing w:after="0" w:line="215" w:lineRule="exact"/>
        <w:rPr>
          <w:sz w:val="20"/>
          <w:szCs w:val="20"/>
          <w:color w:val="auto"/>
        </w:rPr>
      </w:pPr>
    </w:p>
    <w:p>
      <w:pPr>
        <w:ind w:left="1140" w:hanging="395"/>
        <w:spacing w:after="0"/>
        <w:tabs>
          <w:tab w:leader="none" w:pos="114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w:t>
      </w:r>
    </w:p>
    <w:p>
      <w:pPr>
        <w:spacing w:after="0" w:line="21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date hereof and listed on </w:t>
      </w:r>
      <w:r>
        <w:rPr>
          <w:rFonts w:ascii="Times New Roman" w:cs="Times New Roman" w:eastAsia="Times New Roman" w:hAnsi="Times New Roman"/>
          <w:sz w:val="20"/>
          <w:szCs w:val="20"/>
          <w:u w:val="single" w:color="auto"/>
          <w:color w:val="auto"/>
        </w:rPr>
        <w:t>Schedule 7.02</w:t>
      </w:r>
      <w:r>
        <w:rPr>
          <w:rFonts w:ascii="Times New Roman" w:cs="Times New Roman" w:eastAsia="Times New Roman" w:hAnsi="Times New Roman"/>
          <w:sz w:val="20"/>
          <w:szCs w:val="20"/>
          <w:color w:val="auto"/>
        </w:rPr>
        <w:t xml:space="preserve"> (and any Permitted Refinancing thereof);</w:t>
      </w:r>
    </w:p>
    <w:p>
      <w:pPr>
        <w:spacing w:after="0" w:line="21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Capitalized Leases, Synthetic Lease Obligations and purchase money obligations incurred by the Borrower and its Subsidiaries to finance the purchase, lease, construction, repair or improvement of fixed or capital assets, and renewals, refinancings and extensions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the total of all such Indebtedness for all such Persons taken together at any one time outstanding shall not exceed an aggregate principal amount equal to $10,000,000;</w:t>
      </w:r>
    </w:p>
    <w:p>
      <w:pPr>
        <w:spacing w:after="0" w:line="178"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(and any Permitted Refinancing thereof) of any Target acquired after the Closing Date or of any Person that becomes a Subsidiary, in each case, in a Permitted Acquisition, to the extent such Indebtedness is existing at the time of such Permitted Acquisition;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(i) such Indebtedness shall not have been incurred in contemplation of such Permitted Acquisition, and (ii) after giving effect to the acquisition of any such Indebtedness, the aggregate principal amount of all Indebtedness acquired and outstanding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shall not exceed at any one time $10,000,000;</w:t>
      </w:r>
    </w:p>
    <w:p>
      <w:pPr>
        <w:spacing w:after="0" w:line="183" w:lineRule="exact"/>
        <w:rPr>
          <w:rFonts w:ascii="Times New Roman" w:cs="Times New Roman" w:eastAsia="Times New Roman" w:hAnsi="Times New Roman"/>
          <w:sz w:val="20"/>
          <w:szCs w:val="20"/>
          <w:color w:val="auto"/>
        </w:rPr>
      </w:pPr>
    </w:p>
    <w:p>
      <w:pPr>
        <w:jc w:val="both"/>
        <w:ind w:firstLine="745"/>
        <w:spacing w:after="0" w:line="262" w:lineRule="auto"/>
        <w:tabs>
          <w:tab w:leader="none" w:pos="1144"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 respect of bid, performance or surety bonds, completion guarantees and appeal bonds, workers’ compensation claims, self-insurance obligations and bankers acceptances issued for the account of the Borrower and its Subsidiaries in the ordinary course of business, including guarantees or obligations of the Borrower and its Subsidiaries with respect to letters of credit supporting such bid, performance or surety bonds, completion guarantees and appeal bonds, workers’ compensation claims, self-insurance obligations and bankers acceptances (in each case other than for an obligation for money borrowed);</w:t>
      </w:r>
    </w:p>
    <w:p>
      <w:pPr>
        <w:spacing w:after="0" w:line="169" w:lineRule="exact"/>
        <w:rPr>
          <w:rFonts w:ascii="Times New Roman" w:cs="Times New Roman" w:eastAsia="Times New Roman" w:hAnsi="Times New Roman"/>
          <w:sz w:val="19"/>
          <w:szCs w:val="19"/>
          <w:color w:val="auto"/>
        </w:rPr>
      </w:pPr>
    </w:p>
    <w:p>
      <w:pPr>
        <w:jc w:val="both"/>
        <w:ind w:firstLine="745"/>
        <w:spacing w:after="0" w:line="246" w:lineRule="auto"/>
        <w:tabs>
          <w:tab w:leader="none" w:pos="11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arising from the honoring by a bank or other financial institution of a check, draft or similar instrument inadvertently (except in the case of daylight overdrafts) drawn against insufficient funds and other Indebtedness in respect of netting services, overdraft protections and similar arrangements, in each case, in the ordinary course of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that</w:t>
      </w:r>
      <w:r>
        <w:rPr>
          <w:rFonts w:ascii="Times New Roman" w:cs="Times New Roman" w:eastAsia="Times New Roman" w:hAnsi="Times New Roman"/>
          <w:sz w:val="20"/>
          <w:szCs w:val="20"/>
          <w:color w:val="auto"/>
        </w:rPr>
        <w:t>, such Indebtedness is extinguished within sixty (60) days of incurrence and (ii) Indebtedness under any Secured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Agreement entered into in the ordinary course of business;</w:t>
      </w:r>
    </w:p>
    <w:p>
      <w:pPr>
        <w:spacing w:after="0" w:line="183"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in connection with endorsement of instruments for deposit in the ordinary course of business;</w:t>
      </w:r>
    </w:p>
    <w:p>
      <w:pPr>
        <w:spacing w:after="0" w:line="21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the financing of insurance premiums in the ordinary course of business;</w:t>
      </w:r>
    </w:p>
    <w:p>
      <w:pPr>
        <w:spacing w:after="0" w:line="21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intercompany Indebtedness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(other than by reference to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any clause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in the case of Indebtedness owing by a Loan Party to any Subsidiary that is not a Loan Party, promptly upon the written request of the Administrative Agent, such Indebtedness shall be subordinated to the Secured Obligations in a manner and to the extent acceptable to the Administrative Agent;</w:t>
      </w:r>
    </w:p>
    <w:p>
      <w:pPr>
        <w:spacing w:after="0" w:line="200" w:lineRule="exact"/>
        <w:rPr>
          <w:sz w:val="20"/>
          <w:szCs w:val="20"/>
          <w:color w:val="auto"/>
        </w:rPr>
      </w:pPr>
    </w:p>
    <w:p>
      <w:pPr>
        <w:spacing w:after="0" w:line="37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164" w:name="page165"/>
    <w:bookmarkEnd w:id="164"/>
    <w:p>
      <w:pPr>
        <w:jc w:val="both"/>
        <w:ind w:left="-360" w:firstLine="745"/>
        <w:spacing w:after="0" w:line="250" w:lineRule="auto"/>
        <w:tabs>
          <w:tab w:leader="none" w:pos="7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existing or arising under any Swap Contract;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such obligations are (or were) entered into by such Person in the ordinary course of business for the purpose of mitigating risks associated with liabilities, commitments, investments, assets, or property held or reasonably anticipated by such Person, or changes in the value of securities issued by such Person, and not for purposes of speculation or taking a “market view”;</w:t>
      </w:r>
    </w:p>
    <w:p>
      <w:pPr>
        <w:spacing w:after="0" w:line="178"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constituting Indebtedness, Earn Out Obligations incurred in connection with any Permitted Acquisition;</w:t>
      </w:r>
    </w:p>
    <w:p>
      <w:pPr>
        <w:spacing w:after="0" w:line="226" w:lineRule="exact"/>
        <w:rPr>
          <w:rFonts w:ascii="Times New Roman" w:cs="Times New Roman" w:eastAsia="Times New Roman" w:hAnsi="Times New Roman"/>
          <w:sz w:val="19"/>
          <w:szCs w:val="19"/>
          <w:color w:val="auto"/>
        </w:rPr>
      </w:pPr>
    </w:p>
    <w:p>
      <w:pPr>
        <w:jc w:val="both"/>
        <w:ind w:left="-360" w:firstLine="745"/>
        <w:spacing w:after="0" w:line="246" w:lineRule="auto"/>
        <w:tabs>
          <w:tab w:leader="none" w:pos="7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consisting of promissory notes issued by the Borrower or any Subsidiary to current or former officers, employees or directors of the Borrower or any Subsidiary (or any of their respective estates, heirs, spouses or former spouses) to finance the purchase or redemption of Qualified Equity Interests of the Borrower, in each case, so long as (i) the corresponding purchase or redemption is permitted by </w:t>
      </w:r>
      <w:r>
        <w:rPr>
          <w:rFonts w:ascii="Times New Roman" w:cs="Times New Roman" w:eastAsia="Times New Roman" w:hAnsi="Times New Roman"/>
          <w:sz w:val="20"/>
          <w:szCs w:val="20"/>
          <w:u w:val="single" w:color="auto"/>
          <w:color w:val="auto"/>
        </w:rPr>
        <w:t>Section 7.06(g)</w:t>
      </w:r>
      <w:r>
        <w:rPr>
          <w:rFonts w:ascii="Times New Roman" w:cs="Times New Roman" w:eastAsia="Times New Roman" w:hAnsi="Times New Roman"/>
          <w:sz w:val="20"/>
          <w:szCs w:val="20"/>
          <w:color w:val="auto"/>
        </w:rPr>
        <w:t xml:space="preserve"> and (ii) the aggregate amount of all such Indebtedness does not exceed $10,000,000 at any one time outstanding;</w:t>
      </w:r>
    </w:p>
    <w:p>
      <w:pPr>
        <w:spacing w:after="0" w:line="183" w:lineRule="exact"/>
        <w:rPr>
          <w:rFonts w:ascii="Times New Roman" w:cs="Times New Roman" w:eastAsia="Times New Roman" w:hAnsi="Times New Roman"/>
          <w:sz w:val="20"/>
          <w:szCs w:val="20"/>
          <w:color w:val="auto"/>
        </w:rPr>
      </w:pPr>
    </w:p>
    <w:p>
      <w:pPr>
        <w:jc w:val="both"/>
        <w:ind w:left="-360" w:right="20" w:firstLine="745"/>
        <w:spacing w:after="0" w:line="253" w:lineRule="auto"/>
        <w:tabs>
          <w:tab w:leader="none" w:pos="7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any Loan Party constituting indemnification, adjustment of purchase price or similar obligations, in each case, in connection with Permitted Acquisitions, any other similar Investment permitted hereunder (including through a merger) or any disposition permitted hereunder;</w:t>
      </w:r>
    </w:p>
    <w:p>
      <w:pPr>
        <w:spacing w:after="0" w:line="176" w:lineRule="exact"/>
        <w:rPr>
          <w:rFonts w:ascii="Times New Roman" w:cs="Times New Roman" w:eastAsia="Times New Roman" w:hAnsi="Times New Roman"/>
          <w:sz w:val="20"/>
          <w:szCs w:val="20"/>
          <w:color w:val="auto"/>
        </w:rPr>
      </w:pPr>
    </w:p>
    <w:p>
      <w:pPr>
        <w:ind w:left="-360" w:right="20" w:firstLine="745"/>
        <w:spacing w:after="0" w:line="268" w:lineRule="auto"/>
        <w:tabs>
          <w:tab w:leader="none" w:pos="7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Subsidiaries that are not Loan Parties in an aggregate amount for all such Indebtedness not to exceed $10,000,000 at any one time outstanding;</w:t>
      </w:r>
    </w:p>
    <w:p>
      <w:pPr>
        <w:spacing w:after="0" w:line="160" w:lineRule="exact"/>
        <w:rPr>
          <w:rFonts w:ascii="Times New Roman" w:cs="Times New Roman" w:eastAsia="Times New Roman" w:hAnsi="Times New Roman"/>
          <w:sz w:val="20"/>
          <w:szCs w:val="20"/>
          <w:color w:val="auto"/>
        </w:rPr>
      </w:pPr>
    </w:p>
    <w:p>
      <w:pPr>
        <w:ind w:left="-360" w:right="40" w:firstLine="745"/>
        <w:spacing w:after="0" w:line="268" w:lineRule="auto"/>
        <w:tabs>
          <w:tab w:leader="none" w:pos="7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employees of the Borrower (or any direct or indirect parent thereof) and its Subsidiaries incurred in the ordinary course of business;</w:t>
      </w:r>
    </w:p>
    <w:p>
      <w:pPr>
        <w:spacing w:after="0" w:line="160"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Indebtedness, any Permitted Warrant Transaction;</w:t>
      </w:r>
    </w:p>
    <w:p>
      <w:pPr>
        <w:spacing w:after="0" w:line="214"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Subordinated Debt;</w:t>
      </w:r>
    </w:p>
    <w:p>
      <w:pPr>
        <w:spacing w:after="0" w:line="210" w:lineRule="exact"/>
        <w:rPr>
          <w:rFonts w:ascii="Times New Roman" w:cs="Times New Roman" w:eastAsia="Times New Roman" w:hAnsi="Times New Roman"/>
          <w:sz w:val="20"/>
          <w:szCs w:val="20"/>
          <w:color w:val="auto"/>
        </w:rPr>
      </w:pPr>
    </w:p>
    <w:p>
      <w:pPr>
        <w:jc w:val="both"/>
        <w:ind w:left="-360" w:firstLine="745"/>
        <w:spacing w:after="0" w:line="247" w:lineRule="auto"/>
        <w:tabs>
          <w:tab w:leader="none" w:pos="7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with respect to Indebtedness otherwise permitted to be incurred pursuant to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 if such Indebtedness is subordinated to the Secured Obligations, such Guarantee shall be subordinated to the Secured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Obligations on terms, taken as a whole, at least as favorable to the Lenders (as determined in the Borrower’s good faith judgment in consultation with the Administrative Agent) as those contained in the subordination of such Indebtedness, taken as a whole, and (ii) such Guarantee is otherwise permitted as an Investment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7.03(s)</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78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of the Borrower or its Subsidiaries (including Guaranties by the Borrower or any Subsidiary) in respect of any “supply chain” or other similar financing program provided by a Lender or Affiliate of a Lender (or a Person who was a Lender or an Affiliate of a Lender at the time of entry into such program) for vendors or suppliers of the Borrower or any Subsidiary of the Borrower pursuant to which trade payables owed to such vendor or supplier are acquired by such Lender or Affiliate of a Lender (or a Person who was a Lender or an Affiliate of a Lender at the time of entry into such program), so long as (i) such Indebtedness is unsecured, and (ii) such Indebtedness represents amounts not in excess of those which the Borrower or any of its Subsidiaries would otherwise have been obligated to pay to its vendor or supplier in respect of the applicable trade payables (“</w:t>
      </w:r>
      <w:r>
        <w:rPr>
          <w:rFonts w:ascii="Times New Roman" w:cs="Times New Roman" w:eastAsia="Times New Roman" w:hAnsi="Times New Roman"/>
          <w:sz w:val="20"/>
          <w:szCs w:val="20"/>
          <w:u w:val="single" w:color="auto"/>
          <w:color w:val="auto"/>
        </w:rPr>
        <w:t>Permitted Supply Chain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Financing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8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165" w:name="page166"/>
    <w:bookmarkEnd w:id="165"/>
    <w:p>
      <w:pPr>
        <w:ind w:left="3" w:firstLine="745"/>
        <w:spacing w:after="0" w:line="268" w:lineRule="auto"/>
        <w:tabs>
          <w:tab w:leader="none" w:pos="114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Indebtedness not permitted by any of the foregoing clauses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in an aggregate principal amount not to exceed at any one time outstanding $10,000,000; and</w:t>
      </w:r>
    </w:p>
    <w:p>
      <w:pPr>
        <w:spacing w:after="0" w:line="160" w:lineRule="exact"/>
        <w:rPr>
          <w:rFonts w:ascii="Times New Roman" w:cs="Times New Roman" w:eastAsia="Times New Roman" w:hAnsi="Times New Roman"/>
          <w:sz w:val="20"/>
          <w:szCs w:val="20"/>
          <w:color w:val="auto"/>
        </w:rPr>
      </w:pPr>
    </w:p>
    <w:p>
      <w:pPr>
        <w:jc w:val="both"/>
        <w:ind w:left="3" w:firstLine="745"/>
        <w:spacing w:after="0" w:line="253" w:lineRule="auto"/>
        <w:tabs>
          <w:tab w:leader="none" w:pos="114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Indebtedness, all premiums (if any), interest (including post-petition interest and interest accreted to principal), fees, expenses, charges and additional or contingent interest on obligations described in any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7.03 </w:t>
      </w:r>
      <w:r>
        <w:rPr>
          <w:rFonts w:ascii="Times New Roman" w:cs="Times New Roman" w:eastAsia="Times New Roman" w:hAnsi="Times New Roman"/>
          <w:sz w:val="20"/>
          <w:szCs w:val="20"/>
          <w:b w:val="1"/>
          <w:bCs w:val="1"/>
          <w:u w:val="single" w:color="auto"/>
          <w:color w:val="auto"/>
        </w:rPr>
        <w:t>Investments.</w:t>
      </w:r>
    </w:p>
    <w:p>
      <w:pPr>
        <w:spacing w:after="0" w:line="2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Make or hold any Investments, except:</w:t>
      </w:r>
    </w:p>
    <w:p>
      <w:pPr>
        <w:spacing w:after="0" w:line="215" w:lineRule="exact"/>
        <w:rPr>
          <w:sz w:val="20"/>
          <w:szCs w:val="20"/>
          <w:color w:val="auto"/>
        </w:rPr>
      </w:pPr>
    </w:p>
    <w:p>
      <w:pPr>
        <w:jc w:val="both"/>
        <w:ind w:left="3" w:firstLine="745"/>
        <w:spacing w:after="0" w:line="250" w:lineRule="auto"/>
        <w:tabs>
          <w:tab w:leader="none" w:pos="1148"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as of the Closing Date and set forth on </w:t>
      </w:r>
      <w:r>
        <w:rPr>
          <w:rFonts w:ascii="Times New Roman" w:cs="Times New Roman" w:eastAsia="Times New Roman" w:hAnsi="Times New Roman"/>
          <w:sz w:val="20"/>
          <w:szCs w:val="20"/>
          <w:u w:val="single" w:color="auto"/>
          <w:color w:val="auto"/>
        </w:rPr>
        <w:t>Schedule 7.03</w:t>
      </w:r>
      <w:r>
        <w:rPr>
          <w:rFonts w:ascii="Times New Roman" w:cs="Times New Roman" w:eastAsia="Times New Roman" w:hAnsi="Times New Roman"/>
          <w:sz w:val="20"/>
          <w:szCs w:val="20"/>
          <w:color w:val="auto"/>
        </w:rPr>
        <w:t xml:space="preserve"> any modifications, replacements, renewals, reinvestments or extensions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the amount of any such Investment permitted pursuant to this </w:t>
      </w:r>
      <w:r>
        <w:rPr>
          <w:rFonts w:ascii="Times New Roman" w:cs="Times New Roman" w:eastAsia="Times New Roman" w:hAnsi="Times New Roman"/>
          <w:sz w:val="20"/>
          <w:szCs w:val="20"/>
          <w:u w:val="single" w:color="auto"/>
          <w:color w:val="auto"/>
        </w:rPr>
        <w:t>clause</w:t>
      </w:r>
    </w:p>
    <w:p>
      <w:pPr>
        <w:spacing w:after="0" w:line="1" w:lineRule="exact"/>
        <w:rPr>
          <w:rFonts w:ascii="Times New Roman" w:cs="Times New Roman" w:eastAsia="Times New Roman" w:hAnsi="Times New Roman"/>
          <w:sz w:val="20"/>
          <w:szCs w:val="20"/>
          <w:color w:val="auto"/>
        </w:rPr>
      </w:pPr>
    </w:p>
    <w:p>
      <w:pPr>
        <w:ind w:left="3" w:hanging="3"/>
        <w:spacing w:after="0" w:line="245" w:lineRule="auto"/>
        <w:tabs>
          <w:tab w:leader="none" w:pos="302" w:val="left"/>
        </w:tabs>
        <w:numPr>
          <w:ilvl w:val="0"/>
          <w:numId w:val="1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is not increased from the amount of such Investment on the Closing Date except to the extent such increase is incurred in reliance on another clause of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u w:val="single" w:color="auto"/>
          <w:color w:val="auto"/>
        </w:rPr>
      </w:pPr>
    </w:p>
    <w:p>
      <w:pPr>
        <w:jc w:val="both"/>
        <w:ind w:left="3" w:right="20" w:firstLine="745"/>
        <w:spacing w:after="0" w:line="253" w:lineRule="auto"/>
        <w:tabs>
          <w:tab w:leader="none" w:pos="1148"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 between and among the Loan Parties and (ii) Investments by any Loan Party in any Subsidiary that is not a Loan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such Investments made in reliance on this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xml:space="preserve"> shall not exceed at any one time outstanding $25,000,000;</w:t>
      </w:r>
    </w:p>
    <w:p>
      <w:pPr>
        <w:spacing w:after="0" w:line="176"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148"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by any Subsidiary that is not a Loan Party in (i) any other Subsidiary that is not a Loan Party or (ii) any Loan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to the extent that any such Investment incurred in reliance on this </w:t>
      </w:r>
      <w:r>
        <w:rPr>
          <w:rFonts w:ascii="Times New Roman" w:cs="Times New Roman" w:eastAsia="Times New Roman" w:hAnsi="Times New Roman"/>
          <w:sz w:val="20"/>
          <w:szCs w:val="20"/>
          <w:u w:val="single" w:color="auto"/>
          <w:color w:val="auto"/>
        </w:rPr>
        <w:t>clause (c)(ii)</w:t>
      </w:r>
      <w:r>
        <w:rPr>
          <w:rFonts w:ascii="Times New Roman" w:cs="Times New Roman" w:eastAsia="Times New Roman" w:hAnsi="Times New Roman"/>
          <w:sz w:val="20"/>
          <w:szCs w:val="20"/>
          <w:color w:val="auto"/>
        </w:rPr>
        <w:t xml:space="preserve"> constitutes loans or advances made to any Loan Party, promptly upon the written request of the Administrative Agent, such loans or advances shall be subordinated in right of payment to the Secured Obligations pursuant to subordination provisions reasonably acceptable to the Administrative Agent;</w:t>
      </w:r>
    </w:p>
    <w:p>
      <w:pPr>
        <w:spacing w:after="0" w:line="183" w:lineRule="exact"/>
        <w:rPr>
          <w:rFonts w:ascii="Times New Roman" w:cs="Times New Roman" w:eastAsia="Times New Roman" w:hAnsi="Times New Roman"/>
          <w:sz w:val="20"/>
          <w:szCs w:val="20"/>
          <w:color w:val="auto"/>
        </w:rPr>
      </w:pPr>
    </w:p>
    <w:p>
      <w:pPr>
        <w:jc w:val="both"/>
        <w:ind w:left="3" w:firstLine="745"/>
        <w:spacing w:after="0" w:line="245" w:lineRule="auto"/>
        <w:tabs>
          <w:tab w:leader="none" w:pos="1148"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Subsidiaries may (i) acquire and hold accounts receivables owing to any of them if created or acquired in the ordinary course of business and payable or dischargeable in accordance with customary terms, provided that such trade terms may include such concessionary trade terms in the ordinary course of business as the Borrower and its Subsidiaries deem reasonable under the circumstances, (ii) invest in, acquire and hold cash and Cash Equivalents, (iii) endorse negotiable instruments held for collection in the ordinary course of business or (iv) make lease, utility and other similar deposits in the ordinary course of business;</w:t>
      </w:r>
    </w:p>
    <w:p>
      <w:pPr>
        <w:spacing w:after="0" w:line="182" w:lineRule="exact"/>
        <w:rPr>
          <w:rFonts w:ascii="Times New Roman" w:cs="Times New Roman" w:eastAsia="Times New Roman" w:hAnsi="Times New Roman"/>
          <w:sz w:val="20"/>
          <w:szCs w:val="20"/>
          <w:color w:val="auto"/>
        </w:rPr>
      </w:pPr>
    </w:p>
    <w:p>
      <w:pPr>
        <w:jc w:val="both"/>
        <w:ind w:left="3" w:firstLine="745"/>
        <w:spacing w:after="0" w:line="257" w:lineRule="auto"/>
        <w:tabs>
          <w:tab w:leader="none" w:pos="1148"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ordinary course of business advances, loans or extensions of credit (A) by the Borrower or any Subsidiary in compliance with applicable Laws to directors, members, employees and officers of the Borrower or any Subsidiary for travel, entertainment or relocation, out of pocket or other business-related expenses in the ordinary course of business or (B) constituting advances of payroll payments or commissions payments to employees and (ii) for purposes not described in the foregoing </w:t>
      </w:r>
      <w:r>
        <w:rPr>
          <w:rFonts w:ascii="Times New Roman" w:cs="Times New Roman" w:eastAsia="Times New Roman" w:hAnsi="Times New Roman"/>
          <w:sz w:val="19"/>
          <w:szCs w:val="19"/>
          <w:u w:val="single" w:color="auto"/>
          <w:color w:val="auto"/>
        </w:rPr>
        <w:t>clause (e)</w:t>
      </w:r>
    </w:p>
    <w:p>
      <w:pPr>
        <w:spacing w:after="0" w:line="3" w:lineRule="exact"/>
        <w:rPr>
          <w:rFonts w:ascii="Times New Roman" w:cs="Times New Roman" w:eastAsia="Times New Roman" w:hAnsi="Times New Roman"/>
          <w:sz w:val="19"/>
          <w:szCs w:val="19"/>
          <w:color w:val="auto"/>
        </w:rPr>
      </w:pPr>
    </w:p>
    <w:p>
      <w:pPr>
        <w:jc w:val="both"/>
        <w:ind w:left="3"/>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loans and advances to directors, members, employees and officers of the Borrower and its Subsidiaries for bona fide business purposes, including the purchase of Qualified Equity Interests of the Borrower, in an aggregate amount not to exceed $2,000,000 at any one time outstanding;</w:t>
      </w:r>
    </w:p>
    <w:p>
      <w:pPr>
        <w:spacing w:after="0" w:line="185" w:lineRule="exact"/>
        <w:rPr>
          <w:rFonts w:ascii="Times New Roman" w:cs="Times New Roman" w:eastAsia="Times New Roman" w:hAnsi="Times New Roman"/>
          <w:sz w:val="19"/>
          <w:szCs w:val="19"/>
          <w:color w:val="auto"/>
        </w:rPr>
      </w:pPr>
    </w:p>
    <w:p>
      <w:pPr>
        <w:ind w:left="1143" w:hanging="395"/>
        <w:spacing w:after="0"/>
        <w:tabs>
          <w:tab w:leader="none" w:pos="1143"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Permitted Acquisitions and (ii) the Specified Acquisition;</w:t>
      </w:r>
    </w:p>
    <w:p>
      <w:pPr>
        <w:spacing w:after="0" w:line="214" w:lineRule="exact"/>
        <w:rPr>
          <w:rFonts w:ascii="Times New Roman" w:cs="Times New Roman" w:eastAsia="Times New Roman" w:hAnsi="Times New Roman"/>
          <w:sz w:val="20"/>
          <w:szCs w:val="20"/>
          <w:color w:val="auto"/>
        </w:rPr>
      </w:pPr>
    </w:p>
    <w:p>
      <w:pPr>
        <w:jc w:val="both"/>
        <w:ind w:left="3" w:firstLine="745"/>
        <w:spacing w:after="0" w:line="253" w:lineRule="auto"/>
        <w:tabs>
          <w:tab w:leader="none" w:pos="1148"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securities of trade creditors or customers in the ordinary course of business received in connection with the settlement of debts, the satisfaction of judgments, settlements, compromises or resolutions of litigation, arbitration or other disputes, upon foreclosure</w:t>
      </w:r>
    </w:p>
    <w:p>
      <w:pPr>
        <w:spacing w:after="0" w:line="200" w:lineRule="exact"/>
        <w:rPr>
          <w:sz w:val="20"/>
          <w:szCs w:val="20"/>
          <w:color w:val="auto"/>
        </w:rPr>
      </w:pPr>
    </w:p>
    <w:p>
      <w:pPr>
        <w:spacing w:after="0" w:line="376"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477520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1" w:right="339" w:bottom="1440" w:gutter="0" w:footer="0" w:header="0"/>
        </w:sectPr>
      </w:pPr>
    </w:p>
    <w:bookmarkStart w:id="166" w:name="page167"/>
    <w:bookmarkEnd w:id="166"/>
    <w:p>
      <w:pPr>
        <w:spacing w:after="0" w:line="268" w:lineRule="auto"/>
        <w:rPr>
          <w:sz w:val="20"/>
          <w:szCs w:val="20"/>
          <w:color w:val="auto"/>
        </w:rPr>
      </w:pPr>
      <w:r>
        <w:rPr>
          <w:rFonts w:ascii="Times New Roman" w:cs="Times New Roman" w:eastAsia="Times New Roman" w:hAnsi="Times New Roman"/>
          <w:sz w:val="20"/>
          <w:szCs w:val="20"/>
          <w:color w:val="auto"/>
        </w:rPr>
        <w:t>or pursuant to any plan of reorganization or liquidation or similar arrangement upon the bankruptcy or insolvency of such trade creditors or customers;</w:t>
      </w:r>
    </w:p>
    <w:p>
      <w:pPr>
        <w:spacing w:after="0" w:line="161" w:lineRule="exact"/>
        <w:rPr>
          <w:sz w:val="20"/>
          <w:szCs w:val="20"/>
          <w:color w:val="auto"/>
        </w:rPr>
      </w:pPr>
    </w:p>
    <w:p>
      <w:pPr>
        <w:jc w:val="both"/>
        <w:ind w:firstLine="745"/>
        <w:spacing w:after="0" w:line="253" w:lineRule="auto"/>
        <w:tabs>
          <w:tab w:leader="none" w:pos="11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the extent that such Investments are made with the net proceeds of the issuance of Qualified Equity Interests of the Borrower after the Closing Date or proceeds of an equity contribution made to the Borrower after the Closing Date, in each case, to the extent not resulting in a Change of Control and to the extent such proceeds are Not Otherwise Applied;</w:t>
      </w:r>
    </w:p>
    <w:p>
      <w:pPr>
        <w:spacing w:after="0" w:line="176" w:lineRule="exact"/>
        <w:rPr>
          <w:rFonts w:ascii="Times New Roman" w:cs="Times New Roman" w:eastAsia="Times New Roman" w:hAnsi="Times New Roman"/>
          <w:sz w:val="20"/>
          <w:szCs w:val="20"/>
          <w:color w:val="auto"/>
        </w:rPr>
      </w:pPr>
    </w:p>
    <w:p>
      <w:pPr>
        <w:jc w:val="both"/>
        <w:ind w:right="20" w:firstLine="745"/>
        <w:spacing w:after="0" w:line="295" w:lineRule="auto"/>
        <w:tabs>
          <w:tab w:leader="none" w:pos="1144"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consisting of prepaid expenses, negotiable instruments held for collection and lease, utility and workers’ compensation, performance and other similar deposits made in the ordinary course of business of the Borrower and its Subsidiaries;</w:t>
      </w:r>
    </w:p>
    <w:p>
      <w:pPr>
        <w:spacing w:after="0" w:line="137" w:lineRule="exact"/>
        <w:rPr>
          <w:rFonts w:ascii="Times New Roman" w:cs="Times New Roman" w:eastAsia="Times New Roman" w:hAnsi="Times New Roman"/>
          <w:sz w:val="19"/>
          <w:szCs w:val="19"/>
          <w:color w:val="auto"/>
        </w:rPr>
      </w:pPr>
    </w:p>
    <w:p>
      <w:pPr>
        <w:ind w:left="1140" w:hanging="395"/>
        <w:spacing w:after="0"/>
        <w:tabs>
          <w:tab w:leader="none" w:pos="114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cash earnest money deposits in connection with a Permitted Acquisition;</w:t>
      </w:r>
    </w:p>
    <w:p>
      <w:pPr>
        <w:spacing w:after="0" w:line="214" w:lineRule="exact"/>
        <w:rPr>
          <w:rFonts w:ascii="Times New Roman" w:cs="Times New Roman" w:eastAsia="Times New Roman" w:hAnsi="Times New Roman"/>
          <w:sz w:val="20"/>
          <w:szCs w:val="20"/>
          <w:color w:val="auto"/>
        </w:rPr>
      </w:pPr>
    </w:p>
    <w:p>
      <w:pPr>
        <w:ind w:right="20" w:firstLine="745"/>
        <w:spacing w:after="0" w:line="268" w:lineRule="auto"/>
        <w:tabs>
          <w:tab w:leader="none" w:pos="11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to suppliers of amounts provided by customers for the purchase of materials and the preparation of goods and inventory in respect of customer contracts entered into in the ordinary course of business;</w:t>
      </w:r>
    </w:p>
    <w:p>
      <w:pPr>
        <w:spacing w:after="0" w:line="160" w:lineRule="exact"/>
        <w:rPr>
          <w:rFonts w:ascii="Times New Roman" w:cs="Times New Roman" w:eastAsia="Times New Roman" w:hAnsi="Times New Roman"/>
          <w:sz w:val="20"/>
          <w:szCs w:val="20"/>
          <w:color w:val="auto"/>
        </w:rPr>
      </w:pPr>
    </w:p>
    <w:p>
      <w:pPr>
        <w:jc w:val="both"/>
        <w:ind w:firstLine="745"/>
        <w:spacing w:after="0" w:line="253" w:lineRule="auto"/>
        <w:tabs>
          <w:tab w:leader="none" w:pos="11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a Person acquired or merged into a Loan Party so long as such Investments (i) were not acquired in contemplation of such acquisition or merger and (ii) do not require any additional capital contributions to be made by the Borrower or any Subsidiary;</w:t>
      </w:r>
    </w:p>
    <w:p>
      <w:pPr>
        <w:spacing w:after="0" w:line="176"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Swap Contracts permitted under </w:t>
      </w:r>
      <w:r>
        <w:rPr>
          <w:rFonts w:ascii="Times New Roman" w:cs="Times New Roman" w:eastAsia="Times New Roman" w:hAnsi="Times New Roman"/>
          <w:sz w:val="20"/>
          <w:szCs w:val="20"/>
          <w:u w:val="single" w:color="auto"/>
          <w:color w:val="auto"/>
        </w:rPr>
        <w:t>Section 7.02(j)</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firstLine="745"/>
        <w:spacing w:after="0" w:line="253" w:lineRule="auto"/>
        <w:tabs>
          <w:tab w:leader="none" w:pos="11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purchases (including purchases of inventory, supplies and materials) and the non-exclusive licensing or contribution of intellectual property or software in the ordinary course of business consistent with past practices pursuant to joint development, joint commercialization, joint marketing or other collaboration arrangements with other Persons;</w:t>
      </w:r>
    </w:p>
    <w:p>
      <w:pPr>
        <w:spacing w:after="0" w:line="176" w:lineRule="exact"/>
        <w:rPr>
          <w:rFonts w:ascii="Times New Roman" w:cs="Times New Roman" w:eastAsia="Times New Roman" w:hAnsi="Times New Roman"/>
          <w:sz w:val="20"/>
          <w:szCs w:val="20"/>
          <w:color w:val="auto"/>
        </w:rPr>
      </w:pPr>
    </w:p>
    <w:p>
      <w:pPr>
        <w:ind w:firstLine="745"/>
        <w:spacing w:after="0" w:line="268" w:lineRule="auto"/>
        <w:tabs>
          <w:tab w:leader="none" w:pos="11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to a “rabbi” trust pursuant to a deferred compensation plan of the Borrower or any of its Subsidiaries for the benefit of employees or other grantor trust subject to claims of creditors in the case of a bankruptcy of the Borrower;</w:t>
      </w:r>
    </w:p>
    <w:p>
      <w:pPr>
        <w:spacing w:after="0" w:line="160"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Liens, Indebtedness, fundamental changes, Dispositions, Restricted Payments and prepayments of Indebtedness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respectively, and sales, transfers, leases, licenses or other dispositions not constituting a “Disposition” (in each case, permitted other than by reference to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any clause hereof));</w:t>
      </w:r>
    </w:p>
    <w:p>
      <w:pPr>
        <w:spacing w:after="0" w:line="174" w:lineRule="exact"/>
        <w:rPr>
          <w:rFonts w:ascii="Times New Roman" w:cs="Times New Roman" w:eastAsia="Times New Roman" w:hAnsi="Times New Roman"/>
          <w:sz w:val="20"/>
          <w:szCs w:val="20"/>
          <w:color w:val="auto"/>
        </w:rPr>
      </w:pPr>
    </w:p>
    <w:p>
      <w:pPr>
        <w:jc w:val="both"/>
        <w:ind w:firstLine="745"/>
        <w:spacing w:after="0" w:line="250" w:lineRule="auto"/>
        <w:tabs>
          <w:tab w:leader="none" w:pos="11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exercise of any put or call arrangement in connection with the Specified Acquisition;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the exercise of any such put or call arrangement constitutes an Investment by a Loan Party in a Subsidiary that is not a Loan Party in excess of $50,000,000, such Investment in excess of $50,000,000 must be otherwise permitted pursuant to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(without reference to this </w:t>
      </w:r>
      <w:r>
        <w:rPr>
          <w:rFonts w:ascii="Times New Roman" w:cs="Times New Roman" w:eastAsia="Times New Roman" w:hAnsi="Times New Roman"/>
          <w:sz w:val="20"/>
          <w:szCs w:val="20"/>
          <w:u w:val="single" w:color="auto"/>
          <w:color w:val="auto"/>
        </w:rPr>
        <w:t>clause (q)</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right="40" w:firstLine="745"/>
        <w:spacing w:after="0" w:line="268" w:lineRule="auto"/>
        <w:tabs>
          <w:tab w:leader="none" w:pos="11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Investments, any Permitted Bond Hedge Transaction entered into in connection with Permitted Convertible Indebtedness permitted by </w:t>
      </w:r>
      <w:r>
        <w:rPr>
          <w:rFonts w:ascii="Times New Roman" w:cs="Times New Roman" w:eastAsia="Times New Roman" w:hAnsi="Times New Roman"/>
          <w:sz w:val="20"/>
          <w:szCs w:val="20"/>
          <w:u w:val="single" w:color="auto"/>
          <w:color w:val="auto"/>
        </w:rPr>
        <w:t>Section 7.02(q)</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(other than by reference to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any clause hereof));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67" w:name="page168"/>
    <w:bookmarkEnd w:id="167"/>
    <w:p>
      <w:pPr>
        <w:jc w:val="both"/>
        <w:ind w:left="760" w:firstLine="745"/>
        <w:spacing w:after="0" w:line="244" w:lineRule="auto"/>
        <w:tabs>
          <w:tab w:leader="none" w:pos="19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Investment;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(i)(A) to the extent that such Investment is made in connection with a Limited Condition Acquisition, (1) no Event of Default shall exist as of the date the definitive acquisition agreement for such Limited Condition Acquisition is entered into and (2) immediately prior to, and after giving effect to such Investment, no Specified Event of Default shall have occurred and be continuing or would result therefrom and (B) in the case of any other Investment, no Event of Default shall then exist or would exist immediately after giving effect thereto and (ii) the Consolidated Total Net Leverage Ratio is less than 2.50 to 1.0, calculated as of the most recent Measurement Period after giving effect to such Investment on a Pro Forma Basis;</w:t>
      </w:r>
    </w:p>
    <w:p>
      <w:pPr>
        <w:spacing w:after="0" w:line="187"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the Borrower or any Subsidiary in respect of leases (other than Capital Leases) or other obligations of the Borrower or any other Subsidiary that do not constitute Indebtedness, in each case entered into in the ordinary course of business;</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connection with any Permitted Supply Chain Financing; and</w:t>
      </w:r>
    </w:p>
    <w:p>
      <w:pPr>
        <w:spacing w:after="0" w:line="210" w:lineRule="exact"/>
        <w:rPr>
          <w:rFonts w:ascii="Times New Roman" w:cs="Times New Roman" w:eastAsia="Times New Roman" w:hAnsi="Times New Roman"/>
          <w:sz w:val="20"/>
          <w:szCs w:val="20"/>
          <w:color w:val="auto"/>
        </w:rPr>
      </w:pPr>
    </w:p>
    <w:p>
      <w:pPr>
        <w:ind w:left="760" w:firstLine="745"/>
        <w:spacing w:after="0" w:line="272" w:lineRule="auto"/>
        <w:tabs>
          <w:tab w:leader="none" w:pos="19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in an aggregate amount at any one time outstanding not to exceed $10,000,000;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no Event of Default shall have occurred and be continuing at the time of such Investment or would result therefrom.</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7.04 </w:t>
      </w:r>
      <w:r>
        <w:rPr>
          <w:rFonts w:ascii="Times New Roman" w:cs="Times New Roman" w:eastAsia="Times New Roman" w:hAnsi="Times New Roman"/>
          <w:sz w:val="20"/>
          <w:szCs w:val="20"/>
          <w:b w:val="1"/>
          <w:bCs w:val="1"/>
          <w:u w:val="single" w:color="auto"/>
          <w:color w:val="auto"/>
        </w:rPr>
        <w:t>Fundamental Changes.</w:t>
      </w:r>
    </w:p>
    <w:p>
      <w:pPr>
        <w:spacing w:after="0" w:line="21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Merge, dissolve, liquidate, consolidate with or into another Person, or Dispose of (whether in one transaction or in a series of transactions) all or substantially all of its assets (whether now owned or hereafter acquired) to or in favor of any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notwithstanding the foregoing provisions of this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but subject to the terms of </w:t>
      </w:r>
      <w:r>
        <w:rPr>
          <w:rFonts w:ascii="Times New Roman" w:cs="Times New Roman" w:eastAsia="Times New Roman" w:hAnsi="Times New Roman"/>
          <w:sz w:val="20"/>
          <w:szCs w:val="20"/>
          <w:u w:val="single" w:color="auto"/>
          <w:color w:val="auto"/>
        </w:rPr>
        <w:t>Sections 6.12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(a) the Borrower may merge or consolidate with any of its Subsidiaries provided that the Borrower shall be the continuing or surviving Person, (b) any Loan Party other than the Borrower may merge or consolidate with any other Loan Party other than the Borrower, (c) any Subsidiary that is not a Loan Party may be merged or consolidated with or into any Loan Party provided that such Loan Party shall be the continuing or surviving Person, (d) any Subsidiary that is not a Loan Party may be merged or consolidated with or into any other Subsidiary that is not a Loan Party, and (e) any Subsidiary may dissolve, liquidate or wind up its affairs at any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 such dissolution, liquidation or winding up, as applicable, could not reasonably be expected to have a Material Adverse Effect and (ii) any assets of such Subsidiary or any distribution from such dissolution, liquidation or winding up, as applicable, are distributed to one or more Loan Parties, or if such Subsidiary is owned by a non-Loan Party and is itself not a Loan Party, distributed to any other Subsidiary.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7.05 </w:t>
      </w:r>
      <w:r>
        <w:rPr>
          <w:rFonts w:ascii="Times New Roman" w:cs="Times New Roman" w:eastAsia="Times New Roman" w:hAnsi="Times New Roman"/>
          <w:sz w:val="20"/>
          <w:szCs w:val="20"/>
          <w:b w:val="1"/>
          <w:bCs w:val="1"/>
          <w:u w:val="single" w:color="auto"/>
          <w:color w:val="auto"/>
        </w:rPr>
        <w:t>Dispositions.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Make any Disposition except for Permitted Transfers.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7.06 </w:t>
      </w:r>
      <w:r>
        <w:rPr>
          <w:rFonts w:ascii="Times New Roman" w:cs="Times New Roman" w:eastAsia="Times New Roman" w:hAnsi="Times New Roman"/>
          <w:sz w:val="20"/>
          <w:szCs w:val="20"/>
          <w:b w:val="1"/>
          <w:bCs w:val="1"/>
          <w:u w:val="single" w:color="auto"/>
          <w:color w:val="auto"/>
        </w:rPr>
        <w:t>Restricted Payments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Declare or make, directly or indirectly, any Restricted Payment, or incur any obligation (contingent or otherwise) to do so, except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193" w:lineRule="exact"/>
        <w:rPr>
          <w:sz w:val="20"/>
          <w:szCs w:val="20"/>
          <w:color w:val="auto"/>
        </w:rPr>
      </w:pPr>
    </w:p>
    <w:p>
      <w:pPr>
        <w:jc w:val="both"/>
        <w:ind w:left="760" w:firstLine="745"/>
        <w:spacing w:after="0" w:line="253" w:lineRule="auto"/>
        <w:tabs>
          <w:tab w:leader="none" w:pos="190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may make Restricted Payments to the Borrower or any other Person that owns Equity Interests in such Subsidiary, ratably according to their respective holdings of the type of Equity Interest in respect of which such Restricted Payment is being made;</w:t>
      </w:r>
    </w:p>
    <w:p>
      <w:pPr>
        <w:spacing w:after="0" w:line="176"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declare and make dividend payments or other distributions payable solely in Qualified Equity Interests of such Person;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68" w:name="page169"/>
    <w:bookmarkEnd w:id="168"/>
    <w:p>
      <w:pPr>
        <w:jc w:val="both"/>
        <w:ind w:left="-360" w:firstLine="745"/>
        <w:spacing w:after="0" w:line="253" w:lineRule="auto"/>
        <w:tabs>
          <w:tab w:leader="none" w:pos="7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cashless repurchases of its Equity Interests deemed to occur upon the exercise, purchase or settlement of stock options or other stock-based equity awards if such Equity Interests represent a portion of the exercise or purchase price and any applicable tax withholdings of such options or other stock-based equity awards;</w:t>
      </w:r>
    </w:p>
    <w:p>
      <w:pPr>
        <w:spacing w:after="0" w:line="176" w:lineRule="exact"/>
        <w:rPr>
          <w:rFonts w:ascii="Times New Roman" w:cs="Times New Roman" w:eastAsia="Times New Roman" w:hAnsi="Times New Roman"/>
          <w:sz w:val="20"/>
          <w:szCs w:val="20"/>
          <w:color w:val="auto"/>
        </w:rPr>
      </w:pPr>
    </w:p>
    <w:p>
      <w:pPr>
        <w:ind w:left="-360" w:right="20" w:firstLine="745"/>
        <w:spacing w:after="0" w:line="268" w:lineRule="auto"/>
        <w:tabs>
          <w:tab w:leader="none" w:pos="7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cash payments in lieu of the issuance of fractional shares in connection with the exercise of warrants, options or other securities convertible into or exchangeable for Equity Interests of the Borrower;</w:t>
      </w:r>
    </w:p>
    <w:p>
      <w:pPr>
        <w:spacing w:after="0" w:line="160" w:lineRule="exact"/>
        <w:rPr>
          <w:rFonts w:ascii="Times New Roman" w:cs="Times New Roman" w:eastAsia="Times New Roman" w:hAnsi="Times New Roman"/>
          <w:sz w:val="20"/>
          <w:szCs w:val="20"/>
          <w:color w:val="auto"/>
        </w:rPr>
      </w:pPr>
    </w:p>
    <w:p>
      <w:pPr>
        <w:jc w:val="both"/>
        <w:ind w:left="-360" w:firstLine="745"/>
        <w:spacing w:after="0" w:line="242" w:lineRule="auto"/>
        <w:tabs>
          <w:tab w:leader="none" w:pos="7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other Restricted Payments in an aggregate amount not to exceed $250,000,000 during the term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no Default shall have occurred and be continuing at the time of such Restricted Payment or would result therefrom;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after the Borrower has made $250,000,000 of Restricted Payments in reliance on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the Borrower may make additional Restricted Payments in reliance on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in an aggregate amount during the term of this Agreement not to exceed seventy-five percent (75%) of Consolidated EBITDA for the four (4) fiscal quarter period most recently ended for which financial statements have been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so long as (x) no Default shall have occurred and be continuing at the time of such Restricted Payment or would result therefrom and (y) the Consolidated Total Net Leverage Ratio is less than 2.25 to 1.0, calculated as of the most recent Measurement Period after giving effect to such Restricted Payment on a Pro Forma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during the Specified Period, in addition to the conditions set forth above, Restricted Payments made pursuant to this clause (e) shall only be permitted if, upon giving effect to such Restricted Payment on a Pro Forma Basis, the Loan Parties shall be in compliance with the Specified Conditions;</w:t>
      </w:r>
    </w:p>
    <w:p>
      <w:pPr>
        <w:spacing w:after="0" w:line="186" w:lineRule="exact"/>
        <w:rPr>
          <w:rFonts w:ascii="Times New Roman" w:cs="Times New Roman" w:eastAsia="Times New Roman" w:hAnsi="Times New Roman"/>
          <w:sz w:val="20"/>
          <w:szCs w:val="20"/>
          <w:color w:val="auto"/>
        </w:rPr>
      </w:pPr>
    </w:p>
    <w:p>
      <w:pPr>
        <w:jc w:val="both"/>
        <w:ind w:left="-360" w:right="20" w:firstLine="745"/>
        <w:spacing w:after="0" w:line="253" w:lineRule="auto"/>
        <w:tabs>
          <w:tab w:leader="none" w:pos="7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Restricted Payments, the Borrower or any Subsidiary may enter into and consummate transactions expressly permitted by any provision of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(in each case, permitted other than by reference to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(or any clause hereof));</w:t>
      </w:r>
    </w:p>
    <w:p>
      <w:pPr>
        <w:spacing w:after="0" w:line="176"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83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each Subsidiary may redeem or repurchase Equity Interests or other stock-based awards under any stock option plan, incentive plan, compensation plan or other benefit plan from officers, employees, consultants and directors of the Borrower or any of its Subsidiaries (or their estates, spouses or former spouses) upon the death, permanent disability, retirement or termination of service of any such Person or otherwise, so long as (i) no Default shall have occurred and be continuing at the time of such Restricted Payment or would result therefrom and (ii) the aggregate amount of Restricted Payments made in reliance on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in any fiscal year does not exceed the sum of (x) $10,000,000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the net cash proceeds received by the Borrower or any Subsidiary of any “key-man” life insurance policies of the Borrower or any Subsidiary that have not been used to make any Restricted Payments under this </w:t>
      </w:r>
      <w:r>
        <w:rPr>
          <w:rFonts w:ascii="Times New Roman" w:cs="Times New Roman" w:eastAsia="Times New Roman" w:hAnsi="Times New Roman"/>
          <w:sz w:val="20"/>
          <w:szCs w:val="20"/>
          <w:u w:val="single" w:color="auto"/>
          <w:color w:val="auto"/>
        </w:rPr>
        <w:t>Section 7.06(g)</w:t>
      </w:r>
      <w:r>
        <w:rPr>
          <w:rFonts w:ascii="Times New Roman" w:cs="Times New Roman" w:eastAsia="Times New Roman" w:hAnsi="Times New Roman"/>
          <w:sz w:val="20"/>
          <w:szCs w:val="20"/>
          <w:color w:val="auto"/>
        </w:rPr>
        <w:t xml:space="preserve"> and are Not Otherwise Applied;</w:t>
      </w:r>
    </w:p>
    <w:p>
      <w:pPr>
        <w:spacing w:after="0" w:line="186" w:lineRule="exact"/>
        <w:rPr>
          <w:rFonts w:ascii="Times New Roman" w:cs="Times New Roman" w:eastAsia="Times New Roman" w:hAnsi="Times New Roman"/>
          <w:sz w:val="20"/>
          <w:szCs w:val="20"/>
          <w:color w:val="auto"/>
        </w:rPr>
      </w:pPr>
    </w:p>
    <w:p>
      <w:pPr>
        <w:jc w:val="both"/>
        <w:ind w:left="-360" w:right="20" w:firstLine="745"/>
        <w:spacing w:after="0" w:line="253" w:lineRule="auto"/>
        <w:tabs>
          <w:tab w:leader="none" w:pos="7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cashless repurchases of its Equity Interests in the ordinary course of business deemed to occur upon the exercise of stock options or warrants if such Equity Interests are applied in payment of all or a portion of the exercise price of such options or warrants or tax withholding obligations with respect thereto; and</w:t>
      </w:r>
    </w:p>
    <w:p>
      <w:pPr>
        <w:spacing w:after="0" w:line="176" w:lineRule="exact"/>
        <w:rPr>
          <w:rFonts w:ascii="Times New Roman" w:cs="Times New Roman" w:eastAsia="Times New Roman" w:hAnsi="Times New Roman"/>
          <w:sz w:val="20"/>
          <w:szCs w:val="20"/>
          <w:color w:val="auto"/>
        </w:rPr>
      </w:pPr>
    </w:p>
    <w:p>
      <w:pPr>
        <w:ind w:left="-360" w:right="20" w:firstLine="745"/>
        <w:spacing w:after="0" w:line="268" w:lineRule="auto"/>
        <w:tabs>
          <w:tab w:leader="none" w:pos="7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pay cash dividends to the holders of its Equity Interests within sixty (60) days after the date of their declaration if such dividends could have been paid on the date of their declaration in compliance with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6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69" w:name="page170"/>
    <w:bookmarkEnd w:id="169"/>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7.07 </w:t>
      </w:r>
      <w:r>
        <w:rPr>
          <w:rFonts w:ascii="Times New Roman" w:cs="Times New Roman" w:eastAsia="Times New Roman" w:hAnsi="Times New Roman"/>
          <w:sz w:val="20"/>
          <w:szCs w:val="20"/>
          <w:b w:val="1"/>
          <w:bCs w:val="1"/>
          <w:u w:val="single" w:color="auto"/>
          <w:color w:val="auto"/>
        </w:rPr>
        <w:t>Change in Nature of Business.</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Engage in any material line of business substantially different from those lines of business conducted by the Borrower and its Subsidiaries on the Closing Date, similar, related, ancillary or complementary (including synergistically) businesses and reasonable extensions, developments and expansions thereof.</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7.08 </w:t>
      </w:r>
      <w:r>
        <w:rPr>
          <w:rFonts w:ascii="Times New Roman" w:cs="Times New Roman" w:eastAsia="Times New Roman" w:hAnsi="Times New Roman"/>
          <w:sz w:val="20"/>
          <w:szCs w:val="20"/>
          <w:b w:val="1"/>
          <w:bCs w:val="1"/>
          <w:u w:val="single" w:color="auto"/>
          <w:color w:val="auto"/>
        </w:rPr>
        <w:t>Transactions with Affiliates.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Enter into or permit to exist any transaction or series of transactions with any officer, director or Affiliate of such Person (other than</w:t>
      </w:r>
    </w:p>
    <w:p>
      <w:pPr>
        <w:spacing w:after="0" w:line="33" w:lineRule="exact"/>
        <w:rPr>
          <w:sz w:val="20"/>
          <w:szCs w:val="20"/>
          <w:color w:val="auto"/>
        </w:rPr>
      </w:pPr>
    </w:p>
    <w:p>
      <w:pPr>
        <w:jc w:val="both"/>
        <w:ind w:firstLine="8"/>
        <w:spacing w:after="0"/>
        <w:tabs>
          <w:tab w:leader="none" w:pos="27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solely between or among Loan Parties (including any entity that becomes a Guarantor as a result of such transaction) and (b) transactions solely between or among Subsidiaries that are not Loan Parties) other than upon fair and reasonable terms and conditions not materially less favorable to such Person (or, in the case of a transaction between a Loan Party and a Subsidiary that is not a Loan Party, such Loan Party) than would be obtained by such Person in a comparable arm’s length transaction with a Person other than an officer, director or Affiliate, except that the following shall be permitted:</w:t>
      </w:r>
    </w:p>
    <w:p>
      <w:pPr>
        <w:spacing w:after="0" w:line="19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transactions expressly permitted by this Agreement;</w:t>
      </w:r>
    </w:p>
    <w:p>
      <w:pPr>
        <w:spacing w:after="0" w:line="214" w:lineRule="exact"/>
        <w:rPr>
          <w:rFonts w:ascii="Times New Roman" w:cs="Times New Roman" w:eastAsia="Times New Roman" w:hAnsi="Times New Roman"/>
          <w:sz w:val="20"/>
          <w:szCs w:val="20"/>
          <w:color w:val="auto"/>
        </w:rPr>
      </w:pPr>
    </w:p>
    <w:p>
      <w:pPr>
        <w:jc w:val="both"/>
        <w:ind w:left="760" w:right="20" w:firstLine="745"/>
        <w:spacing w:after="0" w:line="253" w:lineRule="auto"/>
        <w:tabs>
          <w:tab w:leader="none" w:pos="190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reasonable and customary compensation and reimbursement of expenses of officers, directors and employees (including bonuses) and other benefits (including, without limitation, retirement, health, stock option and other benefit plans), indemnification arrangements and severance agreements;</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reasonable and customary indemnities provided to, and reasonable and customary fees and reimbursements paid to, members of the board of directors, board of managers or equivalent governing body, as applicable, of the Borrower and any Subsidiary;</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set forth on </w:t>
      </w:r>
      <w:r>
        <w:rPr>
          <w:rFonts w:ascii="Times New Roman" w:cs="Times New Roman" w:eastAsia="Times New Roman" w:hAnsi="Times New Roman"/>
          <w:sz w:val="20"/>
          <w:szCs w:val="20"/>
          <w:u w:val="single" w:color="auto"/>
          <w:color w:val="auto"/>
        </w:rPr>
        <w:t>Schedule 7.08</w:t>
      </w:r>
      <w:r>
        <w:rPr>
          <w:rFonts w:ascii="Times New Roman" w:cs="Times New Roman" w:eastAsia="Times New Roman" w:hAnsi="Times New Roman"/>
          <w:sz w:val="20"/>
          <w:szCs w:val="20"/>
          <w:color w:val="auto"/>
        </w:rPr>
        <w:t>; and</w:t>
      </w:r>
    </w:p>
    <w:p>
      <w:pPr>
        <w:spacing w:after="0" w:line="21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issuances, repurchases, redemptions, retirements or other acquisitions or retirement of Equity Interests of the Borrower or any Subsidiary and other Restricted Payments to the extent permitted under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and loans, and other transactions by and among the Borrower and/or one or more Subsidiaries, in each case, to the extent otherwise permitted under, and subject to the limitations otherwise contained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7.09 </w:t>
      </w:r>
      <w:r>
        <w:rPr>
          <w:rFonts w:ascii="Times New Roman" w:cs="Times New Roman" w:eastAsia="Times New Roman" w:hAnsi="Times New Roman"/>
          <w:sz w:val="20"/>
          <w:szCs w:val="20"/>
          <w:b w:val="1"/>
          <w:bCs w:val="1"/>
          <w:u w:val="single" w:color="auto"/>
          <w:color w:val="auto"/>
        </w:rPr>
        <w:t>Burdensome Agreements.</w:t>
      </w:r>
    </w:p>
    <w:p>
      <w:pPr>
        <w:spacing w:after="0" w:line="21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Enter into, or permit to exist, any Contractual Obligation that encumbers or restricts the ability of any such Person to (a) make Restricted Payments to any Loan Party, (b) pay any Indebtedness or other obligations owed to any Loan Party, (c) make loans or advances to any Loan Party, (d) transfer any of its property to any Loan Party, (e) pledge its property pursuant to the Loan Documents or any renewals, refinancings, exchanges, refundings or extension thereof or (f) act as a Loan Party pursuant to the Loan Documents or any renewals, refinancings, exchanges, refundings or extension thereof, except (in respect of any of the matters referred to in clauses (a) through (e) above) for (1) this Agreement and the other Loan Documents, (2) customary provisions restricting subletting or assignment of any lease governing a leasehold interest of a Subsidiary, (3) customary restrictions and conditions contained in any agreement relating to the sale of any property permitted under Section 7.05 pending the consummation of such sale, (4) any agreement in effect at the time a Subsidiary becomes a Subsidiary, so long as such agreement was not entered into in connection with or in contemplation of such person becoming a Subsidiary, (5) without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0" w:name="page171"/>
    <w:bookmarkEnd w:id="170"/>
    <w:p>
      <w:pPr>
        <w:jc w:val="both"/>
        <w:spacing w:after="0"/>
        <w:rPr>
          <w:sz w:val="20"/>
          <w:szCs w:val="20"/>
          <w:color w:val="auto"/>
        </w:rPr>
      </w:pPr>
      <w:r>
        <w:rPr>
          <w:rFonts w:ascii="Times New Roman" w:cs="Times New Roman" w:eastAsia="Times New Roman" w:hAnsi="Times New Roman"/>
          <w:sz w:val="20"/>
          <w:szCs w:val="20"/>
          <w:color w:val="auto"/>
        </w:rPr>
        <w:t>affecting the Loan Parties’ obligations under Section 6.12 and Section 6.13, customary provisions in Organization Documents, joint venture agreements, other similar agreements applicable to joint ventures and other non-Wholly Owned Subsidiaries permitted under Section 7.03 and applicable solely to such joint venture or non-Wholly Owned subsidiary and its equity, asset sale and stock sale agreements and other similar agreements entered into in the ordinary course of business, in each case, that restrict the transfer of ownership interests in or other rights in respect of such Person, (6) restrictions on cash or other deposits or net worth imposed by suppliers, landlords, customers, insurance and surety or bonding companies under contracts entered into in the ordinary course of business, (7) any instrument governing Indebtedness assumed in connection with any Permitted Acquisition, which encumbrance or restriction is not applicable to any Person, or the properties or assets of any Person, other than the Person or the properties or assets of the Person so acquired, (8) any agreement relating to Indebtedness incurred pursuant to Section 7.02(c) to the extent that such restrictions apply only to the property or assets securing such Indebtedness, (9) customary restrictions regarding licensing or sublicensing by the Borrower and its Subsidiaries of intellectual property in the ordinary course of business, (10) restrictions on cash earnest money deposits in favor of sellers in connection with acquisitions not prohibited hereunder, (11) restrictions in any agreement relating to Indebtedness of a Foreign Subsidiary that is not a Loan Party that is permitted by Section 7.02 and which does not apply to any Loan Party or any Domestic Subsidiary, so long as such restrictions do not impair the ability of the Loan Parties to perform their obligations under this Agreement, (12) any agreement relating to the Permitted Factoring Program to the extent that such restrictions apply only to the property or assets sold pursuant thereto and related assets (as described in the Permitted Factoring Agreement) and (13) solely in respect of the matters referenced in clauses (a) through (d) above and, to the extent such restrictions and conditions apply only to Subsidiaries constituting Excluded Subsidiaries (other than a Subsidiary constituting an Excluded Subsidiary solely by virtue of clause (a) of the definition thereof), clause (e) above, restrictions and conditions arising pursuant to an agreement or instrument relating to any Indebtedness permitted to be incurred after the Closing Date to the extent such restrictions and conditions are not materially more restrictive, taken as a whole, to the Borrower and its Subsidiaries, than the restrictions and conditions in the Loan Documents (except for (A) covenants and events of default applicable only to periods after the then Latest Maturity Date or (B) unless the Borrower enters into an amendment to this Agreement with the Administrative Agent (which amendment shall not require the consent of any other Lender) to add such more restrictive terms for the benefit of the Lenders).</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7.10 </w:t>
      </w:r>
      <w:r>
        <w:rPr>
          <w:rFonts w:ascii="Times New Roman" w:cs="Times New Roman" w:eastAsia="Times New Roman" w:hAnsi="Times New Roman"/>
          <w:sz w:val="20"/>
          <w:szCs w:val="20"/>
          <w:b w:val="1"/>
          <w:bCs w:val="1"/>
          <w:u w:val="single" w:color="auto"/>
          <w:color w:val="auto"/>
        </w:rPr>
        <w:t>Use of Proceeds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7.11 </w:t>
      </w:r>
      <w:r>
        <w:rPr>
          <w:rFonts w:ascii="Times New Roman" w:cs="Times New Roman" w:eastAsia="Times New Roman" w:hAnsi="Times New Roman"/>
          <w:sz w:val="20"/>
          <w:szCs w:val="20"/>
          <w:b w:val="1"/>
          <w:bCs w:val="1"/>
          <w:u w:val="single" w:color="auto"/>
          <w:color w:val="auto"/>
        </w:rPr>
        <w:t>Financial Covenants.</w:t>
      </w:r>
    </w:p>
    <w:p>
      <w:pPr>
        <w:spacing w:after="0" w:line="219" w:lineRule="exact"/>
        <w:rPr>
          <w:sz w:val="20"/>
          <w:szCs w:val="20"/>
          <w:color w:val="auto"/>
        </w:rPr>
      </w:pPr>
    </w:p>
    <w:p>
      <w:pPr>
        <w:jc w:val="both"/>
        <w:ind w:left="760" w:firstLine="745"/>
        <w:spacing w:after="0" w:line="253" w:lineRule="auto"/>
        <w:tabs>
          <w:tab w:leader="none" w:pos="1945"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Permit the Consolidated Interest Coverage Ratio as of the end of any Measurement Period ending as of the end of any fiscal quarter of the Borrower set forth below to be less than the ratio set forth below opposite such period.</w:t>
      </w:r>
    </w:p>
    <w:p>
      <w:pPr>
        <w:spacing w:after="0" w:line="200" w:lineRule="exact"/>
        <w:rPr>
          <w:sz w:val="20"/>
          <w:szCs w:val="20"/>
          <w:color w:val="auto"/>
        </w:rPr>
      </w:pPr>
    </w:p>
    <w:p>
      <w:pPr>
        <w:spacing w:after="0" w:line="205" w:lineRule="exact"/>
        <w:rPr>
          <w:sz w:val="20"/>
          <w:szCs w:val="20"/>
          <w:color w:val="auto"/>
        </w:rPr>
      </w:pPr>
    </w:p>
    <w:tbl>
      <w:tblPr>
        <w:tblLayout w:type="fixed"/>
        <w:tblInd w:w="1990" w:type="dxa"/>
        <w:tblCellMar>
          <w:top w:w="0" w:type="dxa"/>
          <w:left w:w="0" w:type="dxa"/>
          <w:bottom w:w="0" w:type="dxa"/>
          <w:right w:w="0" w:type="dxa"/>
        </w:tblCellMar>
      </w:tblPr>
      <w:tr>
        <w:trPr>
          <w:trHeight w:val="237"/>
        </w:trPr>
        <w:tc>
          <w:tcPr>
            <w:tcW w:w="4900" w:type="dxa"/>
            <w:vAlign w:val="bottom"/>
            <w:tcBorders>
              <w:top w:val="single" w:sz="8" w:color="auto"/>
              <w:left w:val="single" w:sz="8" w:color="auto"/>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8"/>
              </w:rPr>
              <w:t>Measurement Period Ending</w:t>
            </w:r>
          </w:p>
        </w:tc>
        <w:tc>
          <w:tcPr>
            <w:tcW w:w="274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8"/>
              </w:rPr>
              <w:t>Minimum Consolidated Interest</w:t>
            </w:r>
          </w:p>
        </w:tc>
        <w:tc>
          <w:tcPr>
            <w:tcW w:w="0" w:type="dxa"/>
            <w:vAlign w:val="bottom"/>
          </w:tcPr>
          <w:p>
            <w:pPr>
              <w:spacing w:after="0"/>
              <w:rPr>
                <w:sz w:val="1"/>
                <w:szCs w:val="1"/>
                <w:color w:val="auto"/>
              </w:rPr>
            </w:pPr>
          </w:p>
        </w:tc>
      </w:tr>
      <w:tr>
        <w:trPr>
          <w:trHeight w:val="137"/>
        </w:trPr>
        <w:tc>
          <w:tcPr>
            <w:tcW w:w="4900" w:type="dxa"/>
            <w:vAlign w:val="bottom"/>
            <w:tcBorders>
              <w:left w:val="single" w:sz="8" w:color="auto"/>
              <w:right w:val="single" w:sz="8" w:color="auto"/>
            </w:tcBorders>
            <w:vMerge w:val="continue"/>
            <w:shd w:val="clear" w:color="auto" w:fill="F2F2F2"/>
          </w:tcPr>
          <w:p>
            <w:pPr>
              <w:spacing w:after="0"/>
              <w:rPr>
                <w:sz w:val="11"/>
                <w:szCs w:val="11"/>
                <w:color w:val="auto"/>
              </w:rPr>
            </w:pPr>
          </w:p>
        </w:tc>
        <w:tc>
          <w:tcPr>
            <w:tcW w:w="274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9"/>
              </w:rPr>
              <w:t>Coverage Ratio</w:t>
            </w:r>
          </w:p>
        </w:tc>
        <w:tc>
          <w:tcPr>
            <w:tcW w:w="0" w:type="dxa"/>
            <w:vAlign w:val="bottom"/>
          </w:tcPr>
          <w:p>
            <w:pPr>
              <w:spacing w:after="0"/>
              <w:rPr>
                <w:sz w:val="1"/>
                <w:szCs w:val="1"/>
                <w:color w:val="auto"/>
              </w:rPr>
            </w:pPr>
          </w:p>
        </w:tc>
      </w:tr>
      <w:tr>
        <w:trPr>
          <w:trHeight w:val="126"/>
        </w:trPr>
        <w:tc>
          <w:tcPr>
            <w:tcW w:w="4900" w:type="dxa"/>
            <w:vAlign w:val="bottom"/>
            <w:tcBorders>
              <w:left w:val="single" w:sz="8" w:color="auto"/>
              <w:bottom w:val="single" w:sz="8" w:color="auto"/>
              <w:right w:val="single" w:sz="8" w:color="auto"/>
            </w:tcBorders>
            <w:shd w:val="clear" w:color="auto" w:fill="F2F2F2"/>
          </w:tcPr>
          <w:p>
            <w:pPr>
              <w:spacing w:after="0"/>
              <w:rPr>
                <w:sz w:val="10"/>
                <w:szCs w:val="10"/>
                <w:color w:val="auto"/>
              </w:rPr>
            </w:pPr>
          </w:p>
        </w:tc>
        <w:tc>
          <w:tcPr>
            <w:tcW w:w="2740" w:type="dxa"/>
            <w:vAlign w:val="bottom"/>
            <w:tcBorders>
              <w:bottom w:val="single" w:sz="8" w:color="auto"/>
              <w:right w:val="single" w:sz="8" w:color="auto"/>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4900" w:type="dxa"/>
            <w:vAlign w:val="bottom"/>
            <w:tcBorders>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color w:val="auto"/>
                <w:w w:val="98"/>
              </w:rPr>
              <w:t>September 30, 2021 through and including December 31,</w:t>
            </w:r>
          </w:p>
        </w:tc>
        <w:tc>
          <w:tcPr>
            <w:tcW w:w="2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3.00 to 1.00</w:t>
            </w:r>
          </w:p>
        </w:tc>
        <w:tc>
          <w:tcPr>
            <w:tcW w:w="0" w:type="dxa"/>
            <w:vAlign w:val="bottom"/>
          </w:tcPr>
          <w:p>
            <w:pPr>
              <w:spacing w:after="0"/>
              <w:rPr>
                <w:sz w:val="1"/>
                <w:szCs w:val="1"/>
                <w:color w:val="auto"/>
              </w:rPr>
            </w:pPr>
          </w:p>
        </w:tc>
      </w:tr>
      <w:tr>
        <w:trPr>
          <w:trHeight w:val="137"/>
        </w:trPr>
        <w:tc>
          <w:tcPr>
            <w:tcW w:w="4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2022</w:t>
            </w:r>
          </w:p>
        </w:tc>
        <w:tc>
          <w:tcPr>
            <w:tcW w:w="27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490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1" w:name="page172"/>
    <w:bookmarkEnd w:id="171"/>
    <w:tbl>
      <w:tblPr>
        <w:tblLayout w:type="fixed"/>
        <w:tblInd w:w="1990" w:type="dxa"/>
        <w:tblCellMar>
          <w:top w:w="0" w:type="dxa"/>
          <w:left w:w="0" w:type="dxa"/>
          <w:bottom w:w="0" w:type="dxa"/>
          <w:right w:w="0" w:type="dxa"/>
        </w:tblCellMar>
      </w:tblPr>
      <w:tr>
        <w:trPr>
          <w:trHeight w:val="290"/>
        </w:trPr>
        <w:tc>
          <w:tcPr>
            <w:tcW w:w="4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March 31, 2023 through and including December 31, 2023</w:t>
            </w:r>
          </w:p>
        </w:tc>
        <w:tc>
          <w:tcPr>
            <w:tcW w:w="2720" w:type="dxa"/>
            <w:vAlign w:val="bottom"/>
            <w:tcBorders>
              <w:top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20"/>
                <w:szCs w:val="20"/>
                <w:color w:val="auto"/>
              </w:rPr>
              <w:t>2.50 to 1.00</w:t>
            </w:r>
          </w:p>
        </w:tc>
      </w:tr>
      <w:tr>
        <w:trPr>
          <w:trHeight w:val="233"/>
        </w:trPr>
        <w:tc>
          <w:tcPr>
            <w:tcW w:w="4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March 31, 2024 and each fiscal quarter thereafter</w:t>
            </w:r>
          </w:p>
        </w:tc>
        <w:tc>
          <w:tcPr>
            <w:tcW w:w="27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20"/>
                <w:szCs w:val="20"/>
                <w:color w:val="auto"/>
              </w:rPr>
              <w:t>3.00 to 1.00</w:t>
            </w:r>
          </w:p>
        </w:tc>
      </w:tr>
    </w:tbl>
    <w:p>
      <w:pPr>
        <w:spacing w:after="0" w:line="200" w:lineRule="exact"/>
        <w:rPr>
          <w:sz w:val="20"/>
          <w:szCs w:val="20"/>
          <w:color w:val="auto"/>
        </w:rPr>
      </w:pPr>
    </w:p>
    <w:p>
      <w:pPr>
        <w:spacing w:after="0" w:line="222" w:lineRule="exact"/>
        <w:rPr>
          <w:sz w:val="20"/>
          <w:szCs w:val="20"/>
          <w:color w:val="auto"/>
        </w:rPr>
      </w:pPr>
    </w:p>
    <w:p>
      <w:pPr>
        <w:jc w:val="both"/>
        <w:ind w:left="760" w:firstLine="745"/>
        <w:spacing w:after="0" w:line="253" w:lineRule="auto"/>
        <w:tabs>
          <w:tab w:leader="none" w:pos="1931"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Total Net Leverage Ratio</w:t>
      </w:r>
      <w:r>
        <w:rPr>
          <w:rFonts w:ascii="Times New Roman" w:cs="Times New Roman" w:eastAsia="Times New Roman" w:hAnsi="Times New Roman"/>
          <w:sz w:val="20"/>
          <w:szCs w:val="20"/>
          <w:color w:val="auto"/>
        </w:rPr>
        <w:t>. Permit the Consolidated Total Net Leverage Ratio as of the end of any Measurement Period ending as of the end of any fiscal quarter of the Borrower set forth below to be greater than the ratio set forth below opposite such period:</w:t>
      </w:r>
    </w:p>
    <w:p>
      <w:pPr>
        <w:spacing w:after="0" w:line="176" w:lineRule="exact"/>
        <w:rPr>
          <w:sz w:val="20"/>
          <w:szCs w:val="20"/>
          <w:color w:val="auto"/>
        </w:rPr>
      </w:pPr>
    </w:p>
    <w:tbl>
      <w:tblPr>
        <w:tblLayout w:type="fixed"/>
        <w:tblInd w:w="1990" w:type="dxa"/>
        <w:tblCellMar>
          <w:top w:w="0" w:type="dxa"/>
          <w:left w:w="0" w:type="dxa"/>
          <w:bottom w:w="0" w:type="dxa"/>
          <w:right w:w="0" w:type="dxa"/>
        </w:tblCellMar>
      </w:tblPr>
      <w:tr>
        <w:trPr>
          <w:trHeight w:val="237"/>
        </w:trPr>
        <w:tc>
          <w:tcPr>
            <w:tcW w:w="4900" w:type="dxa"/>
            <w:vAlign w:val="bottom"/>
            <w:tcBorders>
              <w:top w:val="single" w:sz="8" w:color="auto"/>
              <w:left w:val="single" w:sz="8" w:color="auto"/>
              <w:right w:val="single" w:sz="8" w:color="auto"/>
            </w:tcBorders>
            <w:vMerge w:val="restart"/>
            <w:shd w:val="clear" w:color="auto" w:fill="F2F2F2"/>
          </w:tcPr>
          <w:p>
            <w:pPr>
              <w:ind w:left="1320"/>
              <w:spacing w:after="0"/>
              <w:rPr>
                <w:sz w:val="20"/>
                <w:szCs w:val="20"/>
                <w:color w:val="auto"/>
              </w:rPr>
            </w:pPr>
            <w:r>
              <w:rPr>
                <w:rFonts w:ascii="Times New Roman" w:cs="Times New Roman" w:eastAsia="Times New Roman" w:hAnsi="Times New Roman"/>
                <w:sz w:val="20"/>
                <w:szCs w:val="20"/>
                <w:color w:val="auto"/>
              </w:rPr>
              <w:t>Measurement Period Ending</w:t>
            </w:r>
          </w:p>
        </w:tc>
        <w:tc>
          <w:tcPr>
            <w:tcW w:w="274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7"/>
              </w:rPr>
              <w:t>Maximum Consolidated Total</w:t>
            </w:r>
          </w:p>
        </w:tc>
        <w:tc>
          <w:tcPr>
            <w:tcW w:w="0" w:type="dxa"/>
            <w:vAlign w:val="bottom"/>
          </w:tcPr>
          <w:p>
            <w:pPr>
              <w:spacing w:after="0"/>
              <w:rPr>
                <w:sz w:val="1"/>
                <w:szCs w:val="1"/>
                <w:color w:val="auto"/>
              </w:rPr>
            </w:pPr>
          </w:p>
        </w:tc>
      </w:tr>
      <w:tr>
        <w:trPr>
          <w:trHeight w:val="137"/>
        </w:trPr>
        <w:tc>
          <w:tcPr>
            <w:tcW w:w="4900" w:type="dxa"/>
            <w:vAlign w:val="bottom"/>
            <w:tcBorders>
              <w:left w:val="single" w:sz="8" w:color="auto"/>
              <w:right w:val="single" w:sz="8" w:color="auto"/>
            </w:tcBorders>
            <w:vMerge w:val="continue"/>
            <w:shd w:val="clear" w:color="auto" w:fill="F2F2F2"/>
          </w:tcPr>
          <w:p>
            <w:pPr>
              <w:spacing w:after="0"/>
              <w:rPr>
                <w:sz w:val="11"/>
                <w:szCs w:val="11"/>
                <w:color w:val="auto"/>
              </w:rPr>
            </w:pPr>
          </w:p>
        </w:tc>
        <w:tc>
          <w:tcPr>
            <w:tcW w:w="274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9"/>
              </w:rPr>
              <w:t>Net Leverage Ratio</w:t>
            </w:r>
          </w:p>
        </w:tc>
        <w:tc>
          <w:tcPr>
            <w:tcW w:w="0" w:type="dxa"/>
            <w:vAlign w:val="bottom"/>
          </w:tcPr>
          <w:p>
            <w:pPr>
              <w:spacing w:after="0"/>
              <w:rPr>
                <w:sz w:val="1"/>
                <w:szCs w:val="1"/>
                <w:color w:val="auto"/>
              </w:rPr>
            </w:pPr>
          </w:p>
        </w:tc>
      </w:tr>
      <w:tr>
        <w:trPr>
          <w:trHeight w:val="126"/>
        </w:trPr>
        <w:tc>
          <w:tcPr>
            <w:tcW w:w="4900" w:type="dxa"/>
            <w:vAlign w:val="bottom"/>
            <w:tcBorders>
              <w:left w:val="single" w:sz="8" w:color="auto"/>
              <w:bottom w:val="single" w:sz="8" w:color="auto"/>
              <w:right w:val="single" w:sz="8" w:color="auto"/>
            </w:tcBorders>
            <w:shd w:val="clear" w:color="auto" w:fill="F2F2F2"/>
          </w:tcPr>
          <w:p>
            <w:pPr>
              <w:spacing w:after="0"/>
              <w:rPr>
                <w:sz w:val="10"/>
                <w:szCs w:val="10"/>
                <w:color w:val="auto"/>
              </w:rPr>
            </w:pPr>
          </w:p>
        </w:tc>
        <w:tc>
          <w:tcPr>
            <w:tcW w:w="2740" w:type="dxa"/>
            <w:vAlign w:val="bottom"/>
            <w:tcBorders>
              <w:bottom w:val="single" w:sz="8" w:color="auto"/>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1263650</wp:posOffset>
            </wp:positionH>
            <wp:positionV relativeFrom="paragraph">
              <wp:posOffset>-327025</wp:posOffset>
            </wp:positionV>
            <wp:extent cx="4846320" cy="13525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extLst>
                    </a:blip>
                    <a:srcRect/>
                    <a:stretch>
                      <a:fillRect/>
                    </a:stretch>
                  </pic:blipFill>
                  <pic:spPr bwMode="auto">
                    <a:xfrm>
                      <a:off x="0" y="0"/>
                      <a:ext cx="4846320" cy="1352550"/>
                    </a:xfrm>
                    <a:prstGeom prst="rect">
                      <a:avLst/>
                    </a:prstGeom>
                    <a:noFill/>
                  </pic:spPr>
                </pic:pic>
              </a:graphicData>
            </a:graphic>
          </wp:anchor>
        </w:drawing>
      </w:r>
    </w:p>
    <w:tbl>
      <w:tblPr>
        <w:tblLayout w:type="fixed"/>
        <w:tblInd w:w="2000" w:type="dxa"/>
        <w:tblCellMar>
          <w:top w:w="0" w:type="dxa"/>
          <w:left w:w="0" w:type="dxa"/>
          <w:bottom w:w="0" w:type="dxa"/>
          <w:right w:w="0" w:type="dxa"/>
        </w:tblCellMar>
      </w:tblPr>
      <w:tr>
        <w:trPr>
          <w:trHeight w:val="253"/>
        </w:trPr>
        <w:tc>
          <w:tcPr>
            <w:tcW w:w="526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20"/>
                <w:szCs w:val="20"/>
                <w:color w:val="auto"/>
                <w:w w:val="98"/>
              </w:rPr>
              <w:t>September 30, 2021 through and including June 30, 2022</w:t>
            </w:r>
          </w:p>
        </w:tc>
        <w:tc>
          <w:tcPr>
            <w:tcW w:w="2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3.00 to 1.00</w:t>
            </w:r>
          </w:p>
        </w:tc>
      </w:tr>
      <w:tr>
        <w:trPr>
          <w:trHeight w:val="250"/>
        </w:trPr>
        <w:tc>
          <w:tcPr>
            <w:tcW w:w="526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20"/>
                <w:szCs w:val="20"/>
                <w:color w:val="auto"/>
                <w:w w:val="98"/>
              </w:rPr>
              <w:t>September 30, 2022</w:t>
            </w:r>
          </w:p>
        </w:tc>
        <w:tc>
          <w:tcPr>
            <w:tcW w:w="2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3.50 to 1.00</w:t>
            </w:r>
          </w:p>
        </w:tc>
      </w:tr>
      <w:tr>
        <w:trPr>
          <w:trHeight w:val="250"/>
        </w:trPr>
        <w:tc>
          <w:tcPr>
            <w:tcW w:w="526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20"/>
                <w:szCs w:val="20"/>
                <w:color w:val="auto"/>
                <w:w w:val="98"/>
              </w:rPr>
              <w:t>December 31, 2022 through and including March 31, 2023</w:t>
            </w:r>
          </w:p>
        </w:tc>
        <w:tc>
          <w:tcPr>
            <w:tcW w:w="2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3.75 to 1.00</w:t>
            </w:r>
          </w:p>
        </w:tc>
      </w:tr>
      <w:tr>
        <w:trPr>
          <w:trHeight w:val="250"/>
        </w:trPr>
        <w:tc>
          <w:tcPr>
            <w:tcW w:w="5260" w:type="dxa"/>
            <w:vAlign w:val="bottom"/>
            <w:tcBorders>
              <w:bottom w:val="single" w:sz="8" w:color="auto"/>
            </w:tcBorders>
          </w:tcPr>
          <w:p>
            <w:pPr>
              <w:jc w:val="center"/>
              <w:ind w:right="341"/>
              <w:spacing w:after="0"/>
              <w:rPr>
                <w:sz w:val="20"/>
                <w:szCs w:val="20"/>
                <w:color w:val="auto"/>
              </w:rPr>
            </w:pPr>
            <w:r>
              <w:rPr>
                <w:rFonts w:ascii="Times New Roman" w:cs="Times New Roman" w:eastAsia="Times New Roman" w:hAnsi="Times New Roman"/>
                <w:sz w:val="20"/>
                <w:szCs w:val="20"/>
                <w:color w:val="auto"/>
                <w:w w:val="98"/>
              </w:rPr>
              <w:t>June 30, 2023</w:t>
            </w:r>
          </w:p>
        </w:tc>
        <w:tc>
          <w:tcPr>
            <w:tcW w:w="2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3.50 to 1.00</w:t>
            </w:r>
          </w:p>
        </w:tc>
      </w:tr>
      <w:tr>
        <w:trPr>
          <w:trHeight w:val="250"/>
        </w:trPr>
        <w:tc>
          <w:tcPr>
            <w:tcW w:w="526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20"/>
                <w:szCs w:val="20"/>
                <w:color w:val="auto"/>
                <w:w w:val="98"/>
              </w:rPr>
              <w:t>September 30, 2023 and December 31, 2023</w:t>
            </w:r>
          </w:p>
        </w:tc>
        <w:tc>
          <w:tcPr>
            <w:tcW w:w="2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3.25 to 1.00</w:t>
            </w:r>
          </w:p>
        </w:tc>
      </w:tr>
      <w:tr>
        <w:trPr>
          <w:trHeight w:val="252"/>
        </w:trPr>
        <w:tc>
          <w:tcPr>
            <w:tcW w:w="526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8"/>
              </w:rPr>
              <w:t>March 31, 2024 and each fiscal quarter thereafter</w:t>
            </w:r>
          </w:p>
        </w:tc>
        <w:tc>
          <w:tcPr>
            <w:tcW w:w="2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3.00 to 1.00</w:t>
            </w:r>
          </w:p>
        </w:tc>
      </w:tr>
    </w:tbl>
    <w:p>
      <w:pPr>
        <w:spacing w:after="0" w:line="214"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that</w:t>
      </w:r>
      <w:r>
        <w:rPr>
          <w:rFonts w:ascii="Times New Roman" w:cs="Times New Roman" w:eastAsia="Times New Roman" w:hAnsi="Times New Roman"/>
          <w:sz w:val="19"/>
          <w:szCs w:val="19"/>
          <w:color w:val="auto"/>
        </w:rPr>
        <w:t>, upon the occurrence of a Qualified Acquisition, for each of the four (4) fiscal quarters of the Borrower immediately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following such Qualified Acquisition (including the fiscal quarter in which such Qualified Acquisition was consummated), the maximum Consolidated Total Net Leverage Ratio permitted pursuant to this </w:t>
      </w:r>
      <w:r>
        <w:rPr>
          <w:rFonts w:ascii="Times New Roman" w:cs="Times New Roman" w:eastAsia="Times New Roman" w:hAnsi="Times New Roman"/>
          <w:sz w:val="19"/>
          <w:szCs w:val="19"/>
          <w:u w:val="single" w:color="auto"/>
          <w:color w:val="auto"/>
        </w:rPr>
        <w:t>Section 7.11(b)</w:t>
      </w:r>
      <w:r>
        <w:rPr>
          <w:rFonts w:ascii="Times New Roman" w:cs="Times New Roman" w:eastAsia="Times New Roman" w:hAnsi="Times New Roman"/>
          <w:sz w:val="19"/>
          <w:szCs w:val="19"/>
          <w:color w:val="auto"/>
        </w:rPr>
        <w:t xml:space="preserve"> shall be increased to 3.50 to 1.00 (a “</w:t>
      </w:r>
      <w:r>
        <w:rPr>
          <w:rFonts w:ascii="Times New Roman" w:cs="Times New Roman" w:eastAsia="Times New Roman" w:hAnsi="Times New Roman"/>
          <w:sz w:val="19"/>
          <w:szCs w:val="19"/>
          <w:i w:val="1"/>
          <w:iCs w:val="1"/>
          <w:color w:val="auto"/>
        </w:rPr>
        <w:t>Leverage Increase Period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(i) no Leverage Increase Period may occur until the Borrower has delivered Compliance Certificates for two (2) consecutive fiscal quarters ending after the fiscal quarter ending September 31, 2023 evidencing that the Consolidated Total Net Leverage Ratio was not greater than 3.00 to 1.00 as of the end of each such fiscal quarter, (ii) following the expiration of any Leverage Increase Period, the maximum Consolidated Total Net Leverage Ratio cannot be subsequently increased again as a result of a subsequent Qualified Acquisition (and a subsequent Leverage Increase Period cannot commence) until the Borrower has delivered Compliance Certificates for two (2) consecutive fiscal quarters evidencing that the Consolidated Total Net Leverage Ratio was not greater than 3.00 to 1.00 as of the end of each such fiscal quarter, (iii) there shall be no more than three (3) Leverage Increase Periods exercised during the term of this Agreement, and (iv) each Leverage Increase Period shall only apply with respect to the calculation of this financial maintenance covenant and not for any other purpose.</w:t>
      </w:r>
    </w:p>
    <w:p>
      <w:pPr>
        <w:spacing w:after="0" w:line="183"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7.12 </w:t>
      </w:r>
      <w:r>
        <w:rPr>
          <w:rFonts w:ascii="Times New Roman" w:cs="Times New Roman" w:eastAsia="Times New Roman" w:hAnsi="Times New Roman"/>
          <w:sz w:val="20"/>
          <w:szCs w:val="20"/>
          <w:b w:val="1"/>
          <w:bCs w:val="1"/>
          <w:u w:val="single" w:color="auto"/>
          <w:color w:val="auto"/>
        </w:rPr>
        <w:t>Amendments of Organization Documents; Fiscal Year; Legal Name, State of Formation; Form of Entity;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Factoring Documents and Accounting Changes.</w:t>
      </w:r>
    </w:p>
    <w:p>
      <w:pPr>
        <w:spacing w:after="0" w:line="157" w:lineRule="exact"/>
        <w:rPr>
          <w:sz w:val="20"/>
          <w:szCs w:val="20"/>
          <w:color w:val="auto"/>
        </w:rPr>
      </w:pPr>
    </w:p>
    <w:p>
      <w:pPr>
        <w:ind w:left="1900" w:hanging="395"/>
        <w:spacing w:after="0"/>
        <w:tabs>
          <w:tab w:leader="none" w:pos="190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any of its Organization Documents in a manner materially adverse to the Lenders;</w:t>
      </w:r>
    </w:p>
    <w:p>
      <w:pPr>
        <w:spacing w:after="0" w:line="214" w:lineRule="exact"/>
        <w:rPr>
          <w:rFonts w:ascii="Times New Roman" w:cs="Times New Roman" w:eastAsia="Times New Roman" w:hAnsi="Times New Roman"/>
          <w:sz w:val="20"/>
          <w:szCs w:val="20"/>
          <w:color w:val="auto"/>
        </w:rPr>
      </w:pPr>
    </w:p>
    <w:p>
      <w:pPr>
        <w:jc w:val="both"/>
        <w:ind w:left="760" w:right="20" w:firstLine="745"/>
        <w:spacing w:after="0" w:line="253" w:lineRule="auto"/>
        <w:tabs>
          <w:tab w:leader="none" w:pos="190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consent of the Administrative Agent (such consent not to be unreasonably withheld, conditioned or delayed), change its fiscal year (it being understood that if such fiscal year is so changed, the Borrower and the Administrative Agent shall, and are hereby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2" w:name="page173"/>
    <w:bookmarkEnd w:id="172"/>
    <w:p>
      <w:pPr>
        <w:ind w:left="760"/>
        <w:spacing w:after="0" w:line="268" w:lineRule="auto"/>
        <w:rPr>
          <w:sz w:val="20"/>
          <w:szCs w:val="20"/>
          <w:color w:val="auto"/>
        </w:rPr>
      </w:pPr>
      <w:r>
        <w:rPr>
          <w:rFonts w:ascii="Times New Roman" w:cs="Times New Roman" w:eastAsia="Times New Roman" w:hAnsi="Times New Roman"/>
          <w:sz w:val="20"/>
          <w:szCs w:val="20"/>
          <w:color w:val="auto"/>
        </w:rPr>
        <w:t>authorized by the Lenders to, make any amendments to this Agreement that are necessary, in the judgment of the Administrative Agent and the Borrower to reflect such change in fiscal year);</w:t>
      </w:r>
    </w:p>
    <w:p>
      <w:pPr>
        <w:spacing w:after="0" w:line="161" w:lineRule="exact"/>
        <w:rPr>
          <w:sz w:val="20"/>
          <w:szCs w:val="20"/>
          <w:color w:val="auto"/>
        </w:rPr>
      </w:pPr>
    </w:p>
    <w:p>
      <w:pPr>
        <w:jc w:val="both"/>
        <w:ind w:left="760" w:firstLine="745"/>
        <w:spacing w:after="0" w:line="253" w:lineRule="auto"/>
        <w:tabs>
          <w:tab w:leader="none" w:pos="190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giving written notice thereof to the Administrative Agent within fifteen (15) days after the occurrence thereof (or such extended period of time as agreed to by the Administrative Agent), change its name, state of formation, form of organization or principal place of business;</w:t>
      </w:r>
    </w:p>
    <w:p>
      <w:pPr>
        <w:spacing w:after="0" w:line="176" w:lineRule="exact"/>
        <w:rPr>
          <w:rFonts w:ascii="Times New Roman" w:cs="Times New Roman" w:eastAsia="Times New Roman" w:hAnsi="Times New Roman"/>
          <w:sz w:val="20"/>
          <w:szCs w:val="20"/>
          <w:color w:val="auto"/>
        </w:rPr>
      </w:pPr>
    </w:p>
    <w:p>
      <w:pPr>
        <w:jc w:val="both"/>
        <w:ind w:left="760" w:right="20" w:firstLine="745"/>
        <w:spacing w:after="0" w:line="253" w:lineRule="auto"/>
        <w:tabs>
          <w:tab w:leader="none" w:pos="190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consent of the Administrative Agent (such consent not to be unreasonably withheld, conditioned or delayed), amend, in a manner materially adverse to the interests of the Administrative Agent or the Lenders, the Permitted Factoring Agreement or any other documentation entered into in connection with the Permitted Factoring Program; or</w:t>
      </w:r>
    </w:p>
    <w:p>
      <w:pPr>
        <w:spacing w:after="0" w:line="176"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accounting policies or reporting practices, in each case, except as required by GAAP or in a manner not materially adverse to the Lenders.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7.13 </w:t>
      </w:r>
      <w:r>
        <w:rPr>
          <w:rFonts w:ascii="Times New Roman" w:cs="Times New Roman" w:eastAsia="Times New Roman" w:hAnsi="Times New Roman"/>
          <w:sz w:val="20"/>
          <w:szCs w:val="20"/>
          <w:b w:val="1"/>
          <w:bCs w:val="1"/>
          <w:u w:val="single" w:color="auto"/>
          <w:color w:val="auto"/>
        </w:rPr>
        <w:t>Prepayments, Etc. of Indebtedness; Payment of Earn Out Obligations.</w:t>
      </w:r>
    </w:p>
    <w:p>
      <w:pPr>
        <w:spacing w:after="0" w:line="232"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20"/>
          <w:szCs w:val="20"/>
          <w:color w:val="auto"/>
        </w:rPr>
        <w:t xml:space="preserve">Make any voluntary or optional payment or prepayment or redemption or acquisition for value of (including without limitation, by way of depositing money or securities with the trustee with respect thereto before due for the purpose of paying when due), refund, refinance or exchange of (x) any Indebtedness of any Loan Party or any Subsidiary that is expressly subordinated in right of payment to the Secured Obligations (including, for the avoidance of doubt, any Permitted Subordinated Debt) or (y) any Indebtedness secured by Liens on the Collateral junior to those created under the Collateral Documents (any such Indebtedness described in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being a “</w:t>
      </w:r>
      <w:r>
        <w:rPr>
          <w:rFonts w:ascii="Times New Roman" w:cs="Times New Roman" w:eastAsia="Times New Roman" w:hAnsi="Times New Roman"/>
          <w:sz w:val="20"/>
          <w:szCs w:val="20"/>
          <w:i w:val="1"/>
          <w:iCs w:val="1"/>
          <w:u w:val="single" w:color="auto"/>
          <w:color w:val="auto"/>
        </w:rPr>
        <w:t>Junior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Financing</w:t>
      </w:r>
      <w:r>
        <w:rPr>
          <w:rFonts w:ascii="Times New Roman" w:cs="Times New Roman" w:eastAsia="Times New Roman" w:hAnsi="Times New Roman"/>
          <w:sz w:val="20"/>
          <w:szCs w:val="20"/>
          <w:color w:val="auto"/>
        </w:rPr>
        <w:t>”), except:</w:t>
      </w:r>
    </w:p>
    <w:p>
      <w:pPr>
        <w:spacing w:after="0" w:line="183" w:lineRule="exact"/>
        <w:rPr>
          <w:sz w:val="20"/>
          <w:szCs w:val="20"/>
          <w:color w:val="auto"/>
        </w:rPr>
      </w:pPr>
    </w:p>
    <w:p>
      <w:pPr>
        <w:ind w:left="760" w:firstLine="745"/>
        <w:spacing w:after="0" w:line="268"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its Subsidiaries may consummate any Permitted Refinancing permitted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of a Junior Financing;</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convert or exchange any Junior Financing into or for, as the case may be, Qualified Equity Interests of the Borrower and, in the case of a conversion of Permitted Convertible Indebtedness, the payment of any cash in lieu of fractional shares of the Qualified Equity Interests of the Borrower;</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provided no Default shall have occurred and be continuing or shall be caused thereby, the Borrower and its Subsidiaries may make prepayments, redemptions, purchases, defeasances and other payments in respect of any Junior Financing (other than any such payment constituting a Restricted Payment) prior to its scheduled maturity, in an aggregate amount for all such prepayments, redemptions, purchases, defeasances and other payments made in reliance on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not to exceed $15,000,000 in any fiscal year; and</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its Subsidiaries may make any prepayments, redemptions, purchases, defeasances and other payments in respect of Junior Financings (other than any such payment constituting a Restricted Payment) prior to the scheduled maturity thereof provided the Consolidated Total Net Leverage Ratio is less than 2.25 to 1.0 calculated as of the most recent Measurement Period after giving effect to such prepayment, redemption, defeasance or other payment on a Pro Forma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that</w:t>
      </w:r>
      <w:r>
        <w:rPr>
          <w:rFonts w:ascii="Times New Roman" w:cs="Times New Roman" w:eastAsia="Times New Roman" w:hAnsi="Times New Roman"/>
          <w:sz w:val="20"/>
          <w:szCs w:val="20"/>
          <w:color w:val="auto"/>
        </w:rPr>
        <w:t>, (i) no Default shall have occurred and be continuing or shall be caused thereby and (ii) the aggregate 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all such prepayments, redemptions, purchases, defeasances and other payments in respect of Junior Financings made in reliance on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shall not exceed $100,000,000 during the term of this Agreement.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3" w:name="page174"/>
    <w:bookmarkEnd w:id="173"/>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7.14 </w:t>
      </w:r>
      <w:r>
        <w:rPr>
          <w:rFonts w:ascii="Times New Roman" w:cs="Times New Roman" w:eastAsia="Times New Roman" w:hAnsi="Times New Roman"/>
          <w:sz w:val="20"/>
          <w:szCs w:val="20"/>
          <w:b w:val="1"/>
          <w:bCs w:val="1"/>
          <w:u w:val="single" w:color="auto"/>
          <w:color w:val="auto"/>
        </w:rPr>
        <w:t>Sale and Leaseback Transactions.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Enter into any Sale and Leaseback Transaction (other than any Permitted Sale and Leaseback Transaction).</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7.15 </w:t>
      </w:r>
      <w:r>
        <w:rPr>
          <w:rFonts w:ascii="Times New Roman" w:cs="Times New Roman" w:eastAsia="Times New Roman" w:hAnsi="Times New Roman"/>
          <w:sz w:val="20"/>
          <w:szCs w:val="20"/>
          <w:b w:val="1"/>
          <w:bCs w:val="1"/>
          <w:u w:val="single" w:color="auto"/>
          <w:color w:val="auto"/>
        </w:rPr>
        <w:t>Sanctions.</w:t>
      </w:r>
    </w:p>
    <w:p>
      <w:pPr>
        <w:spacing w:after="0" w:line="21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or otherwise) of Sanctions.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7.16 </w:t>
      </w:r>
      <w:r>
        <w:rPr>
          <w:rFonts w:ascii="Times New Roman" w:cs="Times New Roman" w:eastAsia="Times New Roman" w:hAnsi="Times New Roman"/>
          <w:sz w:val="20"/>
          <w:szCs w:val="20"/>
          <w:b w:val="1"/>
          <w:bCs w:val="1"/>
          <w:u w:val="single" w:color="auto"/>
          <w:color w:val="auto"/>
        </w:rPr>
        <w:t>Anti-Corruption Laws.</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Directly or indirectly, use any Credit Extension or the proceeds of any Credit Extension for any purpose that would breach the United States Foreign Corrupt Practices Act of 1977, the UK Bribery Act 2010 and other similar anti-corruption legislation in other jurisdictions applicable to the Borrower or its Subsidiaries.</w:t>
      </w:r>
    </w:p>
    <w:p>
      <w:pPr>
        <w:spacing w:after="0" w:line="17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EVENTS OF DEFAULT AND REMEDIES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8.01 </w:t>
      </w:r>
      <w:r>
        <w:rPr>
          <w:rFonts w:ascii="Times New Roman" w:cs="Times New Roman" w:eastAsia="Times New Roman" w:hAnsi="Times New Roman"/>
          <w:sz w:val="20"/>
          <w:szCs w:val="20"/>
          <w:b w:val="1"/>
          <w:bCs w:val="1"/>
          <w:u w:val="single" w:color="auto"/>
          <w:color w:val="auto"/>
        </w:rPr>
        <w:t>Events of Default.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of the following shall constitute an event of default (each, an “</w:t>
      </w:r>
      <w:r>
        <w:rPr>
          <w:rFonts w:ascii="Times New Roman" w:cs="Times New Roman" w:eastAsia="Times New Roman" w:hAnsi="Times New Roman"/>
          <w:sz w:val="20"/>
          <w:szCs w:val="20"/>
          <w:i w:val="1"/>
          <w:iCs w:val="1"/>
          <w:u w:val="single" w:color="auto"/>
          <w:color w:val="auto"/>
        </w:rPr>
        <w:t>Event of Default</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left="760" w:firstLine="745"/>
        <w:spacing w:after="0" w:line="246" w:lineRule="auto"/>
        <w:tabs>
          <w:tab w:leader="none" w:pos="191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The Borrower or any other Loan Party fails to pay (i) when and as required to be paid herein, any amount of principal of any Loan or any L/C Obligation or deposit any funds as Cash Collateral in respect of L/C Obligations, or (ii) within three (3) Business Days after the same becomes due, any interest on any Loan or on any L/C Obligation, or any fee due hereunder, or (iii) within five (5) Business Days after the same becomes due, any other amount payable hereunder or under any other Loan Document; or</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0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Any Loan Party fails to perform or observe any term, covenant or agreement contained in any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6.05(a)</w:t>
      </w:r>
      <w:r>
        <w:rPr>
          <w:rFonts w:ascii="Times New Roman" w:cs="Times New Roman" w:eastAsia="Times New Roman" w:hAnsi="Times New Roman"/>
          <w:sz w:val="20"/>
          <w:szCs w:val="20"/>
          <w:color w:val="auto"/>
        </w:rPr>
        <w:t xml:space="preserve"> (solely with respect to the legal existence of the Borrower), </w:t>
      </w:r>
      <w:r>
        <w:rPr>
          <w:rFonts w:ascii="Times New Roman" w:cs="Times New Roman" w:eastAsia="Times New Roman" w:hAnsi="Times New Roman"/>
          <w:sz w:val="20"/>
          <w:szCs w:val="20"/>
          <w:u w:val="single" w:color="auto"/>
          <w:color w:val="auto"/>
        </w:rPr>
        <w:t>6.08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or</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63" w:lineRule="auto"/>
        <w:tabs>
          <w:tab w:leader="none" w:pos="1904"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Defaults</w:t>
      </w:r>
      <w:r>
        <w:rPr>
          <w:rFonts w:ascii="Times New Roman" w:cs="Times New Roman" w:eastAsia="Times New Roman" w:hAnsi="Times New Roman"/>
          <w:sz w:val="19"/>
          <w:szCs w:val="19"/>
          <w:color w:val="auto"/>
        </w:rPr>
        <w:t xml:space="preserve">. Any Loan Party fails to perform or observe any other covenant or agreement (not specified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8.01(a</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above) contained in any Loan Document on its part to be performed or observed and such failure continues for thirty</w:t>
      </w:r>
    </w:p>
    <w:p>
      <w:pPr>
        <w:spacing w:after="0" w:line="1" w:lineRule="exact"/>
        <w:rPr>
          <w:rFonts w:ascii="Times New Roman" w:cs="Times New Roman" w:eastAsia="Times New Roman" w:hAnsi="Times New Roman"/>
          <w:sz w:val="19"/>
          <w:szCs w:val="19"/>
          <w:color w:val="auto"/>
        </w:rPr>
      </w:pPr>
    </w:p>
    <w:p>
      <w:pPr>
        <w:ind w:left="760" w:hanging="3"/>
        <w:spacing w:after="0" w:line="245" w:lineRule="auto"/>
        <w:tabs>
          <w:tab w:leader="none" w:pos="116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earlier of (i) written notice thereof from the Administrative Agent to the Borrower and (ii) any Loan Party becoming aware thereof; or</w:t>
      </w:r>
    </w:p>
    <w:p>
      <w:pPr>
        <w:spacing w:after="0" w:line="182"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31"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(without duplication of any applicable materiality qualifications with respect thereto) when made or deemed made; 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4" w:name="page175"/>
    <w:bookmarkEnd w:id="174"/>
    <w:p>
      <w:pPr>
        <w:jc w:val="both"/>
        <w:ind w:left="-360" w:firstLine="745"/>
        <w:spacing w:after="0"/>
        <w:tabs>
          <w:tab w:leader="none" w:pos="79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(i) Any Loan Party or any Subsidiary thereof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(excluding, in the case of any Permitted Convertible Indebtedness, any event or condition that would permit the holder or beneficiary of such Permitted Convertible Indebtedness to convert such Permitted Convertible Indebtedness into cash, Equity Interests of the Borrower or a combination thereof, in each case to the extent permitted hereunder, in any case, other than as a result of any default or event of default by the Borrower or any Subsidiary thereunder and other than as a result of a “change of control”, “fundamental change” or similar occurrence),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 (iii) an “Event of Default” (as defined in the Permitted Factoring Agreement) occurs under the Permitted Factoring Agreement; or</w:t>
      </w:r>
    </w:p>
    <w:p>
      <w:pPr>
        <w:spacing w:after="0" w:line="200"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82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Any Loan Party or any Material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86"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i) Any Loan Party or any Material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sixty (60) days after its issue or levy; or</w:t>
      </w:r>
    </w:p>
    <w:p>
      <w:pPr>
        <w:spacing w:after="0" w:line="178"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82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any Loan Party or any Material Subsidiary thereof (i) one or more final judgments or orders for the payment of money in an aggregate amount (as to all such judgments and orders) exceeding the Threshold Amount (to the extent not covered by independent third-party insurance as to which the insurer has been notified of the potential claim and does not dispute coverage), or (ii) any one or more non-monetary final judgments that have, or</w:t>
      </w:r>
    </w:p>
    <w:p>
      <w:pPr>
        <w:spacing w:after="0" w:line="200" w:lineRule="exact"/>
        <w:rPr>
          <w:sz w:val="20"/>
          <w:szCs w:val="20"/>
          <w:color w:val="auto"/>
        </w:rPr>
      </w:pPr>
    </w:p>
    <w:p>
      <w:pPr>
        <w:spacing w:after="0" w:line="3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75" w:name="page176"/>
    <w:bookmarkEnd w:id="175"/>
    <w:p>
      <w:pPr>
        <w:jc w:val="both"/>
        <w:ind w:left="760"/>
        <w:spacing w:after="0" w:line="253" w:lineRule="auto"/>
        <w:rPr>
          <w:sz w:val="20"/>
          <w:szCs w:val="20"/>
          <w:color w:val="auto"/>
        </w:rPr>
      </w:pPr>
      <w:r>
        <w:rPr>
          <w:rFonts w:ascii="Times New Roman" w:cs="Times New Roman" w:eastAsia="Times New Roman" w:hAnsi="Times New Roman"/>
          <w:sz w:val="20"/>
          <w:szCs w:val="20"/>
          <w:color w:val="auto"/>
        </w:rPr>
        <w:t>could reasonably be expected to have, individually or in the aggregate, a Material Adverse Effect and, in either case, (A) enforcement proceedings are commenced by any creditor upon such judgment or order, or (B) there is a period of sixty (60) consecutive days during which such judgment shall remain undischarged and not be effectively stayed or bonded; or</w:t>
      </w:r>
    </w:p>
    <w:p>
      <w:pPr>
        <w:spacing w:after="0" w:line="176" w:lineRule="exact"/>
        <w:rPr>
          <w:sz w:val="20"/>
          <w:szCs w:val="20"/>
          <w:color w:val="auto"/>
        </w:rPr>
      </w:pPr>
    </w:p>
    <w:p>
      <w:pPr>
        <w:jc w:val="both"/>
        <w:ind w:left="760" w:firstLine="745"/>
        <w:spacing w:after="0" w:line="246" w:lineRule="auto"/>
        <w:tabs>
          <w:tab w:leader="none" w:pos="190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Except as could not reasonably be expected to result in a Material Adverse Effect, (i) an ERISA Event occurs with respect to a Pension Plan or Multiemployer Plan which has resulted or could reasonably be expected to result in liability of the Borrower or any ERISA Affiliate under Title IV of ERISA to the Pension Plan, Multiemployer Plan or the PBGC, or (ii) the Borrower or any ERISA Affiliate fails to pay when due, after the expiration of any applicable grace period, any installment payment with respect to its withdrawal liability under Section 4201 of ERISA under a Multiemployer Plan; or</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18"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material provision of any Loan Document, at any time after its execution and delivery and for any reason other than as expressly permitted hereunder or thereunder or satisfaction in full of all Obligations arising under the Loan Documents, ceases to be in full force and effect; or any Loan Party contests in any manner the validity or enforceability of any provision of any material Loan Document; or any Loan Party denies that it has any or further liability or obligation under any provision of any Loan Document, or purports to revoke, terminate or rescind any material Loan Document; or it is or becomes unlawful for a Loan Party to perform any of its payment obligations under the Loan Documents; or</w:t>
      </w:r>
    </w:p>
    <w:p>
      <w:pPr>
        <w:spacing w:after="0" w:line="182"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Any Collateral Document after delivery thereof pursuant to the terms of the Loan Documents shall for any reason cease to create a valid and perfected first priority Lien (subject to Permitted Liens) on any material portion of the Collateral (except to the extent not required to be valid or perfected by the Loan Documents) purported to be covered thereby, or any Loan Party shall assert the invalidity of such Liens, except (i) as a result of the Disposition of the applicable Collateral to a Person that is not a Loan Party in a transaction permitted under the Loan Documents, and (ii) as a result of the Administrative Agent’s or any Lender’s failure to maintain possession of any stock certificates, promissory notes or other instruments delivered to it under the Collateral Documents; or</w:t>
      </w:r>
    </w:p>
    <w:p>
      <w:pPr>
        <w:spacing w:after="0" w:line="18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Without limiting the provisions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if a Default shall have occurred under the Loan Documents, then such Default will continue to exist until it either is cured (to the extent specifically permitted) in accordance with the Loan Documents or is otherwise expressly waived by Administrative Agent (with the approval of requisite Appropriate Lenders (in their sole discretion)) as determined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8.02 </w:t>
      </w:r>
      <w:r>
        <w:rPr>
          <w:rFonts w:ascii="Times New Roman" w:cs="Times New Roman" w:eastAsia="Times New Roman" w:hAnsi="Times New Roman"/>
          <w:sz w:val="20"/>
          <w:szCs w:val="20"/>
          <w:b w:val="1"/>
          <w:bCs w:val="1"/>
          <w:u w:val="single" w:color="auto"/>
          <w:color w:val="auto"/>
        </w:rPr>
        <w:t>Remedies upon Event of Default.</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any Event of Default occurs and is continuing, the Administrative Agent shall, at the request of, or may, with the consent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 Lenders, take any or all of the following actions:</w:t>
      </w:r>
    </w:p>
    <w:p>
      <w:pPr>
        <w:spacing w:after="0" w:line="193" w:lineRule="exact"/>
        <w:rPr>
          <w:sz w:val="20"/>
          <w:szCs w:val="20"/>
          <w:color w:val="auto"/>
        </w:rPr>
      </w:pPr>
    </w:p>
    <w:p>
      <w:pPr>
        <w:ind w:left="760" w:right="40" w:firstLine="745"/>
        <w:spacing w:after="0" w:line="268" w:lineRule="auto"/>
        <w:tabs>
          <w:tab w:leader="none" w:pos="190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6" w:name="page177"/>
    <w:bookmarkEnd w:id="176"/>
    <w:p>
      <w:pPr>
        <w:jc w:val="both"/>
        <w:ind w:left="760" w:firstLine="745"/>
        <w:spacing w:after="0" w:line="253" w:lineRule="auto"/>
        <w:tabs>
          <w:tab w:leader="none" w:pos="190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6" w:lineRule="exact"/>
        <w:rPr>
          <w:rFonts w:ascii="Times New Roman" w:cs="Times New Roman" w:eastAsia="Times New Roman" w:hAnsi="Times New Roman"/>
          <w:sz w:val="20"/>
          <w:szCs w:val="20"/>
          <w:color w:val="auto"/>
        </w:rPr>
      </w:pPr>
    </w:p>
    <w:p>
      <w:pPr>
        <w:ind w:left="760" w:right="40" w:firstLine="745"/>
        <w:spacing w:after="0" w:line="268" w:lineRule="auto"/>
        <w:tabs>
          <w:tab w:leader="none" w:pos="190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 Cash Collateralize the L/C Obligations (in an amount equal to the Minimum Collateral Amount with respect thereto); and</w:t>
      </w:r>
    </w:p>
    <w:p>
      <w:pPr>
        <w:spacing w:after="0" w:line="160"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0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 or Applicable Law or equity;</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upon the occurrence of an event described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respect to the Borrower, the Commitment of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8.03 </w:t>
      </w:r>
      <w:r>
        <w:rPr>
          <w:rFonts w:ascii="Times New Roman" w:cs="Times New Roman" w:eastAsia="Times New Roman" w:hAnsi="Times New Roman"/>
          <w:sz w:val="20"/>
          <w:szCs w:val="20"/>
          <w:b w:val="1"/>
          <w:bCs w:val="1"/>
          <w:u w:val="single" w:color="auto"/>
          <w:color w:val="auto"/>
        </w:rPr>
        <w:t>Application of Funds.</w:t>
      </w:r>
    </w:p>
    <w:p>
      <w:pPr>
        <w:spacing w:after="0" w:line="219" w:lineRule="exact"/>
        <w:rPr>
          <w:sz w:val="20"/>
          <w:szCs w:val="20"/>
          <w:color w:val="auto"/>
        </w:rPr>
      </w:pPr>
    </w:p>
    <w:p>
      <w:pPr>
        <w:jc w:val="both"/>
        <w:ind w:left="760" w:firstLine="745"/>
        <w:spacing w:after="0" w:line="246" w:lineRule="auto"/>
        <w:tabs>
          <w:tab w:leader="none" w:pos="190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at any time insufficient funds are received by and available to the Administrative Agent to pay fully all Secured Obligations then due hereunder, any amounts received on account of the Secured Obligations shall, subject to the provisions of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be applied by the Administrative Agent in the following order:</w:t>
      </w:r>
    </w:p>
    <w:p>
      <w:pPr>
        <w:spacing w:after="0" w:line="179" w:lineRule="exact"/>
        <w:rPr>
          <w:sz w:val="20"/>
          <w:szCs w:val="20"/>
          <w:color w:val="auto"/>
        </w:rPr>
      </w:pPr>
    </w:p>
    <w:p>
      <w:pPr>
        <w:jc w:val="both"/>
        <w:ind w:left="760" w:firstLine="749"/>
        <w:spacing w:after="0" w:line="255" w:lineRule="auto"/>
        <w:rPr>
          <w:sz w:val="20"/>
          <w:szCs w:val="20"/>
          <w:color w:val="auto"/>
        </w:rPr>
      </w:pP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to payment of that portion of the Secured Obligations constituting fees, indemnities, expenses and other amounts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(including fees, charges and disbursements of counsel to the Administrative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70" w:lineRule="exact"/>
        <w:rPr>
          <w:sz w:val="20"/>
          <w:szCs w:val="20"/>
          <w:color w:val="auto"/>
        </w:rPr>
      </w:pPr>
    </w:p>
    <w:p>
      <w:pPr>
        <w:jc w:val="both"/>
        <w:ind w:left="760" w:firstLine="749"/>
        <w:spacing w:after="0" w:line="250" w:lineRule="auto"/>
        <w:rPr>
          <w:sz w:val="20"/>
          <w:szCs w:val="20"/>
          <w:color w:val="auto"/>
        </w:rPr>
      </w:pP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to payment of that portion of the Secured Obligations constituting fees, indemnities and other amounts (other than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principal, interest and Letter of Credit Fees) payable to the Lenders and the L/C Issuer (including fees, charges and disbursements of counsel to the respective Lenders and the L/C Issuer arising under the Loan Documents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clause payable to them;</w:t>
      </w:r>
    </w:p>
    <w:p>
      <w:pPr>
        <w:spacing w:after="0" w:line="174" w:lineRule="exact"/>
        <w:rPr>
          <w:sz w:val="20"/>
          <w:szCs w:val="20"/>
          <w:color w:val="auto"/>
        </w:rPr>
      </w:pPr>
    </w:p>
    <w:p>
      <w:pPr>
        <w:jc w:val="both"/>
        <w:ind w:left="760" w:firstLine="749"/>
        <w:spacing w:after="0" w:line="255" w:lineRule="auto"/>
        <w:rPr>
          <w:sz w:val="20"/>
          <w:szCs w:val="20"/>
          <w:color w:val="auto"/>
        </w:rPr>
      </w:pP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to payment of that portion of the Secured Obligations constituting accrued and unpaid Letter of Credit Fees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interest on the Loans, L/C Borrowings and other Secured Obligations arising under the Loan Documents, ratably among the Lenders and the L/C Issuer in proportion to the respective amounts described in this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clause payable to them;</w:t>
      </w:r>
    </w:p>
    <w:p>
      <w:pPr>
        <w:spacing w:after="0" w:line="170" w:lineRule="exact"/>
        <w:rPr>
          <w:sz w:val="20"/>
          <w:szCs w:val="20"/>
          <w:color w:val="auto"/>
        </w:rPr>
      </w:pPr>
    </w:p>
    <w:p>
      <w:pPr>
        <w:jc w:val="both"/>
        <w:ind w:left="760" w:firstLine="749"/>
        <w:spacing w:after="0" w:line="250" w:lineRule="auto"/>
        <w:rPr>
          <w:sz w:val="20"/>
          <w:szCs w:val="20"/>
          <w:color w:val="auto"/>
        </w:rPr>
      </w:pP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to payment of that portion of the Secured Obligations constituting unpaid principal of the Loans, L/C Borrowings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Secured Obligations then owing under any the Secured Hedge Agreements and Secured Cash Management Agreements and to the to the Administrative Agent for the account of the L/C Issuer, to Cash Collateralize that portion of L/C Obligations comprised of the aggregate undrawn amount of Letters of Credit to the extent not otherwise Cash</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7" w:name="page178"/>
    <w:bookmarkEnd w:id="17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Collateralized by the Borrower pursuant to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in each case ratably among the Administrative Agent, the Lenders, the L/C Issuer, the Hedge Banks and the Cash Management Banks in proportion to the respective amounts described in this </w:t>
      </w: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xml:space="preserve"> clause held by them; and</w:t>
      </w:r>
    </w:p>
    <w:p>
      <w:pPr>
        <w:spacing w:after="0" w:line="172"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i w:val="1"/>
          <w:iCs w:val="1"/>
          <w:u w:val="single" w:color="auto"/>
          <w:color w:val="auto"/>
        </w:rPr>
        <w:t>Last</w:t>
      </w:r>
      <w:r>
        <w:rPr>
          <w:rFonts w:ascii="Times New Roman" w:cs="Times New Roman" w:eastAsia="Times New Roman" w:hAnsi="Times New Roman"/>
          <w:sz w:val="20"/>
          <w:szCs w:val="20"/>
          <w:color w:val="auto"/>
        </w:rPr>
        <w:t>, the balance, if any, after all of the Secured Obligations have been indefeasibly paid in full, to the Borrower or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otherwise required by Law.</w:t>
      </w:r>
    </w:p>
    <w:p>
      <w:pPr>
        <w:spacing w:after="0" w:line="157" w:lineRule="exact"/>
        <w:rPr>
          <w:sz w:val="20"/>
          <w:szCs w:val="20"/>
          <w:color w:val="auto"/>
        </w:rPr>
      </w:pPr>
    </w:p>
    <w:p>
      <w:pPr>
        <w:jc w:val="both"/>
        <w:ind w:firstLine="745"/>
        <w:spacing w:after="0" w:line="244" w:lineRule="auto"/>
        <w:tabs>
          <w:tab w:leader="none" w:pos="114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amounts used to Cash Collateralize the aggregate undrawn amount of Letters of Credit pursuant to the </w:t>
      </w: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xml:space="preserve"> clause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firstLine="745"/>
        <w:spacing w:after="0" w:line="244" w:lineRule="auto"/>
        <w:tabs>
          <w:tab w:leader="none" w:pos="114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for itself and its Affiliates as if a “Lender” party hereto.</w:t>
      </w:r>
    </w:p>
    <w:p>
      <w:pPr>
        <w:spacing w:after="0" w:line="18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2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9.01 </w:t>
      </w:r>
      <w:r>
        <w:rPr>
          <w:rFonts w:ascii="Times New Roman" w:cs="Times New Roman" w:eastAsia="Times New Roman" w:hAnsi="Times New Roman"/>
          <w:sz w:val="20"/>
          <w:szCs w:val="20"/>
          <w:b w:val="1"/>
          <w:bCs w:val="1"/>
          <w:u w:val="single" w:color="auto"/>
          <w:color w:val="auto"/>
        </w:rPr>
        <w:t>Appointment and Authority.</w:t>
      </w:r>
    </w:p>
    <w:p>
      <w:pPr>
        <w:spacing w:after="0" w:line="219" w:lineRule="exact"/>
        <w:rPr>
          <w:sz w:val="20"/>
          <w:szCs w:val="20"/>
          <w:color w:val="auto"/>
        </w:rPr>
      </w:pPr>
    </w:p>
    <w:p>
      <w:pPr>
        <w:jc w:val="both"/>
        <w:ind w:firstLine="745"/>
        <w:spacing w:after="0" w:line="242" w:lineRule="auto"/>
        <w:tabs>
          <w:tab w:leader="none" w:pos="11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w:t>
      </w:r>
      <w:r>
        <w:rPr>
          <w:rFonts w:ascii="Times New Roman" w:cs="Times New Roman" w:eastAsia="Times New Roman" w:hAnsi="Times New Roman"/>
          <w:sz w:val="20"/>
          <w:szCs w:val="20"/>
          <w:color w:val="auto"/>
        </w:rPr>
        <w:t xml:space="preserve">. Each of the Lenders and the L/C Issuer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are solely for the benefit of the Administrative Agent, the Lenders and the L/C Issuer,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9" w:lineRule="exact"/>
        <w:rPr>
          <w:rFonts w:ascii="Times New Roman" w:cs="Times New Roman" w:eastAsia="Times New Roman" w:hAnsi="Times New Roman"/>
          <w:sz w:val="20"/>
          <w:szCs w:val="20"/>
          <w:color w:val="auto"/>
        </w:rPr>
      </w:pPr>
    </w:p>
    <w:p>
      <w:pPr>
        <w:jc w:val="both"/>
        <w:ind w:firstLine="745"/>
        <w:spacing w:after="0" w:line="273" w:lineRule="auto"/>
        <w:tabs>
          <w:tab w:leader="none" w:pos="1158"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 The Administrative Agent shall also act as the “collateral agent” under the Loan Documents, and each of the Lenders (including in its capacities as a potential Hedge Bank and a potential Cash Management Bank) and the L/C Issuer hereby irrevocably appoints and authorizes the Administrative Agent to act as the agent of such Lender and the L/C Issuer for</w:t>
      </w:r>
    </w:p>
    <w:p>
      <w:pPr>
        <w:spacing w:after="0" w:line="200" w:lineRule="exact"/>
        <w:rPr>
          <w:sz w:val="20"/>
          <w:szCs w:val="20"/>
          <w:color w:val="auto"/>
        </w:rPr>
      </w:pPr>
    </w:p>
    <w:p>
      <w:pPr>
        <w:spacing w:after="0" w:line="35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78" w:name="page179"/>
    <w:bookmarkEnd w:id="178"/>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 xml:space="preserve">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9.02 </w:t>
      </w:r>
      <w:r>
        <w:rPr>
          <w:rFonts w:ascii="Times New Roman" w:cs="Times New Roman" w:eastAsia="Times New Roman" w:hAnsi="Times New Roman"/>
          <w:sz w:val="20"/>
          <w:szCs w:val="20"/>
          <w:b w:val="1"/>
          <w:bCs w:val="1"/>
          <w:u w:val="single" w:color="auto"/>
          <w:color w:val="auto"/>
        </w:rPr>
        <w:t>Rights as a Lender.</w:t>
      </w:r>
    </w:p>
    <w:p>
      <w:pPr>
        <w:spacing w:after="0" w:line="21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9.03 </w:t>
      </w:r>
      <w:r>
        <w:rPr>
          <w:rFonts w:ascii="Times New Roman" w:cs="Times New Roman" w:eastAsia="Times New Roman" w:hAnsi="Times New Roman"/>
          <w:sz w:val="20"/>
          <w:szCs w:val="20"/>
          <w:b w:val="1"/>
          <w:bCs w:val="1"/>
          <w:u w:val="single" w:color="auto"/>
          <w:color w:val="auto"/>
        </w:rPr>
        <w:t>Exculpatory Provisions</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left="760" w:right="20" w:firstLine="745"/>
        <w:spacing w:after="0" w:line="253" w:lineRule="auto"/>
        <w:tabs>
          <w:tab w:leader="none" w:pos="190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 and its Related Parties:</w:t>
      </w:r>
    </w:p>
    <w:p>
      <w:pPr>
        <w:spacing w:after="0" w:line="176" w:lineRule="exact"/>
        <w:rPr>
          <w:rFonts w:ascii="Times New Roman" w:cs="Times New Roman" w:eastAsia="Times New Roman" w:hAnsi="Times New Roman"/>
          <w:sz w:val="20"/>
          <w:szCs w:val="20"/>
          <w:color w:val="auto"/>
        </w:rPr>
      </w:pPr>
    </w:p>
    <w:p>
      <w:pPr>
        <w:ind w:left="1500" w:right="20" w:firstLine="754"/>
        <w:spacing w:after="0" w:line="268" w:lineRule="auto"/>
        <w:tabs>
          <w:tab w:leader="none" w:pos="264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w:t>
      </w:r>
    </w:p>
    <w:p>
      <w:pPr>
        <w:spacing w:after="0" w:line="160" w:lineRule="exact"/>
        <w:rPr>
          <w:rFonts w:ascii="Times New Roman" w:cs="Times New Roman" w:eastAsia="Times New Roman" w:hAnsi="Times New Roman"/>
          <w:sz w:val="20"/>
          <w:szCs w:val="20"/>
          <w:color w:val="auto"/>
        </w:rPr>
      </w:pPr>
    </w:p>
    <w:p>
      <w:pPr>
        <w:jc w:val="both"/>
        <w:ind w:left="1500" w:firstLine="754"/>
        <w:spacing w:after="0" w:line="258" w:lineRule="auto"/>
        <w:tabs>
          <w:tab w:leader="none" w:pos="2644" w:val="left"/>
        </w:tabs>
        <w:numPr>
          <w:ilvl w:val="1"/>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0" w:lineRule="exact"/>
        <w:rPr>
          <w:rFonts w:ascii="Times New Roman" w:cs="Times New Roman" w:eastAsia="Times New Roman" w:hAnsi="Times New Roman"/>
          <w:sz w:val="19"/>
          <w:szCs w:val="19"/>
          <w:color w:val="auto"/>
        </w:rPr>
      </w:pPr>
    </w:p>
    <w:p>
      <w:pPr>
        <w:jc w:val="both"/>
        <w:ind w:left="1500" w:firstLine="754"/>
        <w:spacing w:after="0" w:line="249" w:lineRule="auto"/>
        <w:tabs>
          <w:tab w:leader="none" w:pos="264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 or any of their Related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9" w:name="page180"/>
    <w:bookmarkEnd w:id="179"/>
    <w:p>
      <w:pPr>
        <w:ind w:left="1500"/>
        <w:spacing w:after="0" w:line="268" w:lineRule="auto"/>
        <w:rPr>
          <w:sz w:val="20"/>
          <w:szCs w:val="20"/>
          <w:color w:val="auto"/>
        </w:rPr>
      </w:pPr>
      <w:r>
        <w:rPr>
          <w:rFonts w:ascii="Times New Roman" w:cs="Times New Roman" w:eastAsia="Times New Roman" w:hAnsi="Times New Roman"/>
          <w:sz w:val="20"/>
          <w:szCs w:val="20"/>
          <w:color w:val="auto"/>
        </w:rPr>
        <w:t>Parties in any capacity, except for notices, reports and other documents expressly required to be furnished to the Lenders by the Administrative Agent herein.</w:t>
      </w:r>
    </w:p>
    <w:p>
      <w:pPr>
        <w:spacing w:after="0" w:line="161" w:lineRule="exact"/>
        <w:rPr>
          <w:sz w:val="20"/>
          <w:szCs w:val="20"/>
          <w:color w:val="auto"/>
        </w:rPr>
      </w:pPr>
    </w:p>
    <w:p>
      <w:pPr>
        <w:jc w:val="both"/>
        <w:ind w:left="760" w:firstLine="745"/>
        <w:spacing w:after="0" w:line="243" w:lineRule="auto"/>
        <w:tabs>
          <w:tab w:leader="none" w:pos="190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the L/C Issuer.</w:t>
      </w:r>
    </w:p>
    <w:p>
      <w:pPr>
        <w:spacing w:after="0" w:line="186"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91"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nor any of its Related Parties shall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w:t>
      </w:r>
    </w:p>
    <w:p>
      <w:pPr>
        <w:spacing w:after="0" w:line="2" w:lineRule="exact"/>
        <w:rPr>
          <w:rFonts w:ascii="Times New Roman" w:cs="Times New Roman" w:eastAsia="Times New Roman" w:hAnsi="Times New Roman"/>
          <w:sz w:val="20"/>
          <w:szCs w:val="20"/>
          <w:color w:val="auto"/>
        </w:rPr>
      </w:pPr>
    </w:p>
    <w:p>
      <w:pPr>
        <w:jc w:val="both"/>
        <w:ind w:left="76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 or inquire as to whether any Lender or Participant or prospective Lender or Participant is a Disqualified Institution‎ or (ii) have any liability with respect to or arising out of any assignment or participation of Loans, or disclosure of confidential</w:t>
      </w: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to any Disqualified‎ Institution.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9.04 </w:t>
      </w:r>
      <w:r>
        <w:rPr>
          <w:rFonts w:ascii="Times New Roman" w:cs="Times New Roman" w:eastAsia="Times New Roman" w:hAnsi="Times New Roman"/>
          <w:sz w:val="20"/>
          <w:szCs w:val="20"/>
          <w:b w:val="1"/>
          <w:bCs w:val="1"/>
          <w:u w:val="single" w:color="auto"/>
          <w:color w:val="auto"/>
        </w:rPr>
        <w:t>Reliance by Administrative Agent.</w:t>
      </w:r>
    </w:p>
    <w:p>
      <w:pPr>
        <w:spacing w:after="0" w:line="21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0" w:name="page181"/>
    <w:bookmarkEnd w:id="180"/>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advice of any such counsel, accountants or experts. For purposes of determining compliance with the conditions specified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9.05 </w:t>
      </w:r>
      <w:r>
        <w:rPr>
          <w:rFonts w:ascii="Times New Roman" w:cs="Times New Roman" w:eastAsia="Times New Roman" w:hAnsi="Times New Roman"/>
          <w:sz w:val="20"/>
          <w:szCs w:val="20"/>
          <w:b w:val="1"/>
          <w:bCs w:val="1"/>
          <w:u w:val="single" w:color="auto"/>
          <w:color w:val="auto"/>
        </w:rPr>
        <w:t>Delegation of Duties.</w:t>
      </w:r>
    </w:p>
    <w:p>
      <w:pPr>
        <w:spacing w:after="0" w:line="21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9.06 </w:t>
      </w:r>
      <w:r>
        <w:rPr>
          <w:rFonts w:ascii="Times New Roman" w:cs="Times New Roman" w:eastAsia="Times New Roman" w:hAnsi="Times New Roman"/>
          <w:sz w:val="20"/>
          <w:szCs w:val="20"/>
          <w:b w:val="1"/>
          <w:bCs w:val="1"/>
          <w:u w:val="single" w:color="auto"/>
          <w:color w:val="auto"/>
        </w:rPr>
        <w:t>Resignation of Administrative Agent.</w:t>
      </w:r>
    </w:p>
    <w:p>
      <w:pPr>
        <w:spacing w:after="0" w:line="219" w:lineRule="exact"/>
        <w:rPr>
          <w:sz w:val="20"/>
          <w:szCs w:val="20"/>
          <w:color w:val="auto"/>
        </w:rPr>
      </w:pPr>
    </w:p>
    <w:p>
      <w:pPr>
        <w:jc w:val="both"/>
        <w:ind w:left="760" w:firstLine="745"/>
        <w:spacing w:after="0" w:line="254" w:lineRule="auto"/>
        <w:tabs>
          <w:tab w:leader="none" w:pos="1918"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19"/>
          <w:szCs w:val="19"/>
          <w:i w:val="1"/>
          <w:iCs w:val="1"/>
          <w:u w:val="single" w:color="auto"/>
          <w:color w:val="auto"/>
        </w:rPr>
        <w:t>Resignation Effective Date</w:t>
      </w:r>
      <w:r>
        <w:rPr>
          <w:rFonts w:ascii="Times New Roman" w:cs="Times New Roman" w:eastAsia="Times New Roman" w:hAnsi="Times New Roman"/>
          <w:sz w:val="19"/>
          <w:szCs w:val="19"/>
          <w:color w:val="auto"/>
        </w:rPr>
        <w:t xml:space="preserve">”),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no event shall any successor Administrative Agent be a Defaulting Lender or a Disqualified Institution. Whether or not a successor has been appointed, such resignation shall become effective in accordance with such notice on the Resignation Effective Date. On or before the date on which any successor or replacement Administrative Agent becomes the Administrative Agent hereunder, it shall deliver to the Borrower two executed copies of either (a) IRS Form W-9 or (b) with respect to amounts received on its own account, IRS Form W-8ECI and with respect to amounts received on account of any Lender, IRS Form W-8IMY certifying that it is a U.S. branch that has agreed to be treated as a U.S. Person for U.S. federal tax purposes or a qualified intermediary that has agreed to assume primary withholding obligations for Chapter 3 and Chapter 4 of the Code with respect to payments received by it from the Borrower in its capacity as Administrative Agent, as applicable.</w:t>
      </w:r>
    </w:p>
    <w:p>
      <w:pPr>
        <w:spacing w:after="0" w:line="185" w:lineRule="exact"/>
        <w:rPr>
          <w:rFonts w:ascii="Times New Roman" w:cs="Times New Roman" w:eastAsia="Times New Roman" w:hAnsi="Times New Roman"/>
          <w:sz w:val="19"/>
          <w:szCs w:val="19"/>
          <w:color w:val="auto"/>
        </w:rPr>
      </w:pPr>
    </w:p>
    <w:p>
      <w:pPr>
        <w:jc w:val="both"/>
        <w:ind w:left="760" w:firstLine="745"/>
        <w:spacing w:after="0" w:line="245" w:lineRule="auto"/>
        <w:tabs>
          <w:tab w:leader="none" w:pos="190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If the Person serving as Administrative Agent is a Defaulting Lender pursuant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0"/>
          <w:szCs w:val="20"/>
          <w:i w:val="1"/>
          <w:iCs w:val="1"/>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1" w:name="page182"/>
    <w:bookmarkEnd w:id="181"/>
    <w:p>
      <w:pPr>
        <w:jc w:val="both"/>
        <w:ind w:left="3" w:firstLine="745"/>
        <w:spacing w:after="0" w:line="231" w:lineRule="exact"/>
        <w:tabs>
          <w:tab w:leader="none" w:pos="1148"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Resignation</w:t>
      </w:r>
      <w:r>
        <w:rPr>
          <w:rFonts w:ascii="Times New Roman" w:cs="Times New Roman" w:eastAsia="Times New Roman" w:hAnsi="Times New Roman"/>
          <w:sz w:val="20"/>
          <w:szCs w:val="20"/>
          <w:color w:val="auto"/>
        </w:rPr>
        <w:t xml:space="preserve">. With effect from the Resignation Effective Date (i)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(ii) except for any indemnity payments or other amounts then owed to the retiring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Administrative Agent as of the Resignation Effective Date or the Removal Effective Date, as applicable), and the retiring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 xml:space="preserve">).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shall continue in effect for the benefit of such retiring Administrative Agent, its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agents and their respective Related Parties in respect of any actions taken or omitted to be taken by any of them (A) while the retiring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spacing w:after="0" w:line="193" w:lineRule="exact"/>
        <w:rPr>
          <w:rFonts w:ascii="Times New Roman" w:cs="Times New Roman" w:eastAsia="Times New Roman" w:hAnsi="Times New Roman"/>
          <w:sz w:val="20"/>
          <w:szCs w:val="20"/>
          <w:color w:val="auto"/>
        </w:rPr>
      </w:pPr>
    </w:p>
    <w:p>
      <w:pPr>
        <w:jc w:val="both"/>
        <w:ind w:left="3" w:firstLine="745"/>
        <w:spacing w:after="0" w:line="253" w:lineRule="auto"/>
        <w:tabs>
          <w:tab w:leader="none" w:pos="1148"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L/C Issuer and Swingline Lender</w:t>
      </w:r>
      <w:r>
        <w:rPr>
          <w:rFonts w:ascii="Times New Roman" w:cs="Times New Roman" w:eastAsia="Times New Roman" w:hAnsi="Times New Roman"/>
          <w:sz w:val="19"/>
          <w:szCs w:val="19"/>
          <w:color w:val="auto"/>
        </w:rPr>
        <w:t xml:space="preserve">. Any resignation or removal by Bank of America as Administrative Agent pursuant to this </w:t>
      </w:r>
      <w:r>
        <w:rPr>
          <w:rFonts w:ascii="Times New Roman" w:cs="Times New Roman" w:eastAsia="Times New Roman" w:hAnsi="Times New Roman"/>
          <w:sz w:val="19"/>
          <w:szCs w:val="19"/>
          <w:u w:val="single" w:color="auto"/>
          <w:color w:val="auto"/>
        </w:rPr>
        <w:t>Section 9.06</w:t>
      </w:r>
      <w:r>
        <w:rPr>
          <w:rFonts w:ascii="Times New Roman" w:cs="Times New Roman" w:eastAsia="Times New Roman" w:hAnsi="Times New Roman"/>
          <w:sz w:val="19"/>
          <w:szCs w:val="19"/>
          <w:color w:val="auto"/>
        </w:rPr>
        <w:t xml:space="preserve"> shall also constitute its resignation as L/C Issuer and Swingline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2.03(c</w:t>
      </w:r>
      <w:r>
        <w:rPr>
          <w:rFonts w:ascii="Times New Roman" w:cs="Times New Roman" w:eastAsia="Times New Roman" w:hAnsi="Times New Roman"/>
          <w:sz w:val="19"/>
          <w:szCs w:val="19"/>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2.04(c</w:t>
      </w:r>
      <w:r>
        <w:rPr>
          <w:rFonts w:ascii="Times New Roman" w:cs="Times New Roman" w:eastAsia="Times New Roman" w:hAnsi="Times New Roman"/>
          <w:sz w:val="19"/>
          <w:szCs w:val="19"/>
          <w:color w:val="auto"/>
        </w:rPr>
        <w:t>).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w:t>
      </w:r>
    </w:p>
    <w:p>
      <w:pPr>
        <w:spacing w:after="0" w:line="9" w:lineRule="exact"/>
        <w:rPr>
          <w:rFonts w:ascii="Times New Roman" w:cs="Times New Roman" w:eastAsia="Times New Roman" w:hAnsi="Times New Roman"/>
          <w:sz w:val="19"/>
          <w:szCs w:val="19"/>
          <w:color w:val="auto"/>
        </w:rPr>
      </w:pPr>
    </w:p>
    <w:p>
      <w:pPr>
        <w:jc w:val="both"/>
        <w:ind w:left="3" w:hanging="3"/>
        <w:spacing w:after="0" w:line="242" w:lineRule="auto"/>
        <w:tabs>
          <w:tab w:leader="none" w:pos="359"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00" w:lineRule="exact"/>
        <w:rPr>
          <w:sz w:val="20"/>
          <w:szCs w:val="20"/>
          <w:color w:val="auto"/>
        </w:rPr>
      </w:pPr>
    </w:p>
    <w:p>
      <w:pPr>
        <w:spacing w:after="0" w:line="386" w:lineRule="exact"/>
        <w:rPr>
          <w:sz w:val="20"/>
          <w:szCs w:val="20"/>
          <w:color w:val="auto"/>
        </w:rPr>
      </w:pPr>
    </w:p>
    <w:p>
      <w:pPr>
        <w:ind w:left="4703"/>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477520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2" w:right="339" w:bottom="1440" w:gutter="0" w:footer="0" w:header="0"/>
        </w:sectPr>
      </w:pPr>
    </w:p>
    <w:bookmarkStart w:id="182" w:name="page183"/>
    <w:bookmarkEnd w:id="182"/>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9.07 </w:t>
      </w:r>
      <w:r>
        <w:rPr>
          <w:rFonts w:ascii="Times New Roman" w:cs="Times New Roman" w:eastAsia="Times New Roman" w:hAnsi="Times New Roman"/>
          <w:sz w:val="20"/>
          <w:szCs w:val="20"/>
          <w:b w:val="1"/>
          <w:bCs w:val="1"/>
          <w:u w:val="single" w:color="auto"/>
          <w:color w:val="auto"/>
        </w:rPr>
        <w:t>Non-Reliance on Administrative Agent, the Arranger and the Other Lenders.</w:t>
      </w:r>
    </w:p>
    <w:p>
      <w:pPr>
        <w:spacing w:after="0" w:line="21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Each Lender and the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or any Affiliate thereof, shall be deemed to constitute any representation or warranty by the Administrative Agent or the Arranger to any Lender or the L/C Issuer as to any matter, including whether the Administrative Agent or the Arranger have disclosed material information in their (or their Related Parties’) possession. Each Lender and the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9.08 </w:t>
      </w:r>
      <w:r>
        <w:rPr>
          <w:rFonts w:ascii="Times New Roman" w:cs="Times New Roman" w:eastAsia="Times New Roman" w:hAnsi="Times New Roman"/>
          <w:sz w:val="20"/>
          <w:szCs w:val="20"/>
          <w:b w:val="1"/>
          <w:bCs w:val="1"/>
          <w:u w:val="single" w:color="auto"/>
          <w:color w:val="auto"/>
        </w:rPr>
        <w:t>No Other Duties, Etc.</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Anything herein to the contrary notwithstanding, none of the titles listed on the cover page hereof shall have any powers, duties or responsibilities under this Agreement or any of the other Loan Documents, except in its capacity, as applicable, as the Administrative Agent, the Arranger, a Lender or the L/C Issuer hereunder.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9.09 </w:t>
      </w:r>
      <w:r>
        <w:rPr>
          <w:rFonts w:ascii="Times New Roman" w:cs="Times New Roman" w:eastAsia="Times New Roman" w:hAnsi="Times New Roman"/>
          <w:sz w:val="20"/>
          <w:szCs w:val="20"/>
          <w:b w:val="1"/>
          <w:bCs w:val="1"/>
          <w:u w:val="single" w:color="auto"/>
          <w:color w:val="auto"/>
        </w:rPr>
        <w:t>Administrative Agent May File Proofs of Claim; Credit Bidding</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left="760" w:firstLine="745"/>
        <w:spacing w:after="0" w:line="249" w:lineRule="auto"/>
        <w:tabs>
          <w:tab w:leader="none" w:pos="190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3" w:name="page184"/>
    <w:bookmarkEnd w:id="183"/>
    <w:p>
      <w:pPr>
        <w:jc w:val="both"/>
        <w:ind w:left="740" w:firstLine="754"/>
        <w:spacing w:after="0" w:line="244" w:lineRule="auto"/>
        <w:tabs>
          <w:tab w:leader="none" w:pos="188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allowed in such judicial proceeding; and</w:t>
      </w:r>
    </w:p>
    <w:p>
      <w:pPr>
        <w:spacing w:after="0" w:line="183" w:lineRule="exact"/>
        <w:rPr>
          <w:rFonts w:ascii="Times New Roman" w:cs="Times New Roman" w:eastAsia="Times New Roman" w:hAnsi="Times New Roman"/>
          <w:sz w:val="20"/>
          <w:szCs w:val="20"/>
          <w:color w:val="auto"/>
        </w:rPr>
      </w:pPr>
    </w:p>
    <w:p>
      <w:pPr>
        <w:ind w:left="740" w:right="40" w:firstLine="754"/>
        <w:spacing w:after="0" w:line="268" w:lineRule="auto"/>
        <w:tabs>
          <w:tab w:leader="none" w:pos="188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45"/>
        <w:spacing w:after="0" w:line="249" w:lineRule="auto"/>
        <w:tabs>
          <w:tab w:leader="none" w:pos="11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Secured Obligations or the rights of any Lender or the L/C Issuer to authorize the Administrative Agent to vote in respect of the claim of any Lender or the L/C Issuer or in any such proceeding.</w:t>
      </w:r>
    </w:p>
    <w:p>
      <w:pPr>
        <w:spacing w:after="0" w:line="178" w:lineRule="exact"/>
        <w:rPr>
          <w:rFonts w:ascii="Times New Roman" w:cs="Times New Roman" w:eastAsia="Times New Roman" w:hAnsi="Times New Roman"/>
          <w:sz w:val="20"/>
          <w:szCs w:val="20"/>
          <w:color w:val="auto"/>
        </w:rPr>
      </w:pPr>
    </w:p>
    <w:p>
      <w:pPr>
        <w:jc w:val="both"/>
        <w:ind w:firstLine="745"/>
        <w:spacing w:after="0"/>
        <w:tabs>
          <w:tab w:leader="none" w:pos="11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of this Agreement), (C)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84" w:name="page185"/>
    <w:bookmarkEnd w:id="184"/>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Administrative Agent shall be authorized to assign the relevant Secured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Secured Obligations to be credit bid, all without the need for any Secured Party or acquisition vehicle to take any further action, and (D)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rata </w:t>
      </w:r>
      <w:r>
        <w:rPr>
          <w:rFonts w:ascii="Times New Roman" w:cs="Times New Roman" w:eastAsia="Times New Roman" w:hAnsi="Times New Roman"/>
          <w:sz w:val="20"/>
          <w:szCs w:val="20"/>
          <w:color w:val="auto"/>
        </w:rPr>
        <w:t>and the Equity Interests and/or debt instruments issued by any acquisition vehicle on account of the Secured Obligations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had been assigned to the acquisition vehicle shall automatically be cancelled, without the need for any Secured Party or any acquisition vehicle to take any further 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9.10 </w:t>
      </w:r>
      <w:r>
        <w:rPr>
          <w:rFonts w:ascii="Times New Roman" w:cs="Times New Roman" w:eastAsia="Times New Roman" w:hAnsi="Times New Roman"/>
          <w:sz w:val="20"/>
          <w:szCs w:val="20"/>
          <w:b w:val="1"/>
          <w:bCs w:val="1"/>
          <w:u w:val="single" w:color="auto"/>
          <w:color w:val="auto"/>
        </w:rPr>
        <w:t>Collateral and Guaranty Matters.</w:t>
      </w:r>
    </w:p>
    <w:p>
      <w:pPr>
        <w:spacing w:after="0" w:line="219" w:lineRule="exact"/>
        <w:rPr>
          <w:sz w:val="20"/>
          <w:szCs w:val="20"/>
          <w:color w:val="auto"/>
        </w:rPr>
      </w:pPr>
    </w:p>
    <w:p>
      <w:pPr>
        <w:ind w:right="20" w:firstLine="745"/>
        <w:spacing w:after="0" w:line="268" w:lineRule="auto"/>
        <w:tabs>
          <w:tab w:leader="none" w:pos="11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(including in its capacities as a potential Cash Management Bank and a potential Hedge Bank) and the L/C Issuer irrevocably authorize the Administrative Agent, at its option and in its discretion,</w:t>
      </w:r>
    </w:p>
    <w:p>
      <w:pPr>
        <w:spacing w:after="0" w:line="160" w:lineRule="exact"/>
        <w:rPr>
          <w:rFonts w:ascii="Times New Roman" w:cs="Times New Roman" w:eastAsia="Times New Roman" w:hAnsi="Times New Roman"/>
          <w:sz w:val="20"/>
          <w:szCs w:val="20"/>
          <w:color w:val="auto"/>
        </w:rPr>
      </w:pPr>
    </w:p>
    <w:p>
      <w:pPr>
        <w:jc w:val="both"/>
        <w:ind w:left="740" w:firstLine="754"/>
        <w:spacing w:after="0" w:line="246" w:lineRule="auto"/>
        <w:tabs>
          <w:tab w:leader="none" w:pos="1884"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permitted hereunder or under any other Loan Document, (iii) as permitted pursuant to </w:t>
      </w:r>
      <w:r>
        <w:rPr>
          <w:rFonts w:ascii="Times New Roman" w:cs="Times New Roman" w:eastAsia="Times New Roman" w:hAnsi="Times New Roman"/>
          <w:sz w:val="20"/>
          <w:szCs w:val="20"/>
          <w:u w:val="single" w:color="auto"/>
          <w:color w:val="auto"/>
        </w:rPr>
        <w:t>Section 6.13(c)(ii)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xml:space="preserve">, or (iv) if approved, authorized or ratified in writing by the Required Lenders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ind w:left="740" w:right="40" w:firstLine="754"/>
        <w:spacing w:after="0" w:line="268" w:lineRule="auto"/>
        <w:tabs>
          <w:tab w:leader="none" w:pos="1884"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jc w:val="both"/>
        <w:ind w:left="740" w:firstLine="754"/>
        <w:spacing w:after="0" w:line="253" w:lineRule="auto"/>
        <w:tabs>
          <w:tab w:leader="none" w:pos="1884"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Guarantor from its obligations under the Guaranty (A) if such Person ceases to be a Subsidiary as a result of a transaction permitted under the Loan Documents or (B) as otherwise permitted pursuant to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ind w:firstLine="745"/>
        <w:spacing w:after="0" w:line="244" w:lineRule="auto"/>
        <w:tabs>
          <w:tab w:leader="none" w:pos="11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firstLine="745"/>
        <w:spacing w:after="0" w:line="273" w:lineRule="auto"/>
        <w:tabs>
          <w:tab w:leader="none" w:pos="1144"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w:t>
      </w:r>
    </w:p>
    <w:p>
      <w:pPr>
        <w:spacing w:after="0" w:line="200" w:lineRule="exact"/>
        <w:rPr>
          <w:sz w:val="20"/>
          <w:szCs w:val="20"/>
          <w:color w:val="auto"/>
        </w:rPr>
      </w:pPr>
    </w:p>
    <w:p>
      <w:pPr>
        <w:spacing w:after="0" w:line="35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85" w:name="page186"/>
    <w:bookmarkEnd w:id="185"/>
    <w:p>
      <w:pPr>
        <w:ind w:left="760"/>
        <w:spacing w:after="0"/>
        <w:rPr>
          <w:sz w:val="20"/>
          <w:szCs w:val="20"/>
          <w:color w:val="auto"/>
        </w:rPr>
      </w:pPr>
      <w:r>
        <w:rPr>
          <w:rFonts w:ascii="Times New Roman" w:cs="Times New Roman" w:eastAsia="Times New Roman" w:hAnsi="Times New Roman"/>
          <w:sz w:val="20"/>
          <w:szCs w:val="20"/>
          <w:color w:val="auto"/>
        </w:rPr>
        <w:t>be responsible or liable to the Lenders for any failure to monitor or maintain any portion of the Collateral.</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9.11 </w:t>
      </w:r>
      <w:r>
        <w:rPr>
          <w:rFonts w:ascii="Times New Roman" w:cs="Times New Roman" w:eastAsia="Times New Roman" w:hAnsi="Times New Roman"/>
          <w:sz w:val="20"/>
          <w:szCs w:val="20"/>
          <w:b w:val="1"/>
          <w:bCs w:val="1"/>
          <w:u w:val="single" w:color="auto"/>
          <w:color w:val="auto"/>
        </w:rPr>
        <w:t>Secured Cash Management Agreements and Secured Hedge Agreements.</w:t>
      </w:r>
    </w:p>
    <w:p>
      <w:pPr>
        <w:spacing w:after="0" w:line="21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Except as otherwise expressly set forth herein, no Cash Management Bank or Hedge Bank that obtains the benefit of the provisions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Secured Obligations arising under Secured Cash Management Agreements and Secured 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r>
        <w:rPr>
          <w:rFonts w:ascii="Times New Roman" w:cs="Times New Roman" w:eastAsia="Times New Roman" w:hAnsi="Times New Roman"/>
          <w:sz w:val="26"/>
          <w:szCs w:val="26"/>
          <w:color w:val="auto"/>
          <w:vertAlign w:val="superscript"/>
        </w:rPr>
        <w:t>,</w:t>
      </w:r>
    </w:p>
    <w:p>
      <w:pPr>
        <w:spacing w:after="0" w:line="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9.12 </w:t>
      </w:r>
      <w:r>
        <w:rPr>
          <w:rFonts w:ascii="Times New Roman" w:cs="Times New Roman" w:eastAsia="Times New Roman" w:hAnsi="Times New Roman"/>
          <w:sz w:val="20"/>
          <w:szCs w:val="20"/>
          <w:b w:val="1"/>
          <w:bCs w:val="1"/>
          <w:u w:val="single" w:color="auto"/>
          <w:color w:val="auto"/>
        </w:rPr>
        <w:t>Certain ERISA Matters.</w:t>
      </w:r>
    </w:p>
    <w:p>
      <w:pPr>
        <w:spacing w:after="0" w:line="219" w:lineRule="exact"/>
        <w:rPr>
          <w:sz w:val="20"/>
          <w:szCs w:val="20"/>
          <w:color w:val="auto"/>
        </w:rPr>
      </w:pPr>
    </w:p>
    <w:p>
      <w:pPr>
        <w:jc w:val="both"/>
        <w:ind w:left="760" w:firstLine="745"/>
        <w:spacing w:after="0" w:line="249" w:lineRule="auto"/>
        <w:tabs>
          <w:tab w:leader="none" w:pos="190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8"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6" w:lineRule="exact"/>
        <w:rPr>
          <w:rFonts w:ascii="Times New Roman" w:cs="Times New Roman" w:eastAsia="Times New Roman" w:hAnsi="Times New Roman"/>
          <w:sz w:val="20"/>
          <w:szCs w:val="20"/>
          <w:color w:val="auto"/>
        </w:rPr>
      </w:pPr>
    </w:p>
    <w:p>
      <w:pPr>
        <w:jc w:val="both"/>
        <w:ind w:left="1500" w:firstLine="754"/>
        <w:spacing w:after="0" w:line="244" w:lineRule="auto"/>
        <w:tabs>
          <w:tab w:leader="none" w:pos="264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3"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6" w:name="page187"/>
    <w:bookmarkEnd w:id="186"/>
    <w:p>
      <w:pPr>
        <w:jc w:val="both"/>
        <w:ind w:left="1500"/>
        <w:spacing w:after="0" w:line="246" w:lineRule="auto"/>
        <w:rPr>
          <w:sz w:val="20"/>
          <w:szCs w:val="20"/>
          <w:color w:val="auto"/>
        </w:rPr>
      </w:pPr>
      <w:r>
        <w:rPr>
          <w:rFonts w:ascii="Times New Roman" w:cs="Times New Roman" w:eastAsia="Times New Roman" w:hAnsi="Times New Roman"/>
          <w:sz w:val="20"/>
          <w:szCs w:val="20"/>
          <w:color w:val="auto"/>
        </w:rPr>
        <w:t>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3" w:lineRule="exact"/>
        <w:rPr>
          <w:sz w:val="20"/>
          <w:szCs w:val="20"/>
          <w:color w:val="auto"/>
        </w:rPr>
      </w:pPr>
    </w:p>
    <w:p>
      <w:pPr>
        <w:ind w:left="1500" w:right="20" w:firstLine="754"/>
        <w:spacing w:after="0" w:line="268" w:lineRule="auto"/>
        <w:tabs>
          <w:tab w:leader="none" w:pos="264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(1)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CONTINUING GUARANTY</w:t>
      </w:r>
    </w:p>
    <w:p>
      <w:pPr>
        <w:spacing w:after="0" w:line="21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10.01</w:t>
      </w:r>
      <w:r>
        <w:rPr>
          <w:sz w:val="20"/>
          <w:szCs w:val="20"/>
          <w:color w:val="auto"/>
        </w:rPr>
        <w:tab/>
      </w:r>
      <w:r>
        <w:rPr>
          <w:rFonts w:ascii="Times New Roman" w:cs="Times New Roman" w:eastAsia="Times New Roman" w:hAnsi="Times New Roman"/>
          <w:sz w:val="19"/>
          <w:szCs w:val="19"/>
          <w:b w:val="1"/>
          <w:bCs w:val="1"/>
          <w:u w:val="single" w:color="auto"/>
          <w:color w:val="auto"/>
        </w:rPr>
        <w:t>Guaranty.</w:t>
      </w:r>
    </w:p>
    <w:p>
      <w:pPr>
        <w:spacing w:after="0" w:line="21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Guarantor, subject to the proviso in this sentence, its “</w:t>
      </w:r>
      <w:r>
        <w:rPr>
          <w:rFonts w:ascii="Times New Roman" w:cs="Times New Roman" w:eastAsia="Times New Roman" w:hAnsi="Times New Roman"/>
          <w:sz w:val="20"/>
          <w:szCs w:val="20"/>
          <w:i w:val="1"/>
          <w:iCs w:val="1"/>
          <w:u w:val="single" w:color="auto"/>
          <w:color w:val="auto"/>
        </w:rPr>
        <w:t>Guaranteed Obligations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7" w:name="page188"/>
    <w:bookmarkEnd w:id="187"/>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10.02</w:t>
      </w:r>
      <w:r>
        <w:rPr>
          <w:sz w:val="20"/>
          <w:szCs w:val="20"/>
          <w:color w:val="auto"/>
        </w:rPr>
        <w:tab/>
      </w:r>
      <w:r>
        <w:rPr>
          <w:rFonts w:ascii="Times New Roman" w:cs="Times New Roman" w:eastAsia="Times New Roman" w:hAnsi="Times New Roman"/>
          <w:sz w:val="19"/>
          <w:szCs w:val="19"/>
          <w:b w:val="1"/>
          <w:bCs w:val="1"/>
          <w:u w:val="single" w:color="auto"/>
          <w:color w:val="auto"/>
        </w:rPr>
        <w:t>Rights of Lenders.</w:t>
      </w:r>
    </w:p>
    <w:p>
      <w:pPr>
        <w:spacing w:after="0" w:line="21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 and the Lenders in their sole discretion may determine; and (d) 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88"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10.03</w:t>
      </w:r>
      <w:r>
        <w:rPr>
          <w:sz w:val="20"/>
          <w:szCs w:val="20"/>
          <w:color w:val="auto"/>
        </w:rPr>
        <w:tab/>
      </w:r>
      <w:r>
        <w:rPr>
          <w:rFonts w:ascii="Times New Roman" w:cs="Times New Roman" w:eastAsia="Times New Roman" w:hAnsi="Times New Roman"/>
          <w:sz w:val="19"/>
          <w:szCs w:val="19"/>
          <w:b w:val="1"/>
          <w:bCs w:val="1"/>
          <w:u w:val="single" w:color="auto"/>
          <w:color w:val="auto"/>
        </w:rPr>
        <w:t>Certain Waivers.</w:t>
      </w:r>
    </w:p>
    <w:p>
      <w:pPr>
        <w:spacing w:after="0" w:line="21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Each Guarantor waives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spacing w:after="0" w:line="18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10.04</w:t>
      </w:r>
      <w:r>
        <w:rPr>
          <w:sz w:val="20"/>
          <w:szCs w:val="20"/>
          <w:color w:val="auto"/>
        </w:rPr>
        <w:tab/>
      </w:r>
      <w:r>
        <w:rPr>
          <w:rFonts w:ascii="Times New Roman" w:cs="Times New Roman" w:eastAsia="Times New Roman" w:hAnsi="Times New Roman"/>
          <w:sz w:val="19"/>
          <w:szCs w:val="19"/>
          <w:b w:val="1"/>
          <w:bCs w:val="1"/>
          <w:u w:val="single" w:color="auto"/>
          <w:color w:val="auto"/>
        </w:rPr>
        <w:t>Obligations Independent.</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spacing w:after="0" w:line="17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10.05</w:t>
      </w:r>
      <w:r>
        <w:rPr>
          <w:sz w:val="20"/>
          <w:szCs w:val="20"/>
          <w:color w:val="auto"/>
        </w:rPr>
        <w:tab/>
      </w:r>
      <w:r>
        <w:rPr>
          <w:rFonts w:ascii="Times New Roman" w:cs="Times New Roman" w:eastAsia="Times New Roman" w:hAnsi="Times New Roman"/>
          <w:sz w:val="19"/>
          <w:szCs w:val="19"/>
          <w:b w:val="1"/>
          <w:bCs w:val="1"/>
          <w:u w:val="single" w:color="auto"/>
          <w:color w:val="auto"/>
        </w:rPr>
        <w:t>Subrogation.</w:t>
      </w:r>
    </w:p>
    <w:p>
      <w:pPr>
        <w:spacing w:after="0" w:line="21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and the Commitments and the Facilities are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8" w:name="page189"/>
    <w:bookmarkEnd w:id="188"/>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10.06</w:t>
      </w:r>
      <w:r>
        <w:rPr>
          <w:sz w:val="20"/>
          <w:szCs w:val="20"/>
          <w:color w:val="auto"/>
        </w:rPr>
        <w:tab/>
      </w:r>
      <w:r>
        <w:rPr>
          <w:rFonts w:ascii="Times New Roman" w:cs="Times New Roman" w:eastAsia="Times New Roman" w:hAnsi="Times New Roman"/>
          <w:sz w:val="19"/>
          <w:szCs w:val="19"/>
          <w:b w:val="1"/>
          <w:bCs w:val="1"/>
          <w:u w:val="single" w:color="auto"/>
          <w:color w:val="auto"/>
        </w:rPr>
        <w:t>Termination; Reinstatement.</w:t>
      </w:r>
    </w:p>
    <w:p>
      <w:pPr>
        <w:spacing w:after="0" w:line="21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reasonable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shall survive termination of this Guaranty.</w:t>
      </w:r>
    </w:p>
    <w:p>
      <w:pPr>
        <w:spacing w:after="0" w:line="188"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10.07</w:t>
      </w:r>
      <w:r>
        <w:rPr>
          <w:sz w:val="20"/>
          <w:szCs w:val="20"/>
          <w:color w:val="auto"/>
        </w:rPr>
        <w:tab/>
      </w:r>
      <w:r>
        <w:rPr>
          <w:rFonts w:ascii="Times New Roman" w:cs="Times New Roman" w:eastAsia="Times New Roman" w:hAnsi="Times New Roman"/>
          <w:sz w:val="19"/>
          <w:szCs w:val="19"/>
          <w:b w:val="1"/>
          <w:bCs w:val="1"/>
          <w:u w:val="single" w:color="auto"/>
          <w:color w:val="auto"/>
        </w:rPr>
        <w:t>Stay of Acceleration.</w:t>
      </w:r>
    </w:p>
    <w:p>
      <w:pPr>
        <w:spacing w:after="0" w:line="219"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20"/>
          <w:szCs w:val="20"/>
          <w:color w:val="auto"/>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7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10.08</w:t>
      </w:r>
      <w:r>
        <w:rPr>
          <w:sz w:val="20"/>
          <w:szCs w:val="20"/>
          <w:color w:val="auto"/>
        </w:rPr>
        <w:tab/>
      </w:r>
      <w:r>
        <w:rPr>
          <w:rFonts w:ascii="Times New Roman" w:cs="Times New Roman" w:eastAsia="Times New Roman" w:hAnsi="Times New Roman"/>
          <w:sz w:val="19"/>
          <w:szCs w:val="19"/>
          <w:b w:val="1"/>
          <w:bCs w:val="1"/>
          <w:u w:val="single" w:color="auto"/>
          <w:color w:val="auto"/>
        </w:rPr>
        <w:t>Condition of Borrower.</w:t>
      </w:r>
    </w:p>
    <w:p>
      <w:pPr>
        <w:spacing w:after="0" w:line="21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7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10.09</w:t>
      </w:r>
      <w:r>
        <w:rPr>
          <w:sz w:val="20"/>
          <w:szCs w:val="20"/>
          <w:color w:val="auto"/>
        </w:rPr>
        <w:tab/>
      </w:r>
      <w:r>
        <w:rPr>
          <w:rFonts w:ascii="Times New Roman" w:cs="Times New Roman" w:eastAsia="Times New Roman" w:hAnsi="Times New Roman"/>
          <w:sz w:val="19"/>
          <w:szCs w:val="19"/>
          <w:b w:val="1"/>
          <w:bCs w:val="1"/>
          <w:u w:val="single" w:color="auto"/>
          <w:color w:val="auto"/>
        </w:rPr>
        <w:t>Appointment of Borrower.</w:t>
      </w:r>
    </w:p>
    <w:p>
      <w:pPr>
        <w:spacing w:after="0" w:line="21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10.10</w:t>
      </w:r>
      <w:r>
        <w:rPr>
          <w:sz w:val="20"/>
          <w:szCs w:val="20"/>
          <w:color w:val="auto"/>
        </w:rPr>
        <w:tab/>
      </w:r>
      <w:r>
        <w:rPr>
          <w:rFonts w:ascii="Times New Roman" w:cs="Times New Roman" w:eastAsia="Times New Roman" w:hAnsi="Times New Roman"/>
          <w:sz w:val="19"/>
          <w:szCs w:val="19"/>
          <w:b w:val="1"/>
          <w:bCs w:val="1"/>
          <w:u w:val="single" w:color="auto"/>
          <w:color w:val="auto"/>
        </w:rPr>
        <w:t>Right of Contribution.</w:t>
      </w:r>
    </w:p>
    <w:p>
      <w:pPr>
        <w:spacing w:after="0" w:line="21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The Guarantors agree among themselves that, in connection with payments made hereunder, each Guarantor shall have contribution rights against the other Guarantors as permitted under Applicable Law.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9" w:name="page190"/>
    <w:bookmarkEnd w:id="189"/>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ab/>
      </w:r>
      <w:r>
        <w:rPr>
          <w:rFonts w:ascii="Times New Roman" w:cs="Times New Roman" w:eastAsia="Times New Roman" w:hAnsi="Times New Roman"/>
          <w:sz w:val="20"/>
          <w:szCs w:val="20"/>
          <w:b w:val="1"/>
          <w:bCs w:val="1"/>
          <w:u w:val="single" w:color="auto"/>
          <w:color w:val="auto"/>
        </w:rPr>
        <w:t>Keepwell.</w:t>
      </w:r>
    </w:p>
    <w:p>
      <w:pPr>
        <w:spacing w:after="0" w:line="21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remain in full force and effect until the Secured Obligations have been indefeasibly paid and performed in full. Each Loan Party intends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to constitute, and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be deemed to constitute, a guarantee of the obligations of, and a “keepwell, support, or other agreement” for the benefit of, each Specified Loan Party for all purposes of the Commodity Exchange Act.</w:t>
      </w:r>
    </w:p>
    <w:p>
      <w:pPr>
        <w:spacing w:after="0" w:line="18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10.12</w:t>
      </w:r>
      <w:r>
        <w:rPr>
          <w:sz w:val="20"/>
          <w:szCs w:val="20"/>
          <w:color w:val="auto"/>
        </w:rPr>
        <w:tab/>
      </w:r>
      <w:r>
        <w:rPr>
          <w:rFonts w:ascii="Times New Roman" w:cs="Times New Roman" w:eastAsia="Times New Roman" w:hAnsi="Times New Roman"/>
          <w:sz w:val="19"/>
          <w:szCs w:val="19"/>
          <w:b w:val="1"/>
          <w:bCs w:val="1"/>
          <w:u w:val="single" w:color="auto"/>
          <w:color w:val="auto"/>
        </w:rPr>
        <w:t>Release of Guarantor.</w:t>
      </w:r>
    </w:p>
    <w:p>
      <w:pPr>
        <w:spacing w:after="0" w:line="21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If all of the Equity Interests of any Guarantor or any of its successors in interest hereunder shall be sold or otherwise disposed of (including by merger or consolidation) in accordance with the terms and conditions hereof, the Guaranty of such Guarantor or such successor in interest, as the case may be, shall automatically be discharged and released, and its obligations to pledge and grant any Collateral owned by it pursuant to any Collateral Document shall be automatically released, in each case, without any further action by any Secured Party or any other Person effective as of the time of such sale or disposition, and the Administrative Agent agrees to take all actions reasonably requested by the Borrower or such Guarantor to evidence the discharge and release of such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 any such action shall be without recourse to, or representation or warranty by, the Administrative Agent, and (b) any document executed by the Administrative Agent shall be in form and substance reasonably satisfactory to the Administrative Agent.</w:t>
      </w:r>
    </w:p>
    <w:p>
      <w:pPr>
        <w:spacing w:after="0" w:line="18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1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11.01</w:t>
      </w:r>
      <w:r>
        <w:rPr>
          <w:sz w:val="20"/>
          <w:szCs w:val="20"/>
          <w:color w:val="auto"/>
        </w:rPr>
        <w:tab/>
      </w:r>
      <w:r>
        <w:rPr>
          <w:rFonts w:ascii="Times New Roman" w:cs="Times New Roman" w:eastAsia="Times New Roman" w:hAnsi="Times New Roman"/>
          <w:sz w:val="19"/>
          <w:szCs w:val="19"/>
          <w:b w:val="1"/>
          <w:bCs w:val="1"/>
          <w:u w:val="single" w:color="auto"/>
          <w:color w:val="auto"/>
        </w:rPr>
        <w:t>Amendments, Etc.</w:t>
      </w:r>
    </w:p>
    <w:p>
      <w:pPr>
        <w:spacing w:after="0" w:line="219" w:lineRule="exact"/>
        <w:rPr>
          <w:sz w:val="20"/>
          <w:szCs w:val="20"/>
          <w:color w:val="auto"/>
        </w:rPr>
      </w:pPr>
    </w:p>
    <w:p>
      <w:pPr>
        <w:jc w:val="both"/>
        <w:ind w:left="760" w:firstLine="745"/>
        <w:spacing w:after="0" w:line="245" w:lineRule="auto"/>
        <w:tabs>
          <w:tab w:leader="none" w:pos="190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such amendment, waiver or consent shall:</w:t>
      </w:r>
    </w:p>
    <w:p>
      <w:pPr>
        <w:spacing w:after="0" w:line="182" w:lineRule="exact"/>
        <w:rPr>
          <w:rFonts w:ascii="Times New Roman" w:cs="Times New Roman" w:eastAsia="Times New Roman" w:hAnsi="Times New Roman"/>
          <w:sz w:val="20"/>
          <w:szCs w:val="20"/>
          <w:color w:val="auto"/>
        </w:rPr>
      </w:pPr>
    </w:p>
    <w:p>
      <w:pPr>
        <w:ind w:left="1500" w:right="20" w:firstLine="754"/>
        <w:spacing w:after="0" w:line="268" w:lineRule="auto"/>
        <w:tabs>
          <w:tab w:leader="none" w:pos="2644"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any condition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or, in the case of the initial Credit Extension,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without the written consent of each Lender;</w:t>
      </w:r>
    </w:p>
    <w:p>
      <w:pPr>
        <w:spacing w:after="0" w:line="160" w:lineRule="exact"/>
        <w:rPr>
          <w:rFonts w:ascii="Times New Roman" w:cs="Times New Roman" w:eastAsia="Times New Roman" w:hAnsi="Times New Roman"/>
          <w:sz w:val="20"/>
          <w:szCs w:val="20"/>
          <w:color w:val="auto"/>
        </w:rPr>
      </w:pPr>
    </w:p>
    <w:p>
      <w:pPr>
        <w:jc w:val="both"/>
        <w:ind w:left="1500" w:firstLine="754"/>
        <w:spacing w:after="0" w:line="253" w:lineRule="auto"/>
        <w:tabs>
          <w:tab w:leader="none" w:pos="2644"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without the written consent of such Lender (it being understood and agreed that a waiver of any condition precedent in </w:t>
      </w:r>
      <w:r>
        <w:rPr>
          <w:rFonts w:ascii="Times New Roman" w:cs="Times New Roman" w:eastAsia="Times New Roman" w:hAnsi="Times New Roman"/>
          <w:sz w:val="20"/>
          <w:szCs w:val="20"/>
          <w:u w:val="single" w:color="auto"/>
          <w:color w:val="auto"/>
        </w:rPr>
        <w:t>Section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0" w:name="page191"/>
    <w:bookmarkEnd w:id="190"/>
    <w:p>
      <w:pPr>
        <w:ind w:left="740"/>
        <w:spacing w:after="0" w:line="268" w:lineRule="auto"/>
        <w:rPr>
          <w:sz w:val="20"/>
          <w:szCs w:val="20"/>
          <w:color w:val="auto"/>
        </w:rPr>
      </w:pP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or of any Default or a mandatory reduction in Commitments is not considered an extension or increase in Commitments of any Lender);</w:t>
      </w:r>
    </w:p>
    <w:p>
      <w:pPr>
        <w:spacing w:after="0" w:line="161" w:lineRule="exact"/>
        <w:rPr>
          <w:sz w:val="20"/>
          <w:szCs w:val="20"/>
          <w:color w:val="auto"/>
        </w:rPr>
      </w:pPr>
    </w:p>
    <w:p>
      <w:pPr>
        <w:jc w:val="both"/>
        <w:ind w:left="740" w:firstLine="754"/>
        <w:spacing w:after="0" w:line="253" w:lineRule="auto"/>
        <w:tabs>
          <w:tab w:leader="none" w:pos="18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76" w:lineRule="exact"/>
        <w:rPr>
          <w:rFonts w:ascii="Times New Roman" w:cs="Times New Roman" w:eastAsia="Times New Roman" w:hAnsi="Times New Roman"/>
          <w:sz w:val="20"/>
          <w:szCs w:val="20"/>
          <w:color w:val="auto"/>
        </w:rPr>
      </w:pPr>
    </w:p>
    <w:p>
      <w:pPr>
        <w:jc w:val="both"/>
        <w:ind w:left="740" w:firstLine="754"/>
        <w:spacing w:after="0" w:line="244" w:lineRule="auto"/>
        <w:tabs>
          <w:tab w:leader="none" w:pos="18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second proviso to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only the consent of the Required Lenders shall be necessary (A) to amend the definition of “Default Rate” or to waive any obligation of the Borrower to pay interest or Letter of Credit Fees at the Default Rate, or (B) to amend any financial covenant hereunder (or any defined term used therein) even if the effect of such amendment would be to reduce the rate of interest on any Loan or to reduce any fee payable hereunder;</w:t>
      </w:r>
    </w:p>
    <w:p>
      <w:pPr>
        <w:spacing w:after="0" w:line="183" w:lineRule="exact"/>
        <w:rPr>
          <w:rFonts w:ascii="Times New Roman" w:cs="Times New Roman" w:eastAsia="Times New Roman" w:hAnsi="Times New Roman"/>
          <w:sz w:val="20"/>
          <w:szCs w:val="20"/>
          <w:color w:val="auto"/>
        </w:rPr>
      </w:pPr>
    </w:p>
    <w:p>
      <w:pPr>
        <w:ind w:left="740" w:right="20" w:firstLine="754"/>
        <w:spacing w:after="0" w:line="268" w:lineRule="auto"/>
        <w:tabs>
          <w:tab w:leader="none" w:pos="18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each Lender affected thereby;</w:t>
      </w:r>
    </w:p>
    <w:p>
      <w:pPr>
        <w:spacing w:after="0" w:line="160"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or the definition of “Required Lenders”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p>
      <w:pPr>
        <w:spacing w:after="0" w:line="178" w:lineRule="exact"/>
        <w:rPr>
          <w:rFonts w:ascii="Times New Roman" w:cs="Times New Roman" w:eastAsia="Times New Roman" w:hAnsi="Times New Roman"/>
          <w:sz w:val="20"/>
          <w:szCs w:val="20"/>
          <w:color w:val="auto"/>
        </w:rPr>
      </w:pPr>
    </w:p>
    <w:p>
      <w:pPr>
        <w:ind w:left="740" w:right="20" w:firstLine="754"/>
        <w:spacing w:after="0" w:line="268" w:lineRule="auto"/>
        <w:tabs>
          <w:tab w:leader="none" w:pos="18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in any transaction or series of related transactions, without the written consent of each Lender;</w:t>
      </w:r>
    </w:p>
    <w:p>
      <w:pPr>
        <w:spacing w:after="0" w:line="160" w:lineRule="exact"/>
        <w:rPr>
          <w:rFonts w:ascii="Times New Roman" w:cs="Times New Roman" w:eastAsia="Times New Roman" w:hAnsi="Times New Roman"/>
          <w:sz w:val="20"/>
          <w:szCs w:val="20"/>
          <w:color w:val="auto"/>
        </w:rPr>
      </w:pPr>
    </w:p>
    <w:p>
      <w:pPr>
        <w:jc w:val="both"/>
        <w:ind w:left="740" w:firstLine="754"/>
        <w:spacing w:after="0" w:line="253" w:lineRule="auto"/>
        <w:tabs>
          <w:tab w:leader="none" w:pos="2279"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which case such release may be made by the Administrative Agent acting alone);</w:t>
      </w:r>
    </w:p>
    <w:p>
      <w:pPr>
        <w:spacing w:after="0" w:line="176" w:lineRule="exact"/>
        <w:rPr>
          <w:rFonts w:ascii="Times New Roman" w:cs="Times New Roman" w:eastAsia="Times New Roman" w:hAnsi="Times New Roman"/>
          <w:sz w:val="20"/>
          <w:szCs w:val="20"/>
          <w:color w:val="auto"/>
        </w:rPr>
      </w:pPr>
    </w:p>
    <w:p>
      <w:pPr>
        <w:ind w:left="740" w:right="20" w:firstLine="754"/>
        <w:spacing w:after="0" w:line="268" w:lineRule="auto"/>
        <w:tabs>
          <w:tab w:leader="none" w:pos="18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the Borrower or permit the Borrower to assign or transfer any of its rights or obligations under this Agreement or the other Loan Documents without the consent of each Lender; or</w:t>
      </w:r>
    </w:p>
    <w:p>
      <w:pPr>
        <w:spacing w:after="0" w:line="161" w:lineRule="exact"/>
        <w:rPr>
          <w:sz w:val="20"/>
          <w:szCs w:val="20"/>
          <w:color w:val="auto"/>
        </w:rPr>
      </w:pPr>
    </w:p>
    <w:p>
      <w:pPr>
        <w:jc w:val="both"/>
        <w:ind w:left="740" w:right="20" w:firstLine="754"/>
        <w:spacing w:after="0" w:line="253" w:lineRule="auto"/>
        <w:tabs>
          <w:tab w:leader="none" w:pos="188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and materially adversely affect the rights of Lenders holding Commitments or Loans of one Class differently from the rights of Lenders holding Commitments or Loans of any other Class without the written consent of Lenders holding a majority of the outstanding Loans and Commitments of such applicable Class;</w:t>
      </w:r>
    </w:p>
    <w:p>
      <w:pPr>
        <w:spacing w:after="0" w:line="1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 no amendment, waiver or consent shall, unless in writing and signed by the L/C Issuer in addition to the Lenders required above, affect the rights or duties of the L/C Issuer under this Agreement or any Issuer Document relating to any Letter of Credit issued or to be issued by it; (B) no amendment, waiver or consent shall, unless in writing and signed by the Swingline Lender in addition to the Lenders required above, affect the rights or duties of the Swingline Lender under this Agreement; (C) no amendment, waiver or consent shall, unless in</w:t>
      </w:r>
    </w:p>
    <w:p>
      <w:pPr>
        <w:spacing w:after="0" w:line="200" w:lineRule="exact"/>
        <w:rPr>
          <w:sz w:val="20"/>
          <w:szCs w:val="20"/>
          <w:color w:val="auto"/>
        </w:rPr>
      </w:pPr>
    </w:p>
    <w:p>
      <w:pPr>
        <w:spacing w:after="0" w:line="38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2" w:right="339" w:bottom="1440" w:gutter="0" w:footer="0" w:header="0"/>
        </w:sectPr>
      </w:pPr>
    </w:p>
    <w:bookmarkStart w:id="191" w:name="page192"/>
    <w:bookmarkEnd w:id="191"/>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writing and signed by the Administrative Agent in addition to the Lenders required above, affect the rights or duties of the Administrative Agent under this Agreement or any other Loan Document; (D) the Engagement Letter may be amended, or rights or privileges thereunder waived, in a writing executed only by the parties thereto; and (E) in order to implement any additional Commitments in accordance with </w:t>
      </w:r>
      <w:r>
        <w:rPr>
          <w:rFonts w:ascii="Times New Roman" w:cs="Times New Roman" w:eastAsia="Times New Roman" w:hAnsi="Times New Roman"/>
          <w:sz w:val="20"/>
          <w:szCs w:val="20"/>
          <w:u w:val="single" w:color="auto"/>
          <w:color w:val="auto"/>
        </w:rPr>
        <w:t>Section 2.02(g)</w:t>
      </w:r>
      <w:r>
        <w:rPr>
          <w:rFonts w:ascii="Times New Roman" w:cs="Times New Roman" w:eastAsia="Times New Roman" w:hAnsi="Times New Roman"/>
          <w:sz w:val="20"/>
          <w:szCs w:val="20"/>
          <w:color w:val="auto"/>
        </w:rPr>
        <w:t xml:space="preserve"> in connection with any Incremental Facility, this Agreement may be amended for such purpose (but solely to the extent necessary to implement such additional Commitments and otherwise in accordance with </w:t>
      </w:r>
      <w:r>
        <w:rPr>
          <w:rFonts w:ascii="Times New Roman" w:cs="Times New Roman" w:eastAsia="Times New Roman" w:hAnsi="Times New Roman"/>
          <w:sz w:val="20"/>
          <w:szCs w:val="20"/>
          <w:u w:val="single" w:color="auto"/>
          <w:color w:val="auto"/>
        </w:rPr>
        <w:t>Section 2.02(g)</w:t>
      </w:r>
      <w:r>
        <w:rPr>
          <w:rFonts w:ascii="Times New Roman" w:cs="Times New Roman" w:eastAsia="Times New Roman" w:hAnsi="Times New Roman"/>
          <w:sz w:val="20"/>
          <w:szCs w:val="20"/>
          <w:color w:val="auto"/>
        </w:rPr>
        <w:t>) by the Loan Parties, the Administrative Agent and each Lender providing a portion of such Incremental Facility.</w:t>
      </w:r>
    </w:p>
    <w:p>
      <w:pPr>
        <w:spacing w:after="0" w:line="183" w:lineRule="exact"/>
        <w:rPr>
          <w:sz w:val="20"/>
          <w:szCs w:val="20"/>
          <w:color w:val="auto"/>
        </w:rPr>
      </w:pPr>
    </w:p>
    <w:p>
      <w:pPr>
        <w:jc w:val="both"/>
        <w:ind w:firstLine="745"/>
        <w:spacing w:after="0" w:line="241" w:lineRule="auto"/>
        <w:tabs>
          <w:tab w:leader="none" w:pos="114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(i)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spacing w:after="0" w:line="195"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83"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7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11.02</w:t>
      </w:r>
      <w:r>
        <w:rPr>
          <w:sz w:val="20"/>
          <w:szCs w:val="20"/>
          <w:color w:val="auto"/>
        </w:rPr>
        <w:tab/>
      </w:r>
      <w:r>
        <w:rPr>
          <w:rFonts w:ascii="Times New Roman" w:cs="Times New Roman" w:eastAsia="Times New Roman" w:hAnsi="Times New Roman"/>
          <w:sz w:val="19"/>
          <w:szCs w:val="19"/>
          <w:b w:val="1"/>
          <w:bCs w:val="1"/>
          <w:u w:val="single" w:color="auto"/>
          <w:color w:val="auto"/>
        </w:rPr>
        <w:t>Notices; Effectiveness; Electronic Communications.</w:t>
      </w:r>
    </w:p>
    <w:p>
      <w:pPr>
        <w:spacing w:after="0" w:line="219" w:lineRule="exact"/>
        <w:rPr>
          <w:sz w:val="20"/>
          <w:szCs w:val="20"/>
          <w:color w:val="auto"/>
        </w:rPr>
      </w:pPr>
    </w:p>
    <w:p>
      <w:pPr>
        <w:jc w:val="both"/>
        <w:ind w:firstLine="745"/>
        <w:spacing w:after="0" w:line="246" w:lineRule="auto"/>
        <w:tabs>
          <w:tab w:leader="none" w:pos="117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200" w:lineRule="exact"/>
        <w:rPr>
          <w:sz w:val="20"/>
          <w:szCs w:val="20"/>
          <w:color w:val="auto"/>
        </w:rPr>
      </w:pPr>
    </w:p>
    <w:p>
      <w:pPr>
        <w:spacing w:after="0" w:line="38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92" w:name="page193"/>
    <w:bookmarkEnd w:id="192"/>
    <w:p>
      <w:pPr>
        <w:jc w:val="both"/>
        <w:ind w:left="740" w:firstLine="754"/>
        <w:spacing w:after="0" w:line="253" w:lineRule="auto"/>
        <w:tabs>
          <w:tab w:leader="none" w:pos="188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Borrower or any other Loan Party, the Administrative Agent, the L/C Issuer or the Swingline Lender, to the address(es), fax number(s), e-mail address(es) or telephone number(s) specified for such Person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and</w:t>
      </w:r>
    </w:p>
    <w:p>
      <w:pPr>
        <w:spacing w:after="0" w:line="176"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1140" w:hanging="395"/>
        <w:spacing w:after="0"/>
        <w:tabs>
          <w:tab w:leader="none" w:pos="114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740" w:firstLine="754"/>
        <w:spacing w:after="0" w:line="242" w:lineRule="auto"/>
        <w:tabs>
          <w:tab w:leader="none" w:pos="1884"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Administrative Agent, the Lenders, the Swingline Lender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apply to notices to any Lender, the Swingline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the Swingline Lender or the L/C Issuer, as applicable, has notified the Administrative Agent that it is incapable of receiving notices under such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by electronic communication. The Administrative Agent, the Swingline Lender, the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9" w:lineRule="exact"/>
        <w:rPr>
          <w:rFonts w:ascii="Times New Roman" w:cs="Times New Roman" w:eastAsia="Times New Roman" w:hAnsi="Times New Roman"/>
          <w:sz w:val="20"/>
          <w:szCs w:val="20"/>
          <w:color w:val="auto"/>
        </w:rPr>
      </w:pPr>
    </w:p>
    <w:p>
      <w:pPr>
        <w:jc w:val="both"/>
        <w:ind w:left="740" w:firstLine="754"/>
        <w:spacing w:after="0" w:line="242" w:lineRule="auto"/>
        <w:tabs>
          <w:tab w:leader="none" w:pos="1884"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if such notice or other communication is not sent during the normal business hours of the recipient, such notice, email or communication shall be deemed to have been sent at the opening of business on the next Business Day for the recipient.</w:t>
      </w:r>
    </w:p>
    <w:p>
      <w:pPr>
        <w:spacing w:after="0" w:line="191" w:lineRule="exact"/>
        <w:rPr>
          <w:rFonts w:ascii="Times New Roman" w:cs="Times New Roman" w:eastAsia="Times New Roman" w:hAnsi="Times New Roman"/>
          <w:sz w:val="20"/>
          <w:szCs w:val="20"/>
          <w:color w:val="auto"/>
        </w:rPr>
      </w:pPr>
    </w:p>
    <w:p>
      <w:pPr>
        <w:ind w:left="1160" w:hanging="415"/>
        <w:spacing w:after="0"/>
        <w:tabs>
          <w:tab w:leader="none" w:pos="116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1" w:lineRule="exact"/>
        <w:rPr>
          <w:rFonts w:ascii="Times New Roman" w:cs="Times New Roman" w:eastAsia="Times New Roman" w:hAnsi="Times New Roman"/>
          <w:sz w:val="20"/>
          <w:szCs w:val="20"/>
          <w:color w:val="auto"/>
        </w:rPr>
      </w:pPr>
    </w:p>
    <w:p>
      <w:pPr>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w:t>
      </w:r>
    </w:p>
    <w:p>
      <w:pPr>
        <w:spacing w:after="0" w:line="200" w:lineRule="exact"/>
        <w:rPr>
          <w:sz w:val="20"/>
          <w:szCs w:val="20"/>
          <w:color w:val="auto"/>
        </w:rPr>
      </w:pPr>
    </w:p>
    <w:p>
      <w:pPr>
        <w:spacing w:after="0" w:line="38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93" w:name="page194"/>
    <w:bookmarkEnd w:id="193"/>
    <w:p>
      <w:pPr>
        <w:jc w:val="both"/>
        <w:spacing w:after="0" w:line="242" w:lineRule="auto"/>
        <w:rPr>
          <w:sz w:val="20"/>
          <w:szCs w:val="20"/>
          <w:color w:val="auto"/>
        </w:rPr>
      </w:pPr>
      <w:r>
        <w:rPr>
          <w:rFonts w:ascii="Times New Roman" w:cs="Times New Roman" w:eastAsia="Times New Roman" w:hAnsi="Times New Roman"/>
          <w:sz w:val="20"/>
          <w:szCs w:val="20"/>
          <w:color w:val="auto"/>
        </w:rPr>
        <w:t>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i w:val="1"/>
          <w:iCs w:val="1"/>
          <w:u w:val="single" w:color="auto"/>
          <w:color w:val="auto"/>
        </w:rPr>
        <w:t>Agent Parties</w:t>
      </w:r>
      <w:r>
        <w:rPr>
          <w:rFonts w:ascii="Times New Roman" w:cs="Times New Roman" w:eastAsia="Times New Roman" w:hAnsi="Times New Roman"/>
          <w:sz w:val="20"/>
          <w:szCs w:val="20"/>
          <w:color w:val="auto"/>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192" w:lineRule="exact"/>
        <w:rPr>
          <w:sz w:val="20"/>
          <w:szCs w:val="20"/>
          <w:color w:val="auto"/>
        </w:rPr>
      </w:pPr>
    </w:p>
    <w:p>
      <w:pPr>
        <w:jc w:val="both"/>
        <w:ind w:firstLine="745"/>
        <w:spacing w:after="0" w:line="241" w:lineRule="auto"/>
        <w:tabs>
          <w:tab w:leader="none" w:pos="1158"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Borrower, the Administrative Agent, the L/C Issuer and the Swingline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93" w:lineRule="exact"/>
        <w:rPr>
          <w:rFonts w:ascii="Times New Roman" w:cs="Times New Roman" w:eastAsia="Times New Roman" w:hAnsi="Times New Roman"/>
          <w:sz w:val="20"/>
          <w:szCs w:val="20"/>
          <w:color w:val="auto"/>
        </w:rPr>
      </w:pPr>
    </w:p>
    <w:p>
      <w:pPr>
        <w:jc w:val="both"/>
        <w:ind w:firstLine="745"/>
        <w:spacing w:after="0" w:line="242" w:lineRule="auto"/>
        <w:tabs>
          <w:tab w:leader="none" w:pos="1185"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 and Lenders</w:t>
      </w:r>
      <w:r>
        <w:rPr>
          <w:rFonts w:ascii="Times New Roman" w:cs="Times New Roman" w:eastAsia="Times New Roman" w:hAnsi="Times New Roman"/>
          <w:sz w:val="20"/>
          <w:szCs w:val="20"/>
          <w:color w:val="auto"/>
        </w:rPr>
        <w:t>. The Administrative Agent, the L/C Issuer and the Lenders shall be entitled to rely and act upon any notices (including, without limitation, telephonic or electronic notices, Loan Notices, Letter of Credit Applications, Notice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11.03</w:t>
      </w:r>
      <w:r>
        <w:rPr>
          <w:sz w:val="20"/>
          <w:szCs w:val="20"/>
          <w:color w:val="auto"/>
        </w:rPr>
        <w:tab/>
      </w:r>
      <w:r>
        <w:rPr>
          <w:rFonts w:ascii="Times New Roman" w:cs="Times New Roman" w:eastAsia="Times New Roman" w:hAnsi="Times New Roman"/>
          <w:sz w:val="19"/>
          <w:szCs w:val="19"/>
          <w:b w:val="1"/>
          <w:bCs w:val="1"/>
          <w:u w:val="single" w:color="auto"/>
          <w:color w:val="auto"/>
        </w:rPr>
        <w:t>No Waiver; Cumulative Remedies; Enforcement.</w:t>
      </w:r>
    </w:p>
    <w:p>
      <w:pPr>
        <w:spacing w:after="0" w:line="219" w:lineRule="exact"/>
        <w:rPr>
          <w:sz w:val="20"/>
          <w:szCs w:val="20"/>
          <w:color w:val="auto"/>
        </w:rPr>
      </w:pPr>
    </w:p>
    <w:p>
      <w:pPr>
        <w:jc w:val="both"/>
        <w:ind w:firstLine="745"/>
        <w:spacing w:after="0" w:line="249" w:lineRule="auto"/>
        <w:tabs>
          <w:tab w:leader="none" w:pos="114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w:t>
      </w:r>
    </w:p>
    <w:p>
      <w:pPr>
        <w:spacing w:after="0" w:line="200" w:lineRule="exact"/>
        <w:rPr>
          <w:sz w:val="20"/>
          <w:szCs w:val="20"/>
          <w:color w:val="auto"/>
        </w:rPr>
      </w:pPr>
    </w:p>
    <w:p>
      <w:pPr>
        <w:spacing w:after="0" w:line="37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94" w:name="page195"/>
    <w:bookmarkEnd w:id="194"/>
    <w:p>
      <w:pPr>
        <w:spacing w:after="0" w:line="268" w:lineRule="auto"/>
        <w:rPr>
          <w:sz w:val="20"/>
          <w:szCs w:val="20"/>
          <w:color w:val="auto"/>
        </w:rPr>
      </w:pPr>
      <w:r>
        <w:rPr>
          <w:rFonts w:ascii="Times New Roman" w:cs="Times New Roman" w:eastAsia="Times New Roman" w:hAnsi="Times New Roman"/>
          <w:sz w:val="20"/>
          <w:szCs w:val="20"/>
          <w:color w:val="auto"/>
        </w:rPr>
        <w:t>privilege. The rights, remedies, powers and privileges herein provided, and provided under each other Loan Document, are cumulative and not exclusive of any rights, remedies, powers and privileges provided by law.</w:t>
      </w:r>
    </w:p>
    <w:p>
      <w:pPr>
        <w:spacing w:after="0" w:line="161" w:lineRule="exact"/>
        <w:rPr>
          <w:sz w:val="20"/>
          <w:szCs w:val="20"/>
          <w:color w:val="auto"/>
        </w:rPr>
      </w:pPr>
    </w:p>
    <w:p>
      <w:pPr>
        <w:jc w:val="both"/>
        <w:ind w:firstLine="745"/>
        <w:spacing w:after="0" w:line="241" w:lineRule="auto"/>
        <w:tabs>
          <w:tab w:leader="none" w:pos="114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for the benefit of all the Lenders and the L/C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the foregoing shall not prohibit (a) the Administrative Agent from exercising on its own behalf the rights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and remedies that inure to its benefit (solely in its capacity as Administrative Agent) hereunder and under the other Loan Documents, (b) the L/C Issuer or the Swingline Lender from exercising the rights and remedies that inure to its benefit (solely in its capacity as L/C Issuer or Swingline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 (ii) in addition to the matters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8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11.04</w:t>
      </w:r>
      <w:r>
        <w:rPr>
          <w:sz w:val="20"/>
          <w:szCs w:val="20"/>
          <w:color w:val="auto"/>
        </w:rPr>
        <w:tab/>
      </w:r>
      <w:r>
        <w:rPr>
          <w:rFonts w:ascii="Times New Roman" w:cs="Times New Roman" w:eastAsia="Times New Roman" w:hAnsi="Times New Roman"/>
          <w:sz w:val="19"/>
          <w:szCs w:val="19"/>
          <w:b w:val="1"/>
          <w:bCs w:val="1"/>
          <w:u w:val="single" w:color="auto"/>
          <w:color w:val="auto"/>
        </w:rPr>
        <w:t>Expenses; Indemnity; Damage Waiver.</w:t>
      </w:r>
    </w:p>
    <w:p>
      <w:pPr>
        <w:spacing w:after="0" w:line="219" w:lineRule="exact"/>
        <w:rPr>
          <w:sz w:val="20"/>
          <w:szCs w:val="20"/>
          <w:color w:val="auto"/>
        </w:rPr>
      </w:pPr>
    </w:p>
    <w:p>
      <w:pPr>
        <w:jc w:val="both"/>
        <w:ind w:firstLine="745"/>
        <w:spacing w:after="0" w:line="254" w:lineRule="auto"/>
        <w:tabs>
          <w:tab w:leader="none" w:pos="1198"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xml:space="preserve">. The Loan Parties shall pay (i) all reasonable out-of-pocket expenses incurred by the Administrative Agent and its Affiliates (including, but not limited to, (A) the reasonable fees, charges and out-of-pocket disbursements of one primary counsel for the Administrative Agent and its Affiliates, taken as a whole, and, if and to the extent deemed reasonably necessary by the Administrative Agent, one special and/or local counsel to the Administrative Agent and its Affiliates, taken as a whole, in each relevant specialty or jurisdiction, as applicable, and (B)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extension, reinstatement or renewal of any Letter of Credit or any demand for payment thereunder and (iii) all out-of-pocket expenses incurred by the Administrative Agent, any Lender or the L/C Issuer (limited, in the case of legal fees and disbursements, to the reasonable fees and disbursements of (x) one primary counsel to the Administrative Agent, the L/C Issuer and the Lenders, taken as whole (and, in the case of any actual or potential conflict of interest, one additional counsel to each group of similarly situated persons, taken as a whole), and (y) if and to the extent deemed reasonably necessary by the Administrative Agent, one special and/or local counsel to the Administrative Agent, the L/C Issuer and the Lenders, taken as a whole, in each relevant specialty or jurisdiction, as applicable (and, in the case of any actual or potential conflict of interest, one additional special and/or local counsel to each group of similarly situated persons, taken as a whole, in each applicable specialty or jurisdiction, as applicable)), in connection with the enforcement or protection of its rights (A) in connection with this Agreement and the other Loan Documents, including its rights under this </w:t>
      </w:r>
      <w:r>
        <w:rPr>
          <w:rFonts w:ascii="Times New Roman" w:cs="Times New Roman" w:eastAsia="Times New Roman" w:hAnsi="Times New Roman"/>
          <w:sz w:val="19"/>
          <w:szCs w:val="19"/>
          <w:u w:val="single" w:color="auto"/>
          <w:color w:val="auto"/>
        </w:rPr>
        <w:t>Section 11.04</w:t>
      </w:r>
      <w:r>
        <w:rPr>
          <w:rFonts w:ascii="Times New Roman" w:cs="Times New Roman" w:eastAsia="Times New Roman" w:hAnsi="Times New Roman"/>
          <w:sz w:val="19"/>
          <w:szCs w:val="19"/>
          <w:color w:val="auto"/>
        </w:rPr>
        <w:t>, or (B)</w:t>
      </w:r>
    </w:p>
    <w:p>
      <w:pPr>
        <w:spacing w:after="0" w:line="200" w:lineRule="exact"/>
        <w:rPr>
          <w:sz w:val="20"/>
          <w:szCs w:val="20"/>
          <w:color w:val="auto"/>
        </w:rPr>
      </w:pPr>
    </w:p>
    <w:p>
      <w:pPr>
        <w:spacing w:after="0" w:line="38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95" w:name="page196"/>
    <w:bookmarkEnd w:id="195"/>
    <w:p>
      <w:pPr>
        <w:spacing w:after="0" w:line="268" w:lineRule="auto"/>
        <w:rPr>
          <w:sz w:val="20"/>
          <w:szCs w:val="20"/>
          <w:color w:val="auto"/>
        </w:rPr>
      </w:pPr>
      <w:r>
        <w:rPr>
          <w:rFonts w:ascii="Times New Roman" w:cs="Times New Roman" w:eastAsia="Times New Roman" w:hAnsi="Times New Roman"/>
          <w:sz w:val="20"/>
          <w:szCs w:val="20"/>
          <w:color w:val="auto"/>
        </w:rPr>
        <w:t>in connection with Loans made or Letters of Credit issued hereunder, including all such out-of-pocket expenses incurred during any workout, restructuring or negotiations in respect of such Loans or Letters of Credit.</w:t>
      </w:r>
    </w:p>
    <w:p>
      <w:pPr>
        <w:spacing w:after="0" w:line="161" w:lineRule="exact"/>
        <w:rPr>
          <w:sz w:val="20"/>
          <w:szCs w:val="20"/>
          <w:color w:val="auto"/>
        </w:rPr>
      </w:pPr>
    </w:p>
    <w:p>
      <w:pPr>
        <w:jc w:val="both"/>
        <w:ind w:firstLine="745"/>
        <w:spacing w:after="0" w:line="253" w:lineRule="auto"/>
        <w:tabs>
          <w:tab w:leader="none" w:pos="1144"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Loan Parties</w:t>
      </w:r>
      <w:r>
        <w:rPr>
          <w:rFonts w:ascii="Times New Roman" w:cs="Times New Roman" w:eastAsia="Times New Roman" w:hAnsi="Times New Roman"/>
          <w:sz w:val="19"/>
          <w:szCs w:val="19"/>
          <w:color w:val="auto"/>
        </w:rPr>
        <w:t>. The Loan Parties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19"/>
          <w:szCs w:val="19"/>
          <w:i w:val="1"/>
          <w:iCs w:val="1"/>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liabilities and related expenses (limited, in the case of legal fees and disbursements, to the reasonable fees and out-of-pocket disbursements of (x) one primary counsel to the Indemnitees, taken as a whole (and, in the case of any actual or potential conflict of interest, one additional counsel to each group of similarly situated Indemnitees, taken as a whole), and (y) if and to the extent deemed reasonably necessary, one special and/or local counsel to the Indemnitees, taken as a whole, in each relevant specialty or jurisdiction, as applicable, (and, in the case of any actual or potential conflict of interest, one additional special and/or local counsel to each group of similarly situated Indemnitees, taken as a whole, in each applicable specialty or jurisdiction, as applicable)),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such indemnity shall not, as to any Indemnitee, be available to the extent that such losses, claims, damages, liabilities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or related expenses (x) are determined by a court of competent jurisdiction by final and non-appealable judgment to have resulted from the gross negligence or willful misconduct of such Indemnitee, (y) result from a claim brought by the Borrower or any other Loan Party against an Indemnitee for breach of such Indemnitee’s funding obligations or other material obligations hereunder or under any other Loan Document, if the Borrower or such Loan Party has obtained a final and non-appealable judgment in its favor on such claim as determined by a court of competent jurisdiction, or (z) result from a claim not involving an act or omission of the Borrower and that is brought by an Indemnitee against another Indemnitee (other than against the Arranger or the Administrative Agent in their capacities as such). Without limiting the provisions of </w:t>
      </w:r>
      <w:r>
        <w:rPr>
          <w:rFonts w:ascii="Times New Roman" w:cs="Times New Roman" w:eastAsia="Times New Roman" w:hAnsi="Times New Roman"/>
          <w:sz w:val="19"/>
          <w:szCs w:val="19"/>
          <w:u w:val="single" w:color="auto"/>
          <w:color w:val="auto"/>
        </w:rPr>
        <w:t>Section 3.01(c</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Section 11.04(b</w:t>
      </w:r>
      <w:r>
        <w:rPr>
          <w:rFonts w:ascii="Times New Roman" w:cs="Times New Roman" w:eastAsia="Times New Roman" w:hAnsi="Times New Roman"/>
          <w:sz w:val="19"/>
          <w:szCs w:val="19"/>
          <w:color w:val="auto"/>
        </w:rPr>
        <w:t>) shall not apply with respect to Taxes other than any Taxes that represent losses, claims, damages, etc. arising from any non-Tax claim.</w:t>
      </w:r>
    </w:p>
    <w:p>
      <w:pPr>
        <w:spacing w:after="0" w:line="200" w:lineRule="exact"/>
        <w:rPr>
          <w:rFonts w:ascii="Times New Roman" w:cs="Times New Roman" w:eastAsia="Times New Roman" w:hAnsi="Times New Roman"/>
          <w:sz w:val="19"/>
          <w:szCs w:val="19"/>
          <w:color w:val="auto"/>
        </w:rPr>
      </w:pPr>
    </w:p>
    <w:p>
      <w:pPr>
        <w:spacing w:after="0" w:line="213" w:lineRule="exact"/>
        <w:rPr>
          <w:rFonts w:ascii="Times New Roman" w:cs="Times New Roman" w:eastAsia="Times New Roman" w:hAnsi="Times New Roman"/>
          <w:sz w:val="19"/>
          <w:szCs w:val="19"/>
          <w:color w:val="auto"/>
        </w:rPr>
      </w:pPr>
    </w:p>
    <w:p>
      <w:pPr>
        <w:jc w:val="both"/>
        <w:ind w:firstLine="745"/>
        <w:spacing w:after="0" w:line="246" w:lineRule="auto"/>
        <w:tabs>
          <w:tab w:leader="none" w:pos="115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Loan Parties for any reason fail to indefeasibly pay any amount required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w:t>
      </w:r>
    </w:p>
    <w:p>
      <w:pPr>
        <w:spacing w:after="0" w:line="200" w:lineRule="exact"/>
        <w:rPr>
          <w:sz w:val="20"/>
          <w:szCs w:val="20"/>
          <w:color w:val="auto"/>
        </w:rPr>
      </w:pPr>
    </w:p>
    <w:p>
      <w:pPr>
        <w:spacing w:after="0" w:line="38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2" w:right="339" w:bottom="1440" w:gutter="0" w:footer="0" w:header="0"/>
        </w:sectPr>
      </w:pPr>
    </w:p>
    <w:bookmarkStart w:id="196" w:name="page197"/>
    <w:bookmarkEnd w:id="196"/>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 xml:space="preserve">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760" w:firstLine="745"/>
        <w:spacing w:after="0" w:line="241" w:lineRule="auto"/>
        <w:tabs>
          <w:tab w:leader="none" w:pos="190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To the fullest extent permitted by applicable Law, no Indemnitee shall assert, and each Indemnitee party hereto hereby waives, and acknowledges that no other Person shall have, any claim against any Loan Party,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provided, that, the foregoing shall in no event limit the Borrower’s indemnification obligations under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to the extent such special, indirect, consequential or punitive damages are included in any third-party claim in connection with which such Indemnitee is otherwise entitled to indemnification hereunder. No Indemnitee referred to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88" w:lineRule="exact"/>
        <w:rPr>
          <w:rFonts w:ascii="Times New Roman" w:cs="Times New Roman" w:eastAsia="Times New Roman" w:hAnsi="Times New Roman"/>
          <w:sz w:val="20"/>
          <w:szCs w:val="20"/>
          <w:color w:val="auto"/>
        </w:rPr>
      </w:pPr>
    </w:p>
    <w:p>
      <w:pPr>
        <w:ind w:left="760" w:firstLine="745"/>
        <w:spacing w:after="0" w:line="268" w:lineRule="auto"/>
        <w:tabs>
          <w:tab w:leader="none" w:pos="1918"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All amounts due under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shall be payable not later than ten (10) Business Days after demand therefor.</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18"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and the indemnity provisions of </w:t>
      </w:r>
      <w:r>
        <w:rPr>
          <w:rFonts w:ascii="Times New Roman" w:cs="Times New Roman" w:eastAsia="Times New Roman" w:hAnsi="Times New Roman"/>
          <w:sz w:val="20"/>
          <w:szCs w:val="20"/>
          <w:u w:val="single" w:color="auto"/>
          <w:color w:val="auto"/>
        </w:rPr>
        <w:t>Section 11.02(e</w:t>
      </w:r>
      <w:r>
        <w:rPr>
          <w:rFonts w:ascii="Times New Roman" w:cs="Times New Roman" w:eastAsia="Times New Roman" w:hAnsi="Times New Roman"/>
          <w:sz w:val="20"/>
          <w:szCs w:val="20"/>
          <w:color w:val="auto"/>
        </w:rPr>
        <w:t>) shall survive the resignation of the Administrative Agent, the L/C Issuer and the Swingline Lender, the replacement of any Lender, the termination of the Aggregate Commitments and the repayment, satisfaction or discharge of all the other Obligations.</w:t>
      </w:r>
    </w:p>
    <w:p>
      <w:pPr>
        <w:spacing w:after="0" w:line="17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11.05</w:t>
      </w:r>
      <w:r>
        <w:rPr>
          <w:sz w:val="20"/>
          <w:szCs w:val="20"/>
          <w:color w:val="auto"/>
        </w:rPr>
        <w:tab/>
      </w:r>
      <w:r>
        <w:rPr>
          <w:rFonts w:ascii="Times New Roman" w:cs="Times New Roman" w:eastAsia="Times New Roman" w:hAnsi="Times New Roman"/>
          <w:sz w:val="19"/>
          <w:szCs w:val="19"/>
          <w:b w:val="1"/>
          <w:bCs w:val="1"/>
          <w:u w:val="single" w:color="auto"/>
          <w:color w:val="auto"/>
        </w:rPr>
        <w:t>Payments Set Aside</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7" w:name="page198"/>
    <w:bookmarkEnd w:id="197"/>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of the preceding sentence shall survive the payment in full of the Obligations and the termination of this Agreement.</w:t>
      </w:r>
    </w:p>
    <w:p>
      <w:pPr>
        <w:spacing w:after="0" w:line="17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11.06</w:t>
      </w:r>
      <w:r>
        <w:rPr>
          <w:sz w:val="20"/>
          <w:szCs w:val="20"/>
          <w:color w:val="auto"/>
        </w:rPr>
        <w:tab/>
      </w:r>
      <w:r>
        <w:rPr>
          <w:rFonts w:ascii="Times New Roman" w:cs="Times New Roman" w:eastAsia="Times New Roman" w:hAnsi="Times New Roman"/>
          <w:sz w:val="19"/>
          <w:szCs w:val="19"/>
          <w:b w:val="1"/>
          <w:bCs w:val="1"/>
          <w:u w:val="single" w:color="auto"/>
          <w:color w:val="auto"/>
        </w:rPr>
        <w:t>Successors and Assigns.</w:t>
      </w:r>
    </w:p>
    <w:p>
      <w:pPr>
        <w:spacing w:after="0" w:line="219" w:lineRule="exact"/>
        <w:rPr>
          <w:sz w:val="20"/>
          <w:szCs w:val="20"/>
          <w:color w:val="auto"/>
        </w:rPr>
      </w:pPr>
    </w:p>
    <w:p>
      <w:pPr>
        <w:jc w:val="both"/>
        <w:ind w:left="760" w:firstLine="745"/>
        <w:spacing w:after="0" w:line="242" w:lineRule="auto"/>
        <w:tabs>
          <w:tab w:leader="none" w:pos="190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and the other Loan Documents shall be binding upon and inure to the benefit of the parties hereto and thereto and their respective successors and assigns permitted hereby, except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(ii) by way of participation in accordance with the provisions of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11.06(e</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and, to the extent expressly contemplated hereby, the Related Parties of each of the Administrative Agent, the L/C Issuer and the Lenders) any legal or equitable right, remedy or claim under or by reason of this Agreement.</w:t>
      </w:r>
    </w:p>
    <w:p>
      <w:pPr>
        <w:spacing w:after="0" w:line="186"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1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participations in L/C Obligations and in Swingline Loans) at the time owing to it);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each case with respect to any Facility) any such assignment shall be subject to the following conditions:</w:t>
      </w:r>
    </w:p>
    <w:p>
      <w:pPr>
        <w:spacing w:after="0" w:line="178"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left="2260" w:firstLine="743"/>
        <w:spacing w:after="0" w:line="245" w:lineRule="auto"/>
        <w:tabs>
          <w:tab w:leader="none" w:pos="3404" w:val="left"/>
        </w:tabs>
        <w:numPr>
          <w:ilvl w:val="2"/>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Times New Roman" w:cs="Times New Roman" w:eastAsia="Times New Roman" w:hAnsi="Times New Roman"/>
          <w:sz w:val="20"/>
          <w:szCs w:val="20"/>
          <w:u w:val="single" w:color="auto"/>
          <w:color w:val="auto"/>
        </w:rPr>
        <w:t>clause (b)(i)(B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in the aggregate or in the case of an assignment to a Lender, an Affiliate of a Lender or an Approved Fund, no minimum amount need be assigned; and</w:t>
      </w:r>
    </w:p>
    <w:p>
      <w:pPr>
        <w:spacing w:after="0" w:line="182" w:lineRule="exact"/>
        <w:rPr>
          <w:rFonts w:ascii="Times New Roman" w:cs="Times New Roman" w:eastAsia="Times New Roman" w:hAnsi="Times New Roman"/>
          <w:sz w:val="20"/>
          <w:szCs w:val="20"/>
          <w:color w:val="auto"/>
        </w:rPr>
      </w:pPr>
    </w:p>
    <w:p>
      <w:pPr>
        <w:jc w:val="both"/>
        <w:ind w:left="2260" w:firstLine="743"/>
        <w:spacing w:after="0" w:line="245" w:lineRule="auto"/>
        <w:tabs>
          <w:tab w:leader="none" w:pos="3404" w:val="left"/>
        </w:tabs>
        <w:numPr>
          <w:ilvl w:val="2"/>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clause (b)(i)(A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8" w:name="page199"/>
    <w:bookmarkEnd w:id="198"/>
    <w:p>
      <w:pPr>
        <w:jc w:val="both"/>
        <w:ind w:left="1140"/>
        <w:spacing w:after="0" w:line="249" w:lineRule="auto"/>
        <w:rPr>
          <w:sz w:val="20"/>
          <w:szCs w:val="20"/>
          <w:color w:val="auto"/>
        </w:rPr>
      </w:pPr>
      <w:r>
        <w:rPr>
          <w:rFonts w:ascii="Times New Roman" w:cs="Times New Roman" w:eastAsia="Times New Roman" w:hAnsi="Times New Roman"/>
          <w:sz w:val="20"/>
          <w:szCs w:val="20"/>
          <w:color w:val="auto"/>
        </w:rPr>
        <w:t>not be less than $5,000,000, in the case of any assignment in respect of the Revolving Facility, or $1,000,000, in the case of any assignment in respect of the Term Facility or the Incremental Term Facility, unless each of the Administrative Agent and, so long as no Event of Default has occurred and is continuing, the Borrower otherwise consents (each such consent not to be unreasonably withheld, conditioned or delayed).</w:t>
      </w:r>
    </w:p>
    <w:p>
      <w:pPr>
        <w:spacing w:after="0" w:line="178" w:lineRule="exact"/>
        <w:rPr>
          <w:sz w:val="20"/>
          <w:szCs w:val="20"/>
          <w:color w:val="auto"/>
        </w:rPr>
      </w:pPr>
    </w:p>
    <w:p>
      <w:pPr>
        <w:jc w:val="both"/>
        <w:ind w:left="380" w:firstLine="754"/>
        <w:spacing w:after="0" w:line="249" w:lineRule="auto"/>
        <w:tabs>
          <w:tab w:leader="none" w:pos="152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shall not apply to the Swingline Lender’s rights and obligations in respect of Swingline Loans.</w:t>
      </w:r>
    </w:p>
    <w:p>
      <w:pPr>
        <w:spacing w:after="0" w:line="178" w:lineRule="exact"/>
        <w:rPr>
          <w:rFonts w:ascii="Times New Roman" w:cs="Times New Roman" w:eastAsia="Times New Roman" w:hAnsi="Times New Roman"/>
          <w:sz w:val="20"/>
          <w:szCs w:val="20"/>
          <w:color w:val="auto"/>
        </w:rPr>
      </w:pPr>
    </w:p>
    <w:p>
      <w:pPr>
        <w:ind w:left="380" w:firstLine="754"/>
        <w:spacing w:after="0" w:line="268" w:lineRule="auto"/>
        <w:tabs>
          <w:tab w:leader="none" w:pos="152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and, in addition:</w:t>
      </w:r>
    </w:p>
    <w:p>
      <w:pPr>
        <w:spacing w:after="0" w:line="160" w:lineRule="exact"/>
        <w:rPr>
          <w:rFonts w:ascii="Times New Roman" w:cs="Times New Roman" w:eastAsia="Times New Roman" w:hAnsi="Times New Roman"/>
          <w:sz w:val="20"/>
          <w:szCs w:val="20"/>
          <w:color w:val="auto"/>
        </w:rPr>
      </w:pPr>
    </w:p>
    <w:p>
      <w:pPr>
        <w:jc w:val="both"/>
        <w:ind w:left="1140" w:firstLine="743"/>
        <w:spacing w:after="0" w:line="244" w:lineRule="auto"/>
        <w:tabs>
          <w:tab w:leader="none" w:pos="2284"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conditioned or delayed) shall be required unless (1) a Specified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 (such notice to the Borrower to be made, for the avoidance of doubt, in accordance with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11.02</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ind w:left="1140" w:firstLine="743"/>
        <w:spacing w:after="0" w:line="245" w:lineRule="auto"/>
        <w:tabs>
          <w:tab w:leader="none" w:pos="2284"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conditioned or delayed) shall be required for assignments in respect of (1) any unfunded Incremental Term Commitment or any Revolving Commitment if such assignment is to a Person that is not a Lender with a Commitment in respect of the applicable Facility, an Affiliate of such Lender or an Approved Fund with respect to such Lender or (2) any Incremental Term Loan to a Person that is not a Lender, an Affiliate of a Lender or an Approved Fund; and</w:t>
      </w:r>
    </w:p>
    <w:p>
      <w:pPr>
        <w:spacing w:after="0" w:line="182" w:lineRule="exact"/>
        <w:rPr>
          <w:rFonts w:ascii="Times New Roman" w:cs="Times New Roman" w:eastAsia="Times New Roman" w:hAnsi="Times New Roman"/>
          <w:sz w:val="20"/>
          <w:szCs w:val="20"/>
          <w:color w:val="auto"/>
        </w:rPr>
      </w:pPr>
    </w:p>
    <w:p>
      <w:pPr>
        <w:ind w:left="1140" w:right="20" w:firstLine="743"/>
        <w:spacing w:after="0" w:line="268" w:lineRule="auto"/>
        <w:tabs>
          <w:tab w:leader="none" w:pos="2284"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and the Swingline Lender shall be required for any assignment in respect of the Revolving Facility.</w:t>
      </w:r>
    </w:p>
    <w:p>
      <w:pPr>
        <w:spacing w:after="0" w:line="160"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case of any assignment. The assignee, if it is not a Lender, shall deliver to the Administrative Agent an Administrative Questionnaire.</w:t>
      </w:r>
    </w:p>
    <w:p>
      <w:pPr>
        <w:spacing w:after="0" w:line="183"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3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or (C) to a natural Person (or a holding company, investment vehicle or trust for, or owned and operated by or for the primary benefit of one or more natural Persons).</w:t>
      </w:r>
    </w:p>
    <w:p>
      <w:pPr>
        <w:spacing w:after="0" w:line="200" w:lineRule="exact"/>
        <w:rPr>
          <w:sz w:val="20"/>
          <w:szCs w:val="20"/>
          <w:color w:val="auto"/>
        </w:rPr>
      </w:pPr>
    </w:p>
    <w:p>
      <w:pPr>
        <w:spacing w:after="0" w:line="38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99" w:name="page200"/>
    <w:bookmarkEnd w:id="199"/>
    <w:p>
      <w:pPr>
        <w:jc w:val="both"/>
        <w:ind w:left="380" w:firstLine="754"/>
        <w:spacing w:after="0" w:line="241" w:lineRule="auto"/>
        <w:tabs>
          <w:tab w:leader="none" w:pos="1524"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20"/>
          <w:szCs w:val="20"/>
          <w:u w:val="single" w:color="auto"/>
          <w:color w:val="auto"/>
        </w:rPr>
        <w:t>clause (b)(vi</w:t>
      </w:r>
      <w:r>
        <w:rPr>
          <w:rFonts w:ascii="Times New Roman" w:cs="Times New Roman" w:eastAsia="Times New Roman" w:hAnsi="Times New Roman"/>
          <w:sz w:val="20"/>
          <w:szCs w:val="20"/>
          <w:color w:val="auto"/>
        </w:rPr>
        <w:t>), then the assignee of such interest shall be deemed to be a Defaulting Lender for all purposes of this Agreement until such compliance occurs.</w:t>
      </w:r>
    </w:p>
    <w:p>
      <w:pPr>
        <w:spacing w:after="0" w:line="191" w:lineRule="exact"/>
        <w:rPr>
          <w:rFonts w:ascii="Times New Roman" w:cs="Times New Roman" w:eastAsia="Times New Roman" w:hAnsi="Times New Roman"/>
          <w:sz w:val="20"/>
          <w:szCs w:val="20"/>
          <w:color w:val="auto"/>
        </w:rPr>
      </w:pPr>
    </w:p>
    <w:p>
      <w:pPr>
        <w:jc w:val="both"/>
        <w:ind w:left="380" w:firstLine="754"/>
        <w:spacing w:after="0" w:line="255" w:lineRule="auto"/>
        <w:tabs>
          <w:tab w:leader="none" w:pos="1524" w:val="left"/>
        </w:tabs>
        <w:numPr>
          <w:ilvl w:val="1"/>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acceptance and recording thereof by the Administrative Agent pursuant to </w:t>
      </w:r>
      <w:r>
        <w:rPr>
          <w:rFonts w:ascii="Times New Roman" w:cs="Times New Roman" w:eastAsia="Times New Roman" w:hAnsi="Times New Roman"/>
          <w:sz w:val="19"/>
          <w:szCs w:val="19"/>
          <w:u w:val="single" w:color="auto"/>
          <w:color w:val="auto"/>
        </w:rPr>
        <w:t>Section 11.06(c</w:t>
      </w:r>
      <w:r>
        <w:rPr>
          <w:rFonts w:ascii="Times New Roman" w:cs="Times New Roman" w:eastAsia="Times New Roman" w:hAnsi="Times New Roman"/>
          <w:sz w:val="19"/>
          <w:szCs w:val="19"/>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11.04</w:t>
      </w:r>
      <w:r>
        <w:rPr>
          <w:rFonts w:ascii="Times New Roman" w:cs="Times New Roman" w:eastAsia="Times New Roman" w:hAnsi="Times New Roman"/>
          <w:sz w:val="19"/>
          <w:szCs w:val="19"/>
          <w:color w:val="auto"/>
        </w:rPr>
        <w:t xml:space="preserve"> with respect to facts and circumstances occurring prior to the effective date of such assignment);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9"/>
          <w:szCs w:val="19"/>
          <w:u w:val="single" w:color="auto"/>
          <w:color w:val="auto"/>
        </w:rPr>
        <w:t>Section 11.06(d</w:t>
      </w:r>
      <w:r>
        <w:rPr>
          <w:rFonts w:ascii="Times New Roman" w:cs="Times New Roman" w:eastAsia="Times New Roman" w:hAnsi="Times New Roman"/>
          <w:sz w:val="19"/>
          <w:szCs w:val="19"/>
          <w:color w:val="auto"/>
        </w:rPr>
        <w:t>).</w:t>
      </w:r>
    </w:p>
    <w:p>
      <w:pPr>
        <w:spacing w:after="0" w:line="178" w:lineRule="exact"/>
        <w:rPr>
          <w:rFonts w:ascii="Times New Roman" w:cs="Times New Roman" w:eastAsia="Times New Roman" w:hAnsi="Times New Roman"/>
          <w:sz w:val="19"/>
          <w:szCs w:val="19"/>
          <w:color w:val="auto"/>
        </w:rPr>
      </w:pPr>
    </w:p>
    <w:p>
      <w:pPr>
        <w:jc w:val="both"/>
        <w:ind w:left="-360" w:firstLine="745"/>
        <w:spacing w:after="0" w:line="242" w:lineRule="auto"/>
        <w:tabs>
          <w:tab w:leader="none" w:pos="78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interest amounts) of the Loans and L/C Obligations owing to, each Lender pursuant to the terms hereof from time to time (the “</w:t>
      </w:r>
      <w:r>
        <w:rPr>
          <w:rFonts w:ascii="Times New Roman" w:cs="Times New Roman" w:eastAsia="Times New Roman" w:hAnsi="Times New Roman"/>
          <w:sz w:val="20"/>
          <w:szCs w:val="20"/>
          <w:i w:val="1"/>
          <w:iCs w:val="1"/>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spacing w:after="0" w:line="200" w:lineRule="exact"/>
        <w:rPr>
          <w:sz w:val="20"/>
          <w:szCs w:val="20"/>
          <w:color w:val="auto"/>
        </w:rPr>
      </w:pPr>
    </w:p>
    <w:p>
      <w:pPr>
        <w:spacing w:after="0" w:line="39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200" w:name="page201"/>
    <w:bookmarkEnd w:id="200"/>
    <w:p>
      <w:pPr>
        <w:ind w:left="780" w:hanging="395"/>
        <w:spacing w:after="0"/>
        <w:tabs>
          <w:tab w:leader="none" w:pos="7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left="380" w:firstLine="754"/>
        <w:spacing w:after="0" w:line="242" w:lineRule="auto"/>
        <w:tabs>
          <w:tab w:leader="none" w:pos="1524"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20"/>
          <w:szCs w:val="20"/>
          <w:i w:val="1"/>
          <w:iCs w:val="1"/>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without regard to the existence of any participations.</w:t>
      </w:r>
    </w:p>
    <w:p>
      <w:pPr>
        <w:spacing w:after="0" w:line="186" w:lineRule="exact"/>
        <w:rPr>
          <w:rFonts w:ascii="Times New Roman" w:cs="Times New Roman" w:eastAsia="Times New Roman" w:hAnsi="Times New Roman"/>
          <w:sz w:val="20"/>
          <w:szCs w:val="20"/>
          <w:color w:val="auto"/>
        </w:rPr>
      </w:pPr>
    </w:p>
    <w:p>
      <w:pPr>
        <w:jc w:val="both"/>
        <w:ind w:left="380" w:firstLine="754"/>
        <w:spacing w:after="0"/>
        <w:tabs>
          <w:tab w:leader="none" w:pos="1524"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that affects such Participant. The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3.01(f</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(A) shall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and (B) 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20"/>
          <w:szCs w:val="20"/>
          <w:i w:val="1"/>
          <w:iCs w:val="1"/>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w:t>
      </w:r>
    </w:p>
    <w:p>
      <w:pPr>
        <w:spacing w:after="0" w:line="200" w:lineRule="exact"/>
        <w:rPr>
          <w:sz w:val="20"/>
          <w:szCs w:val="20"/>
          <w:color w:val="auto"/>
        </w:rPr>
      </w:pPr>
    </w:p>
    <w:p>
      <w:pPr>
        <w:spacing w:after="0" w:line="39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201" w:name="page202"/>
    <w:bookmarkEnd w:id="201"/>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8" w:lineRule="exact"/>
        <w:rPr>
          <w:sz w:val="20"/>
          <w:szCs w:val="20"/>
          <w:color w:val="auto"/>
        </w:rPr>
      </w:pPr>
    </w:p>
    <w:p>
      <w:pPr>
        <w:jc w:val="both"/>
        <w:ind w:left="-360" w:firstLine="745"/>
        <w:spacing w:after="0" w:line="249" w:lineRule="auto"/>
        <w:tabs>
          <w:tab w:leader="none" w:pos="798"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8"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as L/C Issuer or Swingline Lender after Assignment</w:t>
      </w:r>
      <w:r>
        <w:rPr>
          <w:rFonts w:ascii="Times New Roman" w:cs="Times New Roman" w:eastAsia="Times New Roman" w:hAnsi="Times New Roman"/>
          <w:sz w:val="19"/>
          <w:szCs w:val="19"/>
          <w:color w:val="auto"/>
        </w:rPr>
        <w:t xml:space="preserve">. Notwithstanding anything to the contrary contained herein, if at any time Bank of America assigns all of its Revolving Commitment and Revolving Loans pursuant to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above, Bank of America may, (i) upon thirty (30) days’ notice to the Borrower and the Lenders, resign as L/C Issuer and/or (ii) upon thirty (30) days’ notice to the Borrower, resign as Swingline Lender. In the event of any such resignation as L/C Issuer or Swingline Lender, the Borrower shall be entitled to appoint from among the Lenders a successor L/C Issuer or Swingline Lender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failure by the Borrower to appoint any such successor shall affect the resignation of Bank of America as L/C Issuer or Swingline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9"/>
          <w:szCs w:val="19"/>
          <w:u w:val="single" w:color="auto"/>
          <w:color w:val="auto"/>
        </w:rPr>
        <w:t>Section 2.03(f)</w:t>
      </w:r>
      <w:r>
        <w:rPr>
          <w:rFonts w:ascii="Times New Roman" w:cs="Times New Roman" w:eastAsia="Times New Roman" w:hAnsi="Times New Roman"/>
          <w:sz w:val="19"/>
          <w:szCs w:val="19"/>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Upon the appointment of a successor L/C Issuer and/or Swingline Lender, and the acceptance of such appointment by such successor L/C Issuer 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9" w:lineRule="exact"/>
        <w:rPr>
          <w:rFonts w:ascii="Times New Roman" w:cs="Times New Roman" w:eastAsia="Times New Roman" w:hAnsi="Times New Roman"/>
          <w:sz w:val="19"/>
          <w:szCs w:val="19"/>
          <w:color w:val="auto"/>
        </w:rPr>
      </w:pPr>
    </w:p>
    <w:p>
      <w:pPr>
        <w:ind w:left="780" w:hanging="395"/>
        <w:spacing w:after="0"/>
        <w:tabs>
          <w:tab w:leader="none" w:pos="78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Disqualified Institutions</w:t>
      </w:r>
      <w:r>
        <w:rPr>
          <w:rFonts w:ascii="Times New Roman" w:cs="Times New Roman" w:eastAsia="Times New Roman" w:hAnsi="Times New Roman"/>
          <w:sz w:val="20"/>
          <w:szCs w:val="20"/>
          <w:color w:val="auto"/>
        </w:rPr>
        <w:t>.</w:t>
      </w:r>
    </w:p>
    <w:p>
      <w:pPr>
        <w:spacing w:after="0" w:line="210"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24"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assignment shall be made to any Person that was a Disqualified Institution as of the date (the “</w:t>
      </w:r>
      <w:r>
        <w:rPr>
          <w:rFonts w:ascii="Times New Roman" w:cs="Times New Roman" w:eastAsia="Times New Roman" w:hAnsi="Times New Roman"/>
          <w:sz w:val="20"/>
          <w:szCs w:val="20"/>
          <w:i w:val="1"/>
          <w:iCs w:val="1"/>
          <w:u w:val="single" w:color="auto"/>
          <w:color w:val="auto"/>
        </w:rPr>
        <w:t>Trade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Date</w:t>
      </w:r>
      <w:r>
        <w:rPr>
          <w:rFonts w:ascii="Times New Roman" w:cs="Times New Roman" w:eastAsia="Times New Roman" w:hAnsi="Times New Roman"/>
          <w:sz w:val="20"/>
          <w:szCs w:val="20"/>
          <w:color w:val="auto"/>
        </w:rPr>
        <w:t>”) on which the applicable Lender entered into a binding agreement to sell and assign or participate all or a portion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its rights and obligations under this Agreement to such Person (unless the Borrower has consented to such assignment as otherwise contemplated by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in which case such Person will not be considered a Disqualified Institution for the purpose of such assignment). Any assignment in violation of this </w:t>
      </w:r>
      <w:r>
        <w:rPr>
          <w:rFonts w:ascii="Times New Roman" w:cs="Times New Roman" w:eastAsia="Times New Roman" w:hAnsi="Times New Roman"/>
          <w:sz w:val="20"/>
          <w:szCs w:val="20"/>
          <w:u w:val="single" w:color="auto"/>
          <w:color w:val="auto"/>
        </w:rPr>
        <w:t>clause (g)(i</w:t>
      </w:r>
      <w:r>
        <w:rPr>
          <w:rFonts w:ascii="Times New Roman" w:cs="Times New Roman" w:eastAsia="Times New Roman" w:hAnsi="Times New Roman"/>
          <w:sz w:val="20"/>
          <w:szCs w:val="20"/>
          <w:color w:val="auto"/>
        </w:rPr>
        <w:t xml:space="preserve">) shall not be void, but the other provisions of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shall apply.</w:t>
      </w:r>
    </w:p>
    <w:p>
      <w:pPr>
        <w:spacing w:after="0" w:line="186" w:lineRule="exact"/>
        <w:rPr>
          <w:rFonts w:ascii="Times New Roman" w:cs="Times New Roman" w:eastAsia="Times New Roman" w:hAnsi="Times New Roman"/>
          <w:sz w:val="20"/>
          <w:szCs w:val="20"/>
          <w:color w:val="auto"/>
        </w:rPr>
      </w:pPr>
    </w:p>
    <w:p>
      <w:pPr>
        <w:ind w:left="380" w:right="20" w:firstLine="754"/>
        <w:spacing w:after="0" w:line="268" w:lineRule="auto"/>
        <w:tabs>
          <w:tab w:leader="none" w:pos="1524"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assignment is made to any Disqualified Institution without the Borrower’s prior consent in violation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above, the Borrower may, at its sole</w:t>
      </w:r>
    </w:p>
    <w:p>
      <w:pPr>
        <w:spacing w:after="0" w:line="200" w:lineRule="exact"/>
        <w:rPr>
          <w:sz w:val="20"/>
          <w:szCs w:val="20"/>
          <w:color w:val="auto"/>
        </w:rPr>
      </w:pPr>
    </w:p>
    <w:p>
      <w:pPr>
        <w:spacing w:after="0" w:line="36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202" w:name="page203"/>
    <w:bookmarkEnd w:id="202"/>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 xml:space="preserve">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(B) in the case of outstanding Term Loans or Incremental Term Loans held by Disqualified Institutions, prepay such Term Loan or Incremental Term Loans by paying the </w:t>
      </w:r>
      <w:r>
        <w:rPr>
          <w:rFonts w:ascii="Times New Roman" w:cs="Times New Roman" w:eastAsia="Times New Roman" w:hAnsi="Times New Roman"/>
          <w:sz w:val="20"/>
          <w:szCs w:val="20"/>
          <w:i w:val="1"/>
          <w:iCs w:val="1"/>
          <w:color w:val="auto"/>
        </w:rPr>
        <w:t>lesser of</w:t>
      </w:r>
      <w:r>
        <w:rPr>
          <w:rFonts w:ascii="Times New Roman" w:cs="Times New Roman" w:eastAsia="Times New Roman" w:hAnsi="Times New Roman"/>
          <w:sz w:val="20"/>
          <w:szCs w:val="20"/>
          <w:color w:val="auto"/>
        </w:rPr>
        <w:t xml:space="preserve"> (1) the principal amount thereof and (2) the amount that such Disqualified Institution paid to acquire such Term Loans or Incremental Term Loans, in each case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 rights and obligations under this Agreement and related Loan Documents to an Eligible Assignee that shall assume such obligations at the </w:t>
      </w:r>
      <w:r>
        <w:rPr>
          <w:rFonts w:ascii="Times New Roman" w:cs="Times New Roman" w:eastAsia="Times New Roman" w:hAnsi="Times New Roman"/>
          <w:sz w:val="20"/>
          <w:szCs w:val="20"/>
          <w:i w:val="1"/>
          <w:iCs w:val="1"/>
          <w:color w:val="auto"/>
        </w:rPr>
        <w:t>lesser of</w:t>
      </w:r>
      <w:r>
        <w:rPr>
          <w:rFonts w:ascii="Times New Roman" w:cs="Times New Roman" w:eastAsia="Times New Roman" w:hAnsi="Times New Roman"/>
          <w:sz w:val="20"/>
          <w:szCs w:val="20"/>
          <w:color w:val="auto"/>
        </w:rPr>
        <w:t xml:space="preserve"> (1) the principal amount thereof and (2) the amount that such Disqualified Institution paid to acquire such interests, rights and obligations, in each case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interest, accrued fees and all other amounts (other than principal amounts) payable to it hereunder and other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(x) the Borrower shall have paid to the Administrative Agent the assignment fee (if any) specified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(y) such assignment does not conflict with Applicable Laws and (z)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the Borrower shall not use the proceeds from any Loans to prepay Term Loans or Incremental Term Loans held by Disqualified Institutions.</w:t>
      </w:r>
    </w:p>
    <w:p>
      <w:pPr>
        <w:spacing w:after="0" w:line="188" w:lineRule="exact"/>
        <w:rPr>
          <w:sz w:val="20"/>
          <w:szCs w:val="20"/>
          <w:color w:val="auto"/>
        </w:rPr>
      </w:pPr>
    </w:p>
    <w:p>
      <w:pPr>
        <w:ind w:left="1520" w:hanging="386"/>
        <w:spacing w:after="0"/>
        <w:tabs>
          <w:tab w:leader="none" w:pos="1520"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in this Agreement, Disqualified Institutions (A) will not</w:t>
      </w:r>
    </w:p>
    <w:p>
      <w:pPr>
        <w:spacing w:after="0" w:line="32" w:lineRule="exact"/>
        <w:rPr>
          <w:rFonts w:ascii="Times New Roman" w:cs="Times New Roman" w:eastAsia="Times New Roman" w:hAnsi="Times New Roman"/>
          <w:sz w:val="19"/>
          <w:szCs w:val="19"/>
          <w:color w:val="auto"/>
        </w:rPr>
      </w:pPr>
    </w:p>
    <w:p>
      <w:pPr>
        <w:jc w:val="both"/>
        <w:ind w:left="380" w:firstLine="5"/>
        <w:spacing w:after="0" w:line="253" w:lineRule="auto"/>
        <w:tabs>
          <w:tab w:leader="none" w:pos="727"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have the right to receive information, reports or other materials provided to Lenders by the Borrower, the Administrative Agent or any other Lender, (2) attend or participate in meetings attended by the Lenders and the Administrative Agent, or (3) access any electronic site established for the Lenders or confidential communications from counsel to or financial advisors of the Administrative Agent or the Lenders and (B) (1)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(2) for purposes of voting on any plan of reorganization or plan of liquidation pursuant to any Debtor Relief Laws (“</w:t>
      </w:r>
      <w:r>
        <w:rPr>
          <w:rFonts w:ascii="Times New Roman" w:cs="Times New Roman" w:eastAsia="Times New Roman" w:hAnsi="Times New Roman"/>
          <w:sz w:val="19"/>
          <w:szCs w:val="19"/>
          <w:i w:val="1"/>
          <w:iCs w:val="1"/>
          <w:u w:val="single" w:color="auto"/>
          <w:color w:val="auto"/>
        </w:rPr>
        <w:t>Plan of Reorganization</w:t>
      </w:r>
      <w:r>
        <w:rPr>
          <w:rFonts w:ascii="Times New Roman" w:cs="Times New Roman" w:eastAsia="Times New Roman" w:hAnsi="Times New Roman"/>
          <w:sz w:val="19"/>
          <w:szCs w:val="19"/>
          <w:color w:val="auto"/>
        </w:rPr>
        <w:t xml:space="preserve">”), each Disqualified Institution party hereto hereby agrees (I) not to vote on such Plan of Reorganization, (II) if such Disqualified Institution does vote on such Plan of Reorganization notwithstanding the restriction in the foregoing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(III)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w:t>
      </w:r>
    </w:p>
    <w:p>
      <w:pPr>
        <w:spacing w:after="0" w:line="176" w:lineRule="exact"/>
        <w:rPr>
          <w:rFonts w:ascii="Times New Roman" w:cs="Times New Roman" w:eastAsia="Times New Roman" w:hAnsi="Times New Roman"/>
          <w:sz w:val="19"/>
          <w:szCs w:val="19"/>
          <w:color w:val="auto"/>
        </w:rPr>
      </w:pPr>
    </w:p>
    <w:p>
      <w:pPr>
        <w:jc w:val="both"/>
        <w:ind w:left="380" w:firstLine="754"/>
        <w:spacing w:after="0" w:line="249" w:lineRule="auto"/>
        <w:tabs>
          <w:tab w:leader="none" w:pos="1524"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and the Borrower hereby expressly authorizes the Administrative Agent, to (A) post the list of Disqualified Institutions provided by the Borrower (collectively, the “</w:t>
      </w:r>
      <w:r>
        <w:rPr>
          <w:rFonts w:ascii="Times New Roman" w:cs="Times New Roman" w:eastAsia="Times New Roman" w:hAnsi="Times New Roman"/>
          <w:sz w:val="20"/>
          <w:szCs w:val="20"/>
          <w:i w:val="1"/>
          <w:iCs w:val="1"/>
          <w:u w:val="single" w:color="auto"/>
          <w:color w:val="auto"/>
        </w:rPr>
        <w:t>DQ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List</w:t>
      </w:r>
      <w:r>
        <w:rPr>
          <w:rFonts w:ascii="Times New Roman" w:cs="Times New Roman" w:eastAsia="Times New Roman" w:hAnsi="Times New Roman"/>
          <w:sz w:val="20"/>
          <w:szCs w:val="20"/>
          <w:color w:val="auto"/>
        </w:rPr>
        <w:t>”) on the Platform, including that portion of the Platform that is designated for “public side” Lenders or (B) provide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DQ List to each Lender requesting the same.</w:t>
      </w:r>
    </w:p>
    <w:p>
      <w:pPr>
        <w:spacing w:after="0" w:line="200" w:lineRule="exact"/>
        <w:rPr>
          <w:sz w:val="20"/>
          <w:szCs w:val="20"/>
          <w:color w:val="auto"/>
        </w:rPr>
      </w:pPr>
    </w:p>
    <w:p>
      <w:pPr>
        <w:spacing w:after="0" w:line="3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203" w:name="page204"/>
    <w:bookmarkEnd w:id="203"/>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11.07</w:t>
      </w:r>
      <w:r>
        <w:rPr>
          <w:sz w:val="20"/>
          <w:szCs w:val="20"/>
          <w:color w:val="auto"/>
        </w:rPr>
        <w:tab/>
      </w:r>
      <w:r>
        <w:rPr>
          <w:rFonts w:ascii="Times New Roman" w:cs="Times New Roman" w:eastAsia="Times New Roman" w:hAnsi="Times New Roman"/>
          <w:sz w:val="19"/>
          <w:szCs w:val="19"/>
          <w:b w:val="1"/>
          <w:bCs w:val="1"/>
          <w:u w:val="single" w:color="auto"/>
          <w:color w:val="auto"/>
        </w:rPr>
        <w:t>Treatment of Certain Information; Confidentiality.</w:t>
      </w:r>
    </w:p>
    <w:p>
      <w:pPr>
        <w:spacing w:after="0" w:line="219" w:lineRule="exact"/>
        <w:rPr>
          <w:sz w:val="20"/>
          <w:szCs w:val="20"/>
          <w:color w:val="auto"/>
        </w:rPr>
      </w:pPr>
    </w:p>
    <w:p>
      <w:pPr>
        <w:jc w:val="both"/>
        <w:ind w:firstLine="745"/>
        <w:spacing w:after="0"/>
        <w:tabs>
          <w:tab w:leader="none" w:pos="117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Information</w:t>
      </w:r>
      <w:r>
        <w:rPr>
          <w:rFonts w:ascii="Times New Roman" w:cs="Times New Roman" w:eastAsia="Times New Roman" w:hAnsi="Times New Roman"/>
          <w:sz w:val="20"/>
          <w:szCs w:val="20"/>
          <w:color w:val="auto"/>
        </w:rPr>
        <w:t xml:space="preserve">. Each of the Administrative Agent, the Lenders and the L/C Issuer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to (A)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xml:space="preserve">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or (B) the provider of any Platform or other electronic delivery service used by the Administrative Agent, the L/C Issuer and/or the Swingline Lender to deliver Borrower Materials or notices to the Lenders or (C) the CUSIP Service Bureau or any similar agency in connection with the issuance and monitoring of CUSIP numbers or other market identifiers with respect to the credit facilities provided hereunder, or (viii) with the consent of the Borrower or to the extent such Information (1) becomes publicly available other than as a result of a breach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or (2) becomes available to the Administrative Agent, any Lender, the L/C Issuer or any of their respective Affiliates on a nonconfidential basis from a source other than the Borrower. For purposes of this Section, “</w:t>
      </w:r>
      <w:r>
        <w:rPr>
          <w:rFonts w:ascii="Times New Roman" w:cs="Times New Roman" w:eastAsia="Times New Roman" w:hAnsi="Times New Roman"/>
          <w:sz w:val="20"/>
          <w:szCs w:val="20"/>
          <w:i w:val="1"/>
          <w:iCs w:val="1"/>
          <w:u w:val="single" w:color="auto"/>
          <w:color w:val="auto"/>
        </w:rPr>
        <w:t>Information</w:t>
      </w:r>
      <w:r>
        <w:rPr>
          <w:rFonts w:ascii="Times New Roman" w:cs="Times New Roman" w:eastAsia="Times New Roman" w:hAnsi="Times New Roman"/>
          <w:sz w:val="20"/>
          <w:szCs w:val="20"/>
          <w:color w:val="auto"/>
        </w:rPr>
        <w:t xml:space="preserve">”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Any Person required to maintain the confidentiality of Information as provided in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9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Each of the Administrative Agent, the Lenders and the L/C Issuer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78" w:lineRule="exact"/>
        <w:rPr>
          <w:rFonts w:ascii="Times New Roman" w:cs="Times New Roman" w:eastAsia="Times New Roman" w:hAnsi="Times New Roman"/>
          <w:sz w:val="20"/>
          <w:szCs w:val="20"/>
          <w:color w:val="auto"/>
        </w:rPr>
      </w:pPr>
    </w:p>
    <w:p>
      <w:pPr>
        <w:jc w:val="both"/>
        <w:ind w:firstLine="745"/>
        <w:spacing w:after="0" w:line="253" w:lineRule="auto"/>
        <w:tabs>
          <w:tab w:leader="none" w:pos="114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Press Releases</w:t>
      </w:r>
      <w:r>
        <w:rPr>
          <w:rFonts w:ascii="Times New Roman" w:cs="Times New Roman" w:eastAsia="Times New Roman" w:hAnsi="Times New Roman"/>
          <w:sz w:val="20"/>
          <w:szCs w:val="20"/>
          <w:color w:val="auto"/>
        </w:rPr>
        <w:t>. The Loan Parties and their Affiliates agree that they will not in the future issue any press releases or other public disclosure using the name of the Administrative Agent or any Lender or their respective Affiliates or referring to this Agreement or any of the Loan</w:t>
      </w:r>
    </w:p>
    <w:p>
      <w:pPr>
        <w:spacing w:after="0" w:line="200" w:lineRule="exact"/>
        <w:rPr>
          <w:sz w:val="20"/>
          <w:szCs w:val="20"/>
          <w:color w:val="auto"/>
        </w:rPr>
      </w:pPr>
    </w:p>
    <w:p>
      <w:pPr>
        <w:spacing w:after="0" w:line="37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204" w:name="page205"/>
    <w:bookmarkEnd w:id="204"/>
    <w:p>
      <w:pPr>
        <w:jc w:val="both"/>
        <w:ind w:left="760"/>
        <w:spacing w:after="0" w:line="253" w:lineRule="auto"/>
        <w:rPr>
          <w:sz w:val="20"/>
          <w:szCs w:val="20"/>
          <w:color w:val="auto"/>
        </w:rPr>
      </w:pPr>
      <w:r>
        <w:rPr>
          <w:rFonts w:ascii="Times New Roman" w:cs="Times New Roman" w:eastAsia="Times New Roman" w:hAnsi="Times New Roman"/>
          <w:sz w:val="20"/>
          <w:szCs w:val="20"/>
          <w:color w:val="auto"/>
        </w:rPr>
        <w:t>Documents without the prior written consent of the Administrative Agent, unless (and only to the extent that) the Loan Parties or such Affiliate is required to do so under law and then, in any event (other than in connection with any required SEC filings), the Loan Parties or such Affiliate will consult with such Person before issuing such press release or other public disclosure.</w:t>
      </w:r>
    </w:p>
    <w:p>
      <w:pPr>
        <w:spacing w:after="0" w:line="176" w:lineRule="exact"/>
        <w:rPr>
          <w:sz w:val="20"/>
          <w:szCs w:val="20"/>
          <w:color w:val="auto"/>
        </w:rPr>
      </w:pPr>
    </w:p>
    <w:p>
      <w:pPr>
        <w:jc w:val="both"/>
        <w:ind w:left="760" w:firstLine="745"/>
        <w:spacing w:after="0" w:line="253" w:lineRule="auto"/>
        <w:tabs>
          <w:tab w:leader="none" w:pos="19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Customary Advertising Material</w:t>
      </w:r>
      <w:r>
        <w:rPr>
          <w:rFonts w:ascii="Times New Roman" w:cs="Times New Roman" w:eastAsia="Times New Roman" w:hAnsi="Times New Roman"/>
          <w:sz w:val="20"/>
          <w:szCs w:val="20"/>
          <w:color w:val="auto"/>
        </w:rPr>
        <w:t>. The Loan Parties consent to the publication by the Administrative Agent or any Lender of customary advertising material relating to the transactions contemplated hereby using the name, product photographs, logo or trademark of the Loan Parties.</w:t>
      </w:r>
    </w:p>
    <w:p>
      <w:pPr>
        <w:spacing w:after="0" w:line="17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11.08</w:t>
      </w:r>
      <w:r>
        <w:rPr>
          <w:sz w:val="20"/>
          <w:szCs w:val="20"/>
          <w:color w:val="auto"/>
        </w:rPr>
        <w:tab/>
      </w:r>
      <w:r>
        <w:rPr>
          <w:rFonts w:ascii="Times New Roman" w:cs="Times New Roman" w:eastAsia="Times New Roman" w:hAnsi="Times New Roman"/>
          <w:sz w:val="19"/>
          <w:szCs w:val="19"/>
          <w:b w:val="1"/>
          <w:bCs w:val="1"/>
          <w:u w:val="single" w:color="auto"/>
          <w:color w:val="auto"/>
        </w:rPr>
        <w:t>Right of Setoff.</w:t>
      </w:r>
    </w:p>
    <w:p>
      <w:pPr>
        <w:spacing w:after="0" w:line="21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If an Event of Default shall have occurred and be continuing, each Lender, the L/C Issuer and each of their 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the L/C Issuer or such Affiliates, irrespective of whether or not such Lender, the L/C Issuer or Affiliate shall have made any demand under this Agreement or any other Loan Document and although such obligations of the Borrower or such Loan Party may be contingent or unmatured, secured or unsecured, or are owed to a branch, office or Affiliate of such Lender or the L/C Issuer different from the branch, office or Affiliate holding such deposit or obligated on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Defaulting Lender shall exercise any such right of setoff, (a)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Secured Obligations owing to such Defaulting Lender as to which it exercised such right of setoff. The rights of each Lender, the L/C Issuer and their respective Affiliates under this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are in addition to other rights and remedies (including other rights of setoff) that such Lender, the L/C Issuer or their respective Affiliates may have under Applicable Law. Each Lender and the L/C Issuer agrees to notify the Borrower and the Administrative Agent promptly after any such setoff and application, provided that the failure to give such notice shall not affect the validity of such setoff and application.</w:t>
      </w:r>
    </w:p>
    <w:p>
      <w:pPr>
        <w:spacing w:after="0" w:line="198"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11.09</w:t>
      </w:r>
      <w:r>
        <w:rPr>
          <w:sz w:val="20"/>
          <w:szCs w:val="20"/>
          <w:color w:val="auto"/>
        </w:rPr>
        <w:tab/>
      </w:r>
      <w:r>
        <w:rPr>
          <w:rFonts w:ascii="Times New Roman" w:cs="Times New Roman" w:eastAsia="Times New Roman" w:hAnsi="Times New Roman"/>
          <w:sz w:val="19"/>
          <w:szCs w:val="19"/>
          <w:b w:val="1"/>
          <w:bCs w:val="1"/>
          <w:u w:val="single" w:color="auto"/>
          <w:color w:val="auto"/>
        </w:rPr>
        <w:t>Interest Rate Limitation.</w:t>
      </w:r>
    </w:p>
    <w:p>
      <w:pPr>
        <w:spacing w:after="0" w:line="21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i w:val="1"/>
          <w:iCs w:val="1"/>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5" w:name="page206"/>
    <w:bookmarkEnd w:id="205"/>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11.10</w:t>
      </w:r>
      <w:r>
        <w:rPr>
          <w:sz w:val="20"/>
          <w:szCs w:val="20"/>
          <w:color w:val="auto"/>
        </w:rPr>
        <w:tab/>
      </w:r>
      <w:r>
        <w:rPr>
          <w:rFonts w:ascii="Times New Roman" w:cs="Times New Roman" w:eastAsia="Times New Roman" w:hAnsi="Times New Roman"/>
          <w:sz w:val="19"/>
          <w:szCs w:val="19"/>
          <w:b w:val="1"/>
          <w:bCs w:val="1"/>
          <w:u w:val="single" w:color="auto"/>
          <w:color w:val="auto"/>
        </w:rPr>
        <w:t>Counterparts; Integration; Effectiveness.</w:t>
      </w:r>
    </w:p>
    <w:p>
      <w:pPr>
        <w:spacing w:after="0" w:line="21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9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11.11</w:t>
      </w:r>
      <w:r>
        <w:rPr>
          <w:sz w:val="20"/>
          <w:szCs w:val="20"/>
          <w:color w:val="auto"/>
        </w:rPr>
        <w:tab/>
      </w:r>
      <w:r>
        <w:rPr>
          <w:rFonts w:ascii="Times New Roman" w:cs="Times New Roman" w:eastAsia="Times New Roman" w:hAnsi="Times New Roman"/>
          <w:sz w:val="19"/>
          <w:szCs w:val="19"/>
          <w:b w:val="1"/>
          <w:bCs w:val="1"/>
          <w:u w:val="single" w:color="auto"/>
          <w:color w:val="auto"/>
        </w:rPr>
        <w:t>Survival of Representations and Warranties.</w:t>
      </w:r>
    </w:p>
    <w:p>
      <w:pPr>
        <w:spacing w:after="0" w:line="21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11.12</w:t>
      </w:r>
      <w:r>
        <w:rPr>
          <w:sz w:val="20"/>
          <w:szCs w:val="20"/>
          <w:color w:val="auto"/>
        </w:rPr>
        <w:tab/>
      </w:r>
      <w:r>
        <w:rPr>
          <w:rFonts w:ascii="Times New Roman" w:cs="Times New Roman" w:eastAsia="Times New Roman" w:hAnsi="Times New Roman"/>
          <w:sz w:val="19"/>
          <w:szCs w:val="19"/>
          <w:b w:val="1"/>
          <w:bCs w:val="1"/>
          <w:u w:val="single" w:color="auto"/>
          <w:color w:val="auto"/>
        </w:rPr>
        <w:t>Severability.</w:t>
      </w:r>
    </w:p>
    <w:p>
      <w:pPr>
        <w:spacing w:after="0" w:line="21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spacing w:after="0" w:line="183"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11.13</w:t>
      </w:r>
      <w:r>
        <w:rPr>
          <w:sz w:val="20"/>
          <w:szCs w:val="20"/>
          <w:color w:val="auto"/>
        </w:rPr>
        <w:tab/>
      </w:r>
      <w:r>
        <w:rPr>
          <w:rFonts w:ascii="Times New Roman" w:cs="Times New Roman" w:eastAsia="Times New Roman" w:hAnsi="Times New Roman"/>
          <w:sz w:val="19"/>
          <w:szCs w:val="19"/>
          <w:b w:val="1"/>
          <w:bCs w:val="1"/>
          <w:u w:val="single" w:color="auto"/>
          <w:color w:val="auto"/>
        </w:rPr>
        <w:t>Replacement of Lenders.</w:t>
      </w:r>
    </w:p>
    <w:p>
      <w:pPr>
        <w:spacing w:after="0" w:line="219" w:lineRule="exact"/>
        <w:rPr>
          <w:sz w:val="20"/>
          <w:szCs w:val="20"/>
          <w:color w:val="auto"/>
        </w:rPr>
      </w:pPr>
    </w:p>
    <w:p>
      <w:pPr>
        <w:jc w:val="both"/>
        <w:ind w:left="760" w:firstLine="745"/>
        <w:spacing w:after="0" w:line="246" w:lineRule="auto"/>
        <w:tabs>
          <w:tab w:leader="none" w:pos="190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is entitled to replace a Lender pursuant to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and obligations under this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6" w:name="page207"/>
    <w:bookmarkEnd w:id="206"/>
    <w:p>
      <w:pPr>
        <w:spacing w:after="0" w:line="268" w:lineRule="auto"/>
        <w:rPr>
          <w:sz w:val="20"/>
          <w:szCs w:val="20"/>
          <w:color w:val="auto"/>
        </w:rPr>
      </w:pPr>
      <w:r>
        <w:rPr>
          <w:rFonts w:ascii="Times New Roman" w:cs="Times New Roman" w:eastAsia="Times New Roman" w:hAnsi="Times New Roman"/>
          <w:sz w:val="20"/>
          <w:szCs w:val="20"/>
          <w:color w:val="auto"/>
        </w:rPr>
        <w:t xml:space="preserve">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61" w:lineRule="exact"/>
        <w:rPr>
          <w:sz w:val="20"/>
          <w:szCs w:val="20"/>
          <w:color w:val="auto"/>
        </w:rPr>
      </w:pPr>
    </w:p>
    <w:p>
      <w:pPr>
        <w:ind w:left="1500"/>
        <w:spacing w:after="0"/>
        <w:tabs>
          <w:tab w:leader="none" w:pos="1860" w:val="left"/>
        </w:tabs>
        <w:rPr>
          <w:sz w:val="20"/>
          <w:szCs w:val="20"/>
          <w:color w:val="auto"/>
        </w:rPr>
      </w:pPr>
      <w:r>
        <w:rPr>
          <w:rFonts w:ascii="Times New Roman" w:cs="Times New Roman" w:eastAsia="Times New Roman" w:hAnsi="Times New Roman"/>
          <w:sz w:val="20"/>
          <w:szCs w:val="20"/>
          <w:color w:val="auto"/>
        </w:rPr>
        <w:t>(i)</w:t>
        <w:tab/>
        <w:t xml:space="preserve">the Borrower shall have paid to the Administrative Agent the assignment fee (if any) specified in </w:t>
      </w:r>
      <w:r>
        <w:rPr>
          <w:rFonts w:ascii="Times New Roman" w:cs="Times New Roman" w:eastAsia="Times New Roman" w:hAnsi="Times New Roman"/>
          <w:sz w:val="20"/>
          <w:szCs w:val="20"/>
          <w:u w:val="single" w:color="auto"/>
          <w:color w:val="auto"/>
        </w:rPr>
        <w:t>Section</w:t>
      </w: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auto"/>
        </w:rPr>
        <w:t>11.06(b</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740" w:firstLine="754"/>
        <w:spacing w:after="0" w:line="249" w:lineRule="auto"/>
        <w:tabs>
          <w:tab w:leader="none" w:pos="1884"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Borrower (in the case of all other amounts);</w:t>
      </w:r>
    </w:p>
    <w:p>
      <w:pPr>
        <w:spacing w:after="0" w:line="178" w:lineRule="exact"/>
        <w:rPr>
          <w:rFonts w:ascii="Times New Roman" w:cs="Times New Roman" w:eastAsia="Times New Roman" w:hAnsi="Times New Roman"/>
          <w:sz w:val="20"/>
          <w:szCs w:val="20"/>
          <w:color w:val="auto"/>
        </w:rPr>
      </w:pPr>
    </w:p>
    <w:p>
      <w:pPr>
        <w:jc w:val="both"/>
        <w:ind w:left="740" w:firstLine="754"/>
        <w:spacing w:after="0" w:line="253" w:lineRule="auto"/>
        <w:tabs>
          <w:tab w:leader="none" w:pos="1884"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76"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14" w:lineRule="exact"/>
        <w:rPr>
          <w:rFonts w:ascii="Times New Roman" w:cs="Times New Roman" w:eastAsia="Times New Roman" w:hAnsi="Times New Roman"/>
          <w:sz w:val="20"/>
          <w:szCs w:val="20"/>
          <w:color w:val="auto"/>
        </w:rPr>
      </w:pPr>
    </w:p>
    <w:p>
      <w:pPr>
        <w:ind w:left="740" w:right="40" w:firstLine="754"/>
        <w:spacing w:after="0" w:line="268" w:lineRule="auto"/>
        <w:tabs>
          <w:tab w:leader="none" w:pos="1884"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60" w:lineRule="exact"/>
        <w:rPr>
          <w:rFonts w:ascii="Times New Roman" w:cs="Times New Roman" w:eastAsia="Times New Roman" w:hAnsi="Times New Roman"/>
          <w:sz w:val="20"/>
          <w:szCs w:val="20"/>
          <w:color w:val="auto"/>
        </w:rPr>
      </w:pPr>
    </w:p>
    <w:p>
      <w:pPr>
        <w:ind w:right="20" w:firstLine="745"/>
        <w:spacing w:after="0" w:line="268" w:lineRule="auto"/>
        <w:tabs>
          <w:tab w:leader="none" w:pos="11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0" w:lineRule="exact"/>
        <w:rPr>
          <w:rFonts w:ascii="Times New Roman" w:cs="Times New Roman" w:eastAsia="Times New Roman" w:hAnsi="Times New Roman"/>
          <w:sz w:val="20"/>
          <w:szCs w:val="20"/>
          <w:color w:val="auto"/>
        </w:rPr>
      </w:pPr>
    </w:p>
    <w:p>
      <w:pPr>
        <w:jc w:val="both"/>
        <w:ind w:firstLine="745"/>
        <w:spacing w:after="0" w:line="260" w:lineRule="auto"/>
        <w:tabs>
          <w:tab w:leader="none" w:pos="1144"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hereto agrees that (i) an assignment required pursuant to this </w:t>
      </w:r>
      <w:r>
        <w:rPr>
          <w:rFonts w:ascii="Times New Roman" w:cs="Times New Roman" w:eastAsia="Times New Roman" w:hAnsi="Times New Roman"/>
          <w:sz w:val="19"/>
          <w:szCs w:val="19"/>
          <w:u w:val="single" w:color="auto"/>
          <w:color w:val="auto"/>
        </w:rPr>
        <w:t>Section 11.13</w:t>
      </w:r>
      <w:r>
        <w:rPr>
          <w:rFonts w:ascii="Times New Roman" w:cs="Times New Roman" w:eastAsia="Times New Roman" w:hAnsi="Times New Roman"/>
          <w:sz w:val="19"/>
          <w:szCs w:val="19"/>
          <w:color w:val="auto"/>
        </w:rPr>
        <w:t xml:space="preserve"> 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any such documents shall be without recourse to or warranty by the parties thereto.</w:t>
      </w:r>
    </w:p>
    <w:p>
      <w:pPr>
        <w:spacing w:after="0" w:line="171" w:lineRule="exact"/>
        <w:rPr>
          <w:rFonts w:ascii="Times New Roman" w:cs="Times New Roman" w:eastAsia="Times New Roman" w:hAnsi="Times New Roman"/>
          <w:sz w:val="19"/>
          <w:szCs w:val="19"/>
          <w:color w:val="auto"/>
        </w:rPr>
      </w:pPr>
    </w:p>
    <w:p>
      <w:pPr>
        <w:jc w:val="both"/>
        <w:ind w:firstLine="745"/>
        <w:spacing w:after="0" w:line="244" w:lineRule="auto"/>
        <w:tabs>
          <w:tab w:leader="none" w:pos="114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9.06</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11.14</w:t>
      </w:r>
      <w:r>
        <w:rPr>
          <w:sz w:val="20"/>
          <w:szCs w:val="20"/>
          <w:color w:val="auto"/>
        </w:rPr>
        <w:tab/>
      </w:r>
      <w:r>
        <w:rPr>
          <w:rFonts w:ascii="Times New Roman" w:cs="Times New Roman" w:eastAsia="Times New Roman" w:hAnsi="Times New Roman"/>
          <w:sz w:val="19"/>
          <w:szCs w:val="19"/>
          <w:b w:val="1"/>
          <w:bCs w:val="1"/>
          <w:u w:val="single" w:color="auto"/>
          <w:color w:val="auto"/>
        </w:rPr>
        <w:t>Governing Law; Jurisdiction; Etc.</w:t>
      </w:r>
    </w:p>
    <w:p>
      <w:pPr>
        <w:spacing w:after="0" w:line="219" w:lineRule="exact"/>
        <w:rPr>
          <w:sz w:val="20"/>
          <w:szCs w:val="20"/>
          <w:color w:val="auto"/>
        </w:rPr>
      </w:pPr>
    </w:p>
    <w:p>
      <w:pPr>
        <w:jc w:val="both"/>
        <w:ind w:firstLine="745"/>
        <w:spacing w:after="0" w:line="253" w:lineRule="auto"/>
        <w:tabs>
          <w:tab w:leader="none" w:pos="1171"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OTHER LOAN DOCUMENTS (EXCEPT, AS TO ANY OTHER LOAN DOCUMENT, AS EXPRESSLY SET FORTH THEREIN) AND ANY CLAIMS, CONTROVERSY, DISPUTE OR CAUSE OF</w:t>
      </w:r>
    </w:p>
    <w:p>
      <w:pPr>
        <w:spacing w:after="0" w:line="200" w:lineRule="exact"/>
        <w:rPr>
          <w:sz w:val="20"/>
          <w:szCs w:val="20"/>
          <w:color w:val="auto"/>
        </w:rPr>
      </w:pPr>
    </w:p>
    <w:p>
      <w:pPr>
        <w:spacing w:after="0" w:line="37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207" w:name="page208"/>
    <w:bookmarkEnd w:id="207"/>
    <w:p>
      <w:pPr>
        <w:jc w:val="both"/>
        <w:spacing w:after="0" w:line="249" w:lineRule="auto"/>
        <w:rPr>
          <w:sz w:val="20"/>
          <w:szCs w:val="20"/>
          <w:color w:val="auto"/>
        </w:rPr>
      </w:pPr>
      <w:r>
        <w:rPr>
          <w:rFonts w:ascii="Times New Roman" w:cs="Times New Roman" w:eastAsia="Times New Roman" w:hAnsi="Times New Roman"/>
          <w:sz w:val="20"/>
          <w:szCs w:val="20"/>
          <w:color w:val="auto"/>
        </w:rPr>
        <w:t>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8" w:lineRule="exact"/>
        <w:rPr>
          <w:sz w:val="20"/>
          <w:szCs w:val="20"/>
          <w:color w:val="auto"/>
        </w:rPr>
      </w:pPr>
    </w:p>
    <w:p>
      <w:pPr>
        <w:jc w:val="both"/>
        <w:ind w:firstLine="745"/>
        <w:spacing w:after="0"/>
        <w:tabs>
          <w:tab w:leader="none" w:pos="1198"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OF THE PARTIES HERETO HEREBY IRREVOCABLY AND UNCONDITIONALLY AGREES THAT IT WILL NOT COMMENCE ANY ACTION, LITIGATION OR PROCEEDING OF ANY KIND OR DESCRIPTION, WHETHER IN LAW OR EQUITY, WHETHER IN CONTRACT OR IN TORT 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ENFORCEMENT OF LIENS ON COLLATERAL UNDER THIS AGREEMENT OR ANY OTHER LOAN DOCUMENT AGAINST THE BORROWER OR ANY OTHER LOAN PARTY OR ITS PROPERTIES IN THE COURTS OF ANY JURISDICTION WHERE SUCH COLLATERAL IS LOCATED.</w:t>
      </w:r>
    </w:p>
    <w:p>
      <w:pPr>
        <w:spacing w:after="0" w:line="201" w:lineRule="exact"/>
        <w:rPr>
          <w:rFonts w:ascii="Times New Roman" w:cs="Times New Roman" w:eastAsia="Times New Roman" w:hAnsi="Times New Roman"/>
          <w:sz w:val="20"/>
          <w:szCs w:val="20"/>
          <w:color w:val="auto"/>
        </w:rPr>
      </w:pPr>
    </w:p>
    <w:p>
      <w:pPr>
        <w:jc w:val="both"/>
        <w:ind w:firstLine="745"/>
        <w:spacing w:after="0" w:line="244" w:lineRule="auto"/>
        <w:tabs>
          <w:tab w:leader="none" w:pos="1212"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xml:space="preserve">. EACH PARTY HERETO HEREBY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EACH PARTY HERETO HEREBY IRREVOCABLY AND UNCONDITIONALLY WAIVES, TO THE FULLEST EXTENT PERMITTED BY APPLICABLE LAW, THE DEFENSE OF AN INCONVENIENT FORUM TO THE MAINTENANCE OF SUCH ACTION OR PROCEEDING IN ANY SUCH COURT.</w:t>
      </w:r>
    </w:p>
    <w:p>
      <w:pPr>
        <w:spacing w:after="0" w:line="183" w:lineRule="exact"/>
        <w:rPr>
          <w:rFonts w:ascii="Times New Roman" w:cs="Times New Roman" w:eastAsia="Times New Roman" w:hAnsi="Times New Roman"/>
          <w:sz w:val="20"/>
          <w:szCs w:val="20"/>
          <w:color w:val="auto"/>
        </w:rPr>
      </w:pPr>
    </w:p>
    <w:p>
      <w:pPr>
        <w:jc w:val="both"/>
        <w:ind w:firstLine="745"/>
        <w:spacing w:after="0" w:line="273" w:lineRule="auto"/>
        <w:tabs>
          <w:tab w:leader="none" w:pos="1144"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OF PROCESS</w:t>
      </w:r>
      <w:r>
        <w:rPr>
          <w:rFonts w:ascii="Times New Roman" w:cs="Times New Roman" w:eastAsia="Times New Roman" w:hAnsi="Times New Roman"/>
          <w:sz w:val="19"/>
          <w:szCs w:val="19"/>
          <w:color w:val="auto"/>
        </w:rPr>
        <w:t xml:space="preserve">. EACH PARTY HERETO IRREVOCABLY CONSENTS TO SERVICE OF PROCESS IN THE MANNER PROVIDED FOR NOTICES IN </w:t>
      </w:r>
      <w:r>
        <w:rPr>
          <w:rFonts w:ascii="Times New Roman" w:cs="Times New Roman" w:eastAsia="Times New Roman" w:hAnsi="Times New Roman"/>
          <w:sz w:val="19"/>
          <w:szCs w:val="19"/>
          <w:u w:val="single" w:color="auto"/>
          <w:color w:val="auto"/>
        </w:rPr>
        <w:t>SECTION 11.02</w:t>
      </w:r>
      <w:r>
        <w:rPr>
          <w:rFonts w:ascii="Times New Roman" w:cs="Times New Roman" w:eastAsia="Times New Roman" w:hAnsi="Times New Roman"/>
          <w:sz w:val="19"/>
          <w:szCs w:val="19"/>
          <w:color w:val="auto"/>
        </w:rPr>
        <w:t>. NOTHING IN THIS AGREEMENT WILL AFFECT THE RIGHT OF ANY PARTY HERETO TO SERVE PROCESS IN ANY OTHER MANNER PERMITTED BY APPLICABLE LAW.</w:t>
      </w:r>
    </w:p>
    <w:p>
      <w:pPr>
        <w:spacing w:after="0" w:line="200" w:lineRule="exact"/>
        <w:rPr>
          <w:sz w:val="20"/>
          <w:szCs w:val="20"/>
          <w:color w:val="auto"/>
        </w:rPr>
      </w:pPr>
    </w:p>
    <w:p>
      <w:pPr>
        <w:spacing w:after="0" w:line="35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208" w:name="page209"/>
    <w:bookmarkEnd w:id="208"/>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11.15</w:t>
      </w:r>
      <w:r>
        <w:rPr>
          <w:sz w:val="20"/>
          <w:szCs w:val="20"/>
          <w:color w:val="auto"/>
        </w:rPr>
        <w:tab/>
      </w:r>
      <w:r>
        <w:rPr>
          <w:rFonts w:ascii="Times New Roman" w:cs="Times New Roman" w:eastAsia="Times New Roman" w:hAnsi="Times New Roman"/>
          <w:sz w:val="19"/>
          <w:szCs w:val="19"/>
          <w:b w:val="1"/>
          <w:bCs w:val="1"/>
          <w:u w:val="single" w:color="auto"/>
          <w:color w:val="auto"/>
        </w:rPr>
        <w:t>Waiver of Jury Trial.</w:t>
      </w:r>
    </w:p>
    <w:p>
      <w:pPr>
        <w:spacing w:after="0" w:line="21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11.16</w:t>
      </w:r>
      <w:r>
        <w:rPr>
          <w:sz w:val="20"/>
          <w:szCs w:val="20"/>
          <w:color w:val="auto"/>
        </w:rPr>
        <w:tab/>
      </w:r>
      <w:r>
        <w:rPr>
          <w:rFonts w:ascii="Times New Roman" w:cs="Times New Roman" w:eastAsia="Times New Roman" w:hAnsi="Times New Roman"/>
          <w:sz w:val="19"/>
          <w:szCs w:val="19"/>
          <w:b w:val="1"/>
          <w:bCs w:val="1"/>
          <w:u w:val="single" w:color="auto"/>
          <w:color w:val="auto"/>
        </w:rPr>
        <w:t>Subordination.</w:t>
      </w:r>
    </w:p>
    <w:p>
      <w:pPr>
        <w:spacing w:after="0" w:line="21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Each Loan Party (a “</w:t>
      </w:r>
      <w:r>
        <w:rPr>
          <w:rFonts w:ascii="Times New Roman" w:cs="Times New Roman" w:eastAsia="Times New Roman" w:hAnsi="Times New Roman"/>
          <w:sz w:val="20"/>
          <w:szCs w:val="20"/>
          <w:i w:val="1"/>
          <w:iCs w:val="1"/>
          <w:u w:val="single" w:color="auto"/>
          <w:color w:val="auto"/>
        </w:rPr>
        <w:t>Subordinating Loan Party</w:t>
      </w:r>
      <w:r>
        <w:rPr>
          <w:rFonts w:ascii="Times New Roman" w:cs="Times New Roman" w:eastAsia="Times New Roman" w:hAnsi="Times New Roman"/>
          <w:sz w:val="20"/>
          <w:szCs w:val="20"/>
          <w:color w:val="auto"/>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indefeasible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Event of Default has occurred and is continuing, the Loan Parties may make and receive payments with respect to intercompany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that any Loan Party receives any payment of any intercompany Indebtedness at a time when such payment is prohibited by this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such payment shall be held by such Loan Party, in trust for the benefit of, and shall be paid forthwith over and delivered, upon written request, to the Administrative Agent.</w:t>
      </w:r>
    </w:p>
    <w:p>
      <w:pPr>
        <w:spacing w:after="0" w:line="18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11.17</w:t>
      </w:r>
      <w:r>
        <w:rPr>
          <w:sz w:val="20"/>
          <w:szCs w:val="20"/>
          <w:color w:val="auto"/>
        </w:rPr>
        <w:tab/>
      </w:r>
      <w:r>
        <w:rPr>
          <w:rFonts w:ascii="Times New Roman" w:cs="Times New Roman" w:eastAsia="Times New Roman" w:hAnsi="Times New Roman"/>
          <w:sz w:val="19"/>
          <w:szCs w:val="19"/>
          <w:b w:val="1"/>
          <w:bCs w:val="1"/>
          <w:u w:val="single" w:color="auto"/>
          <w:color w:val="auto"/>
        </w:rPr>
        <w:t>No Advisory or Fiduciary Responsibility.</w:t>
      </w:r>
    </w:p>
    <w:p>
      <w:pPr>
        <w:spacing w:after="0" w:line="21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 (i) the arranging and other services regarding this Agreement provided by the Administrative Agent, the Arranger and the Lenders and their respective Affiliates are arm’s-length commercial transactions between the Borrower, each other Loan Party and their respective Affiliates, on the one hand, and the Administrative Agent, the Arranger and the Lenders and their respective Affiliates,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 (b)</w:t>
      </w:r>
    </w:p>
    <w:p>
      <w:pPr>
        <w:spacing w:after="0" w:line="6" w:lineRule="exact"/>
        <w:rPr>
          <w:sz w:val="20"/>
          <w:szCs w:val="20"/>
          <w:color w:val="auto"/>
        </w:rPr>
      </w:pPr>
    </w:p>
    <w:p>
      <w:pPr>
        <w:jc w:val="both"/>
        <w:ind w:firstLine="8"/>
        <w:spacing w:after="0"/>
        <w:tabs>
          <w:tab w:leader="none" w:pos="255"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the Arranger and each Lender and each of their respective Affiliates each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(ii) neither the Administrative Agent, the Arranger, nor any Lender nor any of their respective Affiliates has any obligation to the Borrower, any other Loan Party or any of their respective Affiliates with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9" w:name="page210"/>
    <w:bookmarkEnd w:id="209"/>
    <w:p>
      <w:pPr>
        <w:jc w:val="both"/>
        <w:spacing w:after="0" w:line="243" w:lineRule="auto"/>
        <w:rPr>
          <w:sz w:val="20"/>
          <w:szCs w:val="20"/>
          <w:color w:val="auto"/>
        </w:rPr>
      </w:pPr>
      <w:r>
        <w:rPr>
          <w:rFonts w:ascii="Times New Roman" w:cs="Times New Roman" w:eastAsia="Times New Roman" w:hAnsi="Times New Roman"/>
          <w:sz w:val="20"/>
          <w:szCs w:val="20"/>
          <w:color w:val="auto"/>
        </w:rPr>
        <w:t>respect to the transactions contemplated hereby except those obligations expressly set forth herein and in the other Loan Documents; and (c) the Administrative Agent, the Arranger and the Lenders and their respective Affiliates may be engaged in a broad range of transactions that involve interests that differ from those of the Borrower, the other Loan Parties and their respective Affiliates, and neither the Administrative Agent, the Arranger, nor any Lender nor any of their respective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the Arranger, the Lenders and their respective Affiliates with respect to any breach or alleged breach of agency or fiduciary duty in connection with any aspect of any transactions contemplated hereby.</w:t>
      </w:r>
    </w:p>
    <w:p>
      <w:pPr>
        <w:spacing w:after="0" w:line="183"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11.18</w:t>
      </w:r>
      <w:r>
        <w:rPr>
          <w:sz w:val="20"/>
          <w:szCs w:val="20"/>
          <w:color w:val="auto"/>
        </w:rPr>
        <w:tab/>
      </w:r>
      <w:r>
        <w:rPr>
          <w:rFonts w:ascii="Times New Roman" w:cs="Times New Roman" w:eastAsia="Times New Roman" w:hAnsi="Times New Roman"/>
          <w:sz w:val="19"/>
          <w:szCs w:val="19"/>
          <w:b w:val="1"/>
          <w:bCs w:val="1"/>
          <w:u w:val="single" w:color="auto"/>
          <w:color w:val="auto"/>
        </w:rPr>
        <w:t>Electronic Execution; Electronic Records.</w:t>
      </w:r>
    </w:p>
    <w:p>
      <w:pPr>
        <w:spacing w:after="0" w:line="219" w:lineRule="exact"/>
        <w:rPr>
          <w:sz w:val="20"/>
          <w:szCs w:val="20"/>
          <w:color w:val="auto"/>
        </w:rPr>
      </w:pPr>
    </w:p>
    <w:p>
      <w:pPr>
        <w:jc w:val="both"/>
        <w:ind w:left="760" w:firstLine="745"/>
        <w:spacing w:after="0" w:line="241" w:lineRule="auto"/>
        <w:tabs>
          <w:tab w:leader="none" w:pos="190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b w:val="1"/>
          <w:bCs w:val="1"/>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u w:val="single" w:color="auto"/>
          <w:color w:val="auto"/>
        </w:rPr>
        <w:t>that</w:t>
      </w:r>
      <w:r>
        <w:rPr>
          <w:rFonts w:ascii="Times New Roman" w:cs="Times New Roman" w:eastAsia="Times New Roman" w:hAnsi="Times New Roman"/>
          <w:sz w:val="20"/>
          <w:szCs w:val="20"/>
          <w:b w:val="1"/>
          <w:bCs w:val="1"/>
          <w:i w:val="1"/>
          <w:iCs w:val="1"/>
          <w:color w:val="auto"/>
        </w:rPr>
        <w:t xml:space="preserve"> notwithstanding anything contained herein to the contrary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the Administrative Agent is under no obligation to agree to accept electronic signatures in any form or in any format unless expressly agreed to by the Administrative Agent pursuant to procedures approved by it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u w:val="single" w:color="auto"/>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u w:val="single" w:color="auto"/>
          <w:color w:val="auto"/>
        </w:rPr>
        <w:t>further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without limiting the foregoing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upon the request of the Administrative Agent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any electronic signature shall be promptly followed by such manually executed counterpart</w:t>
      </w:r>
      <w:r>
        <w:rPr>
          <w:rFonts w:ascii="Times New Roman" w:cs="Times New Roman" w:eastAsia="Times New Roman" w:hAnsi="Times New Roman"/>
          <w:sz w:val="20"/>
          <w:szCs w:val="20"/>
          <w:color w:val="auto"/>
        </w:rPr>
        <w:t>. For the avoidance of doubt,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authorization under this paragraph may include, without limitation, use or acceptance by the Administrative Agent and each of the Secured Parties of a manually signed paper document, amendment, approval, consent, information, notice, certificate, request, statement, disclosure or authorization related to this Agreement (each a “</w:t>
      </w:r>
      <w:r>
        <w:rPr>
          <w:rFonts w:ascii="Times New Roman" w:cs="Times New Roman" w:eastAsia="Times New Roman" w:hAnsi="Times New Roman"/>
          <w:sz w:val="20"/>
          <w:szCs w:val="20"/>
          <w:i w:val="1"/>
          <w:iCs w:val="1"/>
          <w:u w:val="single" w:color="auto"/>
          <w:color w:val="auto"/>
        </w:rPr>
        <w:t>Communication</w:t>
      </w:r>
      <w:r>
        <w:rPr>
          <w:rFonts w:ascii="Times New Roman" w:cs="Times New Roman" w:eastAsia="Times New Roman" w:hAnsi="Times New Roman"/>
          <w:sz w:val="20"/>
          <w:szCs w:val="20"/>
          <w:color w:val="auto"/>
        </w:rPr>
        <w:t>”) which has been converted into electronic form (such as scanned into PDF format), or an electronically signed Communication converted into another format, for transmission, delivery and/or retention.</w:t>
      </w:r>
    </w:p>
    <w:p>
      <w:pPr>
        <w:spacing w:after="0" w:line="188"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acknowledges the receipt of a copy of this Agreement and all other Loan Documents. The Administrative Agent and each Lender may, on behalf of the Borrower, create a microfilm or optical disk or other electronic image of this Agreement and any or all of the other Loan Documents. The Administrative Agent and each Lender may store the electronic image of this Agreement and the other Loan Documents in its electronic form and then destroy the paper original as part of the Administrative Agent’s and each Lender’s normal business practices, with the electronic image deemed to be an original and of the same legal effect, validity and enforceability as the paper originals.</w:t>
      </w:r>
    </w:p>
    <w:p>
      <w:pPr>
        <w:spacing w:after="0" w:line="17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11.19</w:t>
      </w:r>
      <w:r>
        <w:rPr>
          <w:sz w:val="20"/>
          <w:szCs w:val="20"/>
          <w:color w:val="auto"/>
        </w:rPr>
        <w:tab/>
      </w:r>
      <w:r>
        <w:rPr>
          <w:rFonts w:ascii="Times New Roman" w:cs="Times New Roman" w:eastAsia="Times New Roman" w:hAnsi="Times New Roman"/>
          <w:sz w:val="19"/>
          <w:szCs w:val="19"/>
          <w:b w:val="1"/>
          <w:bCs w:val="1"/>
          <w:u w:val="single" w:color="auto"/>
          <w:color w:val="auto"/>
        </w:rPr>
        <w:t>USA Patriot Act Notice</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Lender that is subject to the Patriot Act and the Administrative Agent (for itself and not on behalf of any Lender) hereby notifies the Borrower and the other Loan Parties that pursuant to the requirements of the USA PATRIOT Act (Title III of Pub. L. 107–56 (signed into law October 26, 2001)) (the “Patriot Act”), it is required to obtain, verify and record information that identifies the Borrower and each other Loan Party, which information includes the name and address of the Borrower and each other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0" w:name="page211"/>
    <w:bookmarkEnd w:id="210"/>
    <w:p>
      <w:pPr>
        <w:jc w:val="both"/>
        <w:spacing w:after="0" w:line="246" w:lineRule="auto"/>
        <w:rPr>
          <w:sz w:val="20"/>
          <w:szCs w:val="20"/>
          <w:color w:val="auto"/>
        </w:rPr>
      </w:pPr>
      <w:r>
        <w:rPr>
          <w:rFonts w:ascii="Times New Roman" w:cs="Times New Roman" w:eastAsia="Times New Roman" w:hAnsi="Times New Roman"/>
          <w:sz w:val="20"/>
          <w:szCs w:val="20"/>
          <w:color w:val="auto"/>
        </w:rPr>
        <w:t>Loan Party and other information that will allow such Lender or the Administrative Agent, as applicable, to identify the Borrower and each other Loan Party in accordance with the Patriot Act. The Borrower and each other Loan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spacing w:after="0" w:line="17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11.20</w:t>
      </w:r>
      <w:r>
        <w:rPr>
          <w:sz w:val="20"/>
          <w:szCs w:val="20"/>
          <w:color w:val="auto"/>
        </w:rPr>
        <w:tab/>
      </w:r>
      <w:r>
        <w:rPr>
          <w:rFonts w:ascii="Times New Roman" w:cs="Times New Roman" w:eastAsia="Times New Roman" w:hAnsi="Times New Roman"/>
          <w:sz w:val="19"/>
          <w:szCs w:val="19"/>
          <w:b w:val="1"/>
          <w:bCs w:val="1"/>
          <w:u w:val="single" w:color="auto"/>
          <w:color w:val="auto"/>
        </w:rPr>
        <w:t>Acknowledgement and Consent to Bail-In of Affected Financial Institutions.</w:t>
      </w:r>
    </w:p>
    <w:p>
      <w:pPr>
        <w:spacing w:after="0" w:line="21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an Affected Resolution Authority and agrees and consents to, and acknowledges and agrees to be bound by:</w:t>
      </w:r>
    </w:p>
    <w:p>
      <w:pPr>
        <w:spacing w:after="0" w:line="183" w:lineRule="exact"/>
        <w:rPr>
          <w:sz w:val="20"/>
          <w:szCs w:val="20"/>
          <w:color w:val="auto"/>
        </w:rPr>
      </w:pPr>
    </w:p>
    <w:p>
      <w:pPr>
        <w:ind w:left="760" w:right="40" w:firstLine="745"/>
        <w:spacing w:after="0" w:line="268" w:lineRule="auto"/>
        <w:tabs>
          <w:tab w:leader="none" w:pos="190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4"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8" w:lineRule="exact"/>
        <w:rPr>
          <w:rFonts w:ascii="Times New Roman" w:cs="Times New Roman" w:eastAsia="Times New Roman" w:hAnsi="Times New Roman"/>
          <w:sz w:val="20"/>
          <w:szCs w:val="20"/>
          <w:color w:val="auto"/>
        </w:rPr>
      </w:pPr>
    </w:p>
    <w:p>
      <w:pPr>
        <w:ind w:left="1500" w:right="60" w:firstLine="754"/>
        <w:spacing w:after="0" w:line="268" w:lineRule="auto"/>
        <w:tabs>
          <w:tab w:leader="none" w:pos="2644"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7"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11.21</w:t>
      </w:r>
      <w:r>
        <w:rPr>
          <w:sz w:val="20"/>
          <w:szCs w:val="20"/>
          <w:color w:val="auto"/>
        </w:rPr>
        <w:tab/>
      </w:r>
      <w:r>
        <w:rPr>
          <w:rFonts w:ascii="Times New Roman" w:cs="Times New Roman" w:eastAsia="Times New Roman" w:hAnsi="Times New Roman"/>
          <w:sz w:val="19"/>
          <w:szCs w:val="19"/>
          <w:b w:val="1"/>
          <w:bCs w:val="1"/>
          <w:u w:val="single" w:color="auto"/>
          <w:color w:val="auto"/>
        </w:rPr>
        <w:t>Acknowledgement Regarding Any Supported QFCs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b w:val="1"/>
          <w:bCs w:val="1"/>
          <w:i w:val="1"/>
          <w:iCs w:val="1"/>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1" w:name="page212"/>
    <w:bookmarkEnd w:id="211"/>
    <w:p>
      <w:pPr>
        <w:jc w:val="both"/>
        <w:spacing w:after="0" w:line="244" w:lineRule="auto"/>
        <w:rPr>
          <w:sz w:val="20"/>
          <w:szCs w:val="20"/>
          <w:color w:val="auto"/>
        </w:rPr>
      </w:pPr>
      <w:r>
        <w:rPr>
          <w:rFonts w:ascii="Times New Roman" w:cs="Times New Roman" w:eastAsia="Times New Roman" w:hAnsi="Times New Roman"/>
          <w:sz w:val="20"/>
          <w:szCs w:val="20"/>
          <w:color w:val="auto"/>
        </w:rPr>
        <w:t>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11.22</w:t>
      </w:r>
      <w:r>
        <w:rPr>
          <w:sz w:val="20"/>
          <w:szCs w:val="20"/>
          <w:color w:val="auto"/>
        </w:rPr>
        <w:tab/>
      </w:r>
      <w:r>
        <w:rPr>
          <w:rFonts w:ascii="Times New Roman" w:cs="Times New Roman" w:eastAsia="Times New Roman" w:hAnsi="Times New Roman"/>
          <w:sz w:val="19"/>
          <w:szCs w:val="19"/>
          <w:b w:val="1"/>
          <w:bCs w:val="1"/>
          <w:u w:val="single" w:color="auto"/>
          <w:color w:val="auto"/>
        </w:rPr>
        <w:t>ENTIRE AGREEMENT.</w:t>
      </w:r>
    </w:p>
    <w:p>
      <w:pPr>
        <w:spacing w:after="0" w:line="215"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19"/>
          <w:szCs w:val="19"/>
          <w:b w:val="1"/>
          <w:bCs w:val="1"/>
          <w:color w:val="auto"/>
        </w:rPr>
        <w:t>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Paul, certify that:</w:t>
      </w:r>
    </w:p>
    <w:p>
      <w:pPr>
        <w:spacing w:after="0" w:line="225" w:lineRule="exact"/>
        <w:rPr>
          <w:sz w:val="20"/>
          <w:szCs w:val="20"/>
          <w:color w:val="auto"/>
        </w:rPr>
      </w:pPr>
    </w:p>
    <w:p>
      <w:pPr>
        <w:ind w:left="520" w:hanging="512"/>
        <w:spacing w:after="0"/>
        <w:tabs>
          <w:tab w:leader="none" w:pos="5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Corsair Gaming,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23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Paul</w:t>
            </w:r>
          </w:p>
        </w:tc>
      </w:tr>
      <w:tr>
        <w:trPr>
          <w:trHeight w:val="204"/>
        </w:trPr>
        <w:tc>
          <w:tcPr>
            <w:tcW w:w="37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1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Andrew J. Paul</w:t>
            </w:r>
          </w:p>
        </w:tc>
      </w:tr>
      <w:tr>
        <w:trPr>
          <w:trHeight w:val="214"/>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1638"/>
        </w:trPr>
        <w:tc>
          <w:tcPr>
            <w:tcW w:w="37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 Potter, certify that:</w:t>
      </w:r>
    </w:p>
    <w:p>
      <w:pPr>
        <w:spacing w:after="0" w:line="225" w:lineRule="exact"/>
        <w:rPr>
          <w:sz w:val="20"/>
          <w:szCs w:val="20"/>
          <w:color w:val="auto"/>
        </w:rPr>
      </w:pPr>
    </w:p>
    <w:p>
      <w:pPr>
        <w:ind w:left="520" w:hanging="512"/>
        <w:spacing w:after="0"/>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Corsair Gaming,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23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04"/>
        </w:trPr>
        <w:tc>
          <w:tcPr>
            <w:tcW w:w="37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1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1638"/>
        </w:trPr>
        <w:tc>
          <w:tcPr>
            <w:tcW w:w="37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31" w:lineRule="exact"/>
        <w:rPr>
          <w:sz w:val="20"/>
          <w:szCs w:val="20"/>
          <w:color w:val="auto"/>
        </w:rPr>
      </w:pPr>
    </w:p>
    <w:p>
      <w:pPr>
        <w:ind w:right="280" w:firstLine="562"/>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Corsair Gaming, Inc. (the “Company”) on Form 10-Q for the quarter ended September 30, 2024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25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Paul</w:t>
            </w:r>
          </w:p>
        </w:tc>
      </w:tr>
      <w:tr>
        <w:trPr>
          <w:trHeight w:val="204"/>
        </w:trPr>
        <w:tc>
          <w:tcPr>
            <w:tcW w:w="3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Andrew J. Paul</w:t>
            </w:r>
          </w:p>
        </w:tc>
      </w:tr>
      <w:tr>
        <w:trPr>
          <w:trHeight w:val="214"/>
        </w:trPr>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89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25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04"/>
        </w:trPr>
        <w:tc>
          <w:tcPr>
            <w:tcW w:w="3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6"/>
        </w:trPr>
        <w:tc>
          <w:tcPr>
            <w:tcW w:w="3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1207"/>
        </w:trPr>
        <w:tc>
          <w:tcPr>
            <w:tcW w:w="37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15" w:name="page216"/>
    <w:bookmarkEnd w:id="2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
      <w:numFmt w:val="bullet"/>
      <w:start w:val="1"/>
    </w:lvl>
  </w:abstractNum>
  <w:abstractNum w:abstractNumId="2">
    <w:nsid w:val="97E1B4E"/>
    <w:multiLevelType w:val="hybridMultilevel"/>
    <w:lvl w:ilvl="0">
      <w:lvlJc w:val="left"/>
      <w:lvlText w:val="%1."/>
      <w:numFmt w:val="decimal"/>
      <w:start w:val="1"/>
    </w:lvl>
    <w:lvl w:ilvl="1">
      <w:lvlJc w:val="left"/>
      <w:lvlText w:val="•"/>
      <w:numFmt w:val="bullet"/>
      <w:start w:val="1"/>
    </w:lvl>
  </w:abstractNum>
  <w:abstractNum w:abstractNumId="3">
    <w:nsid w:val="51088277"/>
    <w:multiLevelType w:val="hybridMultilevel"/>
    <w:lvl w:ilvl="0">
      <w:lvlJc w:val="left"/>
      <w:lvlText w:val="(%1)"/>
      <w:numFmt w:val="decimal"/>
      <w:start w:val="1"/>
    </w:lvl>
  </w:abstractNum>
  <w:abstractNum w:abstractNumId="4">
    <w:nsid w:val="1CA0C5FA"/>
    <w:multiLevelType w:val="hybridMultilevel"/>
    <w:lvl w:ilvl="0">
      <w:lvlJc w:val="left"/>
      <w:lvlText w:val="(%1)"/>
      <w:numFmt w:val="decimal"/>
      <w:start w:val="1"/>
    </w:lvl>
  </w:abstractNum>
  <w:abstractNum w:abstractNumId="5">
    <w:nsid w:val="53584BCB"/>
    <w:multiLevelType w:val="hybridMultilevel"/>
    <w:lvl w:ilvl="0">
      <w:lvlJc w:val="left"/>
      <w:lvlText w:val="(%1)"/>
      <w:numFmt w:val="decimal"/>
      <w:start w:val="1"/>
    </w:lvl>
  </w:abstractNum>
  <w:abstractNum w:abstractNumId="6">
    <w:nsid w:val="415E286C"/>
    <w:multiLevelType w:val="hybridMultilevel"/>
    <w:lvl w:ilvl="0">
      <w:lvlJc w:val="left"/>
      <w:lvlText w:val="%1"/>
      <w:numFmt w:val="decimal"/>
      <w:start w:val="1"/>
    </w:lvl>
    <w:lvl w:ilvl="1">
      <w:lvlJc w:val="left"/>
      <w:lvlText w:val="(%2)"/>
      <w:numFmt w:val="decimal"/>
      <w:start w:val="1"/>
    </w:lvl>
  </w:abstractNum>
  <w:abstractNum w:abstractNumId="7">
    <w:nsid w:val="7C58FD05"/>
    <w:multiLevelType w:val="hybridMultilevel"/>
    <w:lvl w:ilvl="0">
      <w:lvlJc w:val="left"/>
      <w:lvlText w:val="%1."/>
      <w:numFmt w:val="decimal"/>
      <w:start w:val="13"/>
    </w:lvl>
    <w:lvl w:ilvl="1">
      <w:lvlJc w:val="left"/>
      <w:lvlText w:val="%2"/>
      <w:numFmt w:val="decimal"/>
      <w:start w:val="1"/>
    </w:lvl>
  </w:abstractNum>
  <w:abstractNum w:abstractNumId="8">
    <w:nsid w:val="23D86AAC"/>
    <w:multiLevelType w:val="hybridMultilevel"/>
    <w:lvl w:ilvl="0">
      <w:lvlJc w:val="left"/>
      <w:lvlText w:val="%1."/>
      <w:numFmt w:val="decimal"/>
      <w:start w:val="14"/>
    </w:lvl>
    <w:lvl w:ilvl="1">
      <w:lvlJc w:val="left"/>
      <w:lvlText w:val="•"/>
      <w:numFmt w:val="bullet"/>
      <w:start w:val="1"/>
    </w:lvl>
  </w:abstractNum>
  <w:abstractNum w:abstractNumId="9">
    <w:nsid w:val="45E6D486"/>
    <w:multiLevelType w:val="hybridMultilevel"/>
    <w:lvl w:ilvl="0">
      <w:lvlJc w:val="left"/>
      <w:lvlText w:val="%1."/>
      <w:numFmt w:val="decimal"/>
      <w:start w:val="14"/>
    </w:lvl>
    <w:lvl w:ilvl="1">
      <w:lvlJc w:val="left"/>
      <w:lvlText w:val="*"/>
      <w:numFmt w:val="bullet"/>
      <w:start w:val="1"/>
    </w:lvl>
  </w:abstractNum>
  <w:abstractNum w:abstractNumId="10">
    <w:nsid w:val="5C10FE21"/>
    <w:multiLevelType w:val="hybridMultilevel"/>
    <w:lvl w:ilvl="0">
      <w:lvlJc w:val="left"/>
      <w:lvlText w:val="%1"/>
      <w:numFmt w:val="decimal"/>
      <w:start w:val="1"/>
    </w:lvl>
    <w:lvl w:ilvl="1">
      <w:lvlJc w:val="left"/>
      <w:lvlText w:val="(%2)"/>
      <w:numFmt w:val="decimal"/>
      <w:start w:val="1"/>
    </w:lvl>
  </w:abstractNum>
  <w:abstractNum w:abstractNumId="11">
    <w:nsid w:val="E7FFA2B"/>
    <w:multiLevelType w:val="hybridMultilevel"/>
    <w:lvl w:ilvl="0">
      <w:lvlJc w:val="left"/>
      <w:lvlText w:val="%1."/>
      <w:numFmt w:val="decimal"/>
      <w:start w:val="16"/>
    </w:lvl>
    <w:lvl w:ilvl="1">
      <w:lvlJc w:val="left"/>
      <w:lvlText w:val="%2"/>
      <w:numFmt w:val="decimal"/>
      <w:start w:val="1"/>
    </w:lvl>
  </w:abstractNum>
  <w:abstractNum w:abstractNumId="12">
    <w:nsid w:val="3C5991AA"/>
    <w:multiLevelType w:val="hybridMultilevel"/>
    <w:lvl w:ilvl="0">
      <w:lvlJc w:val="left"/>
      <w:lvlText w:val="•"/>
      <w:numFmt w:val="bullet"/>
      <w:start w:val="1"/>
    </w:lvl>
  </w:abstractNum>
  <w:abstractNum w:abstractNumId="13">
    <w:nsid w:val="4BD8591A"/>
    <w:multiLevelType w:val="hybridMultilevel"/>
    <w:lvl w:ilvl="0">
      <w:lvlJc w:val="left"/>
      <w:lvlText w:val="•"/>
      <w:numFmt w:val="bullet"/>
      <w:start w:val="1"/>
    </w:lvl>
  </w:abstractNum>
  <w:abstractNum w:abstractNumId="14">
    <w:nsid w:val="78DF6A55"/>
    <w:multiLevelType w:val="hybridMultilevel"/>
    <w:lvl w:ilvl="0">
      <w:lvlJc w:val="left"/>
      <w:lvlText w:val="(%1)"/>
      <w:numFmt w:val="decimal"/>
      <w:start w:val="1"/>
    </w:lvl>
  </w:abstractNum>
  <w:abstractNum w:abstractNumId="15">
    <w:nsid w:val="39B7AAA2"/>
    <w:multiLevelType w:val="hybridMultilevel"/>
    <w:lvl w:ilvl="0">
      <w:lvlJc w:val="left"/>
      <w:lvlText w:val="(%1)"/>
      <w:numFmt w:val="lowerLetter"/>
      <w:start w:val="1"/>
    </w:lvl>
  </w:abstractNum>
  <w:abstractNum w:abstractNumId="16">
    <w:nsid w:val="2B0D8DBE"/>
    <w:multiLevelType w:val="hybridMultilevel"/>
    <w:lvl w:ilvl="0">
      <w:lvlJc w:val="left"/>
      <w:lvlText w:val="*"/>
      <w:numFmt w:val="bullet"/>
      <w:start w:val="1"/>
    </w:lvl>
  </w:abstractNum>
  <w:abstractNum w:abstractNumId="17">
    <w:nsid w:val="6C80EC70"/>
    <w:multiLevelType w:val="hybridMultilevel"/>
    <w:lvl w:ilvl="0">
      <w:lvlJc w:val="left"/>
      <w:lvlText w:val="%1."/>
      <w:numFmt w:val="decimal"/>
      <w:start w:val="1"/>
    </w:lvl>
    <w:lvl w:ilvl="1">
      <w:lvlJc w:val="left"/>
      <w:lvlText w:val="(%2)"/>
      <w:numFmt w:val="lowerLetter"/>
      <w:start w:val="1"/>
    </w:lvl>
  </w:abstractNum>
  <w:abstractNum w:abstractNumId="18">
    <w:nsid w:val="379E21B5"/>
    <w:multiLevelType w:val="hybridMultilevel"/>
    <w:lvl w:ilvl="0">
      <w:lvlJc w:val="left"/>
      <w:lvlText w:val="%1."/>
      <w:numFmt w:val="decimal"/>
      <w:start w:val="3"/>
    </w:lvl>
  </w:abstractNum>
  <w:abstractNum w:abstractNumId="19">
    <w:nsid w:val="69E373"/>
    <w:multiLevelType w:val="hybridMultilevel"/>
    <w:lvl w:ilvl="0">
      <w:lvlJc w:val="left"/>
      <w:lvlText w:val="%1"/>
      <w:numFmt w:val="decimal"/>
      <w:start w:val="1"/>
    </w:lvl>
    <w:lvl w:ilvl="1">
      <w:lvlJc w:val="left"/>
      <w:lvlText w:val="(%2)"/>
      <w:numFmt w:val="lowerLetter"/>
      <w:start w:val="1"/>
    </w:lvl>
  </w:abstractNum>
  <w:abstractNum w:abstractNumId="20">
    <w:nsid w:val="2C27173B"/>
    <w:multiLevelType w:val="hybridMultilevel"/>
    <w:lvl w:ilvl="0">
      <w:lvlJc w:val="left"/>
      <w:lvlText w:val="%1."/>
      <w:numFmt w:val="decimal"/>
      <w:start w:val="4"/>
    </w:lvl>
    <w:lvl w:ilvl="1">
      <w:lvlJc w:val="left"/>
      <w:lvlText w:val="%2"/>
      <w:numFmt w:val="lowerLetter"/>
      <w:start w:val="1"/>
    </w:lvl>
  </w:abstractNum>
  <w:abstractNum w:abstractNumId="21">
    <w:nsid w:val="4C9B0904"/>
    <w:multiLevelType w:val="hybridMultilevel"/>
    <w:lvl w:ilvl="0">
      <w:lvlJc w:val="left"/>
      <w:lvlText w:val="%1."/>
      <w:numFmt w:val="decimal"/>
      <w:start w:val="10"/>
    </w:lvl>
  </w:abstractNum>
  <w:abstractNum w:abstractNumId="22">
    <w:nsid w:val="6AA7B75C"/>
    <w:multiLevelType w:val="hybridMultilevel"/>
    <w:lvl w:ilvl="0">
      <w:lvlJc w:val="left"/>
      <w:lvlText w:val="(%1)"/>
      <w:numFmt w:val="upperLetter"/>
      <w:start w:val="2"/>
    </w:lvl>
  </w:abstractNum>
  <w:abstractNum w:abstractNumId="23">
    <w:nsid w:val="1DF029D3"/>
    <w:multiLevelType w:val="hybridMultilevel"/>
    <w:lvl w:ilvl="0">
      <w:lvlJc w:val="left"/>
      <w:lvlText w:val="(%1)"/>
      <w:numFmt w:val="lowerRoman"/>
      <w:start w:val="3"/>
    </w:lvl>
  </w:abstractNum>
  <w:abstractNum w:abstractNumId="24">
    <w:nsid w:val="5675FF36"/>
    <w:multiLevelType w:val="hybridMultilevel"/>
    <w:lvl w:ilvl="0">
      <w:lvlJc w:val="left"/>
      <w:lvlText w:val="(%1)"/>
      <w:numFmt w:val="lowerLetter"/>
      <w:start w:val="1"/>
    </w:lvl>
  </w:abstractNum>
  <w:abstractNum w:abstractNumId="25">
    <w:nsid w:val="3DD15094"/>
    <w:multiLevelType w:val="hybridMultilevel"/>
    <w:lvl w:ilvl="0">
      <w:lvlJc w:val="left"/>
      <w:lvlText w:val="(%1)"/>
      <w:numFmt w:val="lowerLetter"/>
      <w:start w:val="1"/>
    </w:lvl>
  </w:abstractNum>
  <w:abstractNum w:abstractNumId="26">
    <w:nsid w:val="3DB012B3"/>
    <w:multiLevelType w:val="hybridMultilevel"/>
    <w:lvl w:ilvl="0">
      <w:lvlJc w:val="left"/>
      <w:lvlText w:val="(%1)"/>
      <w:numFmt w:val="lowerLetter"/>
      <w:start w:val="1"/>
    </w:lvl>
  </w:abstractNum>
  <w:abstractNum w:abstractNumId="27">
    <w:nsid w:val="2708C9AF"/>
    <w:multiLevelType w:val="hybridMultilevel"/>
    <w:lvl w:ilvl="0">
      <w:lvlJc w:val="left"/>
      <w:lvlText w:val="(%1)"/>
      <w:numFmt w:val="decimal"/>
      <w:start w:val="1"/>
    </w:lvl>
  </w:abstractNum>
  <w:abstractNum w:abstractNumId="28">
    <w:nsid w:val="5B25ACE2"/>
    <w:multiLevelType w:val="hybridMultilevel"/>
    <w:lvl w:ilvl="0">
      <w:lvlJc w:val="left"/>
      <w:lvlText w:val="(%1)"/>
      <w:numFmt w:val="lowerLetter"/>
      <w:start w:val="2"/>
    </w:lvl>
  </w:abstractNum>
  <w:abstractNum w:abstractNumId="29">
    <w:nsid w:val="175DFCF0"/>
    <w:multiLevelType w:val="hybridMultilevel"/>
    <w:lvl w:ilvl="0">
      <w:lvlJc w:val="left"/>
      <w:lvlText w:val="(%1)"/>
      <w:numFmt w:val="lowerLetter"/>
      <w:start w:val="2"/>
    </w:lvl>
  </w:abstractNum>
  <w:abstractNum w:abstractNumId="30">
    <w:nsid w:val="4F97E3E4"/>
    <w:multiLevelType w:val="hybridMultilevel"/>
    <w:lvl w:ilvl="0">
      <w:lvlJc w:val="left"/>
      <w:lvlText w:val="(%1)"/>
      <w:numFmt w:val="lowerLetter"/>
      <w:start w:val="1"/>
    </w:lvl>
  </w:abstractNum>
  <w:abstractNum w:abstractNumId="31">
    <w:nsid w:val="53B0A9E"/>
    <w:multiLevelType w:val="hybridMultilevel"/>
    <w:lvl w:ilvl="0">
      <w:lvlJc w:val="left"/>
      <w:lvlText w:val="(%1)"/>
      <w:numFmt w:val="lowerLetter"/>
      <w:start w:val="10"/>
    </w:lvl>
  </w:abstractNum>
  <w:abstractNum w:abstractNumId="32">
    <w:nsid w:val="34FD6B4F"/>
    <w:multiLevelType w:val="hybridMultilevel"/>
    <w:lvl w:ilvl="0">
      <w:lvlJc w:val="left"/>
      <w:lvlText w:val="(%1)"/>
      <w:numFmt w:val="lowerLetter"/>
      <w:start w:val="2"/>
    </w:lvl>
  </w:abstractNum>
  <w:abstractNum w:abstractNumId="33">
    <w:nsid w:val="5915FF32"/>
    <w:multiLevelType w:val="hybridMultilevel"/>
    <w:lvl w:ilvl="0">
      <w:lvlJc w:val="left"/>
      <w:lvlText w:val="(%1)"/>
      <w:numFmt w:val="lowerLetter"/>
      <w:start w:val="1"/>
    </w:lvl>
  </w:abstractNum>
  <w:abstractNum w:abstractNumId="34">
    <w:nsid w:val="56438D15"/>
    <w:multiLevelType w:val="hybridMultilevel"/>
    <w:lvl w:ilvl="0">
      <w:lvlJc w:val="left"/>
      <w:lvlText w:val=";"/>
      <w:numFmt w:val="bullet"/>
      <w:start w:val="1"/>
    </w:lvl>
    <w:lvl w:ilvl="1">
      <w:lvlJc w:val="left"/>
      <w:lvlText w:val="(%2)"/>
      <w:numFmt w:val="lowerLetter"/>
      <w:start w:val="8"/>
    </w:lvl>
  </w:abstractNum>
  <w:abstractNum w:abstractNumId="35">
    <w:nsid w:val="519E3149"/>
    <w:multiLevelType w:val="hybridMultilevel"/>
    <w:lvl w:ilvl="0">
      <w:lvlJc w:val="left"/>
      <w:lvlText w:val="(%1)"/>
      <w:numFmt w:val="lowerLetter"/>
      <w:start w:val="1"/>
    </w:lvl>
  </w:abstractNum>
  <w:abstractNum w:abstractNumId="36">
    <w:nsid w:val="2C6E4AFD"/>
    <w:multiLevelType w:val="hybridMultilevel"/>
    <w:lvl w:ilvl="0">
      <w:lvlJc w:val="left"/>
      <w:lvlText w:val="(%1)"/>
      <w:numFmt w:val="lowerRoman"/>
      <w:start w:val="10"/>
    </w:lvl>
  </w:abstractNum>
  <w:abstractNum w:abstractNumId="37">
    <w:nsid w:val="17A1B582"/>
    <w:multiLevelType w:val="hybridMultilevel"/>
    <w:lvl w:ilvl="0">
      <w:lvlJc w:val="left"/>
      <w:lvlText w:val="%1"/>
      <w:numFmt w:val="lowerLetter"/>
      <w:start w:val="1"/>
    </w:lvl>
    <w:lvl w:ilvl="1">
      <w:lvlJc w:val="left"/>
      <w:lvlText w:val="(%2)"/>
      <w:numFmt w:val="lowerLetter"/>
      <w:start w:val="1"/>
    </w:lvl>
  </w:abstractNum>
  <w:abstractNum w:abstractNumId="38">
    <w:nsid w:val="4DF72E4E"/>
    <w:multiLevelType w:val="hybridMultilevel"/>
    <w:lvl w:ilvl="0">
      <w:lvlJc w:val="left"/>
      <w:lvlText w:val="(%1)"/>
      <w:numFmt w:val="lowerLetter"/>
      <w:start w:val="35"/>
    </w:lvl>
    <w:lvl w:ilvl="1">
      <w:lvlJc w:val="left"/>
      <w:lvlText w:val="(%2)"/>
      <w:numFmt w:val="lowerLetter"/>
      <w:start w:val="2"/>
    </w:lvl>
  </w:abstractNum>
  <w:abstractNum w:abstractNumId="39">
    <w:nsid w:val="5046B5A9"/>
    <w:multiLevelType w:val="hybridMultilevel"/>
    <w:lvl w:ilvl="0">
      <w:lvlJc w:val="left"/>
      <w:lvlText w:val="(%1)"/>
      <w:numFmt w:val="lowerLetter"/>
      <w:start w:val="3"/>
    </w:lvl>
  </w:abstractNum>
  <w:abstractNum w:abstractNumId="40">
    <w:nsid w:val="5D888A08"/>
    <w:multiLevelType w:val="hybridMultilevel"/>
    <w:lvl w:ilvl="0">
      <w:lvlJc w:val="left"/>
      <w:lvlText w:val="(%1)"/>
      <w:numFmt w:val="lowerLetter"/>
      <w:start w:val="1"/>
    </w:lvl>
  </w:abstractNum>
  <w:abstractNum w:abstractNumId="41">
    <w:nsid w:val="2A082C70"/>
    <w:multiLevelType w:val="hybridMultilevel"/>
    <w:lvl w:ilvl="0">
      <w:lvlJc w:val="left"/>
      <w:lvlText w:val=";"/>
      <w:numFmt w:val="bullet"/>
      <w:start w:val="1"/>
    </w:lvl>
    <w:lvl w:ilvl="1">
      <w:lvlJc w:val="left"/>
      <w:lvlText w:val="(%2)"/>
      <w:numFmt w:val="lowerLetter"/>
      <w:start w:val="4"/>
    </w:lvl>
  </w:abstractNum>
  <w:abstractNum w:abstractNumId="42">
    <w:nsid w:val="5EC6AFD4"/>
    <w:multiLevelType w:val="hybridMultilevel"/>
    <w:lvl w:ilvl="0">
      <w:lvlJc w:val="left"/>
      <w:lvlText w:val="(%1)"/>
      <w:numFmt w:val="lowerLetter"/>
      <w:start w:val="2"/>
    </w:lvl>
  </w:abstractNum>
  <w:abstractNum w:abstractNumId="43">
    <w:nsid w:val="19E21BB2"/>
    <w:multiLevelType w:val="hybridMultilevel"/>
    <w:lvl w:ilvl="0">
      <w:lvlJc w:val="left"/>
      <w:lvlText w:val="(%1)"/>
      <w:numFmt w:val="lowerLetter"/>
      <w:start w:val="1"/>
    </w:lvl>
  </w:abstractNum>
  <w:abstractNum w:abstractNumId="44">
    <w:nsid w:val="75E0858A"/>
    <w:multiLevelType w:val="hybridMultilevel"/>
    <w:lvl w:ilvl="0">
      <w:lvlJc w:val="left"/>
      <w:lvlText w:val="(%1)"/>
      <w:numFmt w:val="lowerLetter"/>
      <w:start w:val="1"/>
    </w:lvl>
  </w:abstractNum>
  <w:abstractNum w:abstractNumId="45">
    <w:nsid w:val="57A61A29"/>
    <w:multiLevelType w:val="hybridMultilevel"/>
    <w:lvl w:ilvl="0">
      <w:lvlJc w:val="left"/>
      <w:lvlText w:val="(%1)"/>
      <w:numFmt w:val="lowerLetter"/>
      <w:start w:val="2"/>
    </w:lvl>
  </w:abstractNum>
  <w:abstractNum w:abstractNumId="46">
    <w:nsid w:val="5399C654"/>
    <w:multiLevelType w:val="hybridMultilevel"/>
    <w:lvl w:ilvl="0">
      <w:lvlJc w:val="left"/>
      <w:lvlText w:val="(%1)"/>
      <w:numFmt w:val="lowerLetter"/>
      <w:start w:val="1"/>
    </w:lvl>
  </w:abstractNum>
  <w:abstractNum w:abstractNumId="47">
    <w:nsid w:val="20EE1348"/>
    <w:multiLevelType w:val="hybridMultilevel"/>
    <w:lvl w:ilvl="0">
      <w:lvlJc w:val="left"/>
      <w:lvlText w:val="%1"/>
      <w:numFmt w:val="lowerLetter"/>
      <w:start w:val="1"/>
    </w:lvl>
    <w:lvl w:ilvl="1">
      <w:lvlJc w:val="left"/>
      <w:lvlText w:val="(%2)"/>
      <w:numFmt w:val="lowerLetter"/>
      <w:start w:val="2"/>
    </w:lvl>
  </w:abstractNum>
  <w:abstractNum w:abstractNumId="48">
    <w:nsid w:val="4427069A"/>
    <w:multiLevelType w:val="hybridMultilevel"/>
    <w:lvl w:ilvl="0">
      <w:lvlJc w:val="left"/>
      <w:lvlText w:val="(%1)"/>
      <w:numFmt w:val="lowerLetter"/>
      <w:start w:val="9"/>
    </w:lvl>
    <w:lvl w:ilvl="1">
      <w:lvlJc w:val="left"/>
      <w:lvlText w:val="(%2)"/>
      <w:numFmt w:val="lowerLetter"/>
      <w:start w:val="5"/>
    </w:lvl>
  </w:abstractNum>
  <w:abstractNum w:abstractNumId="49">
    <w:nsid w:val="B37E80A"/>
    <w:multiLevelType w:val="hybridMultilevel"/>
    <w:lvl w:ilvl="0">
      <w:lvlJc w:val="left"/>
      <w:lvlText w:val="(%1)"/>
      <w:numFmt w:val="lowerLetter"/>
      <w:start w:val="1"/>
    </w:lvl>
  </w:abstractNum>
  <w:abstractNum w:abstractNumId="50">
    <w:nsid w:val="2157F6BC"/>
    <w:multiLevelType w:val="hybridMultilevel"/>
    <w:lvl w:ilvl="0">
      <w:lvlJc w:val="left"/>
      <w:lvlText w:val="(%1)"/>
      <w:numFmt w:val="lowerLetter"/>
      <w:start w:val="1"/>
    </w:lvl>
  </w:abstractNum>
  <w:abstractNum w:abstractNumId="51">
    <w:nsid w:val="704E1DD5"/>
    <w:multiLevelType w:val="hybridMultilevel"/>
    <w:lvl w:ilvl="0">
      <w:lvlJc w:val="left"/>
      <w:lvlText w:val="(%1)"/>
      <w:numFmt w:val="lowerLetter"/>
      <w:start w:val="1"/>
    </w:lvl>
  </w:abstractNum>
  <w:abstractNum w:abstractNumId="52">
    <w:nsid w:val="57D2F10E"/>
    <w:multiLevelType w:val="hybridMultilevel"/>
    <w:lvl w:ilvl="0">
      <w:lvlJc w:val="left"/>
      <w:lvlText w:val="(%1)"/>
      <w:numFmt w:val="lowerLetter"/>
      <w:start w:val="2"/>
    </w:lvl>
  </w:abstractNum>
  <w:abstractNum w:abstractNumId="53">
    <w:nsid w:val="BFFAE18"/>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54">
    <w:nsid w:val="E3E47A8"/>
    <w:multiLevelType w:val="hybridMultilevel"/>
    <w:lvl w:ilvl="0">
      <w:lvlJc w:val="left"/>
      <w:lvlText w:val="(%1)"/>
      <w:numFmt w:val="upperLetter"/>
      <w:start w:val="6"/>
    </w:lvl>
  </w:abstractNum>
  <w:abstractNum w:abstractNumId="55">
    <w:nsid w:val="2E48F044"/>
    <w:multiLevelType w:val="hybridMultilevel"/>
    <w:lvl w:ilvl="0">
      <w:lvlJc w:val="left"/>
      <w:lvlText w:val="%1"/>
      <w:numFmt w:val="lowerRoman"/>
      <w:start w:val="1"/>
    </w:lvl>
    <w:lvl w:ilvl="1">
      <w:lvlJc w:val="left"/>
      <w:lvlText w:val="(%2)"/>
      <w:numFmt w:val="upperLetter"/>
      <w:start w:val="9"/>
    </w:lvl>
  </w:abstractNum>
  <w:abstractNum w:abstractNumId="56">
    <w:nsid w:val="49D0FEAC"/>
    <w:multiLevelType w:val="hybridMultilevel"/>
    <w:lvl w:ilvl="0">
      <w:lvlJc w:val="left"/>
      <w:lvlText w:val="(%1)"/>
      <w:numFmt w:val="lowerRoman"/>
      <w:start w:val="2"/>
    </w:lvl>
    <w:lvl w:ilvl="1">
      <w:lvlJc w:val="left"/>
      <w:lvlText w:val="(%2)"/>
      <w:numFmt w:val="upperLetter"/>
      <w:start w:val="1"/>
    </w:lvl>
  </w:abstractNum>
  <w:abstractNum w:abstractNumId="57">
    <w:nsid w:val="4BEE5A5B"/>
    <w:multiLevelType w:val="hybridMultilevel"/>
    <w:lvl w:ilvl="0">
      <w:lvlJc w:val="left"/>
      <w:lvlText w:val="(%1)"/>
      <w:numFmt w:val="upperLetter"/>
      <w:start w:val="3"/>
    </w:lvl>
  </w:abstractNum>
  <w:abstractNum w:abstractNumId="58">
    <w:nsid w:val="5551B9F3"/>
    <w:multiLevelType w:val="hybridMultilevel"/>
    <w:lvl w:ilvl="0">
      <w:lvlJc w:val="left"/>
      <w:lvlText w:val="(%1)"/>
      <w:numFmt w:val="upperLetter"/>
      <w:start w:val="7"/>
    </w:lvl>
  </w:abstractNum>
  <w:abstractNum w:abstractNumId="59">
    <w:nsid w:val="24F6AB8E"/>
    <w:multiLevelType w:val="hybridMultilevel"/>
    <w:lvl w:ilvl="0">
      <w:lvlJc w:val="left"/>
      <w:lvlText w:val="(%1)"/>
      <w:numFmt w:val="lowerLetter"/>
      <w:start w:val="1"/>
    </w:lvl>
    <w:lvl w:ilvl="1">
      <w:lvlJc w:val="left"/>
      <w:lvlText w:val="(%2)"/>
      <w:numFmt w:val="lowerLetter"/>
      <w:start w:val="9"/>
    </w:lvl>
  </w:abstractNum>
  <w:abstractNum w:abstractNumId="60">
    <w:nsid w:val="634C574C"/>
    <w:multiLevelType w:val="hybridMultilevel"/>
    <w:lvl w:ilvl="0">
      <w:lvlJc w:val="left"/>
      <w:lvlText w:val="%1"/>
      <w:numFmt w:val="lowerLetter"/>
      <w:start w:val="1"/>
    </w:lvl>
    <w:lvl w:ilvl="1">
      <w:lvlJc w:val="left"/>
      <w:lvlText w:val="(%2)"/>
      <w:numFmt w:val="lowerLetter"/>
      <w:start w:val="35"/>
    </w:lvl>
  </w:abstractNum>
  <w:abstractNum w:abstractNumId="61">
    <w:nsid w:val="24E99DD7"/>
    <w:multiLevelType w:val="hybridMultilevel"/>
    <w:lvl w:ilvl="0">
      <w:lvlJc w:val="left"/>
      <w:lvlText w:val="(%1)"/>
      <w:numFmt w:val="lowerLetter"/>
      <w:start w:val="3"/>
    </w:lvl>
    <w:lvl w:ilvl="1">
      <w:lvlJc w:val="left"/>
      <w:lvlText w:val="%2"/>
      <w:numFmt w:val="lowerLetter"/>
      <w:start w:val="1"/>
    </w:lvl>
  </w:abstractNum>
  <w:abstractNum w:abstractNumId="62">
    <w:nsid w:val="2A31B62D"/>
    <w:multiLevelType w:val="hybridMultilevel"/>
    <w:lvl w:ilvl="0">
      <w:lvlJc w:val="left"/>
      <w:lvlText w:val="(%1)"/>
      <w:numFmt w:val="lowerRoman"/>
      <w:start w:val="1"/>
    </w:lvl>
    <w:lvl w:ilvl="1">
      <w:lvlJc w:val="left"/>
      <w:lvlText w:val="(%2)"/>
      <w:numFmt w:val="upperLetter"/>
      <w:start w:val="1"/>
    </w:lvl>
  </w:abstractNum>
  <w:abstractNum w:abstractNumId="63">
    <w:nsid w:val="1849C29B"/>
    <w:multiLevelType w:val="hybridMultilevel"/>
    <w:lvl w:ilvl="0">
      <w:lvlJc w:val="left"/>
      <w:lvlText w:val="%1"/>
      <w:numFmt w:val="decimal"/>
      <w:start w:val="1"/>
    </w:lvl>
    <w:lvl w:ilvl="1">
      <w:lvlJc w:val="left"/>
      <w:lvlText w:val="(%2)"/>
      <w:numFmt w:val="lowerLetter"/>
      <w:start w:val="4"/>
    </w:lvl>
  </w:abstractNum>
  <w:abstractNum w:abstractNumId="64">
    <w:nsid w:val="7DFF9D09"/>
    <w:multiLevelType w:val="hybridMultilevel"/>
    <w:lvl w:ilvl="0">
      <w:lvlJc w:val="left"/>
      <w:lvlText w:val="(%1)"/>
      <w:numFmt w:val="decimal"/>
      <w:start w:val="12"/>
    </w:lvl>
    <w:lvl w:ilvl="1">
      <w:lvlJc w:val="left"/>
      <w:lvlText w:val="%2"/>
      <w:numFmt w:val="lowerLetter"/>
      <w:start w:val="1"/>
    </w:lvl>
  </w:abstractNum>
  <w:abstractNum w:abstractNumId="65">
    <w:nsid w:val="754342"/>
    <w:multiLevelType w:val="hybridMultilevel"/>
    <w:lvl w:ilvl="0">
      <w:lvlJc w:val="left"/>
      <w:lvlText w:val="(%1)"/>
      <w:numFmt w:val="lowerLetter"/>
      <w:start w:val="5"/>
    </w:lvl>
  </w:abstractNum>
  <w:abstractNum w:abstractNumId="66">
    <w:nsid w:val="69E7F3E5"/>
    <w:multiLevelType w:val="hybridMultilevel"/>
    <w:lvl w:ilvl="0">
      <w:lvlJc w:val="left"/>
      <w:lvlText w:val="(%1)"/>
      <w:numFmt w:val="lowerRoman"/>
      <w:start w:val="1"/>
    </w:lvl>
  </w:abstractNum>
  <w:abstractNum w:abstractNumId="67">
    <w:nsid w:val="2A6DE806"/>
    <w:multiLevelType w:val="hybridMultilevel"/>
    <w:lvl w:ilvl="0">
      <w:lvlJc w:val="left"/>
      <w:lvlText w:val="(%1)"/>
      <w:numFmt w:val="lowerLetter"/>
      <w:start w:val="6"/>
    </w:lvl>
  </w:abstractNum>
  <w:abstractNum w:abstractNumId="68">
    <w:nsid w:val="1816F8C4"/>
    <w:multiLevelType w:val="hybridMultilevel"/>
    <w:lvl w:ilvl="0">
      <w:lvlJc w:val="left"/>
      <w:lvlText w:val="(%1)"/>
      <w:numFmt w:val="lowerLetter"/>
      <w:start w:val="8"/>
    </w:lvl>
  </w:abstractNum>
  <w:abstractNum w:abstractNumId="69">
    <w:nsid w:val="37DF2233"/>
    <w:multiLevelType w:val="hybridMultilevel"/>
    <w:lvl w:ilvl="0">
      <w:lvlJc w:val="left"/>
      <w:lvlText w:val="(%1)"/>
      <w:numFmt w:val="upperLetter"/>
      <w:start w:val="2"/>
    </w:lvl>
  </w:abstractNum>
  <w:abstractNum w:abstractNumId="70">
    <w:nsid w:val="7AB49DAF"/>
    <w:multiLevelType w:val="hybridMultilevel"/>
    <w:lvl w:ilvl="0">
      <w:lvlJc w:val="left"/>
      <w:lvlText w:val="(%1)"/>
      <w:numFmt w:val="lowerLetter"/>
      <w:start w:val="10"/>
    </w:lvl>
  </w:abstractNum>
  <w:abstractNum w:abstractNumId="71">
    <w:nsid w:val="759F82CD"/>
    <w:multiLevelType w:val="hybridMultilevel"/>
    <w:lvl w:ilvl="0">
      <w:lvlJc w:val="left"/>
      <w:lvlText w:val="(%1)"/>
      <w:numFmt w:val="lowerLetter"/>
      <w:start w:val="12"/>
    </w:lvl>
  </w:abstractNum>
  <w:abstractNum w:abstractNumId="72">
    <w:nsid w:val="61E74EA3"/>
    <w:multiLevelType w:val="hybridMultilevel"/>
    <w:lvl w:ilvl="0">
      <w:lvlJc w:val="left"/>
      <w:lvlText w:val="(%1)"/>
      <w:numFmt w:val="lowerLetter"/>
      <w:start w:val="16"/>
    </w:lvl>
  </w:abstractNum>
  <w:abstractNum w:abstractNumId="73">
    <w:nsid w:val="597B4D84"/>
    <w:multiLevelType w:val="hybridMultilevel"/>
    <w:lvl w:ilvl="0">
      <w:lvlJc w:val="left"/>
      <w:lvlText w:val="(%1)"/>
      <w:numFmt w:val="lowerLetter"/>
      <w:start w:val="1"/>
    </w:lvl>
  </w:abstractNum>
  <w:abstractNum w:abstractNumId="74">
    <w:nsid w:val="F819E7F"/>
    <w:multiLevelType w:val="hybridMultilevel"/>
    <w:lvl w:ilvl="0">
      <w:lvlJc w:val="left"/>
      <w:lvlText w:val="(%1)"/>
      <w:numFmt w:val="lowerLetter"/>
      <w:start w:val="3"/>
    </w:lvl>
    <w:lvl w:ilvl="1">
      <w:lvlJc w:val="left"/>
      <w:lvlText w:val="(%2)"/>
      <w:numFmt w:val="lowerRoman"/>
      <w:start w:val="1"/>
    </w:lvl>
  </w:abstractNum>
  <w:abstractNum w:abstractNumId="75">
    <w:nsid w:val="57C7D42D"/>
    <w:multiLevelType w:val="hybridMultilevel"/>
    <w:lvl w:ilvl="0">
      <w:lvlJc w:val="left"/>
      <w:lvlText w:val="%1"/>
      <w:numFmt w:val="lowerLetter"/>
      <w:start w:val="1"/>
    </w:lvl>
    <w:lvl w:ilvl="1">
      <w:lvlJc w:val="left"/>
      <w:lvlText w:val="(%2)"/>
      <w:numFmt w:val="lowerRoman"/>
      <w:start w:val="4"/>
    </w:lvl>
  </w:abstractNum>
  <w:abstractNum w:abstractNumId="76">
    <w:nsid w:val="312167AD"/>
    <w:multiLevelType w:val="hybridMultilevel"/>
    <w:lvl w:ilvl="0">
      <w:lvlJc w:val="left"/>
      <w:lvlText w:val="(%1)"/>
      <w:numFmt w:val="lowerLetter"/>
      <w:start w:val="4"/>
    </w:lvl>
    <w:lvl w:ilvl="1">
      <w:lvlJc w:val="left"/>
      <w:lvlText w:val="(%2)"/>
      <w:numFmt w:val="lowerRoman"/>
      <w:start w:val="1"/>
    </w:lvl>
  </w:abstractNum>
  <w:abstractNum w:abstractNumId="77">
    <w:nsid w:val="631B64D4"/>
    <w:multiLevelType w:val="hybridMultilevel"/>
    <w:lvl w:ilvl="0">
      <w:lvlJc w:val="left"/>
      <w:lvlText w:val="(%1)"/>
      <w:numFmt w:val="lowerLetter"/>
      <w:start w:val="6"/>
    </w:lvl>
  </w:abstractNum>
  <w:abstractNum w:abstractNumId="78">
    <w:nsid w:val="78B5E776"/>
    <w:multiLevelType w:val="hybridMultilevel"/>
    <w:lvl w:ilvl="0">
      <w:lvlJc w:val="left"/>
      <w:lvlText w:val="(%1)"/>
      <w:numFmt w:val="lowerLetter"/>
      <w:start w:val="1"/>
    </w:lvl>
    <w:lvl w:ilvl="1">
      <w:lvlJc w:val="left"/>
      <w:lvlText w:val="(%2)"/>
      <w:numFmt w:val="lowerRoman"/>
      <w:start w:val="1"/>
    </w:lvl>
  </w:abstractNum>
  <w:abstractNum w:abstractNumId="79">
    <w:nsid w:val="75486E47"/>
    <w:multiLevelType w:val="hybridMultilevel"/>
    <w:lvl w:ilvl="0">
      <w:lvlJc w:val="left"/>
      <w:lvlText w:val="%1"/>
      <w:numFmt w:val="upperLetter"/>
      <w:start w:val="1"/>
    </w:lvl>
    <w:lvl w:ilvl="1">
      <w:lvlJc w:val="left"/>
      <w:lvlText w:val="(%2)"/>
      <w:numFmt w:val="lowerRoman"/>
      <w:start w:val="1"/>
    </w:lvl>
  </w:abstractNum>
  <w:abstractNum w:abstractNumId="80">
    <w:nsid w:val="6E534CDE"/>
    <w:multiLevelType w:val="hybridMultilevel"/>
    <w:lvl w:ilvl="0">
      <w:lvlJc w:val="left"/>
      <w:lvlText w:val="(%1)"/>
      <w:numFmt w:val="upperLetter"/>
      <w:start w:val="2"/>
    </w:lvl>
    <w:lvl w:ilvl="1">
      <w:lvlJc w:val="left"/>
      <w:lvlText w:val="(%2)"/>
      <w:numFmt w:val="lowerRoman"/>
      <w:start w:val="2"/>
    </w:lvl>
  </w:abstractNum>
  <w:abstractNum w:abstractNumId="81">
    <w:nsid w:val="1A0DDE32"/>
    <w:multiLevelType w:val="hybridMultilevel"/>
    <w:lvl w:ilvl="0">
      <w:lvlJc w:val="left"/>
      <w:lvlText w:val="(%1)"/>
      <w:numFmt w:val="lowerRoman"/>
      <w:start w:val="5"/>
    </w:lvl>
  </w:abstractNum>
  <w:abstractNum w:abstractNumId="82">
    <w:nsid w:val="65968C1C"/>
    <w:multiLevelType w:val="hybridMultilevel"/>
    <w:lvl w:ilvl="0">
      <w:lvlJc w:val="left"/>
      <w:lvlText w:val="(%1)"/>
      <w:numFmt w:val="lowerLetter"/>
      <w:start w:val="3"/>
    </w:lvl>
  </w:abstractNum>
  <w:abstractNum w:abstractNumId="83">
    <w:nsid w:val="46263DEC"/>
    <w:multiLevelType w:val="hybridMultilevel"/>
    <w:lvl w:ilvl="0">
      <w:lvlJc w:val="left"/>
      <w:lvlText w:val="(%1)"/>
      <w:numFmt w:val="lowerLetter"/>
      <w:start w:val="1"/>
    </w:lvl>
  </w:abstractNum>
  <w:abstractNum w:abstractNumId="84">
    <w:nsid w:val="260D8C4A"/>
    <w:multiLevelType w:val="hybridMultilevel"/>
    <w:lvl w:ilvl="0">
      <w:lvlJc w:val="left"/>
      <w:lvlText w:val="(%1)"/>
      <w:numFmt w:val="lowerLetter"/>
      <w:start w:val="2"/>
    </w:lvl>
    <w:lvl w:ilvl="1">
      <w:lvlJc w:val="left"/>
      <w:lvlText w:val="(%2)"/>
      <w:numFmt w:val="lowerRoman"/>
      <w:start w:val="1"/>
    </w:lvl>
  </w:abstractNum>
  <w:abstractNum w:abstractNumId="85">
    <w:nsid w:val="73D4D3C4"/>
    <w:multiLevelType w:val="hybridMultilevel"/>
    <w:lvl w:ilvl="0">
      <w:lvlJc w:val="left"/>
      <w:lvlText w:val="(%1)"/>
      <w:numFmt w:val="lowerLetter"/>
      <w:start w:val="1"/>
    </w:lvl>
  </w:abstractNum>
  <w:abstractNum w:abstractNumId="86">
    <w:nsid w:val="746F2E30"/>
    <w:multiLevelType w:val="hybridMultilevel"/>
    <w:lvl w:ilvl="0">
      <w:lvlJc w:val="left"/>
      <w:lvlText w:val="(%1)"/>
      <w:numFmt w:val="lowerLetter"/>
      <w:start w:val="2"/>
    </w:lvl>
  </w:abstractNum>
  <w:abstractNum w:abstractNumId="87">
    <w:nsid w:val="6FDE8AF6"/>
    <w:multiLevelType w:val="hybridMultilevel"/>
    <w:lvl w:ilvl="0">
      <w:lvlJc w:val="left"/>
      <w:lvlText w:val="(%1)"/>
      <w:numFmt w:val="lowerLetter"/>
      <w:start w:val="1"/>
    </w:lvl>
  </w:abstractNum>
  <w:abstractNum w:abstractNumId="88">
    <w:nsid w:val="3FC32E20"/>
    <w:multiLevelType w:val="hybridMultilevel"/>
    <w:lvl w:ilvl="0">
      <w:lvlJc w:val="left"/>
      <w:lvlText w:val="(%1)"/>
      <w:numFmt w:val="lowerLetter"/>
      <w:start w:val="3"/>
    </w:lvl>
  </w:abstractNum>
  <w:abstractNum w:abstractNumId="89">
    <w:nsid w:val="49C0E823"/>
    <w:multiLevelType w:val="hybridMultilevel"/>
    <w:lvl w:ilvl="0">
      <w:lvlJc w:val="left"/>
      <w:lvlText w:val="(%1)"/>
      <w:numFmt w:val="lowerLetter"/>
      <w:start w:val="1"/>
    </w:lvl>
  </w:abstractNum>
  <w:abstractNum w:abstractNumId="90">
    <w:nsid w:val="14D53685"/>
    <w:multiLevelType w:val="hybridMultilevel"/>
    <w:lvl w:ilvl="0">
      <w:lvlJc w:val="left"/>
      <w:lvlText w:val="(%1)"/>
      <w:numFmt w:val="lowerLetter"/>
      <w:start w:val="1"/>
    </w:lvl>
  </w:abstractNum>
  <w:abstractNum w:abstractNumId="91">
    <w:nsid w:val="230F856C"/>
    <w:multiLevelType w:val="hybridMultilevel"/>
    <w:lvl w:ilvl="0">
      <w:lvlJc w:val="left"/>
      <w:lvlText w:val="(%1)"/>
      <w:numFmt w:val="lowerLetter"/>
      <w:start w:val="1"/>
    </w:lvl>
  </w:abstractNum>
  <w:abstractNum w:abstractNumId="92">
    <w:nsid w:val="6EAA85FB"/>
    <w:multiLevelType w:val="hybridMultilevel"/>
    <w:lvl w:ilvl="0">
      <w:lvlJc w:val="left"/>
      <w:lvlText w:val="(%1)"/>
      <w:numFmt w:val="lowerLetter"/>
      <w:start w:val="1"/>
    </w:lvl>
  </w:abstractNum>
  <w:abstractNum w:abstractNumId="93">
    <w:nsid w:val="3F06ECB2"/>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94">
    <w:nsid w:val="3B594807"/>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95">
    <w:nsid w:val="6CAA2304"/>
    <w:multiLevelType w:val="hybridMultilevel"/>
    <w:lvl w:ilvl="0">
      <w:lvlJc w:val="left"/>
      <w:lvlText w:val="(%1)"/>
      <w:numFmt w:val="lowerLetter"/>
      <w:start w:val="3"/>
    </w:lvl>
  </w:abstractNum>
  <w:abstractNum w:abstractNumId="96">
    <w:nsid w:val="3F7C2FF4"/>
    <w:multiLevelType w:val="hybridMultilevel"/>
    <w:lvl w:ilvl="0">
      <w:lvlJc w:val="left"/>
      <w:lvlText w:val="(%1)"/>
      <w:numFmt w:val="lowerRoman"/>
      <w:start w:val="1"/>
    </w:lvl>
  </w:abstractNum>
  <w:abstractNum w:abstractNumId="97">
    <w:nsid w:val="25413BEC"/>
    <w:multiLevelType w:val="hybridMultilevel"/>
    <w:lvl w:ilvl="0">
      <w:lvlJc w:val="left"/>
      <w:lvlText w:val="(%1)"/>
      <w:numFmt w:val="lowerLetter"/>
      <w:start w:val="1"/>
    </w:lvl>
  </w:abstractNum>
  <w:abstractNum w:abstractNumId="98">
    <w:nsid w:val="17180B0B"/>
    <w:multiLevelType w:val="hybridMultilevel"/>
    <w:lvl w:ilvl="0">
      <w:lvlJc w:val="left"/>
      <w:lvlText w:val="(%1)"/>
      <w:numFmt w:val="lowerLetter"/>
      <w:start w:val="3"/>
    </w:lvl>
  </w:abstractNum>
  <w:abstractNum w:abstractNumId="99">
    <w:nsid w:val="579328B9"/>
    <w:multiLevelType w:val="hybridMultilevel"/>
    <w:lvl w:ilvl="0">
      <w:lvlJc w:val="left"/>
      <w:lvlText w:val="(%1)"/>
      <w:numFmt w:val="lowerLetter"/>
      <w:start w:val="1"/>
    </w:lvl>
    <w:lvl w:ilvl="1">
      <w:lvlJc w:val="left"/>
      <w:lvlText w:val="(%2)"/>
      <w:numFmt w:val="lowerRoman"/>
      <w:start w:val="1"/>
    </w:lvl>
  </w:abstractNum>
  <w:abstractNum w:abstractNumId="100">
    <w:nsid w:val="5D205E20"/>
    <w:multiLevelType w:val="hybridMultilevel"/>
    <w:lvl w:ilvl="0">
      <w:lvlJc w:val="left"/>
      <w:lvlText w:val="(%1)"/>
      <w:numFmt w:val="lowerRoman"/>
      <w:start w:val="3"/>
    </w:lvl>
    <w:lvl w:ilvl="1">
      <w:lvlJc w:val="left"/>
      <w:lvlText w:val="(%2)"/>
      <w:numFmt w:val="upperLetter"/>
      <w:start w:val="1"/>
    </w:lvl>
  </w:abstractNum>
  <w:abstractNum w:abstractNumId="101">
    <w:nsid w:val="11CCA8BA"/>
    <w:multiLevelType w:val="hybridMultilevel"/>
    <w:lvl w:ilvl="0">
      <w:lvlJc w:val="left"/>
      <w:lvlText w:val="%1"/>
      <w:numFmt w:val="lowerLetter"/>
      <w:start w:val="1"/>
    </w:lvl>
    <w:lvl w:ilvl="1">
      <w:lvlJc w:val="left"/>
      <w:lvlText w:val="(%2)"/>
      <w:numFmt w:val="lowerRoman"/>
      <w:start w:val="4"/>
    </w:lvl>
  </w:abstractNum>
  <w:abstractNum w:abstractNumId="102">
    <w:nsid w:val="4D32AB86"/>
    <w:multiLevelType w:val="hybridMultilevel"/>
    <w:lvl w:ilvl="0">
      <w:lvlJc w:val="left"/>
      <w:lvlText w:val="(%1)"/>
      <w:numFmt w:val="lowerLetter"/>
      <w:start w:val="2"/>
    </w:lvl>
    <w:lvl w:ilvl="1">
      <w:lvlJc w:val="left"/>
      <w:lvlText w:val="%2"/>
      <w:numFmt w:val="lowerRoman"/>
      <w:start w:val="1"/>
    </w:lvl>
  </w:abstractNum>
  <w:abstractNum w:abstractNumId="103">
    <w:nsid w:val="3F07ACC3"/>
    <w:multiLevelType w:val="hybridMultilevel"/>
    <w:lvl w:ilvl="0">
      <w:lvlJc w:val="left"/>
      <w:lvlText w:val="(%1)"/>
      <w:numFmt w:val="lowerLetter"/>
      <w:start w:val="1"/>
    </w:lvl>
  </w:abstractNum>
  <w:abstractNum w:abstractNumId="104">
    <w:nsid w:val="6B47F63E"/>
    <w:multiLevelType w:val="hybridMultilevel"/>
    <w:lvl w:ilvl="0">
      <w:lvlJc w:val="left"/>
      <w:lvlText w:val="(%1)"/>
      <w:numFmt w:val="lowerLetter"/>
      <w:start w:val="2"/>
    </w:lvl>
    <w:lvl w:ilvl="1">
      <w:lvlJc w:val="left"/>
      <w:lvlText w:val="(%2)"/>
      <w:numFmt w:val="lowerRoman"/>
      <w:start w:val="1"/>
    </w:lvl>
  </w:abstractNum>
  <w:abstractNum w:abstractNumId="105">
    <w:nsid w:val="5CB44A05"/>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6">
    <w:nsid w:val="16CF80F1"/>
    <w:multiLevelType w:val="hybridMultilevel"/>
    <w:lvl w:ilvl="0">
      <w:lvlJc w:val="left"/>
      <w:lvlText w:val="%1"/>
      <w:numFmt w:val="upperLetter"/>
      <w:start w:val="1"/>
    </w:lvl>
    <w:lvl w:ilvl="1">
      <w:lvlJc w:val="left"/>
      <w:lvlText w:val="(%2)"/>
      <w:numFmt w:val="decimal"/>
      <w:start w:val="2"/>
    </w:lvl>
  </w:abstractNum>
  <w:abstractNum w:abstractNumId="107">
    <w:nsid w:val="1C695DEC"/>
    <w:multiLevelType w:val="hybridMultilevel"/>
    <w:lvl w:ilvl="0">
      <w:lvlJc w:val="left"/>
      <w:lvlText w:val="(%1)"/>
      <w:numFmt w:val="upperLetter"/>
      <w:start w:val="3"/>
    </w:lvl>
    <w:lvl w:ilvl="1">
      <w:lvlJc w:val="left"/>
      <w:lvlText w:val="%2"/>
      <w:numFmt w:val="decimal"/>
      <w:start w:val="1"/>
    </w:lvl>
  </w:abstractNum>
  <w:abstractNum w:abstractNumId="108">
    <w:nsid w:val="3FCFAED9"/>
    <w:multiLevelType w:val="hybridMultilevel"/>
    <w:lvl w:ilvl="0">
      <w:lvlJc w:val="left"/>
      <w:lvlText w:val="%1"/>
      <w:numFmt w:val="lowerLetter"/>
      <w:start w:val="1"/>
    </w:lvl>
    <w:lvl w:ilvl="1">
      <w:lvlJc w:val="left"/>
      <w:lvlText w:val="(%2)"/>
      <w:numFmt w:val="lowerLetter"/>
      <w:start w:val="61"/>
    </w:lvl>
  </w:abstractNum>
  <w:abstractNum w:abstractNumId="109">
    <w:nsid w:val="F856867"/>
    <w:multiLevelType w:val="hybridMultilevel"/>
    <w:lvl w:ilvl="0">
      <w:lvlJc w:val="left"/>
      <w:lvlText w:val="(%1)"/>
      <w:numFmt w:val="lowerLetter"/>
      <w:start w:val="7"/>
    </w:lvl>
    <w:lvl w:ilvl="1">
      <w:lvlJc w:val="left"/>
      <w:lvlText w:val="%2"/>
      <w:numFmt w:val="lowerLetter"/>
      <w:start w:val="1"/>
    </w:lvl>
  </w:abstractNum>
  <w:abstractNum w:abstractNumId="110">
    <w:nsid w:val="11B1CC33"/>
    <w:multiLevelType w:val="hybridMultilevel"/>
    <w:lvl w:ilvl="0">
      <w:lvlJc w:val="left"/>
      <w:lvlText w:val="(%1)"/>
      <w:numFmt w:val="lowerLetter"/>
      <w:start w:val="1"/>
    </w:lvl>
  </w:abstractNum>
  <w:abstractNum w:abstractNumId="111">
    <w:nsid w:val="2E22FBB7"/>
    <w:multiLevelType w:val="hybridMultilevel"/>
    <w:lvl w:ilvl="0">
      <w:lvlJc w:val="left"/>
      <w:lvlText w:val="(%1)"/>
      <w:numFmt w:val="lowerRoman"/>
      <w:start w:val="1"/>
    </w:lvl>
  </w:abstractNum>
  <w:abstractNum w:abstractNumId="112">
    <w:nsid w:val="29934699"/>
    <w:multiLevelType w:val="hybridMultilevel"/>
    <w:lvl w:ilvl="0">
      <w:lvlJc w:val="left"/>
      <w:lvlText w:val="(%1)"/>
      <w:numFmt w:val="lowerLetter"/>
      <w:start w:val="3"/>
    </w:lvl>
  </w:abstractNum>
  <w:abstractNum w:abstractNumId="113">
    <w:nsid w:val="77485850"/>
    <w:multiLevelType w:val="hybridMultilevel"/>
    <w:lvl w:ilvl="0">
      <w:lvlJc w:val="left"/>
      <w:lvlText w:val="(%1)"/>
      <w:numFmt w:val="lowerLetter"/>
      <w:start w:val="1"/>
    </w:lvl>
  </w:abstractNum>
  <w:abstractNum w:abstractNumId="114">
    <w:nsid w:val="744939A3"/>
    <w:multiLevelType w:val="hybridMultilevel"/>
    <w:lvl w:ilvl="0">
      <w:lvlJc w:val="left"/>
      <w:lvlText w:val="(%1)"/>
      <w:numFmt w:val="lowerRoman"/>
      <w:start w:val="1"/>
    </w:lvl>
  </w:abstractNum>
  <w:abstractNum w:abstractNumId="115">
    <w:nsid w:val="4FA0D2E3"/>
    <w:multiLevelType w:val="hybridMultilevel"/>
    <w:lvl w:ilvl="0">
      <w:lvlJc w:val="left"/>
      <w:lvlText w:val="(%1)"/>
      <w:numFmt w:val="lowerLetter"/>
      <w:start w:val="2"/>
    </w:lvl>
  </w:abstractNum>
  <w:abstractNum w:abstractNumId="116">
    <w:nsid w:val="6B1D2C14"/>
    <w:multiLevelType w:val="hybridMultilevel"/>
    <w:lvl w:ilvl="0">
      <w:lvlJc w:val="left"/>
      <w:lvlText w:val="(%1)"/>
      <w:numFmt w:val="lowerLetter"/>
      <w:start w:val="1"/>
    </w:lvl>
  </w:abstractNum>
  <w:abstractNum w:abstractNumId="117">
    <w:nsid w:val="68B867D3"/>
    <w:multiLevelType w:val="hybridMultilevel"/>
    <w:lvl w:ilvl="0">
      <w:lvlJc w:val="left"/>
      <w:lvlText w:val="(%1)"/>
      <w:numFmt w:val="lowerLetter"/>
      <w:start w:val="1"/>
    </w:lvl>
  </w:abstractNum>
  <w:abstractNum w:abstractNumId="118">
    <w:nsid w:val="3F7F5DD9"/>
    <w:multiLevelType w:val="hybridMultilevel"/>
    <w:lvl w:ilvl="0">
      <w:lvlJc w:val="left"/>
      <w:lvlText w:val="(%1)"/>
      <w:numFmt w:val="lowerLetter"/>
      <w:start w:val="1"/>
    </w:lvl>
  </w:abstractNum>
  <w:abstractNum w:abstractNumId="119">
    <w:nsid w:val="2AE05A34"/>
    <w:multiLevelType w:val="hybridMultilevel"/>
    <w:lvl w:ilvl="0">
      <w:lvlJc w:val="left"/>
      <w:lvlText w:val="(%1)"/>
      <w:numFmt w:val="lowerLetter"/>
      <w:start w:val="6"/>
    </w:lvl>
  </w:abstractNum>
  <w:abstractNum w:abstractNumId="120">
    <w:nsid w:val="32794FF7"/>
    <w:multiLevelType w:val="hybridMultilevel"/>
    <w:lvl w:ilvl="0">
      <w:lvlJc w:val="left"/>
      <w:lvlText w:val="(%1)"/>
      <w:numFmt w:val="lowerLetter"/>
      <w:start w:val="11"/>
    </w:lvl>
  </w:abstractNum>
  <w:abstractNum w:abstractNumId="121">
    <w:nsid w:val="5454945E"/>
    <w:multiLevelType w:val="hybridMultilevel"/>
    <w:lvl w:ilvl="0">
      <w:lvlJc w:val="left"/>
      <w:lvlText w:val="(%1)"/>
      <w:numFmt w:val="lowerLetter"/>
      <w:start w:val="15"/>
    </w:lvl>
  </w:abstractNum>
  <w:abstractNum w:abstractNumId="122">
    <w:nsid w:val="4DEFDFA0"/>
    <w:multiLevelType w:val="hybridMultilevel"/>
    <w:lvl w:ilvl="0">
      <w:lvlJc w:val="left"/>
      <w:lvlText w:val="(%1)"/>
      <w:numFmt w:val="lowerLetter"/>
      <w:start w:val="1"/>
    </w:lvl>
  </w:abstractNum>
  <w:abstractNum w:abstractNumId="123">
    <w:nsid w:val="2123D5F2"/>
    <w:multiLevelType w:val="hybridMultilevel"/>
    <w:lvl w:ilvl="0">
      <w:lvlJc w:val="left"/>
      <w:lvlText w:val="(%1)"/>
      <w:numFmt w:val="lowerLetter"/>
      <w:start w:val="1"/>
    </w:lvl>
  </w:abstractNum>
  <w:abstractNum w:abstractNumId="124">
    <w:nsid w:val="135B8110"/>
    <w:multiLevelType w:val="hybridMultilevel"/>
    <w:lvl w:ilvl="0">
      <w:lvlJc w:val="left"/>
      <w:lvlText w:val="(%1)"/>
      <w:numFmt w:val="lowerLetter"/>
      <w:start w:val="1"/>
    </w:lvl>
  </w:abstractNum>
  <w:abstractNum w:abstractNumId="125">
    <w:nsid w:val="94927A8"/>
    <w:multiLevelType w:val="hybridMultilevel"/>
    <w:lvl w:ilvl="0">
      <w:lvlJc w:val="left"/>
      <w:lvlText w:val="(%1)"/>
      <w:numFmt w:val="lowerLetter"/>
      <w:start w:val="3"/>
    </w:lvl>
  </w:abstractNum>
  <w:abstractNum w:abstractNumId="126">
    <w:nsid w:val="DCDF8F6"/>
    <w:multiLevelType w:val="hybridMultilevel"/>
    <w:lvl w:ilvl="0">
      <w:lvlJc w:val="left"/>
      <w:lvlText w:val="(%1)"/>
      <w:numFmt w:val="lowerLetter"/>
      <w:start w:val="1"/>
    </w:lvl>
  </w:abstractNum>
  <w:abstractNum w:abstractNumId="127">
    <w:nsid w:val="52D7B105"/>
    <w:multiLevelType w:val="hybridMultilevel"/>
    <w:lvl w:ilvl="0">
      <w:lvlJc w:val="left"/>
      <w:lvlText w:val="(%1)"/>
      <w:numFmt w:val="lowerLetter"/>
      <w:start w:val="1"/>
    </w:lvl>
  </w:abstractNum>
  <w:abstractNum w:abstractNumId="128">
    <w:nsid w:val="2E8A6394"/>
    <w:multiLevelType w:val="hybridMultilevel"/>
    <w:lvl w:ilvl="0">
      <w:lvlJc w:val="left"/>
      <w:lvlText w:val="(%1)"/>
      <w:numFmt w:val="lowerLetter"/>
      <w:start w:val="1"/>
    </w:lvl>
  </w:abstractNum>
  <w:abstractNum w:abstractNumId="129">
    <w:nsid w:val="24E60401"/>
    <w:multiLevelType w:val="hybridMultilevel"/>
    <w:lvl w:ilvl="0">
      <w:lvlJc w:val="left"/>
      <w:lvlText w:val="(%1)"/>
      <w:numFmt w:val="lowerLetter"/>
      <w:start w:val="2"/>
    </w:lvl>
  </w:abstractNum>
  <w:abstractNum w:abstractNumId="130">
    <w:nsid w:val="2A6AD9BE"/>
    <w:multiLevelType w:val="hybridMultilevel"/>
    <w:lvl w:ilvl="0">
      <w:lvlJc w:val="left"/>
      <w:lvlText w:val="(%1)"/>
      <w:numFmt w:val="lowerLetter"/>
      <w:start w:val="1"/>
    </w:lvl>
  </w:abstractNum>
  <w:abstractNum w:abstractNumId="131">
    <w:nsid w:val="BAAC1B4"/>
    <w:multiLevelType w:val="hybridMultilevel"/>
    <w:lvl w:ilvl="0">
      <w:lvlJc w:val="left"/>
      <w:lvlText w:val="(%1)"/>
      <w:numFmt w:val="lowerLetter"/>
      <w:start w:val="1"/>
    </w:lvl>
  </w:abstractNum>
  <w:abstractNum w:abstractNumId="132">
    <w:nsid w:val="36B2ACBC"/>
    <w:multiLevelType w:val="hybridMultilevel"/>
    <w:lvl w:ilvl="0">
      <w:lvlJc w:val="left"/>
      <w:lvlText w:val="(%1)"/>
      <w:numFmt w:val="lowerLetter"/>
      <w:start w:val="1"/>
    </w:lvl>
  </w:abstractNum>
  <w:abstractNum w:abstractNumId="133">
    <w:nsid w:val="779D8544"/>
    <w:multiLevelType w:val="hybridMultilevel"/>
    <w:lvl w:ilvl="0">
      <w:lvlJc w:val="left"/>
      <w:lvlText w:val="(%1)"/>
      <w:numFmt w:val="lowerLetter"/>
      <w:start w:val="2"/>
    </w:lvl>
  </w:abstractNum>
  <w:abstractNum w:abstractNumId="134">
    <w:nsid w:val="4AB26E78"/>
    <w:multiLevelType w:val="hybridMultilevel"/>
    <w:lvl w:ilvl="0">
      <w:lvlJc w:val="left"/>
      <w:lvlText w:val="(%1)"/>
      <w:numFmt w:val="lowerLetter"/>
      <w:start w:val="9"/>
    </w:lvl>
  </w:abstractNum>
  <w:abstractNum w:abstractNumId="135">
    <w:nsid w:val="21FAA2FA"/>
    <w:multiLevelType w:val="hybridMultilevel"/>
    <w:lvl w:ilvl="0">
      <w:lvlJc w:val="left"/>
      <w:lvlText w:val="(%1)"/>
      <w:numFmt w:val="lowerLetter"/>
      <w:start w:val="1"/>
    </w:lvl>
  </w:abstractNum>
  <w:abstractNum w:abstractNumId="136">
    <w:nsid w:val="5451CF49"/>
    <w:multiLevelType w:val="hybridMultilevel"/>
    <w:lvl w:ilvl="0">
      <w:lvlJc w:val="left"/>
      <w:lvlText w:val="(%1)"/>
      <w:numFmt w:val="lowerLetter"/>
      <w:start w:val="1"/>
    </w:lvl>
  </w:abstractNum>
  <w:abstractNum w:abstractNumId="137">
    <w:nsid w:val="6181EF69"/>
    <w:multiLevelType w:val="hybridMultilevel"/>
    <w:lvl w:ilvl="0">
      <w:lvlJc w:val="left"/>
      <w:lvlText w:val="(%1)"/>
      <w:numFmt w:val="lowerLetter"/>
      <w:start w:val="1"/>
    </w:lvl>
  </w:abstractNum>
  <w:abstractNum w:abstractNumId="138">
    <w:nsid w:val="3E6400E6"/>
    <w:multiLevelType w:val="hybridMultilevel"/>
    <w:lvl w:ilvl="0">
      <w:lvlJc w:val="left"/>
      <w:lvlText w:val="(%1)"/>
      <w:numFmt w:val="lowerLetter"/>
      <w:start w:val="1"/>
    </w:lvl>
  </w:abstractNum>
  <w:abstractNum w:abstractNumId="139">
    <w:nsid w:val="14217E23"/>
    <w:multiLevelType w:val="hybridMultilevel"/>
    <w:lvl w:ilvl="0">
      <w:lvlJc w:val="left"/>
      <w:lvlText w:val="(%1)"/>
      <w:numFmt w:val="lowerLetter"/>
      <w:start w:val="1"/>
    </w:lvl>
  </w:abstractNum>
  <w:abstractNum w:abstractNumId="140">
    <w:nsid w:val="710757D0"/>
    <w:multiLevelType w:val="hybridMultilevel"/>
    <w:lvl w:ilvl="0">
      <w:lvlJc w:val="left"/>
      <w:lvlText w:val="(%1)"/>
      <w:numFmt w:val="lowerLetter"/>
      <w:start w:val="1"/>
    </w:lvl>
  </w:abstractNum>
  <w:abstractNum w:abstractNumId="141">
    <w:nsid w:val="5015CD1A"/>
    <w:multiLevelType w:val="hybridMultilevel"/>
    <w:lvl w:ilvl="0">
      <w:lvlJc w:val="left"/>
      <w:lvlText w:val="(%1)"/>
      <w:numFmt w:val="lowerLetter"/>
      <w:start w:val="1"/>
    </w:lvl>
  </w:abstractNum>
  <w:abstractNum w:abstractNumId="142">
    <w:nsid w:val="424479DA"/>
    <w:multiLevelType w:val="hybridMultilevel"/>
    <w:lvl w:ilvl="0">
      <w:lvlJc w:val="left"/>
      <w:lvlText w:val="(%1)"/>
      <w:numFmt w:val="lowerLetter"/>
      <w:start w:val="3"/>
    </w:lvl>
    <w:lvl w:ilvl="1">
      <w:lvlJc w:val="left"/>
      <w:lvlText w:val="(%2)"/>
      <w:numFmt w:val="lowerRoman"/>
      <w:start w:val="1"/>
    </w:lvl>
  </w:abstractNum>
  <w:abstractNum w:abstractNumId="143">
    <w:nsid w:val="1A9A9E69"/>
    <w:multiLevelType w:val="hybridMultilevel"/>
    <w:lvl w:ilvl="0">
      <w:lvlJc w:val="left"/>
      <w:lvlText w:val="(%1)"/>
      <w:numFmt w:val="lowerLetter"/>
      <w:start w:val="1"/>
    </w:lvl>
  </w:abstractNum>
  <w:abstractNum w:abstractNumId="144">
    <w:nsid w:val="475E256A"/>
    <w:multiLevelType w:val="hybridMultilevel"/>
    <w:lvl w:ilvl="0">
      <w:lvlJc w:val="left"/>
      <w:lvlText w:val="(%1)"/>
      <w:numFmt w:val="lowerLetter"/>
      <w:start w:val="5"/>
    </w:lvl>
  </w:abstractNum>
  <w:abstractNum w:abstractNumId="145">
    <w:nsid w:val="368DB37E"/>
    <w:multiLevelType w:val="hybridMultilevel"/>
    <w:lvl w:ilvl="0">
      <w:lvlJc w:val="left"/>
      <w:lvlText w:val="(%1)"/>
      <w:numFmt w:val="lowerLetter"/>
      <w:start w:val="11"/>
    </w:lvl>
  </w:abstractNum>
  <w:abstractNum w:abstractNumId="146">
    <w:nsid w:val="6A3B714C"/>
    <w:multiLevelType w:val="hybridMultilevel"/>
    <w:lvl w:ilvl="0">
      <w:lvlJc w:val="left"/>
      <w:lvlText w:val="(%1)"/>
      <w:numFmt w:val="lowerLetter"/>
      <w:start w:val="1"/>
    </w:lvl>
  </w:abstractNum>
  <w:abstractNum w:abstractNumId="147">
    <w:nsid w:val="327B517E"/>
    <w:multiLevelType w:val="hybridMultilevel"/>
    <w:lvl w:ilvl="0">
      <w:lvlJc w:val="left"/>
      <w:lvlText w:val="(%1)"/>
      <w:numFmt w:val="lowerLetter"/>
      <w:start w:val="10"/>
    </w:lvl>
  </w:abstractNum>
  <w:abstractNum w:abstractNumId="148">
    <w:nsid w:val="1F461B51"/>
    <w:multiLevelType w:val="hybridMultilevel"/>
    <w:lvl w:ilvl="0">
      <w:lvlJc w:val="left"/>
      <w:lvlText w:val="(%1)"/>
      <w:numFmt w:val="lowerLetter"/>
      <w:start w:val="20"/>
    </w:lvl>
  </w:abstractNum>
  <w:abstractNum w:abstractNumId="149">
    <w:nsid w:val="29BACF25"/>
    <w:multiLevelType w:val="hybridMultilevel"/>
    <w:lvl w:ilvl="0">
      <w:lvlJc w:val="left"/>
      <w:lvlText w:val="%1"/>
      <w:numFmt w:val="lowerLetter"/>
      <w:start w:val="1"/>
    </w:lvl>
    <w:lvl w:ilvl="1">
      <w:lvlJc w:val="left"/>
      <w:lvlText w:val="(%2)"/>
      <w:numFmt w:val="lowerLetter"/>
      <w:start w:val="1"/>
    </w:lvl>
  </w:abstractNum>
  <w:abstractNum w:abstractNumId="150">
    <w:nsid w:val="5D5BABB3"/>
    <w:multiLevelType w:val="hybridMultilevel"/>
    <w:lvl w:ilvl="0">
      <w:lvlJc w:val="left"/>
      <w:lvlText w:val="(%1)"/>
      <w:numFmt w:val="lowerLetter"/>
      <w:start w:val="1"/>
    </w:lvl>
    <w:lvl w:ilvl="1">
      <w:lvlJc w:val="left"/>
      <w:lvlText w:val="(%2)"/>
      <w:numFmt w:val="lowerLetter"/>
      <w:start w:val="2"/>
    </w:lvl>
  </w:abstractNum>
  <w:abstractNum w:abstractNumId="151">
    <w:nsid w:val="51BF6B48"/>
    <w:multiLevelType w:val="hybridMultilevel"/>
    <w:lvl w:ilvl="0">
      <w:lvlJc w:val="left"/>
      <w:lvlText w:val="(%1)"/>
      <w:numFmt w:val="lowerLetter"/>
      <w:start w:val="8"/>
    </w:lvl>
  </w:abstractNum>
  <w:abstractNum w:abstractNumId="152">
    <w:nsid w:val="7E0F6384"/>
    <w:multiLevelType w:val="hybridMultilevel"/>
    <w:lvl w:ilvl="0">
      <w:lvlJc w:val="left"/>
      <w:lvlText w:val="(%1)"/>
      <w:numFmt w:val="lowerLetter"/>
      <w:start w:val="20"/>
    </w:lvl>
  </w:abstractNum>
  <w:abstractNum w:abstractNumId="153">
    <w:nsid w:val="2B4B8B53"/>
    <w:multiLevelType w:val="hybridMultilevel"/>
    <w:lvl w:ilvl="0">
      <w:lvlJc w:val="left"/>
      <w:lvlText w:val="(%1)"/>
      <w:numFmt w:val="lowerLetter"/>
      <w:start w:val="1"/>
    </w:lvl>
  </w:abstractNum>
  <w:abstractNum w:abstractNumId="154">
    <w:nsid w:val="72E3413A"/>
    <w:multiLevelType w:val="hybridMultilevel"/>
    <w:lvl w:ilvl="0">
      <w:lvlJc w:val="left"/>
      <w:lvlText w:val="(%1)"/>
      <w:numFmt w:val="lowerLetter"/>
      <w:start w:val="3"/>
    </w:lvl>
  </w:abstractNum>
  <w:abstractNum w:abstractNumId="155">
    <w:nsid w:val="116AE494"/>
    <w:multiLevelType w:val="hybridMultilevel"/>
    <w:lvl w:ilvl="0">
      <w:lvlJc w:val="left"/>
      <w:lvlText w:val="(%1)"/>
      <w:numFmt w:val="lowerLetter"/>
      <w:start w:val="1"/>
    </w:lvl>
    <w:lvl w:ilvl="1">
      <w:lvlJc w:val="left"/>
      <w:lvlText w:val="(%2)"/>
      <w:numFmt w:val="lowerLetter"/>
      <w:start w:val="1"/>
    </w:lvl>
  </w:abstractNum>
  <w:abstractNum w:abstractNumId="156">
    <w:nsid w:val="3494B2FB"/>
    <w:multiLevelType w:val="hybridMultilevel"/>
    <w:lvl w:ilvl="0">
      <w:lvlJc w:val="left"/>
      <w:lvlText w:val="(%1)"/>
      <w:numFmt w:val="lowerLetter"/>
      <w:start w:val="1"/>
    </w:lvl>
  </w:abstractNum>
  <w:abstractNum w:abstractNumId="157">
    <w:nsid w:val="B13A31"/>
    <w:multiLevelType w:val="hybridMultilevel"/>
    <w:lvl w:ilvl="0">
      <w:lvlJc w:val="left"/>
      <w:lvlText w:val="(%1)"/>
      <w:numFmt w:val="lowerLetter"/>
      <w:start w:val="2"/>
    </w:lvl>
  </w:abstractNum>
  <w:abstractNum w:abstractNumId="158">
    <w:nsid w:val="64429599"/>
    <w:multiLevelType w:val="hybridMultilevel"/>
    <w:lvl w:ilvl="0">
      <w:lvlJc w:val="left"/>
      <w:lvlText w:val="(%1)"/>
      <w:numFmt w:val="lowerLetter"/>
      <w:start w:val="1"/>
    </w:lvl>
  </w:abstractNum>
  <w:abstractNum w:abstractNumId="159">
    <w:nsid w:val="631F1690"/>
    <w:multiLevelType w:val="hybridMultilevel"/>
    <w:lvl w:ilvl="0">
      <w:lvlJc w:val="left"/>
      <w:lvlText w:val="(%1)"/>
      <w:numFmt w:val="lowerLetter"/>
      <w:start w:val="3"/>
    </w:lvl>
  </w:abstractNum>
  <w:abstractNum w:abstractNumId="160">
    <w:nsid w:val="25973E32"/>
    <w:multiLevelType w:val="hybridMultilevel"/>
    <w:lvl w:ilvl="0">
      <w:lvlJc w:val="left"/>
      <w:lvlText w:val="(%1)"/>
      <w:numFmt w:val="lowerLetter"/>
      <w:start w:val="1"/>
    </w:lvl>
  </w:abstractNum>
  <w:abstractNum w:abstractNumId="161">
    <w:nsid w:val="EAD6F57"/>
    <w:multiLevelType w:val="hybridMultilevel"/>
    <w:lvl w:ilvl="0">
      <w:lvlJc w:val="left"/>
      <w:lvlText w:val="%1"/>
      <w:numFmt w:val="decimal"/>
      <w:start w:val="1"/>
    </w:lvl>
    <w:lvl w:ilvl="1">
      <w:lvlJc w:val="left"/>
      <w:lvlText w:val="(%2)"/>
      <w:numFmt w:val="lowerLetter"/>
      <w:start w:val="1"/>
    </w:lvl>
  </w:abstractNum>
  <w:abstractNum w:abstractNumId="162">
    <w:nsid w:val="6EC9D844"/>
    <w:multiLevelType w:val="hybridMultilevel"/>
    <w:lvl w:ilvl="0">
      <w:lvlJc w:val="left"/>
      <w:lvlText w:val="(%1)"/>
      <w:numFmt w:val="decimal"/>
      <w:start w:val="30"/>
    </w:lvl>
    <w:lvl w:ilvl="1">
      <w:lvlJc w:val="left"/>
      <w:lvlText w:val="(%2)"/>
      <w:numFmt w:val="lowerLetter"/>
      <w:start w:val="4"/>
    </w:lvl>
  </w:abstractNum>
  <w:abstractNum w:abstractNumId="163">
    <w:nsid w:val="5C49EAEE"/>
    <w:multiLevelType w:val="hybridMultilevel"/>
    <w:lvl w:ilvl="0">
      <w:lvlJc w:val="left"/>
      <w:lvlText w:val="(%1)"/>
      <w:numFmt w:val="lowerLetter"/>
      <w:start w:val="5"/>
    </w:lvl>
  </w:abstractNum>
  <w:abstractNum w:abstractNumId="164">
    <w:nsid w:val="64AF49B"/>
    <w:multiLevelType w:val="hybridMultilevel"/>
    <w:lvl w:ilvl="0">
      <w:lvlJc w:val="left"/>
      <w:lvlText w:val="(%1)"/>
      <w:numFmt w:val="lowerLetter"/>
      <w:start w:val="9"/>
    </w:lvl>
  </w:abstractNum>
  <w:abstractNum w:abstractNumId="165">
    <w:nsid w:val="397C46BC"/>
    <w:multiLevelType w:val="hybridMultilevel"/>
    <w:lvl w:ilvl="0">
      <w:lvlJc w:val="left"/>
      <w:lvlText w:val="(%1)"/>
      <w:numFmt w:val="lowerLetter"/>
      <w:start w:val="1"/>
    </w:lvl>
  </w:abstractNum>
  <w:abstractNum w:abstractNumId="166">
    <w:nsid w:val="7E448DE9"/>
    <w:multiLevelType w:val="hybridMultilevel"/>
    <w:lvl w:ilvl="0">
      <w:lvlJc w:val="left"/>
      <w:lvlText w:val="(%1)"/>
      <w:numFmt w:val="lowerLetter"/>
      <w:start w:val="2"/>
    </w:lvl>
  </w:abstractNum>
  <w:abstractNum w:abstractNumId="167">
    <w:nsid w:val="5A9CC3E5"/>
    <w:multiLevelType w:val="hybridMultilevel"/>
    <w:lvl w:ilvl="0">
      <w:lvlJc w:val="left"/>
      <w:lvlText w:val="(%1)"/>
      <w:numFmt w:val="lowerLetter"/>
      <w:start w:val="1"/>
    </w:lvl>
  </w:abstractNum>
  <w:abstractNum w:abstractNumId="168">
    <w:nsid w:val="1AFE3625"/>
    <w:multiLevelType w:val="hybridMultilevel"/>
    <w:lvl w:ilvl="0">
      <w:lvlJc w:val="left"/>
      <w:lvlText w:val="(%1)"/>
      <w:numFmt w:val="lowerLetter"/>
      <w:start w:val="2"/>
    </w:lvl>
  </w:abstractNum>
  <w:abstractNum w:abstractNumId="169">
    <w:nsid w:val="3CA88ECF"/>
    <w:multiLevelType w:val="hybridMultilevel"/>
    <w:lvl w:ilvl="0">
      <w:lvlJc w:val="left"/>
      <w:lvlText w:val="(%1)"/>
      <w:numFmt w:val="lowerLetter"/>
      <w:start w:val="1"/>
    </w:lvl>
  </w:abstractNum>
  <w:abstractNum w:abstractNumId="170">
    <w:nsid w:val="6EBE4208"/>
    <w:multiLevelType w:val="hybridMultilevel"/>
    <w:lvl w:ilvl="0">
      <w:lvlJc w:val="left"/>
      <w:lvlText w:val="(%1)"/>
      <w:numFmt w:val="lowerLetter"/>
      <w:start w:val="1"/>
    </w:lvl>
    <w:lvl w:ilvl="1">
      <w:lvlJc w:val="left"/>
      <w:lvlText w:val="(%2)"/>
      <w:numFmt w:val="lowerRoman"/>
      <w:start w:val="1"/>
    </w:lvl>
  </w:abstractNum>
  <w:abstractNum w:abstractNumId="171">
    <w:nsid w:val="C058DF5"/>
    <w:multiLevelType w:val="hybridMultilevel"/>
    <w:lvl w:ilvl="0">
      <w:lvlJc w:val="left"/>
      <w:lvlText w:val="(%1)"/>
      <w:numFmt w:val="lowerLetter"/>
      <w:start w:val="2"/>
    </w:lvl>
  </w:abstractNum>
  <w:abstractNum w:abstractNumId="172">
    <w:nsid w:val="CBE5BE9"/>
    <w:multiLevelType w:val="hybridMultilevel"/>
    <w:lvl w:ilvl="0">
      <w:lvlJc w:val="left"/>
      <w:lvlText w:val="(%1)"/>
      <w:numFmt w:val="lowerLetter"/>
      <w:start w:val="1"/>
    </w:lvl>
  </w:abstractNum>
  <w:abstractNum w:abstractNumId="173">
    <w:nsid w:val="3102BBE2"/>
    <w:multiLevelType w:val="hybridMultilevel"/>
    <w:lvl w:ilvl="0">
      <w:lvlJc w:val="left"/>
      <w:lvlText w:val="%1"/>
      <w:numFmt w:val="lowerLetter"/>
      <w:start w:val="1"/>
    </w:lvl>
    <w:lvl w:ilvl="1">
      <w:lvlJc w:val="left"/>
      <w:lvlText w:val="(%2)"/>
      <w:numFmt w:val="lowerLetter"/>
      <w:start w:val="3"/>
    </w:lvl>
  </w:abstractNum>
  <w:abstractNum w:abstractNumId="174">
    <w:nsid w:val="26A02C5E"/>
    <w:multiLevelType w:val="hybridMultilevel"/>
    <w:lvl w:ilvl="0">
      <w:lvlJc w:val="left"/>
      <w:lvlText w:val="(%1)"/>
      <w:numFmt w:val="lowerLetter"/>
      <w:start w:val="61"/>
    </w:lvl>
    <w:lvl w:ilvl="1">
      <w:lvlJc w:val="left"/>
      <w:lvlText w:val="%2"/>
      <w:numFmt w:val="lowerLetter"/>
      <w:start w:val="1"/>
    </w:lvl>
  </w:abstractNum>
  <w:abstractNum w:abstractNumId="175">
    <w:nsid w:val="541C8153"/>
    <w:multiLevelType w:val="hybridMultilevel"/>
    <w:lvl w:ilvl="0">
      <w:lvlJc w:val="left"/>
      <w:lvlText w:val="(%1)"/>
      <w:numFmt w:val="lowerLetter"/>
      <w:start w:val="1"/>
    </w:lvl>
  </w:abstractNum>
  <w:abstractNum w:abstractNumId="176">
    <w:nsid w:val="67906F60"/>
    <w:multiLevelType w:val="hybridMultilevel"/>
    <w:lvl w:ilvl="0">
      <w:lvlJc w:val="left"/>
      <w:lvlText w:val="(%1)"/>
      <w:numFmt w:val="lowerRoman"/>
      <w:start w:val="1"/>
    </w:lvl>
  </w:abstractNum>
  <w:abstractNum w:abstractNumId="177">
    <w:nsid w:val="10DB9DAA"/>
    <w:multiLevelType w:val="hybridMultilevel"/>
    <w:lvl w:ilvl="0">
      <w:lvlJc w:val="left"/>
      <w:lvlText w:val="(%1)"/>
      <w:numFmt w:val="lowerLetter"/>
      <w:start w:val="2"/>
    </w:lvl>
  </w:abstractNum>
  <w:abstractNum w:abstractNumId="178">
    <w:nsid w:val="697D2D2"/>
    <w:multiLevelType w:val="hybridMultilevel"/>
    <w:lvl w:ilvl="0">
      <w:lvlJc w:val="left"/>
      <w:lvlText w:val="(%1)"/>
      <w:numFmt w:val="lowerLetter"/>
      <w:start w:val="1"/>
    </w:lvl>
    <w:lvl w:ilvl="1">
      <w:lvlJc w:val="left"/>
      <w:lvlText w:val="(%2)"/>
      <w:numFmt w:val="lowerRoman"/>
      <w:start w:val="1"/>
    </w:lvl>
  </w:abstractNum>
  <w:abstractNum w:abstractNumId="179">
    <w:nsid w:val="6D68AB2"/>
    <w:multiLevelType w:val="hybridMultilevel"/>
    <w:lvl w:ilvl="0">
      <w:lvlJc w:val="left"/>
      <w:lvlText w:val="(%1)"/>
      <w:numFmt w:val="lowerLetter"/>
      <w:start w:val="1"/>
    </w:lvl>
    <w:lvl w:ilvl="1">
      <w:lvlJc w:val="left"/>
      <w:lvlText w:val="(%2)"/>
      <w:numFmt w:val="lowerRoman"/>
      <w:start w:val="1"/>
    </w:lvl>
  </w:abstractNum>
  <w:abstractNum w:abstractNumId="180">
    <w:nsid w:val="3A966CD0"/>
    <w:multiLevelType w:val="hybridMultilevel"/>
    <w:lvl w:ilvl="0">
      <w:lvlJc w:val="left"/>
      <w:lvlText w:val="%1"/>
      <w:numFmt w:val="lowerLetter"/>
      <w:start w:val="1"/>
    </w:lvl>
    <w:lvl w:ilvl="1">
      <w:lvlJc w:val="left"/>
      <w:lvlText w:val="(%2)"/>
      <w:numFmt w:val="lowerRoman"/>
      <w:start w:val="4"/>
    </w:lvl>
  </w:abstractNum>
  <w:abstractNum w:abstractNumId="181">
    <w:nsid w:val="63F37E85"/>
    <w:multiLevelType w:val="hybridMultilevel"/>
    <w:lvl w:ilvl="0">
      <w:lvlJc w:val="left"/>
      <w:lvlText w:val="(%1)"/>
      <w:numFmt w:val="lowerLetter"/>
      <w:start w:val="2"/>
    </w:lvl>
    <w:lvl w:ilvl="1">
      <w:lvlJc w:val="left"/>
      <w:lvlText w:val="%2"/>
      <w:numFmt w:val="lowerRoman"/>
      <w:start w:val="1"/>
    </w:lvl>
  </w:abstractNum>
  <w:abstractNum w:abstractNumId="182">
    <w:nsid w:val="5895F5FA"/>
    <w:multiLevelType w:val="hybridMultilevel"/>
    <w:lvl w:ilvl="0">
      <w:lvlJc w:val="left"/>
      <w:lvlText w:val="(%1)"/>
      <w:numFmt w:val="lowerLetter"/>
      <w:start w:val="1"/>
    </w:lvl>
    <w:lvl w:ilvl="1">
      <w:lvlJc w:val="left"/>
      <w:lvlText w:val="(%2)"/>
      <w:numFmt w:val="lowerRoman"/>
      <w:start w:val="1"/>
    </w:lvl>
  </w:abstractNum>
  <w:abstractNum w:abstractNumId="183">
    <w:nsid w:val="38A5D054"/>
    <w:multiLevelType w:val="hybridMultilevel"/>
    <w:lvl w:ilvl="0">
      <w:lvlJc w:val="left"/>
      <w:lvlText w:val="(%1)"/>
      <w:numFmt w:val="lowerRoman"/>
      <w:start w:val="3"/>
    </w:lvl>
  </w:abstractNum>
  <w:abstractNum w:abstractNumId="184">
    <w:nsid w:val="F3F09D8"/>
    <w:multiLevelType w:val="hybridMultilevel"/>
    <w:lvl w:ilvl="0">
      <w:lvlJc w:val="left"/>
      <w:lvlText w:val="(%1)"/>
      <w:numFmt w:val="lowerRoman"/>
      <w:start w:val="12"/>
    </w:lvl>
  </w:abstractNum>
  <w:abstractNum w:abstractNumId="185">
    <w:nsid w:val="4B793735"/>
    <w:multiLevelType w:val="hybridMultilevel"/>
    <w:lvl w:ilvl="0">
      <w:lvlJc w:val="left"/>
      <w:lvlText w:val="(%1)"/>
      <w:numFmt w:val="lowerLetter"/>
      <w:start w:val="2"/>
    </w:lvl>
  </w:abstractNum>
  <w:abstractNum w:abstractNumId="186">
    <w:nsid w:val="4A10B4E8"/>
    <w:multiLevelType w:val="hybridMultilevel"/>
    <w:lvl w:ilvl="0">
      <w:lvlJc w:val="left"/>
      <w:lvlText w:val="(%1)"/>
      <w:numFmt w:val="lowerLetter"/>
      <w:start w:val="1"/>
    </w:lvl>
  </w:abstractNum>
  <w:abstractNum w:abstractNumId="187">
    <w:nsid w:val="43D3BCD4"/>
    <w:multiLevelType w:val="hybridMultilevel"/>
    <w:lvl w:ilvl="0">
      <w:lvlJc w:val="left"/>
      <w:lvlText w:val="(%1)"/>
      <w:numFmt w:val="lowerRoman"/>
      <w:start w:val="1"/>
    </w:lvl>
  </w:abstractNum>
  <w:abstractNum w:abstractNumId="188">
    <w:nsid w:val="4C2A7166"/>
    <w:multiLevelType w:val="hybridMultilevel"/>
    <w:lvl w:ilvl="0">
      <w:lvlJc w:val="left"/>
      <w:lvlText w:val="(%1)"/>
      <w:numFmt w:val="lowerLetter"/>
      <w:start w:val="2"/>
    </w:lvl>
    <w:lvl w:ilvl="1">
      <w:lvlJc w:val="left"/>
      <w:lvlText w:val="(%2)"/>
      <w:numFmt w:val="lowerRoman"/>
      <w:start w:val="1"/>
    </w:lvl>
  </w:abstractNum>
  <w:abstractNum w:abstractNumId="189">
    <w:nsid w:val="2E534A82"/>
    <w:multiLevelType w:val="hybridMultilevel"/>
    <w:lvl w:ilvl="0">
      <w:lvlJc w:val="left"/>
      <w:lvlText w:val="(%1)"/>
      <w:numFmt w:val="lowerLetter"/>
      <w:start w:val="4"/>
    </w:lvl>
  </w:abstractNum>
  <w:abstractNum w:abstractNumId="190">
    <w:nsid w:val="26F2D364"/>
    <w:multiLevelType w:val="hybridMultilevel"/>
    <w:lvl w:ilvl="0">
      <w:lvlJc w:val="left"/>
      <w:lvlText w:val="(%1)"/>
      <w:numFmt w:val="lowerLetter"/>
      <w:start w:val="1"/>
    </w:lvl>
  </w:abstractNum>
  <w:abstractNum w:abstractNumId="191">
    <w:nsid w:val="71C1AF98"/>
    <w:multiLevelType w:val="hybridMultilevel"/>
    <w:lvl w:ilvl="0">
      <w:lvlJc w:val="left"/>
      <w:lvlText w:val="(%1)"/>
      <w:numFmt w:val="lowerLetter"/>
      <w:start w:val="2"/>
    </w:lvl>
  </w:abstractNum>
  <w:abstractNum w:abstractNumId="192">
    <w:nsid w:val="3D00B9D9"/>
    <w:multiLevelType w:val="hybridMultilevel"/>
    <w:lvl w:ilvl="0">
      <w:lvlJc w:val="left"/>
      <w:lvlText w:val="(%1)"/>
      <w:numFmt w:val="lowerLetter"/>
      <w:start w:val="1"/>
    </w:lvl>
  </w:abstractNum>
  <w:abstractNum w:abstractNumId="193">
    <w:nsid w:val="15BCABA8"/>
    <w:multiLevelType w:val="hybridMultilevel"/>
    <w:lvl w:ilvl="0">
      <w:lvlJc w:val="left"/>
      <w:lvlText w:val="(%1)"/>
      <w:numFmt w:val="lowerLetter"/>
      <w:start w:val="2"/>
    </w:lvl>
  </w:abstractNum>
  <w:abstractNum w:abstractNumId="194">
    <w:nsid w:val="4E0B9A87"/>
    <w:multiLevelType w:val="hybridMultilevel"/>
    <w:lvl w:ilvl="0">
      <w:lvlJc w:val="left"/>
      <w:lvlText w:val="(%1)"/>
      <w:numFmt w:val="lowerLetter"/>
      <w:start w:val="4"/>
    </w:lvl>
  </w:abstractNum>
  <w:abstractNum w:abstractNumId="195">
    <w:nsid w:val="434BAE7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6">
    <w:nsid w:val="4F38F265"/>
    <w:multiLevelType w:val="hybridMultilevel"/>
    <w:lvl w:ilvl="0">
      <w:lvlJc w:val="left"/>
      <w:lvlText w:val="(%1)"/>
      <w:numFmt w:val="lowerRoman"/>
      <w:start w:val="2"/>
    </w:lvl>
    <w:lvl w:ilvl="1">
      <w:lvlJc w:val="left"/>
      <w:lvlText w:val="(%2)"/>
      <w:numFmt w:val="upperLetter"/>
      <w:start w:val="1"/>
    </w:lvl>
  </w:abstractNum>
  <w:abstractNum w:abstractNumId="197">
    <w:nsid w:val="4C502870"/>
    <w:multiLevelType w:val="hybridMultilevel"/>
    <w:lvl w:ilvl="0">
      <w:lvlJc w:val="left"/>
      <w:lvlText w:val="%1"/>
      <w:numFmt w:val="lowerLetter"/>
      <w:start w:val="1"/>
    </w:lvl>
    <w:lvl w:ilvl="1">
      <w:lvlJc w:val="left"/>
      <w:lvlText w:val="(%2)"/>
      <w:numFmt w:val="lowerRoman"/>
      <w:start w:val="6"/>
    </w:lvl>
  </w:abstractNum>
  <w:abstractNum w:abstractNumId="198">
    <w:nsid w:val="1DE8725A"/>
    <w:multiLevelType w:val="hybridMultilevel"/>
    <w:lvl w:ilvl="0">
      <w:lvlJc w:val="left"/>
      <w:lvlText w:val="(%1)"/>
      <w:numFmt w:val="lowerLetter"/>
      <w:start w:val="3"/>
    </w:lvl>
    <w:lvl w:ilvl="1">
      <w:lvlJc w:val="left"/>
      <w:lvlText w:val="%2"/>
      <w:numFmt w:val="lowerRoman"/>
      <w:start w:val="1"/>
    </w:lvl>
  </w:abstractNum>
  <w:abstractNum w:abstractNumId="199">
    <w:nsid w:val="6A37288A"/>
    <w:multiLevelType w:val="hybridMultilevel"/>
    <w:lvl w:ilvl="0">
      <w:lvlJc w:val="left"/>
      <w:lvlText w:val="(%1)"/>
      <w:numFmt w:val="lowerLetter"/>
      <w:start w:val="4"/>
    </w:lvl>
    <w:lvl w:ilvl="1">
      <w:lvlJc w:val="left"/>
      <w:lvlText w:val="(%2)"/>
      <w:numFmt w:val="lowerRoman"/>
      <w:start w:val="1"/>
    </w:lvl>
  </w:abstractNum>
  <w:abstractNum w:abstractNumId="200">
    <w:nsid w:val="8F8B73F"/>
    <w:multiLevelType w:val="hybridMultilevel"/>
    <w:lvl w:ilvl="0">
      <w:lvlJc w:val="left"/>
      <w:lvlText w:val="(%1)"/>
      <w:numFmt w:val="lowerLetter"/>
      <w:start w:val="5"/>
    </w:lvl>
    <w:lvl w:ilvl="1">
      <w:lvlJc w:val="left"/>
      <w:lvlText w:val="(%2)"/>
      <w:numFmt w:val="lowerRoman"/>
      <w:start w:val="1"/>
    </w:lvl>
  </w:abstractNum>
  <w:abstractNum w:abstractNumId="201">
    <w:nsid w:val="CA6B462"/>
    <w:multiLevelType w:val="hybridMultilevel"/>
    <w:lvl w:ilvl="0">
      <w:lvlJc w:val="left"/>
      <w:lvlText w:val="%1"/>
      <w:numFmt w:val="decimal"/>
      <w:start w:val="1"/>
    </w:lvl>
    <w:lvl w:ilvl="1">
      <w:lvlJc w:val="left"/>
      <w:lvlText w:val="(%2)"/>
      <w:numFmt w:val="lowerRoman"/>
      <w:start w:val="3"/>
    </w:lvl>
  </w:abstractNum>
  <w:abstractNum w:abstractNumId="202">
    <w:nsid w:val="763CB680"/>
    <w:multiLevelType w:val="hybridMultilevel"/>
    <w:lvl w:ilvl="0">
      <w:lvlJc w:val="left"/>
      <w:lvlText w:val="(%1)"/>
      <w:numFmt w:val="decimal"/>
      <w:start w:val="1"/>
    </w:lvl>
    <w:lvl w:ilvl="1">
      <w:lvlJc w:val="left"/>
      <w:lvlText w:val="(%2)"/>
      <w:numFmt w:val="lowerRoman"/>
      <w:start w:val="4"/>
    </w:lvl>
  </w:abstractNum>
  <w:abstractNum w:abstractNumId="203">
    <w:nsid w:val="15B71329"/>
    <w:multiLevelType w:val="hybridMultilevel"/>
    <w:lvl w:ilvl="0">
      <w:lvlJc w:val="left"/>
      <w:lvlText w:val="(%1)"/>
      <w:numFmt w:val="lowerLetter"/>
      <w:start w:val="1"/>
    </w:lvl>
  </w:abstractNum>
  <w:abstractNum w:abstractNumId="204">
    <w:nsid w:val="3DA97044"/>
    <w:multiLevelType w:val="hybridMultilevel"/>
    <w:lvl w:ilvl="0">
      <w:lvlJc w:val="left"/>
      <w:lvlText w:val="(%1)"/>
      <w:numFmt w:val="lowerLetter"/>
      <w:start w:val="4"/>
    </w:lvl>
  </w:abstractNum>
  <w:abstractNum w:abstractNumId="205">
    <w:nsid w:val="1CDCE2DE"/>
    <w:multiLevelType w:val="hybridMultilevel"/>
    <w:lvl w:ilvl="0">
      <w:lvlJc w:val="left"/>
      <w:lvlText w:val="(%1)"/>
      <w:numFmt w:val="lowerLetter"/>
      <w:start w:val="1"/>
    </w:lvl>
  </w:abstractNum>
  <w:abstractNum w:abstractNumId="206">
    <w:nsid w:val="69D3947C"/>
    <w:multiLevelType w:val="hybridMultilevel"/>
    <w:lvl w:ilvl="0">
      <w:lvlJc w:val="left"/>
      <w:lvlText w:val="%1"/>
      <w:numFmt w:val="lowerLetter"/>
      <w:start w:val="1"/>
    </w:lvl>
    <w:lvl w:ilvl="1">
      <w:lvlJc w:val="left"/>
      <w:lvlText w:val="(%2)"/>
      <w:numFmt w:val="lowerRoman"/>
      <w:start w:val="2"/>
    </w:lvl>
  </w:abstractNum>
  <w:abstractNum w:abstractNumId="207">
    <w:nsid w:val="2539DFA5"/>
    <w:multiLevelType w:val="hybridMultilevel"/>
    <w:lvl w:ilvl="0">
      <w:lvlJc w:val="left"/>
      <w:lvlText w:val="(%1)"/>
      <w:numFmt w:val="lowerLetter"/>
      <w:start w:val="2"/>
    </w:lvl>
    <w:lvl w:ilvl="1">
      <w:lvlJc w:val="left"/>
      <w:lvlText w:val="%2"/>
      <w:numFmt w:val="lowerRoman"/>
      <w:start w:val="1"/>
    </w:lvl>
  </w:abstractNum>
  <w:abstractNum w:abstractNumId="208">
    <w:nsid w:val="2DB88089"/>
    <w:multiLevelType w:val="hybridMultilevel"/>
    <w:lvl w:ilvl="0">
      <w:lvlJc w:val="left"/>
      <w:lvlText w:val="(%1)"/>
      <w:numFmt w:val="lowerLetter"/>
      <w:start w:val="1"/>
    </w:lvl>
  </w:abstractNum>
  <w:abstractNum w:abstractNumId="209">
    <w:nsid w:val="706B674E"/>
    <w:multiLevelType w:val="hybridMultilevel"/>
    <w:lvl w:ilvl="0">
      <w:lvlJc w:val="left"/>
      <w:lvlText w:val="(%1)"/>
      <w:numFmt w:val="lowerLetter"/>
      <w:start w:val="2"/>
    </w:lvl>
  </w:abstractNum>
  <w:abstractNum w:abstractNumId="210">
    <w:nsid w:val="2C106A57"/>
    <w:multiLevelType w:val="hybridMultilevel"/>
    <w:lvl w:ilvl="0">
      <w:lvlJc w:val="left"/>
      <w:lvlText w:val="(%1)"/>
      <w:numFmt w:val="lowerRoman"/>
      <w:start w:val="1"/>
    </w:lvl>
  </w:abstractNum>
  <w:abstractNum w:abstractNumId="211">
    <w:nsid w:val="684EED59"/>
    <w:multiLevelType w:val="hybridMultilevel"/>
    <w:lvl w:ilvl="0">
      <w:lvlJc w:val="left"/>
      <w:lvlText w:val="(%1)"/>
      <w:numFmt w:val="lowerLetter"/>
      <w:start w:val="1"/>
    </w:lvl>
  </w:abstractNum>
  <w:abstractNum w:abstractNumId="212">
    <w:nsid w:val="545EE5D3"/>
    <w:multiLevelType w:val="hybridMultilevel"/>
    <w:lvl w:ilvl="0">
      <w:lvlJc w:val="left"/>
      <w:lvlText w:val="(%1)"/>
      <w:numFmt w:val="lowerLetter"/>
      <w:start w:val="1"/>
    </w:lvl>
    <w:lvl w:ilvl="1">
      <w:lvlJc w:val="left"/>
      <w:lvlText w:val="(%2)"/>
      <w:numFmt w:val="lowerRoman"/>
      <w:start w:val="1"/>
    </w:lvl>
  </w:abstractNum>
  <w:abstractNum w:abstractNumId="213">
    <w:nsid w:val="4A66051"/>
    <w:multiLevelType w:val="hybridMultilevel"/>
    <w:lvl w:ilvl="0">
      <w:lvlJc w:val="left"/>
      <w:lvlText w:val="%1."/>
      <w:numFmt w:val="decimal"/>
      <w:start w:val="1"/>
    </w:lvl>
    <w:lvl w:ilvl="1">
      <w:lvlJc w:val="left"/>
      <w:lvlText w:val="(%2)"/>
      <w:numFmt w:val="lowerLetter"/>
      <w:start w:val="1"/>
    </w:lvl>
  </w:abstractNum>
  <w:abstractNum w:abstractNumId="214">
    <w:nsid w:val="20F4BDAD"/>
    <w:multiLevelType w:val="hybridMultilevel"/>
    <w:lvl w:ilvl="0">
      <w:lvlJc w:val="left"/>
      <w:lvlText w:val="%1."/>
      <w:numFmt w:val="decimal"/>
      <w:start w:val="1"/>
    </w:lvl>
    <w:lvl w:ilvl="1">
      <w:lvlJc w:val="left"/>
      <w:lvlText w:val="(%2)"/>
      <w:numFmt w:val="lowerLetter"/>
      <w:start w:val="1"/>
    </w:lvl>
  </w:abstractNum>
  <w:abstractNum w:abstractNumId="215">
    <w:nsid w:val="639DE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91" Type="http://schemas.openxmlformats.org/officeDocument/2006/relationships/image" Target="media/image378.png"/><Relationship Id="rId392" Type="http://schemas.openxmlformats.org/officeDocument/2006/relationships/image" Target="media/image379.png"/><Relationship Id="rId393" Type="http://schemas.openxmlformats.org/officeDocument/2006/relationships/image" Target="media/image380.png"/><Relationship Id="rId394"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414" Type="http://schemas.openxmlformats.org/officeDocument/2006/relationships/image" Target="media/image401.png"/><Relationship Id="rId415" Type="http://schemas.openxmlformats.org/officeDocument/2006/relationships/image" Target="media/image402.png"/><Relationship Id="rId416" Type="http://schemas.openxmlformats.org/officeDocument/2006/relationships/image" Target="media/image403.png"/><Relationship Id="rId417" Type="http://schemas.openxmlformats.org/officeDocument/2006/relationships/image" Target="media/image404.png"/><Relationship Id="rId418" Type="http://schemas.openxmlformats.org/officeDocument/2006/relationships/image" Target="media/image405.png"/><Relationship Id="rId419" Type="http://schemas.openxmlformats.org/officeDocument/2006/relationships/image" Target="media/image406.png"/><Relationship Id="rId420" Type="http://schemas.openxmlformats.org/officeDocument/2006/relationships/image" Target="media/image407.png"/><Relationship Id="rId421" Type="http://schemas.openxmlformats.org/officeDocument/2006/relationships/image" Target="media/image408.png"/><Relationship Id="rId422"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6" Type="http://schemas.openxmlformats.org/officeDocument/2006/relationships/image" Target="media/image413.png"/><Relationship Id="rId427" Type="http://schemas.openxmlformats.org/officeDocument/2006/relationships/image" Target="media/image414.png"/><Relationship Id="rId428"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3" Type="http://schemas.openxmlformats.org/officeDocument/2006/relationships/image" Target="media/image420.png"/><Relationship Id="rId434" Type="http://schemas.openxmlformats.org/officeDocument/2006/relationships/image" Target="media/image421.png"/><Relationship Id="rId435" Type="http://schemas.openxmlformats.org/officeDocument/2006/relationships/image" Target="media/image422.png"/><Relationship Id="rId436" Type="http://schemas.openxmlformats.org/officeDocument/2006/relationships/image" Target="media/image423.png"/><Relationship Id="rId437"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2" Type="http://schemas.openxmlformats.org/officeDocument/2006/relationships/image" Target="media/image429.png"/><Relationship Id="rId443" Type="http://schemas.openxmlformats.org/officeDocument/2006/relationships/image" Target="media/image430.png"/><Relationship Id="rId444" Type="http://schemas.openxmlformats.org/officeDocument/2006/relationships/image" Target="media/image431.png"/><Relationship Id="rId445" Type="http://schemas.openxmlformats.org/officeDocument/2006/relationships/image" Target="media/image432.png"/><Relationship Id="rId446" Type="http://schemas.openxmlformats.org/officeDocument/2006/relationships/image" Target="media/image433.png"/><Relationship Id="rId447" Type="http://schemas.openxmlformats.org/officeDocument/2006/relationships/image" Target="media/image434.png"/><Relationship Id="rId448" Type="http://schemas.openxmlformats.org/officeDocument/2006/relationships/image" Target="media/image435.png"/><Relationship Id="rId449" Type="http://schemas.openxmlformats.org/officeDocument/2006/relationships/image" Target="media/image436.png"/><Relationship Id="rId450" Type="http://schemas.openxmlformats.org/officeDocument/2006/relationships/image" Target="media/image437.png"/><Relationship Id="rId451" Type="http://schemas.openxmlformats.org/officeDocument/2006/relationships/image" Target="media/image438.png"/><Relationship Id="rId452" Type="http://schemas.openxmlformats.org/officeDocument/2006/relationships/image" Target="media/image439.png"/><Relationship Id="rId453" Type="http://schemas.openxmlformats.org/officeDocument/2006/relationships/image" Target="media/image440.png"/><Relationship Id="rId454" Type="http://schemas.openxmlformats.org/officeDocument/2006/relationships/image" Target="media/image441.png"/><Relationship Id="rId455" Type="http://schemas.openxmlformats.org/officeDocument/2006/relationships/image" Target="media/image442.png"/><Relationship Id="rId456" Type="http://schemas.openxmlformats.org/officeDocument/2006/relationships/image" Target="media/image443.png"/><Relationship Id="rId457" Type="http://schemas.openxmlformats.org/officeDocument/2006/relationships/image" Target="media/image444.png"/><Relationship Id="rId458" Type="http://schemas.openxmlformats.org/officeDocument/2006/relationships/image" Target="media/image445.png"/><Relationship Id="rId459" Type="http://schemas.openxmlformats.org/officeDocument/2006/relationships/image" Target="media/image446.png"/><Relationship Id="rId460" Type="http://schemas.openxmlformats.org/officeDocument/2006/relationships/image" Target="media/image447.png"/><Relationship Id="rId461" Type="http://schemas.openxmlformats.org/officeDocument/2006/relationships/image" Target="media/image448.png"/><Relationship Id="rId462" Type="http://schemas.openxmlformats.org/officeDocument/2006/relationships/image" Target="media/image449.png"/><Relationship Id="rId463" Type="http://schemas.openxmlformats.org/officeDocument/2006/relationships/image" Target="media/image450.png"/><Relationship Id="rId464" Type="http://schemas.openxmlformats.org/officeDocument/2006/relationships/image" Target="media/image451.png"/><Relationship Id="rId465" Type="http://schemas.openxmlformats.org/officeDocument/2006/relationships/image" Target="media/image452.png"/><Relationship Id="rId466" Type="http://schemas.openxmlformats.org/officeDocument/2006/relationships/image" Target="media/image453.png"/><Relationship Id="rId467" Type="http://schemas.openxmlformats.org/officeDocument/2006/relationships/image" Target="media/image454.png"/><Relationship Id="rId468" Type="http://schemas.openxmlformats.org/officeDocument/2006/relationships/image" Target="media/image455.png"/><Relationship Id="rId469" Type="http://schemas.openxmlformats.org/officeDocument/2006/relationships/image" Target="media/image456.png"/><Relationship Id="rId470" Type="http://schemas.openxmlformats.org/officeDocument/2006/relationships/image" Target="media/image457.png"/><Relationship Id="rId471" Type="http://schemas.openxmlformats.org/officeDocument/2006/relationships/image" Target="media/image458.png"/><Relationship Id="rId472" Type="http://schemas.openxmlformats.org/officeDocument/2006/relationships/image" Target="media/image459.png"/><Relationship Id="rId473" Type="http://schemas.openxmlformats.org/officeDocument/2006/relationships/image" Target="media/image460.png"/><Relationship Id="rId474" Type="http://schemas.openxmlformats.org/officeDocument/2006/relationships/image" Target="media/image461.png"/><Relationship Id="rId475"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png"/><Relationship Id="rId479" Type="http://schemas.openxmlformats.org/officeDocument/2006/relationships/image" Target="media/image466.png"/><Relationship Id="rId480" Type="http://schemas.openxmlformats.org/officeDocument/2006/relationships/image" Target="media/image467.png"/><Relationship Id="rId481" Type="http://schemas.openxmlformats.org/officeDocument/2006/relationships/image" Target="media/image468.png"/><Relationship Id="rId482" Type="http://schemas.openxmlformats.org/officeDocument/2006/relationships/image" Target="media/image469.png"/><Relationship Id="rId483" Type="http://schemas.openxmlformats.org/officeDocument/2006/relationships/image" Target="media/image470.png"/><Relationship Id="rId484" Type="http://schemas.openxmlformats.org/officeDocument/2006/relationships/image" Target="media/image471.png"/><Relationship Id="rId485" Type="http://schemas.openxmlformats.org/officeDocument/2006/relationships/image" Target="media/image472.png"/><Relationship Id="rId486" Type="http://schemas.openxmlformats.org/officeDocument/2006/relationships/image" Target="media/image473.png"/><Relationship Id="rId487" Type="http://schemas.openxmlformats.org/officeDocument/2006/relationships/image" Target="media/image474.png"/><Relationship Id="rId488" Type="http://schemas.openxmlformats.org/officeDocument/2006/relationships/image" Target="media/image475.png"/><Relationship Id="rId489" Type="http://schemas.openxmlformats.org/officeDocument/2006/relationships/image" Target="media/image476.png"/><Relationship Id="rId490" Type="http://schemas.openxmlformats.org/officeDocument/2006/relationships/image" Target="media/image477.png"/><Relationship Id="rId491" Type="http://schemas.openxmlformats.org/officeDocument/2006/relationships/image" Target="media/image478.png"/><Relationship Id="rId492" Type="http://schemas.openxmlformats.org/officeDocument/2006/relationships/image" Target="media/image479.png"/><Relationship Id="rId493" Type="http://schemas.openxmlformats.org/officeDocument/2006/relationships/image" Target="media/image480.png"/><Relationship Id="rId494" Type="http://schemas.openxmlformats.org/officeDocument/2006/relationships/image" Target="media/image481.png"/><Relationship Id="rId495" Type="http://schemas.openxmlformats.org/officeDocument/2006/relationships/image" Target="media/image482.png"/><Relationship Id="rId496" Type="http://schemas.openxmlformats.org/officeDocument/2006/relationships/image" Target="media/image483.png"/><Relationship Id="rId497" Type="http://schemas.openxmlformats.org/officeDocument/2006/relationships/image" Target="media/image484.png"/><Relationship Id="rId498" Type="http://schemas.openxmlformats.org/officeDocument/2006/relationships/image" Target="media/image485.png"/><Relationship Id="rId499" Type="http://schemas.openxmlformats.org/officeDocument/2006/relationships/image" Target="media/image486.png"/><Relationship Id="rId500" Type="http://schemas.openxmlformats.org/officeDocument/2006/relationships/image" Target="media/image487.png"/><Relationship Id="rId501" Type="http://schemas.openxmlformats.org/officeDocument/2006/relationships/image" Target="media/image488.png"/><Relationship Id="rId502" Type="http://schemas.openxmlformats.org/officeDocument/2006/relationships/image" Target="media/image489.png"/><Relationship Id="rId503" Type="http://schemas.openxmlformats.org/officeDocument/2006/relationships/image" Target="media/image490.png"/><Relationship Id="rId504" Type="http://schemas.openxmlformats.org/officeDocument/2006/relationships/image" Target="media/image491.png"/><Relationship Id="rId505" Type="http://schemas.openxmlformats.org/officeDocument/2006/relationships/image" Target="media/image492.png"/><Relationship Id="rId506" Type="http://schemas.openxmlformats.org/officeDocument/2006/relationships/image" Target="media/image493.png"/><Relationship Id="rId507" Type="http://schemas.openxmlformats.org/officeDocument/2006/relationships/image" Target="media/image494.png"/><Relationship Id="rId508" Type="http://schemas.openxmlformats.org/officeDocument/2006/relationships/image" Target="media/image495.png"/><Relationship Id="rId509" Type="http://schemas.openxmlformats.org/officeDocument/2006/relationships/image" Target="media/image496.png"/><Relationship Id="rId510" Type="http://schemas.openxmlformats.org/officeDocument/2006/relationships/image" Target="media/image497.png"/><Relationship Id="rId511" Type="http://schemas.openxmlformats.org/officeDocument/2006/relationships/image" Target="media/image498.png"/><Relationship Id="rId512" Type="http://schemas.openxmlformats.org/officeDocument/2006/relationships/image" Target="media/image499.png"/><Relationship Id="rId513" Type="http://schemas.openxmlformats.org/officeDocument/2006/relationships/image" Target="media/image500.png"/><Relationship Id="rId514" Type="http://schemas.openxmlformats.org/officeDocument/2006/relationships/image" Target="media/image501.png"/><Relationship Id="rId515" Type="http://schemas.openxmlformats.org/officeDocument/2006/relationships/image" Target="media/image502.png"/><Relationship Id="rId516" Type="http://schemas.openxmlformats.org/officeDocument/2006/relationships/image" Target="media/image503.png"/><Relationship Id="rId517" Type="http://schemas.openxmlformats.org/officeDocument/2006/relationships/image" Target="media/image504.png"/><Relationship Id="rId518" Type="http://schemas.openxmlformats.org/officeDocument/2006/relationships/image" Target="media/image505.png"/><Relationship Id="rId519" Type="http://schemas.openxmlformats.org/officeDocument/2006/relationships/image" Target="media/image506.png"/><Relationship Id="rId520" Type="http://schemas.openxmlformats.org/officeDocument/2006/relationships/image" Target="media/image507.png"/><Relationship Id="rId521" Type="http://schemas.openxmlformats.org/officeDocument/2006/relationships/image" Target="media/image508.png"/><Relationship Id="rId522" Type="http://schemas.openxmlformats.org/officeDocument/2006/relationships/image" Target="media/image509.png"/><Relationship Id="rId523" Type="http://schemas.openxmlformats.org/officeDocument/2006/relationships/image" Target="media/image510.png"/><Relationship Id="rId524" Type="http://schemas.openxmlformats.org/officeDocument/2006/relationships/image" Target="media/image511.png"/><Relationship Id="rId525" Type="http://schemas.openxmlformats.org/officeDocument/2006/relationships/image" Target="media/image512.png"/><Relationship Id="rId526" Type="http://schemas.openxmlformats.org/officeDocument/2006/relationships/image" Target="media/image513.png"/><Relationship Id="rId527" Type="http://schemas.openxmlformats.org/officeDocument/2006/relationships/image" Target="media/image514.png"/><Relationship Id="rId528" Type="http://schemas.openxmlformats.org/officeDocument/2006/relationships/image" Target="media/image515.png"/><Relationship Id="rId529" Type="http://schemas.openxmlformats.org/officeDocument/2006/relationships/image" Target="media/image516.png"/><Relationship Id="rId530" Type="http://schemas.openxmlformats.org/officeDocument/2006/relationships/image" Target="media/image517.png"/><Relationship Id="rId329" Type="http://schemas.openxmlformats.org/officeDocument/2006/relationships/hyperlink" Target="https://www.sec.gov/Archives/edgar/data/1743759/000119312520254569/d65933dex31.htm" TargetMode="External"/><Relationship Id="rId330" Type="http://schemas.openxmlformats.org/officeDocument/2006/relationships/hyperlink" Target="https://www.sec.gov/Archives/edgar/data/1743759/000119312520254569/d65933dex32.htm" TargetMode="External"/><Relationship Id="rId331" Type="http://schemas.openxmlformats.org/officeDocument/2006/relationships/hyperlink" Target="https://www.sec.gov/Archives/edgar/data/1743759/000119312520248527/d507744dex42.htm" TargetMode="External"/><Relationship Id="rId332" Type="http://schemas.openxmlformats.org/officeDocument/2006/relationships/hyperlink" Target="https://www.sec.gov/Archives/edgar/data/1743759/000156459020052867/crsr-ex42_448.htm" TargetMode="External"/><Relationship Id="rId333" Type="http://schemas.openxmlformats.org/officeDocument/2006/relationships/hyperlink" Target="https://www.sec.gov/Archives/edgar/data/0001743759/000156459021012507/crsr-ex43_1280.htm" TargetMode="External"/><Relationship Id="rId334" Type="http://schemas.openxmlformats.org/officeDocument/2006/relationships/hyperlink" Target="https://www.sec.gov/Archives/edgar/data/0001743759/000119312520244634/d50774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2024-11-06T16:52:30Z</dcterms:created>
  <dcterms:modified xsi:type="dcterms:W3CDTF">2024-11-06T16:52:30Z</dcterms:modified>
</cp:coreProperties>
</file>