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rsr-20260616.htm"/>
      <w:bookmarkStart w:id="1" w:name="kscrsr2026061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CORSAIR GAMING,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0"/>
        <w:gridCol w:w="865"/>
        <w:gridCol w:w="870"/>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82-2335306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115 N. McCarthy Boulevard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Milpitas,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657-8747</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CRSR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Corsair Gaming, Inc. (the “Company”) held its 2026 Annual Meeting of Stockholders (the “Annual Meeting”) on June 16, 2026 virtually via the internet. On April 20, 2026, the record date, there were 106,879,647 shares of the Company’s common stock outstanding with each such share being entitled to one vote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Annual Meeting, ‎96,162,303 shares of the Company’s common stock were voted in person or by proxy for the two proposals set forth below, each of which is described in the Company’s Definitive Proxy Statement on Schedule 14A filed with the U.S. Securities and Exchange Commission on April 30, 2026.</w:t>
      </w:r>
    </w:p>
    <w:p>
      <w:pPr>
        <w:pStyle w:val="TextBody"/>
        <w:bidi w:val="0"/>
        <w:spacing w:before="240" w:after="283"/>
        <w:jc w:val="left"/>
        <w:rPr>
          <w:rFonts w:ascii="Times New Roman" w:hAnsi="Times New Roman"/>
          <w:sz w:val="20"/>
        </w:rPr>
      </w:pPr>
      <w:r>
        <w:rPr>
          <w:rFonts w:ascii="Times New Roman" w:hAnsi="Times New Roman"/>
          <w:b/>
          <w:color w:val="000000"/>
          <w:sz w:val="20"/>
        </w:rPr>
        <w:t>Proposal 1.</w:t>
      </w:r>
      <w:r>
        <w:rPr>
          <w:rFonts w:ascii="Times New Roman" w:hAnsi="Times New Roman"/>
          <w:color w:val="000000"/>
          <w:sz w:val="20"/>
        </w:rPr>
        <w:t xml:space="preserve"> The Company’s stockholders elected the Class III director nominees below to the Company’s Board of Directors to hold office until the 2029 Annual Meeting of Stockholders or until their successors are elected.</w:t>
      </w:r>
    </w:p>
    <w:tbl>
      <w:tblPr>
        <w:tblW w:w="5761" w:type="dxa"/>
        <w:jc w:val="left"/>
        <w:tblInd w:w="0" w:type="dxa"/>
        <w:tblLayout w:type="fixed"/>
        <w:tblCellMar>
          <w:top w:w="28" w:type="dxa"/>
          <w:left w:w="28" w:type="dxa"/>
          <w:bottom w:w="28" w:type="dxa"/>
          <w:right w:w="28" w:type="dxa"/>
        </w:tblCellMar>
      </w:tblPr>
      <w:tblGrid>
        <w:gridCol w:w="2101"/>
        <w:gridCol w:w="109"/>
        <w:gridCol w:w="1036"/>
        <w:gridCol w:w="109"/>
        <w:gridCol w:w="1216"/>
        <w:gridCol w:w="109"/>
        <w:gridCol w:w="108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8" w:space="0" w:color="000000"/>
            </w:tcBorders>
            <w:shd w:fill="FFFFFF" w:val="clear"/>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NOMINEE</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BROKER</w:t>
            </w:r>
            <w:r>
              <w:rPr>
                <w:rFonts w:ascii="Times New Roman" w:hAnsi="Times New Roman"/>
                <w:color w:val="000000"/>
                <w:sz w:val="20"/>
              </w:rPr>
              <w:br/>
            </w:r>
            <w:r>
              <w:rPr>
                <w:rFonts w:ascii="Times New Roman" w:hAnsi="Times New Roman"/>
                <w:b/>
                <w:color w:val="000000"/>
                <w:sz w:val="20"/>
              </w:rPr>
              <w:t>NON-</w:t>
            </w:r>
            <w:r>
              <w:rPr>
                <w:rFonts w:ascii="Times New Roman" w:hAnsi="Times New Roman"/>
                <w:color w:val="000000"/>
                <w:sz w:val="20"/>
              </w:rPr>
              <w:br/>
            </w:r>
            <w:r>
              <w:rPr>
                <w:rFonts w:ascii="Times New Roman" w:hAnsi="Times New Roman"/>
                <w:b/>
                <w:color w:val="000000"/>
                <w:sz w:val="20"/>
              </w:rPr>
              <w:t>VOTES</w:t>
            </w:r>
          </w:p>
        </w:tc>
      </w:tr>
      <w:tr>
        <w:trPr/>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 L. La</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77,675,295‎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7,323,231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11,163,777‎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Randall J. Weisenburger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72,807,885‎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12,190,641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11,163,777‎</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Proposal 2.</w:t>
      </w:r>
      <w:r>
        <w:rPr>
          <w:rFonts w:ascii="Times New Roman" w:hAnsi="Times New Roman"/>
          <w:color w:val="000000"/>
          <w:sz w:val="20"/>
        </w:rPr>
        <w:t xml:space="preserve"> The Company’s stockholders ratified the selection of KPMG LLP as the independent registered public accounting firm of the Company for its fiscal year ending December 31, 2026.</w:t>
      </w:r>
    </w:p>
    <w:p>
      <w:pPr>
        <w:pStyle w:val="TextBody"/>
        <w:bidi w:val="0"/>
        <w:jc w:val="left"/>
        <w:rPr/>
      </w:pPr>
      <w:r>
        <w:rPr/>
        <w:t> </w:t>
      </w:r>
    </w:p>
    <w:tbl>
      <w:tblPr>
        <w:tblW w:w="3251" w:type="dxa"/>
        <w:jc w:val="left"/>
        <w:tblInd w:w="0" w:type="dxa"/>
        <w:tblLayout w:type="fixed"/>
        <w:tblCellMar>
          <w:top w:w="28" w:type="dxa"/>
          <w:left w:w="28" w:type="dxa"/>
          <w:bottom w:w="28" w:type="dxa"/>
          <w:right w:w="28" w:type="dxa"/>
        </w:tblCellMar>
      </w:tblPr>
      <w:tblGrid>
        <w:gridCol w:w="1051"/>
        <w:gridCol w:w="109"/>
        <w:gridCol w:w="976"/>
        <w:gridCol w:w="109"/>
        <w:gridCol w:w="1006"/>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r>
      <w:tr>
        <w:trPr/>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95,615,878‎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370,493‎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175,932‎</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9169" w:type="dxa"/>
        <w:jc w:val="left"/>
        <w:tblInd w:w="0" w:type="dxa"/>
        <w:tblLayout w:type="fixed"/>
        <w:tblCellMar>
          <w:top w:w="28" w:type="dxa"/>
          <w:left w:w="28" w:type="dxa"/>
          <w:bottom w:w="28" w:type="dxa"/>
          <w:right w:w="28" w:type="dxa"/>
        </w:tblCellMar>
      </w:tblPr>
      <w:tblGrid>
        <w:gridCol w:w="556"/>
        <w:gridCol w:w="1246"/>
        <w:gridCol w:w="451"/>
        <w:gridCol w:w="691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91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7" w:type="dxa"/>
            <w:gridSpan w:val="2"/>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CORSAIR GAMING, INC.</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691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Gordon Mattingly</w:t>
            </w:r>
          </w:p>
        </w:tc>
      </w:tr>
      <w:tr>
        <w:trPr/>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color w:val="000000"/>
                <w:sz w:val="20"/>
              </w:rPr>
              <w:t>Gordon Mattingly</w:t>
              <w:br/>
              <w:t>Chief Financial Officer</w:t>
              <w:br/>
            </w:r>
            <w:r>
              <w:rPr>
                <w:rFonts w:ascii="Times New Roman" w:hAnsi="Times New Roman"/>
                <w:i/>
                <w:color w:val="000000"/>
                <w:sz w:val="20"/>
              </w:rPr>
              <w:t>(Authorized Officer, Principal Financial Officer and Principal Accounting Officer</w:t>
            </w: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576</Words>
  <Characters>3119</Characters>
  <CharactersWithSpaces>3659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