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171450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62865</wp:posOffset>
            </wp:positionV>
            <wp:extent cx="1433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84455</wp:posOffset>
            </wp:positionV>
            <wp:extent cx="1433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 w:lineRule="exact"/>
        <w:rPr>
          <w:sz w:val="24"/>
          <w:szCs w:val="24"/>
          <w:color w:val="auto"/>
        </w:rPr>
      </w:pPr>
    </w:p>
    <w:p>
      <w:pPr>
        <w:ind w:left="3940" w:right="2080" w:hanging="3933"/>
        <w:spacing w:after="0" w:line="299" w:lineRule="auto"/>
        <w:tabs>
          <w:tab w:leader="none" w:pos="45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1" w:lineRule="exact"/>
        <w:rPr>
          <w:rFonts w:ascii="MS PGothic" w:cs="MS PGothic" w:eastAsia="MS PGothic" w:hAnsi="MS PGothic"/>
          <w:sz w:val="18"/>
          <w:szCs w:val="18"/>
          <w:color w:val="auto"/>
          <w:highlight w:val="black"/>
        </w:rPr>
      </w:pPr>
    </w:p>
    <w:p>
      <w:pPr>
        <w:ind w:left="55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60" w:lineRule="exact"/>
        <w:rPr>
          <w:sz w:val="24"/>
          <w:szCs w:val="24"/>
          <w:color w:val="auto"/>
        </w:rPr>
      </w:pPr>
    </w:p>
    <w:p>
      <w:pPr>
        <w:ind w:left="460" w:hanging="453"/>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680" w:type="dxa"/>
            <w:vAlign w:val="bottom"/>
            <w:gridSpan w:val="8"/>
          </w:tcPr>
          <w:p>
            <w:pPr>
              <w:ind w:left="34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5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780" w:type="dxa"/>
            <w:vAlign w:val="bottom"/>
          </w:tcPr>
          <w:p>
            <w:pPr>
              <w:spacing w:after="0"/>
              <w:rPr>
                <w:sz w:val="24"/>
                <w:szCs w:val="24"/>
                <w:color w:val="auto"/>
              </w:rPr>
            </w:pPr>
          </w:p>
        </w:tc>
        <w:tc>
          <w:tcPr>
            <w:tcW w:w="7460" w:type="dxa"/>
            <w:vAlign w:val="bottom"/>
            <w:gridSpan w:val="12"/>
          </w:tcPr>
          <w:p>
            <w:pPr>
              <w:jc w:val="center"/>
              <w:ind w:right="3715"/>
              <w:spacing w:after="0"/>
              <w:rPr>
                <w:sz w:val="20"/>
                <w:szCs w:val="20"/>
                <w:color w:val="auto"/>
              </w:rPr>
            </w:pPr>
            <w:r>
              <w:rPr>
                <w:rFonts w:ascii="Times New Roman" w:cs="Times New Roman" w:eastAsia="Times New Roman" w:hAnsi="Times New Roman"/>
                <w:sz w:val="18"/>
                <w:szCs w:val="18"/>
                <w:b w:val="1"/>
                <w:bCs w:val="1"/>
                <w:color w:val="auto"/>
                <w:w w:val="98"/>
              </w:rPr>
              <w:t xml:space="preserve">Commission File Number </w:t>
            </w:r>
            <w:r>
              <w:rPr>
                <w:rFonts w:ascii="Times New Roman" w:cs="Times New Roman" w:eastAsia="Times New Roman" w:hAnsi="Times New Roman"/>
                <w:sz w:val="16"/>
                <w:szCs w:val="16"/>
                <w:b w:val="1"/>
                <w:bCs w:val="1"/>
                <w:color w:val="auto"/>
                <w:w w:val="98"/>
              </w:rPr>
              <w:t>001-39533</w:t>
            </w:r>
          </w:p>
        </w:tc>
        <w:tc>
          <w:tcPr>
            <w:tcW w:w="0" w:type="dxa"/>
            <w:vAlign w:val="bottom"/>
          </w:tcPr>
          <w:p>
            <w:pPr>
              <w:spacing w:after="0"/>
              <w:rPr>
                <w:sz w:val="1"/>
                <w:szCs w:val="1"/>
                <w:color w:val="auto"/>
              </w:rPr>
            </w:pPr>
          </w:p>
        </w:tc>
      </w:tr>
      <w:tr>
        <w:trPr>
          <w:trHeight w:val="80"/>
        </w:trPr>
        <w:tc>
          <w:tcPr>
            <w:tcW w:w="3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9"/>
        </w:trPr>
        <w:tc>
          <w:tcPr>
            <w:tcW w:w="3780" w:type="dxa"/>
            <w:vAlign w:val="bottom"/>
          </w:tcPr>
          <w:p>
            <w:pPr>
              <w:spacing w:after="0"/>
              <w:rPr>
                <w:sz w:val="24"/>
                <w:szCs w:val="24"/>
                <w:color w:val="auto"/>
              </w:rPr>
            </w:pPr>
          </w:p>
        </w:tc>
        <w:tc>
          <w:tcPr>
            <w:tcW w:w="7460" w:type="dxa"/>
            <w:vAlign w:val="bottom"/>
            <w:gridSpan w:val="12"/>
          </w:tcPr>
          <w:p>
            <w:pPr>
              <w:jc w:val="center"/>
              <w:ind w:right="3715"/>
              <w:spacing w:after="0"/>
              <w:rPr>
                <w:sz w:val="20"/>
                <w:szCs w:val="20"/>
                <w:color w:val="auto"/>
              </w:rPr>
            </w:pPr>
            <w:r>
              <w:rPr>
                <w:rFonts w:ascii="Times New Roman" w:cs="Times New Roman" w:eastAsia="Times New Roman" w:hAnsi="Times New Roman"/>
                <w:sz w:val="38"/>
                <w:szCs w:val="38"/>
                <w:b w:val="1"/>
                <w:bCs w:val="1"/>
                <w:color w:val="auto"/>
              </w:rPr>
              <w:t>Corsair Gaming, Inc.</w:t>
            </w:r>
          </w:p>
        </w:tc>
        <w:tc>
          <w:tcPr>
            <w:tcW w:w="0" w:type="dxa"/>
            <w:vAlign w:val="bottom"/>
          </w:tcPr>
          <w:p>
            <w:pPr>
              <w:spacing w:after="0"/>
              <w:rPr>
                <w:sz w:val="1"/>
                <w:szCs w:val="1"/>
                <w:color w:val="auto"/>
              </w:rPr>
            </w:pPr>
          </w:p>
        </w:tc>
      </w:tr>
      <w:tr>
        <w:trPr>
          <w:trHeight w:val="233"/>
        </w:trPr>
        <w:tc>
          <w:tcPr>
            <w:tcW w:w="3780" w:type="dxa"/>
            <w:vAlign w:val="bottom"/>
          </w:tcPr>
          <w:p>
            <w:pPr>
              <w:spacing w:after="0"/>
              <w:rPr>
                <w:sz w:val="20"/>
                <w:szCs w:val="20"/>
                <w:color w:val="auto"/>
              </w:rPr>
            </w:pPr>
          </w:p>
        </w:tc>
        <w:tc>
          <w:tcPr>
            <w:tcW w:w="7460" w:type="dxa"/>
            <w:vAlign w:val="bottom"/>
            <w:gridSpan w:val="12"/>
          </w:tcPr>
          <w:p>
            <w:pPr>
              <w:jc w:val="center"/>
              <w:ind w:right="3715"/>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c>
          <w:tcPr>
            <w:tcW w:w="0" w:type="dxa"/>
            <w:vAlign w:val="bottom"/>
          </w:tcPr>
          <w:p>
            <w:pPr>
              <w:spacing w:after="0"/>
              <w:rPr>
                <w:sz w:val="1"/>
                <w:szCs w:val="1"/>
                <w:color w:val="auto"/>
              </w:rPr>
            </w:pPr>
          </w:p>
        </w:tc>
      </w:tr>
      <w:tr>
        <w:trPr>
          <w:trHeight w:val="93"/>
        </w:trPr>
        <w:tc>
          <w:tcPr>
            <w:tcW w:w="3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3780" w:type="dxa"/>
            <w:vAlign w:val="bottom"/>
          </w:tcPr>
          <w:p>
            <w:pPr>
              <w:jc w:val="center"/>
              <w:ind w:left="1787"/>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60" w:type="dxa"/>
            <w:vAlign w:val="bottom"/>
            <w:gridSpan w:val="5"/>
          </w:tcPr>
          <w:p>
            <w:pPr>
              <w:jc w:val="center"/>
              <w:ind w:right="995"/>
              <w:spacing w:after="0"/>
              <w:rPr>
                <w:sz w:val="20"/>
                <w:szCs w:val="20"/>
                <w:color w:val="auto"/>
              </w:rPr>
            </w:pPr>
            <w:r>
              <w:rPr>
                <w:rFonts w:ascii="Times New Roman" w:cs="Times New Roman" w:eastAsia="Times New Roman" w:hAnsi="Times New Roman"/>
                <w:sz w:val="16"/>
                <w:szCs w:val="16"/>
                <w:b w:val="1"/>
                <w:bCs w:val="1"/>
                <w:color w:val="auto"/>
              </w:rPr>
              <w:t>82-2335306</w:t>
            </w:r>
          </w:p>
        </w:tc>
        <w:tc>
          <w:tcPr>
            <w:tcW w:w="0" w:type="dxa"/>
            <w:vAlign w:val="bottom"/>
          </w:tcPr>
          <w:p>
            <w:pPr>
              <w:spacing w:after="0"/>
              <w:rPr>
                <w:sz w:val="1"/>
                <w:szCs w:val="1"/>
                <w:color w:val="auto"/>
              </w:rPr>
            </w:pPr>
          </w:p>
        </w:tc>
      </w:tr>
      <w:tr>
        <w:trPr>
          <w:trHeight w:val="134"/>
        </w:trPr>
        <w:tc>
          <w:tcPr>
            <w:tcW w:w="3780" w:type="dxa"/>
            <w:vAlign w:val="bottom"/>
          </w:tcPr>
          <w:p>
            <w:pPr>
              <w:jc w:val="center"/>
              <w:ind w:left="1787"/>
              <w:spacing w:after="0" w:line="134" w:lineRule="exact"/>
              <w:rPr>
                <w:sz w:val="20"/>
                <w:szCs w:val="20"/>
                <w:color w:val="auto"/>
              </w:rPr>
            </w:pPr>
            <w:r>
              <w:rPr>
                <w:rFonts w:ascii="Times New Roman" w:cs="Times New Roman" w:eastAsia="Times New Roman" w:hAnsi="Times New Roman"/>
                <w:sz w:val="12"/>
                <w:szCs w:val="12"/>
                <w:color w:val="auto"/>
              </w:rPr>
              <w:t>(State or other jurisdiction of</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40" w:type="dxa"/>
            <w:vAlign w:val="bottom"/>
          </w:tcPr>
          <w:p>
            <w:pPr>
              <w:jc w:val="center"/>
              <w:ind w:right="2095"/>
              <w:spacing w:after="0" w:line="134" w:lineRule="exact"/>
              <w:rPr>
                <w:sz w:val="20"/>
                <w:szCs w:val="20"/>
                <w:color w:val="auto"/>
              </w:rPr>
            </w:pPr>
            <w:r>
              <w:rPr>
                <w:rFonts w:ascii="Times New Roman" w:cs="Times New Roman" w:eastAsia="Times New Roman" w:hAnsi="Times New Roman"/>
                <w:sz w:val="12"/>
                <w:szCs w:val="12"/>
                <w:color w:val="auto"/>
              </w:rPr>
              <w:t>(I.R.S. Employer</w:t>
            </w:r>
          </w:p>
        </w:tc>
        <w:tc>
          <w:tcPr>
            <w:tcW w:w="0" w:type="dxa"/>
            <w:vAlign w:val="bottom"/>
          </w:tcPr>
          <w:p>
            <w:pPr>
              <w:spacing w:after="0"/>
              <w:rPr>
                <w:sz w:val="1"/>
                <w:szCs w:val="1"/>
                <w:color w:val="auto"/>
              </w:rPr>
            </w:pPr>
          </w:p>
        </w:tc>
      </w:tr>
      <w:tr>
        <w:trPr>
          <w:trHeight w:val="163"/>
        </w:trPr>
        <w:tc>
          <w:tcPr>
            <w:tcW w:w="3780" w:type="dxa"/>
            <w:vAlign w:val="bottom"/>
          </w:tcPr>
          <w:p>
            <w:pPr>
              <w:jc w:val="center"/>
              <w:ind w:left="1767"/>
              <w:spacing w:after="0"/>
              <w:rPr>
                <w:sz w:val="20"/>
                <w:szCs w:val="20"/>
                <w:color w:val="auto"/>
              </w:rPr>
            </w:pPr>
            <w:r>
              <w:rPr>
                <w:rFonts w:ascii="Times New Roman" w:cs="Times New Roman" w:eastAsia="Times New Roman" w:hAnsi="Times New Roman"/>
                <w:sz w:val="12"/>
                <w:szCs w:val="12"/>
                <w:color w:val="auto"/>
              </w:rPr>
              <w:t>incorporation or organization)</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40" w:type="dxa"/>
            <w:vAlign w:val="bottom"/>
          </w:tcPr>
          <w:p>
            <w:pPr>
              <w:jc w:val="center"/>
              <w:ind w:right="2095"/>
              <w:spacing w:after="0"/>
              <w:rPr>
                <w:sz w:val="20"/>
                <w:szCs w:val="20"/>
                <w:color w:val="auto"/>
              </w:rPr>
            </w:pPr>
            <w:r>
              <w:rPr>
                <w:rFonts w:ascii="Times New Roman" w:cs="Times New Roman" w:eastAsia="Times New Roman" w:hAnsi="Times New Roman"/>
                <w:sz w:val="12"/>
                <w:szCs w:val="12"/>
                <w:color w:val="auto"/>
              </w:rPr>
              <w:t>Identification No.)</w:t>
            </w:r>
          </w:p>
        </w:tc>
        <w:tc>
          <w:tcPr>
            <w:tcW w:w="0" w:type="dxa"/>
            <w:vAlign w:val="bottom"/>
          </w:tcPr>
          <w:p>
            <w:pPr>
              <w:spacing w:after="0"/>
              <w:rPr>
                <w:sz w:val="1"/>
                <w:szCs w:val="1"/>
                <w:color w:val="auto"/>
              </w:rPr>
            </w:pPr>
          </w:p>
        </w:tc>
      </w:tr>
      <w:tr>
        <w:trPr>
          <w:trHeight w:val="240"/>
        </w:trPr>
        <w:tc>
          <w:tcPr>
            <w:tcW w:w="3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18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115 N. McCarthy Boulevard</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Milpitas, CA 95035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4"/>
                <w:szCs w:val="14"/>
                <w:color w:val="auto"/>
              </w:rPr>
            </w:pPr>
          </w:p>
        </w:tc>
        <w:tc>
          <w:tcPr>
            <w:tcW w:w="7460" w:type="dxa"/>
            <w:vAlign w:val="bottom"/>
            <w:gridSpan w:val="12"/>
          </w:tcPr>
          <w:p>
            <w:pPr>
              <w:jc w:val="center"/>
              <w:ind w:right="3715"/>
              <w:spacing w:after="0"/>
              <w:rPr>
                <w:sz w:val="20"/>
                <w:szCs w:val="20"/>
                <w:color w:val="auto"/>
              </w:rPr>
            </w:pPr>
            <w:r>
              <w:rPr>
                <w:rFonts w:ascii="Times New Roman" w:cs="Times New Roman" w:eastAsia="Times New Roman" w:hAnsi="Times New Roman"/>
                <w:sz w:val="12"/>
                <w:szCs w:val="12"/>
                <w:color w:val="auto"/>
              </w:rPr>
              <w:t>(Address of principal executive offices and zip code)</w:t>
            </w:r>
          </w:p>
        </w:tc>
        <w:tc>
          <w:tcPr>
            <w:tcW w:w="0" w:type="dxa"/>
            <w:vAlign w:val="bottom"/>
          </w:tcPr>
          <w:p>
            <w:pPr>
              <w:spacing w:after="0"/>
              <w:rPr>
                <w:sz w:val="1"/>
                <w:szCs w:val="1"/>
                <w:color w:val="auto"/>
              </w:rPr>
            </w:pPr>
          </w:p>
        </w:tc>
      </w:tr>
      <w:tr>
        <w:trPr>
          <w:trHeight w:val="224"/>
        </w:trPr>
        <w:tc>
          <w:tcPr>
            <w:tcW w:w="3780" w:type="dxa"/>
            <w:vAlign w:val="bottom"/>
          </w:tcPr>
          <w:p>
            <w:pPr>
              <w:spacing w:after="0"/>
              <w:rPr>
                <w:sz w:val="19"/>
                <w:szCs w:val="19"/>
                <w:color w:val="auto"/>
              </w:rPr>
            </w:pPr>
          </w:p>
        </w:tc>
        <w:tc>
          <w:tcPr>
            <w:tcW w:w="2640" w:type="dxa"/>
            <w:vAlign w:val="bottom"/>
            <w:gridSpan w:val="5"/>
          </w:tcPr>
          <w:p>
            <w:pPr>
              <w:jc w:val="center"/>
              <w:ind w:left="944"/>
              <w:spacing w:after="0"/>
              <w:rPr>
                <w:sz w:val="20"/>
                <w:szCs w:val="20"/>
                <w:color w:val="auto"/>
              </w:rPr>
            </w:pPr>
            <w:r>
              <w:rPr>
                <w:rFonts w:ascii="Times New Roman" w:cs="Times New Roman" w:eastAsia="Times New Roman" w:hAnsi="Times New Roman"/>
                <w:sz w:val="16"/>
                <w:szCs w:val="16"/>
                <w:b w:val="1"/>
                <w:bCs w:val="1"/>
                <w:color w:val="auto"/>
                <w:w w:val="99"/>
              </w:rPr>
              <w:t>(510) 657-8747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4"/>
                <w:szCs w:val="14"/>
                <w:color w:val="auto"/>
              </w:rPr>
            </w:pPr>
          </w:p>
        </w:tc>
        <w:tc>
          <w:tcPr>
            <w:tcW w:w="7460" w:type="dxa"/>
            <w:vAlign w:val="bottom"/>
            <w:gridSpan w:val="12"/>
          </w:tcPr>
          <w:p>
            <w:pPr>
              <w:jc w:val="center"/>
              <w:ind w:right="3715"/>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0" w:type="dxa"/>
            <w:vAlign w:val="bottom"/>
          </w:tcPr>
          <w:p>
            <w:pPr>
              <w:spacing w:after="0"/>
              <w:rPr>
                <w:sz w:val="1"/>
                <w:szCs w:val="1"/>
                <w:color w:val="auto"/>
              </w:rPr>
            </w:pPr>
          </w:p>
        </w:tc>
      </w:tr>
      <w:tr>
        <w:trPr>
          <w:trHeight w:val="82"/>
        </w:trPr>
        <w:tc>
          <w:tcPr>
            <w:tcW w:w="4500" w:type="dxa"/>
            <w:vAlign w:val="bottom"/>
            <w:gridSpan w:val="2"/>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6680" w:type="dxa"/>
            <w:vAlign w:val="bottom"/>
            <w:gridSpan w:val="8"/>
          </w:tcPr>
          <w:p>
            <w:pPr>
              <w:ind w:left="52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78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20" w:type="dxa"/>
            <w:vAlign w:val="bottom"/>
            <w:gridSpan w:val="2"/>
            <w:vMerge w:val="restart"/>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2"/>
        </w:trPr>
        <w:tc>
          <w:tcPr>
            <w:tcW w:w="378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78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7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CRSR</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440" w:type="dxa"/>
            <w:vAlign w:val="bottom"/>
            <w:tcBorders>
              <w:top w:val="single" w:sz="8" w:color="auto"/>
            </w:tcBorders>
          </w:tcPr>
          <w:p>
            <w:pPr>
              <w:jc w:val="center"/>
              <w:ind w:right="1195"/>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bl>
    <w:p>
      <w:pPr>
        <w:spacing w:after="0" w:line="19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12(g) of the Act: None</w:t>
      </w:r>
    </w:p>
    <w:p>
      <w:pPr>
        <w:spacing w:after="0" w:line="29" w:lineRule="exact"/>
        <w:rPr>
          <w:sz w:val="24"/>
          <w:szCs w:val="24"/>
          <w:color w:val="auto"/>
        </w:rPr>
      </w:pPr>
    </w:p>
    <w:p>
      <w:pPr>
        <w:ind w:left="520" w:right="3160"/>
        <w:spacing w:after="0" w:line="226"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4" w:lineRule="exact"/>
        <w:rPr>
          <w:sz w:val="24"/>
          <w:szCs w:val="24"/>
          <w:color w:val="auto"/>
        </w:rPr>
      </w:pPr>
    </w:p>
    <w:p>
      <w:pPr>
        <w:ind w:right="180" w:firstLine="510"/>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4" w:lineRule="exact"/>
        <w:rPr>
          <w:sz w:val="24"/>
          <w:szCs w:val="24"/>
          <w:color w:val="auto"/>
        </w:rPr>
      </w:pPr>
    </w:p>
    <w:p>
      <w:pPr>
        <w:ind w:right="200" w:firstLine="510"/>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4" w:lineRule="exact"/>
        <w:rPr>
          <w:sz w:val="24"/>
          <w:szCs w:val="24"/>
          <w:color w:val="auto"/>
        </w:rPr>
      </w:pPr>
    </w:p>
    <w:p>
      <w:pPr>
        <w:ind w:right="140" w:firstLine="510"/>
        <w:spacing w:after="0" w:line="25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5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5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40"/>
        </w:trPr>
        <w:tc>
          <w:tcPr>
            <w:tcW w:w="17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Emerging growth company</w:t>
            </w:r>
          </w:p>
        </w:tc>
        <w:tc>
          <w:tcPr>
            <w:tcW w:w="540" w:type="dxa"/>
            <w:vAlign w:val="bottom"/>
          </w:tcPr>
          <w:p>
            <w:pPr>
              <w:ind w:left="4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106" w:lineRule="exact"/>
        <w:rPr>
          <w:sz w:val="24"/>
          <w:szCs w:val="24"/>
          <w:color w:val="auto"/>
        </w:rPr>
      </w:pPr>
    </w:p>
    <w:p>
      <w:pPr>
        <w:ind w:right="180" w:firstLine="510"/>
        <w:spacing w:after="0" w:line="18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4" w:lineRule="exact"/>
        <w:rPr>
          <w:sz w:val="24"/>
          <w:szCs w:val="24"/>
          <w:color w:val="auto"/>
        </w:rPr>
      </w:pPr>
    </w:p>
    <w:p>
      <w:pPr>
        <w:ind w:right="120" w:firstLine="510"/>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4" w:lineRule="exact"/>
        <w:rPr>
          <w:sz w:val="24"/>
          <w:szCs w:val="24"/>
          <w:color w:val="auto"/>
        </w:rPr>
      </w:pPr>
    </w:p>
    <w:p>
      <w:pPr>
        <w:ind w:right="180" w:firstLine="510"/>
        <w:spacing w:after="0" w:line="181"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4" w:lineRule="exact"/>
        <w:rPr>
          <w:sz w:val="24"/>
          <w:szCs w:val="24"/>
          <w:color w:val="auto"/>
        </w:rPr>
      </w:pPr>
    </w:p>
    <w:p>
      <w:pPr>
        <w:ind w:right="460" w:firstLine="510"/>
        <w:spacing w:after="0" w:line="181"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7" w:lineRule="exact"/>
        <w:rPr>
          <w:sz w:val="24"/>
          <w:szCs w:val="24"/>
          <w:color w:val="auto"/>
        </w:rPr>
      </w:pPr>
    </w:p>
    <w:p>
      <w:pPr>
        <w:ind w:left="5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361950</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40" w:firstLine="510"/>
        <w:spacing w:after="0" w:line="254"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as of June 30, 2022, the last business day of the registrant’s most recent second fiscal quarter, was $507,399,291 based on the closing price as reported by the Nasdaq Global Select Market.</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February 9, 2023, 101,488,419 shares of the registrant’s common stock, $0.0001 par value per share, were issued and outstanding.</w:t>
      </w: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42" w:lineRule="exact"/>
        <w:rPr>
          <w:sz w:val="20"/>
          <w:szCs w:val="20"/>
          <w:color w:val="auto"/>
        </w:rPr>
      </w:pPr>
    </w:p>
    <w:p>
      <w:pPr>
        <w:ind w:firstLine="510"/>
        <w:spacing w:after="0" w:line="237"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the 2023 Annual Meeting of Stockholders, or the Proxy Statement, to be filed within 120 days of the end of the fiscal year ended December 31, 2022, are incorporated by reference in Part III hereof. Except with respect to information specifically incorporated by reference in this Annual Report on Form 10-K, the Proxy Statement is not deemed to be filed as part hereof.</w:t>
      </w:r>
    </w:p>
    <w:p>
      <w:pPr>
        <w:spacing w:after="0" w:line="151" w:lineRule="exact"/>
        <w:rPr>
          <w:sz w:val="20"/>
          <w:szCs w:val="20"/>
          <w:color w:val="auto"/>
        </w:rPr>
      </w:pPr>
    </w:p>
    <w:p>
      <w:pPr>
        <w:spacing w:after="0"/>
        <w:tabs>
          <w:tab w:leader="none" w:pos="1300" w:val="left"/>
          <w:tab w:leader="none" w:pos="4060" w:val="left"/>
          <w:tab w:leader="none" w:pos="5520" w:val="left"/>
          <w:tab w:leader="none" w:pos="9280" w:val="left"/>
          <w:tab w:leader="none" w:pos="10660" w:val="left"/>
        </w:tabs>
        <w:rPr>
          <w:sz w:val="20"/>
          <w:szCs w:val="20"/>
          <w:color w:val="auto"/>
        </w:rPr>
      </w:pPr>
      <w:r>
        <w:rPr>
          <w:rFonts w:ascii="Times New Roman" w:cs="Times New Roman" w:eastAsia="Times New Roman" w:hAnsi="Times New Roman"/>
          <w:sz w:val="14"/>
          <w:szCs w:val="14"/>
          <w:color w:val="auto"/>
        </w:rPr>
        <w:t>Auditor Name:</w:t>
      </w:r>
      <w:r>
        <w:rPr>
          <w:sz w:val="20"/>
          <w:szCs w:val="20"/>
          <w:color w:val="auto"/>
        </w:rPr>
        <w:tab/>
      </w:r>
      <w:r>
        <w:rPr>
          <w:rFonts w:ascii="Times New Roman" w:cs="Times New Roman" w:eastAsia="Times New Roman" w:hAnsi="Times New Roman"/>
          <w:sz w:val="14"/>
          <w:szCs w:val="14"/>
          <w:color w:val="auto"/>
        </w:rPr>
        <w:t>KPMG LLP</w:t>
      </w:r>
      <w:r>
        <w:rPr>
          <w:sz w:val="20"/>
          <w:szCs w:val="20"/>
          <w:color w:val="auto"/>
        </w:rPr>
        <w:tab/>
      </w:r>
      <w:r>
        <w:rPr>
          <w:rFonts w:ascii="Times New Roman" w:cs="Times New Roman" w:eastAsia="Times New Roman" w:hAnsi="Times New Roman"/>
          <w:sz w:val="14"/>
          <w:szCs w:val="14"/>
          <w:color w:val="auto"/>
        </w:rPr>
        <w:t>Auditor Location:</w:t>
      </w:r>
      <w:r>
        <w:rPr>
          <w:sz w:val="20"/>
          <w:szCs w:val="20"/>
          <w:color w:val="auto"/>
        </w:rPr>
        <w:tab/>
      </w:r>
      <w:r>
        <w:rPr>
          <w:rFonts w:ascii="Times New Roman" w:cs="Times New Roman" w:eastAsia="Times New Roman" w:hAnsi="Times New Roman"/>
          <w:sz w:val="14"/>
          <w:szCs w:val="14"/>
          <w:color w:val="auto"/>
        </w:rPr>
        <w:t>San Francisco, California</w:t>
      </w:r>
      <w:r>
        <w:rPr>
          <w:sz w:val="20"/>
          <w:szCs w:val="20"/>
          <w:color w:val="auto"/>
        </w:rPr>
        <w:tab/>
      </w: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552450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2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11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0"/>
        </w:trPr>
        <w:tc>
          <w:tcPr>
            <w:tcW w:w="114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8680" w:type="dxa"/>
            <w:vAlign w:val="bottom"/>
            <w:gridSpan w:val="17"/>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8420" w:type="dxa"/>
            <w:vAlign w:val="bottom"/>
            <w:gridSpan w:val="15"/>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39</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20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7300" w:type="dxa"/>
            <w:vAlign w:val="bottom"/>
            <w:gridSpan w:val="11"/>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39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7"/>
              </w:rPr>
              <w:t>Mine Safety Disclosures</w:t>
            </w:r>
          </w:p>
        </w:tc>
        <w:tc>
          <w:tcPr>
            <w:tcW w:w="756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39</w:t>
            </w: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480" w:type="dxa"/>
            <w:vAlign w:val="bottom"/>
            <w:gridSpan w:val="2"/>
            <w:vMerge w:val="restart"/>
          </w:tcPr>
          <w:p>
            <w:pPr>
              <w:spacing w:after="0" w:line="20" w:lineRule="exact"/>
              <w:rPr>
                <w:sz w:val="1"/>
                <w:szCs w:val="1"/>
                <w:color w:val="auto"/>
              </w:rPr>
            </w:pPr>
          </w:p>
        </w:tc>
        <w:tc>
          <w:tcPr>
            <w:tcW w:w="64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400" w:type="dxa"/>
            <w:vAlign w:val="bottom"/>
            <w:tcBorders>
              <w:bottom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220" w:type="dxa"/>
            <w:vAlign w:val="bottom"/>
            <w:tcBorders>
              <w:bottom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660" w:type="dxa"/>
            <w:vAlign w:val="bottom"/>
            <w:gridSpan w:val="2"/>
            <w:vMerge w:val="continue"/>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40</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480" w:type="dxa"/>
            <w:vAlign w:val="bottom"/>
            <w:gridSpan w:val="2"/>
          </w:tcPr>
          <w:p>
            <w:pPr>
              <w:spacing w:after="0"/>
              <w:rPr>
                <w:sz w:val="18"/>
                <w:szCs w:val="18"/>
                <w:color w:val="auto"/>
              </w:rPr>
            </w:pPr>
          </w:p>
        </w:tc>
        <w:tc>
          <w:tcPr>
            <w:tcW w:w="80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8"/>
              </w:rPr>
              <w:t>Market for Registrant’s Common Equity, Related Stockholder Matters and Issuer Purchases of Equity Securities</w:t>
            </w: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40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80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[Reserved]</w:t>
            </w: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41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64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8"/>
              </w:rPr>
              <w:t>Management’s Discussion and Analysis of Financial Condition and Results of Operations</w:t>
            </w:r>
          </w:p>
        </w:tc>
        <w:tc>
          <w:tcPr>
            <w:tcW w:w="292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42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43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080" w:type="dxa"/>
            <w:vAlign w:val="bottom"/>
            <w:gridSpan w:val="3"/>
          </w:tcPr>
          <w:p>
            <w:pPr>
              <w:spacing w:after="0"/>
              <w:rPr>
                <w:sz w:val="18"/>
                <w:szCs w:val="18"/>
                <w:color w:val="auto"/>
              </w:rPr>
            </w:pPr>
          </w:p>
        </w:tc>
        <w:tc>
          <w:tcPr>
            <w:tcW w:w="292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53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8"/>
              </w:rPr>
              <w:t>Financial Statements and Supplementary Data</w:t>
            </w:r>
          </w:p>
        </w:tc>
        <w:tc>
          <w:tcPr>
            <w:tcW w:w="1020" w:type="dxa"/>
            <w:vAlign w:val="bottom"/>
            <w:gridSpan w:val="2"/>
          </w:tcPr>
          <w:p>
            <w:pPr>
              <w:spacing w:after="0"/>
              <w:rPr>
                <w:sz w:val="18"/>
                <w:szCs w:val="18"/>
                <w:color w:val="auto"/>
              </w:rPr>
            </w:pPr>
          </w:p>
        </w:tc>
        <w:tc>
          <w:tcPr>
            <w:tcW w:w="5000" w:type="dxa"/>
            <w:vAlign w:val="bottom"/>
            <w:gridSpan w:val="6"/>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54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64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8"/>
              </w:rPr>
              <w:t>Changes in and Disagreements with Accountants on Accounting and Financial Disclosure</w:t>
            </w:r>
          </w:p>
        </w:tc>
        <w:tc>
          <w:tcPr>
            <w:tcW w:w="292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87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7"/>
              </w:rPr>
              <w:t>Controls and Procedures</w:t>
            </w:r>
          </w:p>
        </w:tc>
        <w:tc>
          <w:tcPr>
            <w:tcW w:w="4640" w:type="dxa"/>
            <w:vAlign w:val="bottom"/>
            <w:gridSpan w:val="9"/>
          </w:tcPr>
          <w:p>
            <w:pPr>
              <w:spacing w:after="0"/>
              <w:rPr>
                <w:sz w:val="18"/>
                <w:szCs w:val="18"/>
                <w:color w:val="auto"/>
              </w:rPr>
            </w:pPr>
          </w:p>
        </w:tc>
        <w:tc>
          <w:tcPr>
            <w:tcW w:w="292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87</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56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87</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87</w:t>
            </w:r>
          </w:p>
        </w:tc>
        <w:tc>
          <w:tcPr>
            <w:tcW w:w="0" w:type="dxa"/>
            <w:vAlign w:val="bottom"/>
          </w:tcPr>
          <w:p>
            <w:pPr>
              <w:spacing w:after="0"/>
              <w:rPr>
                <w:sz w:val="1"/>
                <w:szCs w:val="1"/>
                <w:color w:val="auto"/>
              </w:rPr>
            </w:pPr>
          </w:p>
        </w:tc>
      </w:tr>
      <w:tr>
        <w:trPr>
          <w:trHeight w:val="20"/>
        </w:trPr>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1"/>
              </w:rPr>
              <w:t>PART III</w:t>
            </w:r>
          </w:p>
        </w:tc>
        <w:tc>
          <w:tcPr>
            <w:tcW w:w="420" w:type="dxa"/>
            <w:vAlign w:val="bottom"/>
            <w:vMerge w:val="restart"/>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20" w:type="dxa"/>
            <w:vAlign w:val="bottom"/>
            <w:gridSpan w:val="3"/>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88</w:t>
            </w: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3"/>
              </w:rPr>
              <w:t>Item 10.</w:t>
            </w:r>
          </w:p>
        </w:tc>
        <w:tc>
          <w:tcPr>
            <w:tcW w:w="420" w:type="dxa"/>
            <w:vAlign w:val="bottom"/>
          </w:tcPr>
          <w:p>
            <w:pPr>
              <w:spacing w:after="0"/>
              <w:rPr>
                <w:sz w:val="18"/>
                <w:szCs w:val="18"/>
                <w:color w:val="auto"/>
              </w:rPr>
            </w:pP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8"/>
              </w:rPr>
              <w:t>Directors, Executive Officers and Corporate Governance</w:t>
            </w:r>
          </w:p>
        </w:tc>
        <w:tc>
          <w:tcPr>
            <w:tcW w:w="5260" w:type="dxa"/>
            <w:vAlign w:val="bottom"/>
            <w:gridSpan w:val="7"/>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88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5260" w:type="dxa"/>
            <w:vAlign w:val="bottom"/>
            <w:gridSpan w:val="7"/>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88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7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8"/>
              </w:rPr>
              <w:t>Security Ownership of Certain Beneficial Owners and Management and Related Stockholder Matters</w:t>
            </w:r>
          </w:p>
        </w:tc>
        <w:tc>
          <w:tcPr>
            <w:tcW w:w="210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88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8"/>
              </w:rPr>
              <w:t>Certain Relationships and Related Transactions, and Director Independence</w:t>
            </w:r>
          </w:p>
        </w:tc>
        <w:tc>
          <w:tcPr>
            <w:tcW w:w="1820" w:type="dxa"/>
            <w:vAlign w:val="bottom"/>
            <w:gridSpan w:val="2"/>
          </w:tcPr>
          <w:p>
            <w:pPr>
              <w:spacing w:after="0"/>
              <w:rPr>
                <w:sz w:val="18"/>
                <w:szCs w:val="18"/>
                <w:color w:val="auto"/>
              </w:rPr>
            </w:pPr>
          </w:p>
        </w:tc>
        <w:tc>
          <w:tcPr>
            <w:tcW w:w="210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88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54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Principal Accounting Fees and Services</w:t>
            </w:r>
          </w:p>
        </w:tc>
        <w:tc>
          <w:tcPr>
            <w:tcW w:w="392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88</w:t>
            </w:r>
          </w:p>
        </w:tc>
        <w:tc>
          <w:tcPr>
            <w:tcW w:w="0" w:type="dxa"/>
            <w:vAlign w:val="bottom"/>
          </w:tcPr>
          <w:p>
            <w:pPr>
              <w:spacing w:after="0"/>
              <w:rPr>
                <w:sz w:val="1"/>
                <w:szCs w:val="1"/>
                <w:color w:val="auto"/>
              </w:rPr>
            </w:pPr>
          </w:p>
        </w:tc>
      </w:tr>
      <w:tr>
        <w:trPr>
          <w:trHeight w:val="20"/>
        </w:trPr>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2"/>
              </w:rPr>
              <w:t>PART IV</w:t>
            </w:r>
          </w:p>
        </w:tc>
        <w:tc>
          <w:tcPr>
            <w:tcW w:w="420" w:type="dxa"/>
            <w:vAlign w:val="bottom"/>
            <w:vMerge w:val="restart"/>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20" w:type="dxa"/>
            <w:vAlign w:val="bottom"/>
            <w:gridSpan w:val="3"/>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89</w:t>
            </w: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44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28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8"/>
              </w:rPr>
              <w:t>Exhibits, Financial Statement Schedules</w:t>
            </w:r>
          </w:p>
        </w:tc>
        <w:tc>
          <w:tcPr>
            <w:tcW w:w="644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89</w:t>
            </w:r>
          </w:p>
        </w:tc>
        <w:tc>
          <w:tcPr>
            <w:tcW w:w="0" w:type="dxa"/>
            <w:vAlign w:val="bottom"/>
          </w:tcPr>
          <w:p>
            <w:pPr>
              <w:spacing w:after="0"/>
              <w:rPr>
                <w:sz w:val="1"/>
                <w:szCs w:val="1"/>
                <w:color w:val="auto"/>
              </w:rPr>
            </w:pPr>
          </w:p>
        </w:tc>
      </w:tr>
      <w:tr>
        <w:trPr>
          <w:trHeight w:val="20"/>
        </w:trPr>
        <w:tc>
          <w:tcPr>
            <w:tcW w:w="1140" w:type="dxa"/>
            <w:vAlign w:val="bottom"/>
            <w:gridSpan w:val="4"/>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644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8"/>
              </w:rPr>
              <w:t>Form 10-K Summary</w:t>
            </w:r>
          </w:p>
        </w:tc>
        <w:tc>
          <w:tcPr>
            <w:tcW w:w="1340" w:type="dxa"/>
            <w:vAlign w:val="bottom"/>
            <w:gridSpan w:val="4"/>
          </w:tcPr>
          <w:p>
            <w:pPr>
              <w:spacing w:after="0"/>
              <w:rPr>
                <w:sz w:val="18"/>
                <w:szCs w:val="18"/>
                <w:color w:val="auto"/>
              </w:rPr>
            </w:pPr>
          </w:p>
        </w:tc>
        <w:tc>
          <w:tcPr>
            <w:tcW w:w="644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92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118" w:lineRule="exact"/>
        <w:rPr>
          <w:sz w:val="20"/>
          <w:szCs w:val="20"/>
          <w:color w:val="auto"/>
        </w:rPr>
      </w:pPr>
    </w:p>
    <w:p>
      <w:pPr>
        <w:ind w:right="80" w:firstLine="468"/>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Annual Report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the forward-looking statements.</w:t>
      </w:r>
    </w:p>
    <w:p>
      <w:pPr>
        <w:spacing w:after="0" w:line="80" w:lineRule="exact"/>
        <w:rPr>
          <w:sz w:val="20"/>
          <w:szCs w:val="20"/>
          <w:color w:val="auto"/>
        </w:rPr>
      </w:pPr>
    </w:p>
    <w:p>
      <w:pPr>
        <w:ind w:firstLine="468"/>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for example, the COVID-19 pandemic. We believe that these factors include but are not limited to those described under Part I, Item 1A, “Risk Factors” in this Annual Report on Form 10-K. These factors should not be construed as exhaustive and should be read in conjunction with the other cautionary statements that are included in this Annual Report on Form 10-K.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right="300" w:firstLine="468"/>
        <w:spacing w:after="0" w:line="253" w:lineRule="auto"/>
        <w:rPr>
          <w:sz w:val="20"/>
          <w:szCs w:val="20"/>
          <w:color w:val="auto"/>
        </w:rPr>
      </w:pPr>
      <w:r>
        <w:rPr>
          <w:rFonts w:ascii="Times New Roman" w:cs="Times New Roman" w:eastAsia="Times New Roman" w:hAnsi="Times New Roman"/>
          <w:sz w:val="18"/>
          <w:szCs w:val="18"/>
          <w:color w:val="auto"/>
        </w:rPr>
        <w:t>Corsair Gaming, Inc. (also referred to in this document as “Corsair,” “we,” the “company,” or the “registrant”) is a leading global provider and innovator of high-performance gear for gamers, streamers and content creators, many of which build their own PCs using our components. Our industry-leading gaming gear helps digital athletes, from casual gamers to committed professionals, perform at their peak across PC or console platforms, and our streaming gear enables streamers and content creators to produce studio-quality content to share with friends or to broadcast to millions of fans. Our PC components products offer our customers multiple options to build their customized gaming and workstation desktop PCs. We design and sell high-performance gaming and streaming peripherals, components and systems to enthusiasts globally.</w:t>
      </w:r>
    </w:p>
    <w:p>
      <w:pPr>
        <w:spacing w:after="0" w:line="80" w:lineRule="exact"/>
        <w:rPr>
          <w:sz w:val="20"/>
          <w:szCs w:val="20"/>
          <w:color w:val="auto"/>
        </w:rPr>
      </w:pPr>
    </w:p>
    <w:p>
      <w:pPr>
        <w:jc w:val="both"/>
        <w:ind w:right="40" w:firstLine="468"/>
        <w:spacing w:after="0" w:line="262" w:lineRule="auto"/>
        <w:rPr>
          <w:sz w:val="20"/>
          <w:szCs w:val="20"/>
          <w:color w:val="auto"/>
        </w:rPr>
      </w:pPr>
      <w:r>
        <w:rPr>
          <w:rFonts w:ascii="Times New Roman" w:cs="Times New Roman" w:eastAsia="Times New Roman" w:hAnsi="Times New Roman"/>
          <w:sz w:val="18"/>
          <w:szCs w:val="18"/>
          <w:color w:val="auto"/>
        </w:rPr>
        <w:t>We have served the market for over two decades and many of our products maintain leading market share positions, according to external market data and internal estimates. We have built a passionate base of loyal customers due to our brand authenticity and reputation as a provider of innovative and finely engineered products that deliver a high level of performance.</w:t>
      </w:r>
    </w:p>
    <w:p>
      <w:pPr>
        <w:spacing w:after="0" w:line="70" w:lineRule="exact"/>
        <w:rPr>
          <w:sz w:val="20"/>
          <w:szCs w:val="20"/>
          <w:color w:val="auto"/>
        </w:rPr>
      </w:pPr>
    </w:p>
    <w:p>
      <w:pPr>
        <w:ind w:right="60" w:firstLine="464"/>
        <w:spacing w:after="0" w:line="257" w:lineRule="auto"/>
        <w:rPr>
          <w:sz w:val="20"/>
          <w:szCs w:val="20"/>
          <w:color w:val="auto"/>
        </w:rPr>
      </w:pPr>
      <w:r>
        <w:rPr>
          <w:rFonts w:ascii="Times New Roman" w:cs="Times New Roman" w:eastAsia="Times New Roman" w:hAnsi="Times New Roman"/>
          <w:sz w:val="18"/>
          <w:szCs w:val="18"/>
          <w:color w:val="auto"/>
        </w:rPr>
        <w:t>Our solution is the most complete suite of gear among our major competitors and addresses the most critical components for both game performance and streaming. Our product offering is enhanced by our two proprietary software platforms: iCUE for gamers and Elgato’s streaming suite for streamers and content creators, including our Stream Deck control software. These software platforms provide unified, intuitive performance, and aesthetic control and customization across their respective product families. We group our products into two categories (operating segments):</w:t>
      </w:r>
    </w:p>
    <w:p>
      <w:pPr>
        <w:spacing w:after="0" w:line="73" w:lineRule="exact"/>
        <w:rPr>
          <w:sz w:val="20"/>
          <w:szCs w:val="20"/>
          <w:color w:val="auto"/>
        </w:rPr>
      </w:pPr>
    </w:p>
    <w:p>
      <w:pPr>
        <w:ind w:left="1120" w:hanging="365"/>
        <w:spacing w:after="0" w:line="263"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Gamer and creator peripherals. </w:t>
      </w:r>
      <w:r>
        <w:rPr>
          <w:rFonts w:ascii="Times New Roman" w:cs="Times New Roman" w:eastAsia="Times New Roman" w:hAnsi="Times New Roman"/>
          <w:sz w:val="18"/>
          <w:szCs w:val="18"/>
          <w:color w:val="auto"/>
        </w:rPr>
        <w:t>Includes our high-performance gaming keyboards, mice, headsets, controllers, and streaming gear,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capture cards, Stream Decks, USB microphones, our Facecam streaming camera, studio accessories, and EpocCam software, as well as coaching and training services, among others.</w:t>
      </w:r>
    </w:p>
    <w:p>
      <w:pPr>
        <w:spacing w:after="0" w:line="67" w:lineRule="exact"/>
        <w:rPr>
          <w:rFonts w:ascii="Times New Roman" w:cs="Times New Roman" w:eastAsia="Times New Roman" w:hAnsi="Times New Roman"/>
          <w:sz w:val="18"/>
          <w:szCs w:val="18"/>
          <w:color w:val="auto"/>
        </w:rPr>
      </w:pPr>
    </w:p>
    <w:p>
      <w:pPr>
        <w:ind w:left="1120" w:right="500" w:hanging="365"/>
        <w:spacing w:after="0" w:line="279"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Gaming components and systems. </w:t>
      </w:r>
      <w:r>
        <w:rPr>
          <w:rFonts w:ascii="Times New Roman" w:cs="Times New Roman" w:eastAsia="Times New Roman" w:hAnsi="Times New Roman"/>
          <w:sz w:val="18"/>
          <w:szCs w:val="18"/>
          <w:color w:val="auto"/>
        </w:rPr>
        <w:t>Includes our high-performance power supply units, or PSUs, cooling solutions, computer cases,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DRAM modules, as well as high-end prebuilt and custom-built gaming PCs and laptops, and gaming monitors, among others.</w:t>
      </w:r>
    </w:p>
    <w:p>
      <w:pPr>
        <w:spacing w:after="0" w:line="55" w:lineRule="exact"/>
        <w:rPr>
          <w:sz w:val="20"/>
          <w:szCs w:val="20"/>
          <w:color w:val="auto"/>
        </w:rPr>
      </w:pPr>
    </w:p>
    <w:p>
      <w:pPr>
        <w:ind w:right="360" w:firstLine="468"/>
        <w:spacing w:after="0" w:line="277" w:lineRule="auto"/>
        <w:rPr>
          <w:sz w:val="20"/>
          <w:szCs w:val="20"/>
          <w:color w:val="auto"/>
        </w:rPr>
      </w:pPr>
      <w:r>
        <w:rPr>
          <w:rFonts w:ascii="Times New Roman" w:cs="Times New Roman" w:eastAsia="Times New Roman" w:hAnsi="Times New Roman"/>
          <w:sz w:val="18"/>
          <w:szCs w:val="18"/>
          <w:color w:val="auto"/>
        </w:rPr>
        <w:t>Our gear is sold to end users worldwide through our retail channel or our direct-to-consumer channel. In our retail channel, we distribute our gear either directly to the retailer, such as Amazon and Best Buy, or through distributors.</w:t>
      </w:r>
    </w:p>
    <w:p>
      <w:pPr>
        <w:spacing w:after="0" w:line="57" w:lineRule="exact"/>
        <w:rPr>
          <w:sz w:val="20"/>
          <w:szCs w:val="20"/>
          <w:color w:val="auto"/>
        </w:rPr>
      </w:pPr>
    </w:p>
    <w:p>
      <w:pPr>
        <w:ind w:firstLine="468"/>
        <w:spacing w:after="0" w:line="257" w:lineRule="auto"/>
        <w:rPr>
          <w:sz w:val="20"/>
          <w:szCs w:val="20"/>
          <w:color w:val="auto"/>
        </w:rPr>
      </w:pPr>
      <w:r>
        <w:rPr>
          <w:rFonts w:ascii="Times New Roman" w:cs="Times New Roman" w:eastAsia="Times New Roman" w:hAnsi="Times New Roman"/>
          <w:sz w:val="18"/>
          <w:szCs w:val="18"/>
          <w:color w:val="auto"/>
        </w:rPr>
        <w:t>We believe our brand, scale and global reach provide significant competitive advantages and will allow us to continue to capture a growing share of the expanding gaming and streaming market. We believe we can continue to grow by offering market-leading gear to gamers, streamers and content creators, expanding the breadth of our product suite to meet the needs of our customers, growing our worldwide market share, continuing to invest in marketing, product innovation and sales, and selectively pursuing accretive acquisitions, such as the eight acquisitions we have completed since 2018.</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24" w:lineRule="exact"/>
        <w:rPr>
          <w:sz w:val="20"/>
          <w:szCs w:val="20"/>
          <w:color w:val="auto"/>
        </w:rPr>
      </w:pPr>
    </w:p>
    <w:p>
      <w:pPr>
        <w:ind w:right="100" w:firstLine="465"/>
        <w:spacing w:after="0" w:line="253" w:lineRule="auto"/>
        <w:rPr>
          <w:sz w:val="20"/>
          <w:szCs w:val="20"/>
          <w:color w:val="auto"/>
        </w:rPr>
      </w:pPr>
      <w:r>
        <w:rPr>
          <w:rFonts w:ascii="Times New Roman" w:cs="Times New Roman" w:eastAsia="Times New Roman" w:hAnsi="Times New Roman"/>
          <w:sz w:val="18"/>
          <w:szCs w:val="18"/>
          <w:color w:val="auto"/>
        </w:rPr>
        <w:t>Since traditional arcade games of the 1970s, gaming has evolved into the mainstream and taken a central place in the global entertainment landscape. According to Activate Research, gaming today represents approximately 14% of all American consumer internet and media activity, surpassing activities such as social media and messaging. Further, based on external market data, in the fourth quarter of 2022, it was estimated that the worldwide gaming community consisted of approximately 1.4 billion casual PC gamers, 231 million regular PC gamers and 28 million PC gaming enthusiasts. We believe this indicates that the majority of the gaming hardware total addressable market is still consumed by a small percentage of gamers, and as a result, there is significant potential opportunity for gaming hardware sales.</w:t>
      </w:r>
    </w:p>
    <w:p>
      <w:pPr>
        <w:spacing w:after="0" w:line="187" w:lineRule="exact"/>
        <w:rPr>
          <w:sz w:val="20"/>
          <w:szCs w:val="20"/>
          <w:color w:val="auto"/>
        </w:rPr>
      </w:pPr>
    </w:p>
    <w:p>
      <w:pPr>
        <w:ind w:right="120" w:firstLine="465"/>
        <w:spacing w:after="0" w:line="252" w:lineRule="auto"/>
        <w:rPr>
          <w:sz w:val="20"/>
          <w:szCs w:val="20"/>
          <w:color w:val="auto"/>
        </w:rPr>
      </w:pPr>
      <w:r>
        <w:rPr>
          <w:rFonts w:ascii="Times New Roman" w:cs="Times New Roman" w:eastAsia="Times New Roman" w:hAnsi="Times New Roman"/>
          <w:sz w:val="18"/>
          <w:szCs w:val="18"/>
          <w:color w:val="auto"/>
        </w:rPr>
        <w:t>Although the gaming industry was negatively impacted in 2022 by global macroeconomic challenges, such as the ongoing war between Russia and Ukraine, the COVID-19 pandemic, volatility in exchange rates, inflationary trends, and evolving dynamics in the global trade environment, there are a number of drivers we believe will fuel the gaming market’s growth in 2023. Technology continues to improve game quality. There is increasing availability and variety of high quality, interactive game content as game publishers use cutting-edge game development engines to rapidly create graphically sophisticated and engaging virtual worlds, many of which can support massive multiplayer experiences. Audiences are progressively engaging more with gaming content across platforms and finally, there are decreasing barriers to gaming, where more gamers using mobile devices, and the console and PC platforms represent a natural upgrade path for those seeking a more immersive or competitive gaming environment.</w:t>
      </w:r>
    </w:p>
    <w:p>
      <w:pPr>
        <w:spacing w:after="0" w:line="122" w:lineRule="exact"/>
        <w:rPr>
          <w:sz w:val="20"/>
          <w:szCs w:val="20"/>
          <w:color w:val="auto"/>
        </w:rPr>
      </w:pPr>
    </w:p>
    <w:p>
      <w:pPr>
        <w:ind w:right="280" w:firstLine="462"/>
        <w:spacing w:after="0" w:line="277" w:lineRule="auto"/>
        <w:rPr>
          <w:sz w:val="20"/>
          <w:szCs w:val="20"/>
          <w:color w:val="auto"/>
        </w:rPr>
      </w:pPr>
      <w:r>
        <w:rPr>
          <w:rFonts w:ascii="Times New Roman" w:cs="Times New Roman" w:eastAsia="Times New Roman" w:hAnsi="Times New Roman"/>
          <w:sz w:val="18"/>
          <w:szCs w:val="18"/>
          <w:color w:val="auto"/>
        </w:rPr>
        <w:t>In parallel, digital content creation today has democratized, with content sharing, video-first communication and voice-chat being the norm among creators, viewers and gamers. Gaming content creation and streaming is now ubiquitous, with many active</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4"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gaming channels on YouTube, and live streaming hours watched across Twitch, YouTube Gaming and Facebook Gaming is growing. The proliferation of gaming content is attracting new gamers and increasing the performance focus of existing gamers. Beyond success in gaming, applications for streaming gear are proliferating across use cases including podcasting, video blogging, interactive fitness, remote learning, and work-from-home, among others. While emerging, these applications represent a promising avenue for continued expansion of the streaming gear market opportunity.</w:t>
      </w:r>
    </w:p>
    <w:p>
      <w:pPr>
        <w:spacing w:after="0" w:line="115" w:lineRule="exact"/>
        <w:rPr>
          <w:sz w:val="20"/>
          <w:szCs w:val="20"/>
          <w:color w:val="auto"/>
        </w:rPr>
      </w:pPr>
    </w:p>
    <w:p>
      <w:pPr>
        <w:ind w:firstLine="468"/>
        <w:spacing w:after="0" w:line="253" w:lineRule="auto"/>
        <w:rPr>
          <w:sz w:val="20"/>
          <w:szCs w:val="20"/>
          <w:color w:val="auto"/>
        </w:rPr>
      </w:pPr>
      <w:r>
        <w:rPr>
          <w:rFonts w:ascii="Times New Roman" w:cs="Times New Roman" w:eastAsia="Times New Roman" w:hAnsi="Times New Roman"/>
          <w:sz w:val="18"/>
          <w:szCs w:val="18"/>
          <w:color w:val="auto"/>
        </w:rPr>
        <w:t>Inspiring gamers and creators aim to reach for the next level of performance and content quality, and we seek to meet this need with Corsair gear. Competitive gaming rewards speed, precision and reliability. As in other sports, specialized high-performance gear such as gaming mice, keyboards, headsets and performance controllers allow digital athletes to perform at their best. Modern games also require significant processing power to render high-resolution graphics, and reward the speed and precision of user inputs, driving demand for powerful gaming components and systems. Further, in a world where the ability to create content is democratized and competition for viewer engagement is greater than ever, content creators, particularly streamers, are increasingly seeking ways to maximize the quality of their video capture and broadcasting, which requires specialized high-performance gear.</w:t>
      </w:r>
    </w:p>
    <w:p>
      <w:pPr>
        <w:spacing w:after="0" w:line="107" w:lineRule="exact"/>
        <w:rPr>
          <w:sz w:val="20"/>
          <w:szCs w:val="20"/>
          <w:color w:val="auto"/>
        </w:rPr>
      </w:pPr>
    </w:p>
    <w:p>
      <w:pPr>
        <w:ind w:right="100" w:firstLine="465"/>
        <w:spacing w:after="0" w:line="252" w:lineRule="auto"/>
        <w:rPr>
          <w:sz w:val="20"/>
          <w:szCs w:val="20"/>
          <w:color w:val="auto"/>
        </w:rPr>
      </w:pPr>
      <w:r>
        <w:rPr>
          <w:rFonts w:ascii="Times New Roman" w:cs="Times New Roman" w:eastAsia="Times New Roman" w:hAnsi="Times New Roman"/>
          <w:sz w:val="18"/>
          <w:szCs w:val="18"/>
          <w:color w:val="auto"/>
        </w:rPr>
        <w:t>Competitive gamer performance needs are being met with specialized gear, such as ultra-precise optical sensors in gaming mice, very low actuation distances in gaming keyboard switches, customizable rear paddles on performance controllers, liquid cooling solutions for high-performance processors and overclocked DRAM modules to process graphically complex games. Similarly, streamers' broadcast needs are being met with professional audio/visual gear as audience demand for high-quality viewing experiences has grown, and continues to grow, significantly. Further, Stream Deck studio control interfaces have become a mainstay in broadcast setups as gear and software integration has become critical for gamers and streamers who need all their devices to work together harmoniously. Finally, gamers and streamers need the ability to customize their gear, which we believe is best delivered via a software platform that seamlessly unifies control across devices. Our two proprietary software ecosystems cover the broadest range of gaming components, peripherals, and streaming gear, which we believe are unmatched by anything else in the market.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1" w:lineRule="exact"/>
        <w:rPr>
          <w:sz w:val="20"/>
          <w:szCs w:val="20"/>
          <w:color w:val="auto"/>
        </w:rPr>
      </w:pPr>
    </w:p>
    <w:p>
      <w:pPr>
        <w:ind w:right="380" w:firstLine="457"/>
        <w:spacing w:after="0" w:line="308" w:lineRule="auto"/>
        <w:rPr>
          <w:sz w:val="20"/>
          <w:szCs w:val="20"/>
          <w:color w:val="auto"/>
        </w:rPr>
      </w:pPr>
      <w:r>
        <w:rPr>
          <w:rFonts w:ascii="Times New Roman" w:cs="Times New Roman" w:eastAsia="Times New Roman" w:hAnsi="Times New Roman"/>
          <w:sz w:val="17"/>
          <w:szCs w:val="17"/>
          <w:color w:val="auto"/>
        </w:rPr>
        <w:t>We are a leading global provider and innovator of high-performance gaming gear. We believe that we have a strong position in our target markets, which consist of gamer and creator peripherals, and gaming components and systems markets, as a result of the following competitive strengths:</w:t>
      </w:r>
    </w:p>
    <w:p>
      <w:pPr>
        <w:spacing w:after="0" w:line="135" w:lineRule="exact"/>
        <w:rPr>
          <w:sz w:val="20"/>
          <w:szCs w:val="20"/>
          <w:color w:val="auto"/>
        </w:rPr>
      </w:pPr>
    </w:p>
    <w:p>
      <w:pPr>
        <w:ind w:left="1200" w:right="320" w:hanging="445"/>
        <w:spacing w:after="0" w:line="256"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Leading brand recognition for performance drives strong customer loyalty. </w:t>
      </w:r>
      <w:r>
        <w:rPr>
          <w:rFonts w:ascii="Times New Roman" w:cs="Times New Roman" w:eastAsia="Times New Roman" w:hAnsi="Times New Roman"/>
          <w:sz w:val="18"/>
          <w:szCs w:val="18"/>
          <w:color w:val="auto"/>
        </w:rPr>
        <w:t>Since our founding in 1994, we have shipped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258 million gaming and streaming products as of December 31, 2022 and actively nurtured a passionate and engaged global customer base by maintaining a long history of delivering innovative, finely engineered products that have expanded the frontiers of gaming performance. As a result, we believe we have established ourselves as a leading brand among gaming enthusiasts and streamers, many of whom are active and prominent in esports and act as ambassadors for our branded gear.</w:t>
      </w:r>
    </w:p>
    <w:p>
      <w:pPr>
        <w:spacing w:after="0" w:line="178" w:lineRule="exact"/>
        <w:rPr>
          <w:rFonts w:ascii="Times New Roman" w:cs="Times New Roman" w:eastAsia="Times New Roman" w:hAnsi="Times New Roman"/>
          <w:sz w:val="18"/>
          <w:szCs w:val="18"/>
          <w:color w:val="auto"/>
        </w:rPr>
      </w:pPr>
    </w:p>
    <w:p>
      <w:pPr>
        <w:ind w:left="1200" w:right="540" w:hanging="445"/>
        <w:spacing w:after="0" w:line="259"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Differentiated, gamer and streamer-centric R&amp;D engine focused on delivering a broad portfolio of high-performing gear, including components for self-built gaming PCs. </w:t>
      </w:r>
      <w:r>
        <w:rPr>
          <w:rFonts w:ascii="Times New Roman" w:cs="Times New Roman" w:eastAsia="Times New Roman" w:hAnsi="Times New Roman"/>
          <w:sz w:val="18"/>
          <w:szCs w:val="18"/>
          <w:color w:val="auto"/>
        </w:rPr>
        <w:t>We are an innovation-driven company with a rigorous development process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to consistently deliver high-performance and quality gaming and streaming gear to the market. Our focus on innovation and performance has also earned us significant industry recognition.</w:t>
      </w:r>
    </w:p>
    <w:p>
      <w:pPr>
        <w:spacing w:after="0" w:line="175" w:lineRule="exact"/>
        <w:rPr>
          <w:rFonts w:ascii="Times New Roman" w:cs="Times New Roman" w:eastAsia="Times New Roman" w:hAnsi="Times New Roman"/>
          <w:sz w:val="18"/>
          <w:szCs w:val="18"/>
          <w:color w:val="auto"/>
        </w:rPr>
      </w:pPr>
    </w:p>
    <w:p>
      <w:pPr>
        <w:ind w:left="1200" w:right="400" w:hanging="445"/>
        <w:spacing w:after="0" w:line="256"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Differentiated software-driven ecosystem. </w:t>
      </w:r>
      <w:r>
        <w:rPr>
          <w:rFonts w:ascii="Times New Roman" w:cs="Times New Roman" w:eastAsia="Times New Roman" w:hAnsi="Times New Roman"/>
          <w:sz w:val="18"/>
          <w:szCs w:val="18"/>
          <w:color w:val="auto"/>
        </w:rPr>
        <w:t>Since our inception, we have concentrated our efforts on helping gamers succeed,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led us to develop what we believe to be the most complete ecosystem of high-performance gaming gear in the market, which is connected through our iCUE software. We have applied the same ethos to our product development for streaming gear, including the development of streaming software, which helps streamers to optimize their products and maximize their content quality. This includes our Stream Deck software that allows fingertip control of hardware and software.</w:t>
      </w:r>
    </w:p>
    <w:p>
      <w:pPr>
        <w:spacing w:after="0" w:line="111" w:lineRule="exact"/>
        <w:rPr>
          <w:rFonts w:ascii="Times New Roman" w:cs="Times New Roman" w:eastAsia="Times New Roman" w:hAnsi="Times New Roman"/>
          <w:sz w:val="18"/>
          <w:szCs w:val="18"/>
          <w:color w:val="auto"/>
        </w:rPr>
      </w:pPr>
    </w:p>
    <w:p>
      <w:pPr>
        <w:ind w:left="1200" w:right="420" w:hanging="445"/>
        <w:spacing w:after="0" w:line="256"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Global sales and distribution network. </w:t>
      </w:r>
      <w:r>
        <w:rPr>
          <w:rFonts w:ascii="Times New Roman" w:cs="Times New Roman" w:eastAsia="Times New Roman" w:hAnsi="Times New Roman"/>
          <w:sz w:val="18"/>
          <w:szCs w:val="18"/>
          <w:color w:val="auto"/>
        </w:rPr>
        <w:t>We have developed a comprehensive worldwide marketing and distribution network.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network, we have established a multichannel sales model and have long-standing relationships with distributors and retailers globally, as well as direct-to-consumer sales channels. We currently ship to more than 85 countries across six continents, with our gear being sold at leading retailers including Amazon, Best Buy, JD.com, MediaMarkt and Walmart. In 2022, sales to the Americas, EMEA and Asia Pacific represented 52.7%, 29.5% and 17.8%, respectively, of net revenue.</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ind w:left="1200" w:right="180" w:hanging="445"/>
        <w:spacing w:after="0" w:line="282" w:lineRule="auto"/>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Management team of visionary leaders with deep industry experience and proven ability to execute. </w:t>
      </w:r>
      <w:r>
        <w:rPr>
          <w:rFonts w:ascii="Times New Roman" w:cs="Times New Roman" w:eastAsia="Times New Roman" w:hAnsi="Times New Roman"/>
          <w:sz w:val="18"/>
          <w:szCs w:val="18"/>
          <w:color w:val="auto"/>
        </w:rPr>
        <w:t>We have a strong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team of experienced and talented executives with a track record of execution and deep industry knowledge.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8" w:lineRule="exact"/>
        <w:rPr>
          <w:sz w:val="20"/>
          <w:szCs w:val="20"/>
          <w:color w:val="auto"/>
        </w:rPr>
      </w:pPr>
    </w:p>
    <w:p>
      <w:pPr>
        <w:ind w:right="260" w:firstLine="468"/>
        <w:spacing w:after="0" w:line="277" w:lineRule="auto"/>
        <w:rPr>
          <w:sz w:val="20"/>
          <w:szCs w:val="20"/>
          <w:color w:val="auto"/>
        </w:rPr>
      </w:pPr>
      <w:r>
        <w:rPr>
          <w:rFonts w:ascii="Times New Roman" w:cs="Times New Roman" w:eastAsia="Times New Roman" w:hAnsi="Times New Roman"/>
          <w:sz w:val="18"/>
          <w:szCs w:val="18"/>
          <w:color w:val="auto"/>
        </w:rPr>
        <w:t>We intend to grow our business by increasing value to our customers, expanding our market opportunity and further differentiating ourselves from competitors. Key components of our strategy include:</w:t>
      </w:r>
    </w:p>
    <w:p>
      <w:pPr>
        <w:spacing w:after="0" w:line="93" w:lineRule="exact"/>
        <w:rPr>
          <w:sz w:val="20"/>
          <w:szCs w:val="20"/>
          <w:color w:val="auto"/>
        </w:rPr>
      </w:pPr>
    </w:p>
    <w:p>
      <w:pPr>
        <w:ind w:left="1220" w:right="20" w:hanging="465"/>
        <w:spacing w:after="0" w:line="256" w:lineRule="auto"/>
        <w:tabs>
          <w:tab w:leader="none" w:pos="1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as the global leader in high-performance gaming and streaming gear. </w:t>
      </w:r>
      <w:r>
        <w:rPr>
          <w:rFonts w:ascii="Times New Roman" w:cs="Times New Roman" w:eastAsia="Times New Roman" w:hAnsi="Times New Roman"/>
          <w:sz w:val="18"/>
          <w:szCs w:val="18"/>
          <w:color w:val="auto"/>
        </w:rPr>
        <w:t>The gaming and streaming gear category is benefiting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growing popularity of competitive gaming and streaming, which are driving an increase in gaming and streaming participants as well as spend per participant on high-performance gear. We believe our brand name, high-performance gear and market position will allow us to capture a large share of this market growth and we intend to continue to make significant marketing investments in leading streamers, social media influencers and esports teams.</w:t>
      </w:r>
    </w:p>
    <w:p>
      <w:pPr>
        <w:spacing w:after="0" w:line="98" w:lineRule="exact"/>
        <w:rPr>
          <w:rFonts w:ascii="Times New Roman" w:cs="Times New Roman" w:eastAsia="Times New Roman" w:hAnsi="Times New Roman"/>
          <w:sz w:val="18"/>
          <w:szCs w:val="18"/>
          <w:color w:val="auto"/>
        </w:rPr>
      </w:pPr>
    </w:p>
    <w:p>
      <w:pPr>
        <w:ind w:left="1220" w:right="340" w:hanging="465"/>
        <w:spacing w:after="0" w:line="256" w:lineRule="auto"/>
        <w:tabs>
          <w:tab w:leader="none" w:pos="1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develop innovative, market-leading gaming and streaming gear. </w:t>
      </w:r>
      <w:r>
        <w:rPr>
          <w:rFonts w:ascii="Times New Roman" w:cs="Times New Roman" w:eastAsia="Times New Roman" w:hAnsi="Times New Roman"/>
          <w:sz w:val="18"/>
          <w:szCs w:val="18"/>
          <w:color w:val="auto"/>
        </w:rPr>
        <w:t>We intend to prioritize investment in creating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gaming and streaming gear and related software to enhance the customer experience by delivering cutting-edge technology. We have an exceptional engineering team, with approximately 25% of employees and contractors working on software solutions. We believe this strong bench of engineering expertise has helped us introduce 125 different products to the market across our categories in 2022, 141 in 2021, and 40 in 2020.</w:t>
      </w:r>
    </w:p>
    <w:p>
      <w:pPr>
        <w:spacing w:after="0" w:line="111" w:lineRule="exact"/>
        <w:rPr>
          <w:rFonts w:ascii="Times New Roman" w:cs="Times New Roman" w:eastAsia="Times New Roman" w:hAnsi="Times New Roman"/>
          <w:sz w:val="18"/>
          <w:szCs w:val="18"/>
          <w:color w:val="auto"/>
        </w:rPr>
      </w:pPr>
    </w:p>
    <w:p>
      <w:pPr>
        <w:ind w:left="1220" w:right="140" w:hanging="465"/>
        <w:spacing w:after="0" w:line="259" w:lineRule="auto"/>
        <w:tabs>
          <w:tab w:leader="none" w:pos="1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into new gear and services that grow our market opportunity. </w:t>
      </w:r>
      <w:r>
        <w:rPr>
          <w:rFonts w:ascii="Times New Roman" w:cs="Times New Roman" w:eastAsia="Times New Roman" w:hAnsi="Times New Roman"/>
          <w:sz w:val="18"/>
          <w:szCs w:val="18"/>
          <w:color w:val="auto"/>
        </w:rPr>
        <w:t>Since our inception, we have successfully entered a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gear categories, including gaming PC peripherals, streaming accessories, console controllers, and prebuilt and custom built gaming PCs and laptops. As the gaming and content creation landscape continues to evolve, we intend to continue to introduce new products and services to address our customers’ new and changing needs, and to grow our market opportunity.</w:t>
      </w:r>
    </w:p>
    <w:p>
      <w:pPr>
        <w:spacing w:after="0" w:line="108" w:lineRule="exact"/>
        <w:rPr>
          <w:rFonts w:ascii="Times New Roman" w:cs="Times New Roman" w:eastAsia="Times New Roman" w:hAnsi="Times New Roman"/>
          <w:sz w:val="18"/>
          <w:szCs w:val="18"/>
          <w:color w:val="auto"/>
        </w:rPr>
      </w:pPr>
    </w:p>
    <w:p>
      <w:pPr>
        <w:jc w:val="both"/>
        <w:ind w:left="1220" w:right="120" w:hanging="465"/>
        <w:spacing w:after="0" w:line="265" w:lineRule="auto"/>
        <w:tabs>
          <w:tab w:leader="none" w:pos="1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our software platforms to sell more gear to existing customers. </w:t>
      </w:r>
      <w:r>
        <w:rPr>
          <w:rFonts w:ascii="Times New Roman" w:cs="Times New Roman" w:eastAsia="Times New Roman" w:hAnsi="Times New Roman"/>
          <w:sz w:val="18"/>
          <w:szCs w:val="18"/>
          <w:color w:val="auto"/>
        </w:rPr>
        <w:t>Our software platforms integrate and enhance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ecosystem of gaming and streaming gear, which drives customer loyalty and allows us to successfully sell additional gear to existing customers.</w:t>
      </w:r>
    </w:p>
    <w:p>
      <w:pPr>
        <w:spacing w:after="0" w:line="89" w:lineRule="exact"/>
        <w:rPr>
          <w:rFonts w:ascii="Times New Roman" w:cs="Times New Roman" w:eastAsia="Times New Roman" w:hAnsi="Times New Roman"/>
          <w:sz w:val="18"/>
          <w:szCs w:val="18"/>
          <w:color w:val="auto"/>
        </w:rPr>
      </w:pPr>
    </w:p>
    <w:p>
      <w:pPr>
        <w:ind w:left="1220" w:right="140" w:hanging="465"/>
        <w:spacing w:after="0" w:line="254" w:lineRule="auto"/>
        <w:tabs>
          <w:tab w:leader="none" w:pos="1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relationships with end-users by increasing direct-to-consumer sales. </w:t>
      </w:r>
      <w:r>
        <w:rPr>
          <w:rFonts w:ascii="Times New Roman" w:cs="Times New Roman" w:eastAsia="Times New Roman" w:hAnsi="Times New Roman"/>
          <w:sz w:val="18"/>
          <w:szCs w:val="18"/>
          <w:color w:val="auto"/>
        </w:rPr>
        <w:t>Through our acquisitions of Origin and SCUF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we acquired two companies whose sales are primarily generated through direct-to-consumer channels. While sales from this channel are a relatively small contributor to our revenue today, the percentage of such sales has grown consistently and we believe direct-to-consumer sales represent a significant avenue to drive growth by facilitating increased market penetration across our product categories. The mix of direct-to-consumer sales represented 13.7%, 10.7%, and 8.6% of our total revenue for the years ended December 31, 2022, 2021 and 2020, respectively.</w:t>
      </w:r>
    </w:p>
    <w:p>
      <w:pPr>
        <w:spacing w:after="0" w:line="181" w:lineRule="exact"/>
        <w:rPr>
          <w:rFonts w:ascii="Times New Roman" w:cs="Times New Roman" w:eastAsia="Times New Roman" w:hAnsi="Times New Roman"/>
          <w:sz w:val="18"/>
          <w:szCs w:val="18"/>
          <w:color w:val="auto"/>
        </w:rPr>
      </w:pPr>
    </w:p>
    <w:p>
      <w:pPr>
        <w:ind w:left="1220" w:hanging="465"/>
        <w:spacing w:after="0" w:line="259" w:lineRule="auto"/>
        <w:tabs>
          <w:tab w:leader="none" w:pos="1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grow market share globally. </w:t>
      </w:r>
      <w:r>
        <w:rPr>
          <w:rFonts w:ascii="Times New Roman" w:cs="Times New Roman" w:eastAsia="Times New Roman" w:hAnsi="Times New Roman"/>
          <w:sz w:val="18"/>
          <w:szCs w:val="18"/>
          <w:color w:val="auto"/>
        </w:rPr>
        <w:t>As a globally recognized brand, we have a footprint that reaches customers in more than 85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countries. We will continue to invest in enhancing our sales and distribution infrastructure to expand our leadership position in the Americas and Europe. We view the Asia Pacific region as a long-term growth opportunity and recently invested in our local sales force and regional management to build out distributor networks and retail partnerships.</w:t>
      </w:r>
    </w:p>
    <w:p>
      <w:pPr>
        <w:spacing w:after="0" w:line="121" w:lineRule="exact"/>
        <w:rPr>
          <w:rFonts w:ascii="Times New Roman" w:cs="Times New Roman" w:eastAsia="Times New Roman" w:hAnsi="Times New Roman"/>
          <w:sz w:val="18"/>
          <w:szCs w:val="18"/>
          <w:color w:val="auto"/>
        </w:rPr>
      </w:pPr>
    </w:p>
    <w:p>
      <w:pPr>
        <w:ind w:left="1220" w:hanging="465"/>
        <w:spacing w:after="0" w:line="256" w:lineRule="auto"/>
        <w:tabs>
          <w:tab w:leader="none" w:pos="1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our brand, software integration and superior product quality to support a pricing premium in the gaming PC components category. </w:t>
      </w:r>
      <w:r>
        <w:rPr>
          <w:rFonts w:ascii="Times New Roman" w:cs="Times New Roman" w:eastAsia="Times New Roman" w:hAnsi="Times New Roman"/>
          <w:sz w:val="18"/>
          <w:szCs w:val="18"/>
          <w:color w:val="auto"/>
        </w:rPr>
        <w:t>In the gaming PC components category, our revenue and margins have benefited from higher pricing versus the 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market, which we expect to continue as we invest in our brand and product portfolio. Compared to the average non-Corsair product, our computer cases, cooling solutions, PSUs and high-performance memory commanded price premiums of 23%, 43%, 29% and 22%, respectively, in the United States for the twelve months ended December 31, 2022, according to recent NPD data.</w:t>
      </w:r>
    </w:p>
    <w:p>
      <w:pPr>
        <w:spacing w:after="0" w:line="125" w:lineRule="exact"/>
        <w:rPr>
          <w:rFonts w:ascii="Times New Roman" w:cs="Times New Roman" w:eastAsia="Times New Roman" w:hAnsi="Times New Roman"/>
          <w:sz w:val="18"/>
          <w:szCs w:val="18"/>
          <w:color w:val="auto"/>
        </w:rPr>
      </w:pPr>
    </w:p>
    <w:p>
      <w:pPr>
        <w:jc w:val="both"/>
        <w:ind w:left="1220" w:right="260" w:hanging="465"/>
        <w:spacing w:after="0" w:line="265" w:lineRule="auto"/>
        <w:tabs>
          <w:tab w:leader="none" w:pos="1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Selectively pursue complementary acquisitions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plan to evaluate, and may pursue acquisitions, such as our acquisitions of Elgato,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 and SCUF, which we believe strengthen our capabilities in existing segments as well as diversify our product offerings, broaden our end-user base or expand our geographic presence.</w:t>
      </w:r>
    </w:p>
    <w:p>
      <w:pPr>
        <w:spacing w:after="0" w:line="1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4" w:lineRule="exact"/>
        <w:rPr>
          <w:sz w:val="20"/>
          <w:szCs w:val="20"/>
          <w:color w:val="auto"/>
        </w:rPr>
      </w:pPr>
    </w:p>
    <w:p>
      <w:pPr>
        <w:ind w:right="300" w:firstLine="468"/>
        <w:spacing w:after="0" w:line="262" w:lineRule="auto"/>
        <w:rPr>
          <w:sz w:val="20"/>
          <w:szCs w:val="20"/>
          <w:color w:val="auto"/>
        </w:rPr>
      </w:pPr>
      <w:r>
        <w:rPr>
          <w:rFonts w:ascii="Times New Roman" w:cs="Times New Roman" w:eastAsia="Times New Roman" w:hAnsi="Times New Roman"/>
          <w:sz w:val="18"/>
          <w:szCs w:val="18"/>
          <w:color w:val="auto"/>
        </w:rPr>
        <w:t>We design our high-performance gear to address the needs of gamers, streamers and content creators. To help our customers perform at their peak, whether in game or on camera, we have developed the industry’s most complete integrated ecosystem of gamer and creator peripherals and gaming components and systems. We have a diversified product portfolio, with 30 primary product lines.</w:t>
      </w:r>
    </w:p>
    <w:p>
      <w:pPr>
        <w:spacing w:after="0" w:line="173" w:lineRule="exact"/>
        <w:rPr>
          <w:sz w:val="20"/>
          <w:szCs w:val="20"/>
          <w:color w:val="auto"/>
        </w:rPr>
      </w:pPr>
    </w:p>
    <w:p>
      <w:pPr>
        <w:ind w:left="1220" w:right="300" w:hanging="465"/>
        <w:spacing w:after="0" w:line="259" w:lineRule="auto"/>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Our gamer and creator peripherals seek to provide the fastest, highest fidelity, and most seamless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interface between digital athletes and their game, and content creators and their viewers. Our solutions include our high-performance gaming keyboards, mice, headsets, controllers, and streaming gear, which includes capture cards, Stream Decks, USB microphones, our Facecam streaming camera, studio accessories, and EpocCam software, as well as coaching and training services, among others.</w:t>
      </w:r>
    </w:p>
    <w:p>
      <w:pPr>
        <w:spacing w:after="0" w:line="108" w:lineRule="exact"/>
        <w:rPr>
          <w:rFonts w:ascii="Times New Roman" w:cs="Times New Roman" w:eastAsia="Times New Roman" w:hAnsi="Times New Roman"/>
          <w:sz w:val="18"/>
          <w:szCs w:val="18"/>
          <w:color w:val="auto"/>
        </w:rPr>
      </w:pPr>
    </w:p>
    <w:p>
      <w:pPr>
        <w:ind w:left="1220" w:right="260" w:hanging="465"/>
        <w:spacing w:after="0" w:line="275" w:lineRule="auto"/>
        <w:tabs>
          <w:tab w:leader="none" w:pos="12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Gaming components and systems</w:t>
      </w:r>
      <w:r>
        <w:rPr>
          <w:rFonts w:ascii="Times New Roman" w:cs="Times New Roman" w:eastAsia="Times New Roman" w:hAnsi="Times New Roman"/>
          <w:sz w:val="17"/>
          <w:szCs w:val="17"/>
          <w:color w:val="auto"/>
        </w:rPr>
        <w:t>. We develop and sell high-performance gaming components to help gamers, streamers and content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creators build their own custom gaming PCs. We also develop and sell complete high-performance gaming PCs and laptops using our gaming components. Our prebuilt systems and user-built systems are designed to deliver maximum performance, while also providing our customers the design aesthetic and customizability they demand. Our solutions include our PSUs, cooling solutions, computer cases, and DRAM modules, as well as high-end prebuilt and custom-built gaming PCs and laptops, and gaming monitors, among others.</w:t>
      </w:r>
    </w:p>
    <w:p>
      <w:pPr>
        <w:spacing w:after="0" w:line="82" w:lineRule="exact"/>
        <w:rPr>
          <w:rFonts w:ascii="Times New Roman" w:cs="Times New Roman" w:eastAsia="Times New Roman" w:hAnsi="Times New Roman"/>
          <w:sz w:val="17"/>
          <w:szCs w:val="17"/>
          <w:color w:val="auto"/>
        </w:rPr>
      </w:pPr>
    </w:p>
    <w:p>
      <w:pPr>
        <w:ind w:left="1220" w:right="220" w:hanging="465"/>
        <w:spacing w:after="0" w:line="265" w:lineRule="auto"/>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PC Gaming Software</w:t>
      </w:r>
      <w:r>
        <w:rPr>
          <w:rFonts w:ascii="Times New Roman" w:cs="Times New Roman" w:eastAsia="Times New Roman" w:hAnsi="Times New Roman"/>
          <w:sz w:val="18"/>
          <w:szCs w:val="18"/>
          <w:color w:val="auto"/>
        </w:rPr>
        <w:t>. Our product offering is enhanced by our two proprietary software platforms: iCUE for gamers and Elgato’s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streaming suite for streamers and content creators. These software platforms provide unified, intuitive performance, and aesthetic control and customization across their respective product families.</w:t>
      </w:r>
    </w:p>
    <w:p>
      <w:pPr>
        <w:spacing w:after="0" w:line="106" w:lineRule="exact"/>
        <w:rPr>
          <w:rFonts w:ascii="Times New Roman" w:cs="Times New Roman" w:eastAsia="Times New Roman" w:hAnsi="Times New Roman"/>
          <w:sz w:val="18"/>
          <w:szCs w:val="18"/>
          <w:color w:val="auto"/>
        </w:rPr>
      </w:pPr>
    </w:p>
    <w:p>
      <w:pPr>
        <w:ind w:left="1220" w:right="280"/>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Our iCUE software platform powers the full range of our gear from a single intuitive interface, providing advanced performance tuning, user customization and system monitoring. By enabling our customers to fine tune the response of our gaming gear to maximize performance and match their personal preferences and styles of play, we believe that iCUE provides a distinct competitive advantage.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18" w:lineRule="exact"/>
        <w:rPr>
          <w:sz w:val="20"/>
          <w:szCs w:val="20"/>
          <w:color w:val="auto"/>
        </w:rPr>
      </w:pPr>
    </w:p>
    <w:p>
      <w:pPr>
        <w:ind w:firstLine="468"/>
        <w:spacing w:after="0" w:line="251" w:lineRule="auto"/>
        <w:rPr>
          <w:sz w:val="20"/>
          <w:szCs w:val="20"/>
          <w:color w:val="auto"/>
        </w:rPr>
      </w:pPr>
      <w:r>
        <w:rPr>
          <w:rFonts w:ascii="Times New Roman" w:cs="Times New Roman" w:eastAsia="Times New Roman" w:hAnsi="Times New Roman"/>
          <w:sz w:val="18"/>
          <w:szCs w:val="18"/>
          <w:color w:val="auto"/>
        </w:rPr>
        <w:t>Innovation is a key element of our culture and critical to our success. Our product development efforts focus on broadening our portfolio with innovative, value-added products that provide gamers with more immersive experiences. This process begins with the initial market analysis and product definition phase, where we use deep knowledge of consumer preferences and feedback to decide the exact specifications of new products desired by our end-users. We then leverage third-party manufacturers and, in some cases, engineering and design firms to help us design, prototype and fabricate our products. We select these third-party partners through a comprehensive selection process and subject them to rigorous quality controls. We perform extensive in-house testing of our products with the latest CPUs and GPUs to ensure optimal performance and compatibility of our products with the most advanced hardware. Our rigorous product development and testing is designed to give us the ability to meet the needs of our end-users consistently with well-designed, high-performance and reliable products. We intend to continue to significantly invest in product development to support the design and development of innovative, high-quality products and solutions to maintain and enhance our competitive position.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18" w:lineRule="exact"/>
        <w:rPr>
          <w:sz w:val="20"/>
          <w:szCs w:val="20"/>
          <w:color w:val="auto"/>
        </w:rPr>
      </w:pPr>
    </w:p>
    <w:p>
      <w:pPr>
        <w:ind w:firstLine="468"/>
        <w:spacing w:after="0" w:line="257" w:lineRule="auto"/>
        <w:rPr>
          <w:sz w:val="20"/>
          <w:szCs w:val="20"/>
          <w:color w:val="auto"/>
        </w:rPr>
      </w:pPr>
      <w:r>
        <w:rPr>
          <w:rFonts w:ascii="Times New Roman" w:cs="Times New Roman" w:eastAsia="Times New Roman" w:hAnsi="Times New Roman"/>
          <w:sz w:val="18"/>
          <w:szCs w:val="18"/>
          <w:color w:val="auto"/>
        </w:rPr>
        <w:t>Our marketing efforts are designed to enhance the Corsair, Elgato, Origin and SCUF brand names, to help us acquire new customers and to increase sales from our existing customers. We have structured our marketing organization to achieve both product- and geography-specific coverage. In addition, our marketing personnel regularly meets with other key industry suppliers such as Intel, AMD, and NVIDIA, in order to ensure that our product development efforts appropriately address the needs of their new products and also to discuss trends and changes in the computer technology market.</w:t>
      </w:r>
    </w:p>
    <w:p>
      <w:pPr>
        <w:spacing w:after="0" w:line="182" w:lineRule="exact"/>
        <w:rPr>
          <w:sz w:val="20"/>
          <w:szCs w:val="20"/>
          <w:color w:val="auto"/>
        </w:rPr>
      </w:pPr>
    </w:p>
    <w:p>
      <w:pPr>
        <w:ind w:right="160" w:firstLine="468"/>
        <w:spacing w:after="0" w:line="257" w:lineRule="auto"/>
        <w:rPr>
          <w:sz w:val="20"/>
          <w:szCs w:val="20"/>
          <w:color w:val="auto"/>
        </w:rPr>
      </w:pPr>
      <w:r>
        <w:rPr>
          <w:rFonts w:ascii="Times New Roman" w:cs="Times New Roman" w:eastAsia="Times New Roman" w:hAnsi="Times New Roman"/>
          <w:sz w:val="18"/>
          <w:szCs w:val="18"/>
          <w:color w:val="auto"/>
        </w:rPr>
        <w:t>We build awareness of our products and brand through advertising campaigns, public relations efforts, marketing development funds and other financial incentives provided to retailers to promote our products, end-user rebates, online social media outreach, online and in-store promotions and merchandising, our website and other efforts. We believe that our products and brand have also benefited from social media influencers, customer referrals and positive product reviews. We also invest in sponsorships and partnerships with esports events, leagues teams and streaming influencers.</w:t>
      </w:r>
    </w:p>
    <w:p>
      <w:pPr>
        <w:spacing w:after="0" w:line="182" w:lineRule="exact"/>
        <w:rPr>
          <w:sz w:val="20"/>
          <w:szCs w:val="20"/>
          <w:color w:val="auto"/>
        </w:rPr>
      </w:pPr>
    </w:p>
    <w:p>
      <w:pPr>
        <w:ind w:right="220" w:firstLine="468"/>
        <w:spacing w:after="0" w:line="277" w:lineRule="auto"/>
        <w:rPr>
          <w:sz w:val="20"/>
          <w:szCs w:val="20"/>
          <w:color w:val="auto"/>
        </w:rPr>
      </w:pPr>
      <w:r>
        <w:rPr>
          <w:rFonts w:ascii="Times New Roman" w:cs="Times New Roman" w:eastAsia="Times New Roman" w:hAnsi="Times New Roman"/>
          <w:sz w:val="18"/>
          <w:szCs w:val="18"/>
          <w:color w:val="auto"/>
        </w:rPr>
        <w:t>We benefit from an active computer gaming community whose members communicate with each other through various online social media such as forums, blogs and social networks, including Facebook, Instagram, Tik-Tok, Twitter and YouTube. In addition to</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forums hosted by third-party domains, we host a Corsair-branded forum that is accessible via our website. We actively participate in this community, enabling us to communicate directly with our end customers. Finally, we regularly publish technical and editorial content through various online and print channels and participate in industry trade shows, gaming competitions and other consumer-facing events that provide us with the opportunity to demonstrate our products.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118" w:lineRule="exact"/>
        <w:rPr>
          <w:sz w:val="20"/>
          <w:szCs w:val="20"/>
          <w:color w:val="auto"/>
        </w:rPr>
      </w:pPr>
    </w:p>
    <w:p>
      <w:pPr>
        <w:ind w:right="40" w:firstLine="468"/>
        <w:spacing w:after="0" w:line="252" w:lineRule="auto"/>
        <w:rPr>
          <w:sz w:val="20"/>
          <w:szCs w:val="20"/>
          <w:color w:val="auto"/>
        </w:rPr>
      </w:pPr>
      <w:r>
        <w:rPr>
          <w:rFonts w:ascii="Times New Roman" w:cs="Times New Roman" w:eastAsia="Times New Roman" w:hAnsi="Times New Roman"/>
          <w:sz w:val="18"/>
          <w:szCs w:val="18"/>
          <w:color w:val="auto"/>
        </w:rPr>
        <w:t>Our gear is purchased by gaming enthusiasts and content creators worldwide through either our e-retail and retail channel or our direct-to-consumer channel. In our e-retail and retail channel, we distribute our gear either directly to resellers or through key distributors. We have also seen a growing demand for our gear within the business-to-business channel since 2020. While we historically have sold our gear directly to consumers through our website, following our acquisitions of Origin and SCUF Gaming in 2019, the volume of direct-to-consumer sales has increased as both of these companies primarily generated sales through direct-to-consumer channels. We believe direct-to-consumer sales represent a significant avenue to increase engagement with our customers to drive growth by facilitating increased market penetration across our product categories, and since 2019, our direct-to-consumer sales have grown consistently each year.</w:t>
      </w:r>
    </w:p>
    <w:p>
      <w:pPr>
        <w:spacing w:after="0" w:line="189" w:lineRule="exact"/>
        <w:rPr>
          <w:sz w:val="20"/>
          <w:szCs w:val="20"/>
          <w:color w:val="auto"/>
        </w:rPr>
      </w:pPr>
    </w:p>
    <w:p>
      <w:pPr>
        <w:ind w:right="80" w:firstLine="468"/>
        <w:spacing w:after="0" w:line="255" w:lineRule="auto"/>
        <w:rPr>
          <w:sz w:val="20"/>
          <w:szCs w:val="20"/>
          <w:color w:val="auto"/>
        </w:rPr>
      </w:pPr>
      <w:r>
        <w:rPr>
          <w:rFonts w:ascii="Times New Roman" w:cs="Times New Roman" w:eastAsia="Times New Roman" w:hAnsi="Times New Roman"/>
          <w:sz w:val="18"/>
          <w:szCs w:val="18"/>
          <w:color w:val="auto"/>
        </w:rPr>
        <w:t>We have organized our sales organization into four major geographic regions—Europe (including the Middle East and North Africa), North America, Latin America and Asia Pacific (including South Africa)—and we have local language-speaking sales representatives in the countries that, in the aggregate, generate the majority of our net revenue. We ship our products directly to retailers and distributors and, through distributors, supply our products to thousands of smaller online and brick-and-mortar retailers and to specialist and gaming system integrators and value-added resellers. A small portion of our net revenue is from sales directly to original equipment manufacturers that manufacture gaming PCs.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2022, 2021 and 2020, e-retailer Amazon accounted for more than 10% of our net revenue, at 26.0%, 26.7%, and 24.6%, respectively.</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and Operations</w:t>
      </w:r>
    </w:p>
    <w:p>
      <w:pPr>
        <w:spacing w:after="0" w:line="118" w:lineRule="exact"/>
        <w:rPr>
          <w:sz w:val="20"/>
          <w:szCs w:val="20"/>
          <w:color w:val="auto"/>
        </w:rPr>
      </w:pPr>
    </w:p>
    <w:p>
      <w:pPr>
        <w:ind w:right="200" w:firstLine="468"/>
        <w:spacing w:after="0" w:line="253" w:lineRule="auto"/>
        <w:rPr>
          <w:sz w:val="20"/>
          <w:szCs w:val="20"/>
          <w:color w:val="auto"/>
        </w:rPr>
      </w:pPr>
      <w:r>
        <w:rPr>
          <w:rFonts w:ascii="Times New Roman" w:cs="Times New Roman" w:eastAsia="Times New Roman" w:hAnsi="Times New Roman"/>
          <w:sz w:val="18"/>
          <w:szCs w:val="18"/>
          <w:color w:val="auto"/>
        </w:rPr>
        <w:t>We believe we have developed a global, scalable production and operations infrastructure that allows us to deliver our products promptly and cost-effectively. We operate a facility in Taiwan where we assemble, test, package and ultimately supply nearly all of our DRAM modules and a significant portion of our customized gaming controllers, liquid cooling products and prebuilt gaming systems. We also assemble, test, package and ultimately supply our custom-built PCs and our customized gaming controllers in our U.S. facility in Atlanta, Georgia. All of the other gear we sell is produced at factories operated by third parties located in Asia. In addition, we outsource storage and shipping to several third-party logistics providers around the world which allows us to reduce order fulfillment time, reduce shipping costs and improve inventory flexibility.</w:t>
      </w:r>
    </w:p>
    <w:p>
      <w:pPr>
        <w:spacing w:after="0" w:line="187" w:lineRule="exact"/>
        <w:rPr>
          <w:sz w:val="20"/>
          <w:szCs w:val="20"/>
          <w:color w:val="auto"/>
        </w:rPr>
      </w:pPr>
    </w:p>
    <w:p>
      <w:pPr>
        <w:ind w:right="80" w:firstLine="468"/>
        <w:spacing w:after="0" w:line="257" w:lineRule="auto"/>
        <w:rPr>
          <w:sz w:val="20"/>
          <w:szCs w:val="20"/>
          <w:color w:val="auto"/>
        </w:rPr>
      </w:pPr>
      <w:r>
        <w:rPr>
          <w:rFonts w:ascii="Times New Roman" w:cs="Times New Roman" w:eastAsia="Times New Roman" w:hAnsi="Times New Roman"/>
          <w:sz w:val="18"/>
          <w:szCs w:val="18"/>
          <w:color w:val="auto"/>
        </w:rPr>
        <w:t>Production of most of our high-speed DRAM modules involves testing and speed sorting of both DRAM ICs and modules and retail packing in our facility in Taoyuan, Taiwan. Our ability to test and sort DRAM modules efficiently enables us to grade them and offer high-performance DRAM modules at higher price points. For standard speed DRAM modules, we also procure assembled modules from approved subcontractors and then test and package them in our Taiwan facility.</w:t>
      </w:r>
    </w:p>
    <w:p>
      <w:pPr>
        <w:spacing w:after="0" w:line="182" w:lineRule="exact"/>
        <w:rPr>
          <w:sz w:val="20"/>
          <w:szCs w:val="20"/>
          <w:color w:val="auto"/>
        </w:rPr>
      </w:pPr>
    </w:p>
    <w:p>
      <w:pPr>
        <w:ind w:right="60" w:firstLine="468"/>
        <w:spacing w:after="0" w:line="257" w:lineRule="auto"/>
        <w:rPr>
          <w:sz w:val="20"/>
          <w:szCs w:val="20"/>
          <w:color w:val="auto"/>
        </w:rPr>
      </w:pPr>
      <w:r>
        <w:rPr>
          <w:rFonts w:ascii="Times New Roman" w:cs="Times New Roman" w:eastAsia="Times New Roman" w:hAnsi="Times New Roman"/>
          <w:sz w:val="18"/>
          <w:szCs w:val="18"/>
          <w:color w:val="auto"/>
        </w:rPr>
        <w:t>In addition to our production capabilities, our corporate planning process places particular emphasis on driving efficiencies in demand forecasting, supply chain planning, procurement cycle time, freight costs and inventory management. Given the products we sell and the global nature of our business, freight costs can have a significant impact on our expenses, because of this, we have developed a sophisticated forecasting and planning process designed to reduce the cost of transporting our products to our regional distribution hubs and finally, to our customers.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8" w:lineRule="exact"/>
        <w:rPr>
          <w:sz w:val="20"/>
          <w:szCs w:val="20"/>
          <w:color w:val="auto"/>
        </w:rPr>
      </w:pPr>
    </w:p>
    <w:p>
      <w:pPr>
        <w:ind w:firstLine="468"/>
        <w:spacing w:after="0" w:line="252" w:lineRule="auto"/>
        <w:rPr>
          <w:sz w:val="20"/>
          <w:szCs w:val="20"/>
          <w:color w:val="auto"/>
        </w:rPr>
      </w:pPr>
      <w:r>
        <w:rPr>
          <w:rFonts w:ascii="Times New Roman" w:cs="Times New Roman" w:eastAsia="Times New Roman" w:hAnsi="Times New Roman"/>
          <w:sz w:val="18"/>
          <w:szCs w:val="18"/>
          <w:color w:val="auto"/>
        </w:rPr>
        <w:t>We have experienced and expect to continue to experience seasonal fluctuations in sales due to the buying patterns of our customers and spending patterns of gamers. Our net revenue has generally been lower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quarters due to seasonal sales such as “Black Friday” and “Cyber Monday,” as well as “Singles Day” in China, as retailers tend to make purchases in advance of these sales.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Historical seasonal</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160"/>
        <w:spacing w:after="0" w:line="308" w:lineRule="auto"/>
        <w:rPr>
          <w:sz w:val="20"/>
          <w:szCs w:val="20"/>
          <w:color w:val="auto"/>
        </w:rPr>
      </w:pPr>
      <w:r>
        <w:rPr>
          <w:rFonts w:ascii="Times New Roman" w:cs="Times New Roman" w:eastAsia="Times New Roman" w:hAnsi="Times New Roman"/>
          <w:sz w:val="17"/>
          <w:szCs w:val="17"/>
          <w:color w:val="auto"/>
        </w:rPr>
        <w:t>patterns may not continue in the future and have been impacted, most recently in 2020 and 2021, and may be further impacted in the future, by macroeconomic factors, increasing supply constraints, GPU shortages, shifts in customer behavior and the continuing impacts of the COVID-19 pandemic.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8" w:lineRule="exact"/>
        <w:rPr>
          <w:sz w:val="20"/>
          <w:szCs w:val="20"/>
          <w:color w:val="auto"/>
        </w:rPr>
      </w:pPr>
    </w:p>
    <w:p>
      <w:pPr>
        <w:ind w:right="140" w:firstLine="468"/>
        <w:spacing w:after="0" w:line="257" w:lineRule="auto"/>
        <w:rPr>
          <w:sz w:val="20"/>
          <w:szCs w:val="20"/>
          <w:color w:val="auto"/>
        </w:rPr>
      </w:pPr>
      <w:r>
        <w:rPr>
          <w:rFonts w:ascii="Times New Roman" w:cs="Times New Roman" w:eastAsia="Times New Roman" w:hAnsi="Times New Roman"/>
          <w:sz w:val="18"/>
          <w:szCs w:val="18"/>
          <w:color w:val="auto"/>
        </w:rPr>
        <w:t>We face intense competition in the markets for all of our products. We operate in markets that are characterized by rapid technological change, constant price pressure, rapid product obsolescence, evolving industry standards and new demands for features and performance. We experience aggressive price competition and other promotional activities by competitors, including in response to declines in consumer demand and excess product supply or as competitors seek to gain market share.</w:t>
      </w:r>
    </w:p>
    <w:p>
      <w:pPr>
        <w:spacing w:after="0" w:line="182" w:lineRule="exact"/>
        <w:rPr>
          <w:sz w:val="20"/>
          <w:szCs w:val="20"/>
          <w:color w:val="auto"/>
        </w:rPr>
      </w:pPr>
    </w:p>
    <w:p>
      <w:pPr>
        <w:ind w:right="80" w:firstLine="468"/>
        <w:spacing w:after="0" w:line="262" w:lineRule="auto"/>
        <w:rPr>
          <w:sz w:val="20"/>
          <w:szCs w:val="20"/>
          <w:color w:val="auto"/>
        </w:rPr>
      </w:pPr>
      <w:r>
        <w:rPr>
          <w:rFonts w:ascii="Times New Roman" w:cs="Times New Roman" w:eastAsia="Times New Roman" w:hAnsi="Times New Roman"/>
          <w:sz w:val="18"/>
          <w:szCs w:val="18"/>
          <w:color w:val="auto"/>
        </w:rPr>
        <w:t>We believe that the principal competitive factors that affect customer preferences include brand awareness, reputation, breadth and depth of product offering, product performance and quality, design and aesthetics, price, user experience, online product reviews and other value propositions. We believe we compete favorably based on these factors.</w:t>
      </w:r>
    </w:p>
    <w:p>
      <w:pPr>
        <w:spacing w:after="0" w:line="177" w:lineRule="exact"/>
        <w:rPr>
          <w:sz w:val="20"/>
          <w:szCs w:val="20"/>
          <w:color w:val="auto"/>
        </w:rPr>
      </w:pPr>
    </w:p>
    <w:p>
      <w:pPr>
        <w:ind w:right="20" w:firstLine="468"/>
        <w:spacing w:after="0" w:line="268" w:lineRule="auto"/>
        <w:rPr>
          <w:sz w:val="20"/>
          <w:szCs w:val="20"/>
          <w:color w:val="auto"/>
        </w:rPr>
      </w:pPr>
      <w:r>
        <w:rPr>
          <w:rFonts w:ascii="Times New Roman" w:cs="Times New Roman" w:eastAsia="Times New Roman" w:hAnsi="Times New Roman"/>
          <w:sz w:val="17"/>
          <w:szCs w:val="17"/>
          <w:color w:val="auto"/>
        </w:rPr>
        <w:t>In recent years, we have added new product categories and we intend to continue to introduce new product categories in the future. To the extent we are successful in adding new product categories, we will confront new competitors, many of which may have more experience, better known brands and greater distribution capabilities in the new product categories and markets than we do. In addition, because of the continuing convergence of the markets for computing devices and consumer electronics, we expect greater competition in the future from well-established consumer electronics companies. Many of our current and potential competitors, some of which are large, multi-national businesses, have substantially greater financial, technical, sales, marketing, personnel and other resources and greater brand recognition than we have. Our competitors may be in a strong position to respond quickly to new technologies and may be able to design, develop, market, and sell their products more effectively than we can. In addition, some of our competitors are small or mid-sized specialty companies, which may enable them to react to changes in industry trends or consumer preferences or to introduce new or innovative products more quickly than we can. As a result, our product development efforts may not be successful or result in market acceptance of our products.</w:t>
      </w:r>
    </w:p>
    <w:p>
      <w:pPr>
        <w:spacing w:after="0" w:line="173" w:lineRule="exact"/>
        <w:rPr>
          <w:sz w:val="20"/>
          <w:szCs w:val="20"/>
          <w:color w:val="auto"/>
        </w:rPr>
      </w:pPr>
    </w:p>
    <w:p>
      <w:pPr>
        <w:ind w:right="100" w:firstLine="468"/>
        <w:spacing w:after="0" w:line="255" w:lineRule="auto"/>
        <w:rPr>
          <w:sz w:val="20"/>
          <w:szCs w:val="20"/>
          <w:color w:val="auto"/>
        </w:rPr>
      </w:pPr>
      <w:r>
        <w:rPr>
          <w:rFonts w:ascii="Times New Roman" w:cs="Times New Roman" w:eastAsia="Times New Roman" w:hAnsi="Times New Roman"/>
          <w:sz w:val="18"/>
          <w:szCs w:val="18"/>
          <w:color w:val="auto"/>
        </w:rPr>
        <w:t>Our ability to compete successfully is fundamental to our success in existing and new markets. If we do not compete effectively, demand for our products could decline, our net revenues and gross margin could decrease and we could lose market share, which could seriously harm our business, results of operations and financial condition. See the risk factor under the heading “Risks Related to our Business— We face intense competition, and if we do not compete effectively, we could lose market share, demand for our gear could decline and our business may be seriously harmed” in Item 1A of this Form 10-K for further details and a summary of our key competitors.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4" w:lineRule="exact"/>
        <w:rPr>
          <w:sz w:val="20"/>
          <w:szCs w:val="20"/>
          <w:color w:val="auto"/>
        </w:rPr>
      </w:pPr>
    </w:p>
    <w:p>
      <w:pPr>
        <w:jc w:val="both"/>
        <w:ind w:right="80" w:firstLine="468"/>
        <w:spacing w:after="0" w:line="257" w:lineRule="auto"/>
        <w:rPr>
          <w:sz w:val="20"/>
          <w:szCs w:val="20"/>
          <w:color w:val="auto"/>
        </w:rPr>
      </w:pPr>
      <w:r>
        <w:rPr>
          <w:rFonts w:ascii="Times New Roman" w:cs="Times New Roman" w:eastAsia="Times New Roman" w:hAnsi="Times New Roman"/>
          <w:sz w:val="18"/>
          <w:szCs w:val="18"/>
          <w:color w:val="auto"/>
        </w:rPr>
        <w:t>We consider the Corsair brand and its associated sub-brands to be among our most valuable assets. Our future success depends to a large degree upon our ability to defend the Corsair brand and its associated sub-brands from infringement and, to a limited extent, to protect our other intellectual property. We rely on a combination of copyright, trademark, patent and other intellectual property laws and confidentiality procedures and contractual provisions such as non-disclosure terms to protect our intellectual property.</w:t>
      </w:r>
    </w:p>
    <w:p>
      <w:pPr>
        <w:spacing w:after="0" w:line="182" w:lineRule="exact"/>
        <w:rPr>
          <w:sz w:val="20"/>
          <w:szCs w:val="20"/>
          <w:color w:val="auto"/>
        </w:rPr>
      </w:pPr>
    </w:p>
    <w:p>
      <w:pPr>
        <w:ind w:firstLine="468"/>
        <w:spacing w:after="0" w:line="252" w:lineRule="auto"/>
        <w:rPr>
          <w:sz w:val="20"/>
          <w:szCs w:val="20"/>
          <w:color w:val="auto"/>
        </w:rPr>
      </w:pPr>
      <w:r>
        <w:rPr>
          <w:rFonts w:ascii="Times New Roman" w:cs="Times New Roman" w:eastAsia="Times New Roman" w:hAnsi="Times New Roman"/>
          <w:sz w:val="18"/>
          <w:szCs w:val="18"/>
          <w:color w:val="auto"/>
        </w:rPr>
        <w:t>As of December 31, 2022, our worldwide intellectual property portfolio consisted of 326 patents issued and 87 patents pending applications, 467 trademarks issued and 56 trademarks pending applications. We believe that our patents and trademarks and their applications are important for maintaining the competitive differentiation of our products and services, enhancing our freedom of action to sell our products and services in markets in which we choose to participate, and maximizing our return on research and development investments. The expansion of our business has required us to protect our trademarks, domain names, copyrights, and patents and, to the extent that we expand our business into new geographic areas, we may be required to protect our trademarks, domain names, copyrights, patents and other intellectual property in an increasing number of jurisdictions, a process that is expensive and sometimes requires litigation.</w:t>
      </w:r>
    </w:p>
    <w:p>
      <w:pPr>
        <w:spacing w:after="0" w:line="189" w:lineRule="exact"/>
        <w:rPr>
          <w:sz w:val="20"/>
          <w:szCs w:val="20"/>
          <w:color w:val="auto"/>
        </w:rPr>
      </w:pPr>
    </w:p>
    <w:p>
      <w:pPr>
        <w:ind w:right="120" w:firstLine="468"/>
        <w:spacing w:after="0" w:line="255" w:lineRule="auto"/>
        <w:rPr>
          <w:sz w:val="20"/>
          <w:szCs w:val="20"/>
          <w:color w:val="auto"/>
        </w:rPr>
      </w:pPr>
      <w:r>
        <w:rPr>
          <w:rFonts w:ascii="Times New Roman" w:cs="Times New Roman" w:eastAsia="Times New Roman" w:hAnsi="Times New Roman"/>
          <w:sz w:val="18"/>
          <w:szCs w:val="18"/>
          <w:color w:val="auto"/>
        </w:rPr>
        <w:t>For a discussion of risks attendant to intellectual property rights, see “Risk Factors—Risks Related to our Business—Our future success depends to a large degree upon our ability to defend the Corsair brand and product family brands such as SCUF, Vengeance, K70, Elgato and iCUE from infringement and, if we are unable to protect our brand and other intellectual property, our business may be seriously harmed” and “Risk Factors—Risks Related to our Business—We are, have in the past been, and may in the future be, subject to intellectual property infringement claims, which are costly to defend, could require us to pay damages or royalties and could limit our ability to use certain technologies in the future” in item 1A.</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18" w:lineRule="exact"/>
        <w:rPr>
          <w:sz w:val="20"/>
          <w:szCs w:val="20"/>
          <w:color w:val="auto"/>
        </w:rPr>
      </w:pPr>
    </w:p>
    <w:p>
      <w:pPr>
        <w:ind w:right="20" w:firstLine="468"/>
        <w:spacing w:after="0" w:line="252" w:lineRule="auto"/>
        <w:rPr>
          <w:sz w:val="20"/>
          <w:szCs w:val="20"/>
          <w:color w:val="auto"/>
        </w:rPr>
      </w:pPr>
      <w:r>
        <w:rPr>
          <w:rFonts w:ascii="Times New Roman" w:cs="Times New Roman" w:eastAsia="Times New Roman" w:hAnsi="Times New Roman"/>
          <w:sz w:val="18"/>
          <w:szCs w:val="18"/>
          <w:color w:val="auto"/>
        </w:rPr>
        <w:t>Our operations, properties and products are subject to a variety of U.S. and foreign environmental laws and regulations governing, among other things, air emissions, wastewater discharges, management and disposal of hazardous and non-hazardous materials and waste and remediation of releases of hazardous materials. We believe, based on current information that we are in material compliance with environmental laws and regulations applicable to us. However, our failure to comply with present and future requirements under these laws and regulations, or environmental contamination or releases of hazardous materials on our leased premises, as well as through disposal of our products, could cause us to incur substantial costs, including clean-up costs, personal injury and property damage claims, fines and penalties, costs to redesign our products or upgrade our facilities and legal costs, or require us to curtail our operations, any of which could seriously harm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8" w:lineRule="exact"/>
        <w:rPr>
          <w:sz w:val="20"/>
          <w:szCs w:val="20"/>
          <w:color w:val="auto"/>
        </w:rPr>
      </w:pPr>
    </w:p>
    <w:p>
      <w:pPr>
        <w:jc w:val="both"/>
        <w:ind w:firstLine="468"/>
        <w:spacing w:after="0" w:line="257" w:lineRule="auto"/>
        <w:rPr>
          <w:sz w:val="20"/>
          <w:szCs w:val="20"/>
          <w:color w:val="auto"/>
        </w:rPr>
      </w:pPr>
      <w:r>
        <w:rPr>
          <w:rFonts w:ascii="Times New Roman" w:cs="Times New Roman" w:eastAsia="Times New Roman" w:hAnsi="Times New Roman"/>
          <w:sz w:val="18"/>
          <w:szCs w:val="18"/>
          <w:color w:val="auto"/>
        </w:rPr>
        <w:t>As of December 31, 2022, we employed 2,480 persons, including contractors working full-time in our manufacturing operations as well as contractors supporting our software and IT development. None of our direct employees is currently represented by a labor union or is covered by a collective bargaining agreement with respect to his or her employment. To date we have not experienced any work stoppages, and we consider our relationship with our employees to be good.</w:t>
      </w:r>
    </w:p>
    <w:p>
      <w:pPr>
        <w:spacing w:after="0" w:line="75" w:lineRule="exact"/>
        <w:rPr>
          <w:sz w:val="20"/>
          <w:szCs w:val="20"/>
          <w:color w:val="auto"/>
        </w:rPr>
      </w:pPr>
    </w:p>
    <w:p>
      <w:pPr>
        <w:ind w:right="240" w:firstLine="468"/>
        <w:spacing w:after="0" w:line="262"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incorporated in Delaware in 2017 as EagleTree-Carbide Acquisition Corp. and we changed our name to Corsair Gaming, Inc. in 2018.</w:t>
      </w:r>
    </w:p>
    <w:p>
      <w:pPr>
        <w:spacing w:after="0" w:line="2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completed the initial public offering, or the IPO, of our common stock in September 2020 and our common stock is listed on the Nasdaq Global Select Market under the symbol “CRSR.” Our principal executive offices are located at 115 N. McCarthy Boulevard, Milpitas, California, 95035, and our telephone number is (510) 657-8747.</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4" w:lineRule="exact"/>
        <w:rPr>
          <w:sz w:val="20"/>
          <w:szCs w:val="20"/>
          <w:color w:val="auto"/>
        </w:rPr>
      </w:pPr>
    </w:p>
    <w:p>
      <w:pPr>
        <w:ind w:right="40" w:firstLine="468"/>
        <w:spacing w:after="0" w:line="255"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 website located at www.corsair.com as soon as reasonably practical after we file such material with, or furnish it to,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6" w:lineRule="exact"/>
        <w:rPr>
          <w:sz w:val="20"/>
          <w:szCs w:val="20"/>
          <w:color w:val="auto"/>
        </w:rPr>
      </w:pPr>
    </w:p>
    <w:p>
      <w:pPr>
        <w:jc w:val="both"/>
        <w:ind w:right="12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Securities and Exchange Commission (SEC) before making investment decisions regarding our common stock.</w:t>
      </w:r>
    </w:p>
    <w:p>
      <w:pPr>
        <w:spacing w:after="0" w:line="74" w:lineRule="exact"/>
        <w:rPr>
          <w:sz w:val="20"/>
          <w:szCs w:val="20"/>
          <w:color w:val="auto"/>
        </w:rPr>
      </w:pPr>
    </w:p>
    <w:p>
      <w:pPr>
        <w:ind w:left="1020" w:right="300" w:hanging="506"/>
        <w:spacing w:after="0" w:line="27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success in the market depend to a significant degree upon our ability to build and maintain the strength of our brand among gaming enthusiasts and any failure to build and maintain our brand may seriously harm our business.</w:t>
      </w:r>
    </w:p>
    <w:p>
      <w:pPr>
        <w:spacing w:after="0" w:line="56" w:lineRule="exact"/>
        <w:rPr>
          <w:rFonts w:ascii="Times New Roman" w:cs="Times New Roman" w:eastAsia="Times New Roman" w:hAnsi="Times New Roman"/>
          <w:sz w:val="18"/>
          <w:szCs w:val="18"/>
          <w:color w:val="auto"/>
        </w:rPr>
      </w:pPr>
    </w:p>
    <w:p>
      <w:pPr>
        <w:ind w:left="1020" w:right="140" w:hanging="506"/>
        <w:spacing w:after="0" w:line="27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56" w:lineRule="exact"/>
        <w:rPr>
          <w:rFonts w:ascii="Times New Roman" w:cs="Times New Roman" w:eastAsia="Times New Roman" w:hAnsi="Times New Roman"/>
          <w:sz w:val="18"/>
          <w:szCs w:val="18"/>
          <w:color w:val="auto"/>
        </w:rPr>
      </w:pPr>
    </w:p>
    <w:p>
      <w:pPr>
        <w:ind w:left="1020" w:right="80" w:hanging="506"/>
        <w:spacing w:after="0" w:line="27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introduction and success of new third-party high-performance computer hardware, particularly graphics processing units, or GPUs, and central processing units, or CPUs, and sophisticated new video games to drive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left="1020" w:right="300"/>
        <w:spacing w:after="0" w:line="277" w:lineRule="auto"/>
        <w:rPr>
          <w:sz w:val="20"/>
          <w:szCs w:val="20"/>
          <w:color w:val="auto"/>
        </w:rPr>
      </w:pPr>
      <w:r>
        <w:rPr>
          <w:rFonts w:ascii="Times New Roman" w:cs="Times New Roman" w:eastAsia="Times New Roman" w:hAnsi="Times New Roman"/>
          <w:sz w:val="18"/>
          <w:szCs w:val="18"/>
          <w:color w:val="auto"/>
        </w:rPr>
        <w:t>sales of our gear. If newly introduced GPUs, CPUs and sophisticated video games are not successful, if the rate at which those products are introduced declines or if such products are not readily available, it may seriously harm our business.</w:t>
      </w:r>
    </w:p>
    <w:p>
      <w:pPr>
        <w:spacing w:after="0" w:line="57" w:lineRule="exact"/>
        <w:rPr>
          <w:sz w:val="20"/>
          <w:szCs w:val="20"/>
          <w:color w:val="auto"/>
        </w:rPr>
      </w:pPr>
    </w:p>
    <w:p>
      <w:pPr>
        <w:ind w:left="1020" w:right="360" w:hanging="506"/>
        <w:spacing w:after="0" w:line="27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if we do not compete effectively, we could lose market share, demand for our gear could decline and our business may be seriously harmed.</w:t>
      </w:r>
    </w:p>
    <w:p>
      <w:pPr>
        <w:spacing w:after="0" w:line="56"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gaming industry, including streaming and esports, does not grow as expected or declines, our business could be seriously harmed.</w:t>
      </w:r>
    </w:p>
    <w:p>
      <w:pPr>
        <w:spacing w:after="0" w:line="113" w:lineRule="exact"/>
        <w:rPr>
          <w:rFonts w:ascii="Times New Roman" w:cs="Times New Roman" w:eastAsia="Times New Roman" w:hAnsi="Times New Roman"/>
          <w:sz w:val="18"/>
          <w:szCs w:val="18"/>
          <w:color w:val="auto"/>
        </w:rPr>
      </w:pPr>
    </w:p>
    <w:p>
      <w:pPr>
        <w:ind w:left="1020" w:right="100" w:hanging="506"/>
        <w:spacing w:after="0" w:line="27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or are unable to attract and retain key management, our ability to compete could be seriously harmed and our financial performance could suffer.</w:t>
      </w:r>
    </w:p>
    <w:p>
      <w:pPr>
        <w:spacing w:after="0" w:line="56" w:lineRule="exact"/>
        <w:rPr>
          <w:rFonts w:ascii="Times New Roman" w:cs="Times New Roman" w:eastAsia="Times New Roman" w:hAnsi="Times New Roman"/>
          <w:sz w:val="18"/>
          <w:szCs w:val="18"/>
          <w:color w:val="auto"/>
        </w:rPr>
      </w:pPr>
    </w:p>
    <w:p>
      <w:pPr>
        <w:ind w:left="1020" w:right="320" w:hanging="506"/>
        <w:spacing w:after="0" w:line="27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could result in our gear becoming relatively more expensive to our overseas customers or increase our manufacturing costs, each of which may seriously harm our business.</w:t>
      </w:r>
    </w:p>
    <w:p>
      <w:pPr>
        <w:spacing w:after="0" w:line="56" w:lineRule="exact"/>
        <w:rPr>
          <w:rFonts w:ascii="Times New Roman" w:cs="Times New Roman" w:eastAsia="Times New Roman" w:hAnsi="Times New Roman"/>
          <w:sz w:val="18"/>
          <w:szCs w:val="18"/>
          <w:color w:val="auto"/>
        </w:rPr>
      </w:pPr>
    </w:p>
    <w:p>
      <w:pPr>
        <w:ind w:left="1020" w:right="140" w:hanging="506"/>
        <w:spacing w:after="0" w:line="27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unit shipments of our gear tend to be higher during the third and fourth quarters of the year. As a result, our sales are subject to seasonal fluctuations, which may seriously harm our business.</w:t>
      </w:r>
    </w:p>
    <w:p>
      <w:pPr>
        <w:spacing w:after="0" w:line="56"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coronavirus outbreak has had, and could continue to have, a materially disruptive effect on our business.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war between Russia and Ukraine could adversely affect our business, financial condition and results of operations.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controlled by a single stockholder, whose interest in our business may be different than yours.</w:t>
      </w:r>
    </w:p>
    <w:p>
      <w:pPr>
        <w:spacing w:after="0" w:line="113" w:lineRule="exact"/>
        <w:rPr>
          <w:rFonts w:ascii="Times New Roman" w:cs="Times New Roman" w:eastAsia="Times New Roman" w:hAnsi="Times New Roman"/>
          <w:sz w:val="18"/>
          <w:szCs w:val="18"/>
          <w:color w:val="auto"/>
        </w:rPr>
      </w:pPr>
    </w:p>
    <w:p>
      <w:pPr>
        <w:ind w:left="1020" w:right="240" w:hanging="506"/>
        <w:spacing w:after="0" w:line="26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Nasdaq Global Select Market, rules and, as a result, will qualify for, and intend to rely on, exemptions from certain corporate governance requirements. You will not have the same protections afforded to stockholders of companies that are subject to such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6"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consider carefully the risks and uncertainties described below, together with all of the other information contained in this Annual Report on Form 10-K such as “Management’s Discussion and Analysis of Financial Condition and Results of Operations” and our consolidated financial statements and related notes. If any of the following risks actually occurs, our business, reputation, financial condition, results of operations, revenue and future prospects could be seriously harmed. In such event, the market price of our common stock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Unless otherwise indicated, references to our business being seriously harmed in these risk factors and elsewhere will include harm to our business, reputation, financial condition, results of operations, revenue and future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327" w:lineRule="exact"/>
        <w:rPr>
          <w:sz w:val="20"/>
          <w:szCs w:val="20"/>
          <w:color w:val="auto"/>
        </w:rPr>
      </w:pPr>
    </w:p>
    <w:p>
      <w:pPr>
        <w:ind w:left="520" w:right="4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competitive position and success in the market depend to a significant degree upon our ability to build and maintain the strength of our brands among gaming enthusiasts and streamers, and any failure to build and maintain our brands may seriously harm our business.</w:t>
      </w:r>
    </w:p>
    <w:p>
      <w:pPr>
        <w:spacing w:after="0" w:line="52" w:lineRule="exact"/>
        <w:rPr>
          <w:sz w:val="20"/>
          <w:szCs w:val="20"/>
          <w:color w:val="auto"/>
        </w:rPr>
      </w:pPr>
    </w:p>
    <w:p>
      <w:pPr>
        <w:ind w:right="80" w:firstLine="510"/>
        <w:spacing w:after="0" w:line="252" w:lineRule="auto"/>
        <w:rPr>
          <w:sz w:val="20"/>
          <w:szCs w:val="20"/>
          <w:color w:val="auto"/>
        </w:rPr>
      </w:pPr>
      <w:r>
        <w:rPr>
          <w:rFonts w:ascii="Times New Roman" w:cs="Times New Roman" w:eastAsia="Times New Roman" w:hAnsi="Times New Roman"/>
          <w:sz w:val="18"/>
          <w:szCs w:val="18"/>
          <w:color w:val="auto"/>
        </w:rPr>
        <w:t>We regard our brands as a valuable asset, and we consider it essential to both maintaining and strengthening our brands that we be perceived by current and prospective customers as a leading supplier of cutting-edge, high-performance gear for gaming and streaming. This requires that we constantly innovate by introducing new and enhanced gear that achieves significant levels of acceptance among gamers. We also need to continue to invest in, and devote substantial resources to, advertising, marketing, customer support and other efforts to create and maintain brand recognition and loyalty among our retailer customers, distributors and gamers. However, product development, marketing and other brand promotion activities may not yield increased net revenue and, even if they do, any increased net revenue may not offset the expenses incurred in building our brands. Further, certain marketing efforts such as sponsorship of esports athletes, content creators or events could become prohibitively expensive, and as a result these marketing initiatives may no longer be feasible.</w:t>
      </w:r>
    </w:p>
    <w:p>
      <w:pPr>
        <w:spacing w:after="0" w:line="78" w:lineRule="exact"/>
        <w:rPr>
          <w:sz w:val="20"/>
          <w:szCs w:val="20"/>
          <w:color w:val="auto"/>
        </w:rPr>
      </w:pPr>
    </w:p>
    <w:p>
      <w:pPr>
        <w:ind w:right="500" w:firstLine="510"/>
        <w:spacing w:after="0" w:line="277" w:lineRule="auto"/>
        <w:rPr>
          <w:sz w:val="20"/>
          <w:szCs w:val="20"/>
          <w:color w:val="auto"/>
        </w:rPr>
      </w:pPr>
      <w:r>
        <w:rPr>
          <w:rFonts w:ascii="Times New Roman" w:cs="Times New Roman" w:eastAsia="Times New Roman" w:hAnsi="Times New Roman"/>
          <w:sz w:val="18"/>
          <w:szCs w:val="18"/>
          <w:color w:val="auto"/>
        </w:rPr>
        <w:t>Additionally, the quality of our customer support is important to our customers, and if we fail to provide adequate levels of customer support or devote substantial resources to customer support, we could lose customers. Our consumers depend on our</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color w:val="auto"/>
        </w:rPr>
        <w:t>customer support organization to resolve any issues relating to our gear and products. A high level of support is critical for the successful marketing of our brands and marketing and sales of our products.</w:t>
      </w:r>
    </w:p>
    <w:p>
      <w:pPr>
        <w:spacing w:after="0" w:line="163" w:lineRule="exact"/>
        <w:rPr>
          <w:sz w:val="20"/>
          <w:szCs w:val="20"/>
          <w:color w:val="auto"/>
        </w:rPr>
      </w:pPr>
    </w:p>
    <w:p>
      <w:pPr>
        <w:ind w:right="200" w:firstLine="510"/>
        <w:spacing w:after="0" w:line="262" w:lineRule="auto"/>
        <w:rPr>
          <w:sz w:val="20"/>
          <w:szCs w:val="20"/>
          <w:color w:val="auto"/>
        </w:rPr>
      </w:pPr>
      <w:r>
        <w:rPr>
          <w:rFonts w:ascii="Times New Roman" w:cs="Times New Roman" w:eastAsia="Times New Roman" w:hAnsi="Times New Roman"/>
          <w:sz w:val="18"/>
          <w:szCs w:val="18"/>
          <w:color w:val="auto"/>
        </w:rPr>
        <w:t>If we fail to build and maintain our brands, or if we incur substantial expenses in an unsuccessful attempt to build and maintain our brands, our business may be harmed. Our brands may also be damaged by events such as product recalls, perceived declines in quality or reliability, product shortages, damaging action or conduct of our sponsored esports athletes or content creators and other events, some of which are beyond our control.</w:t>
      </w:r>
    </w:p>
    <w:p>
      <w:pPr>
        <w:spacing w:after="0" w:line="280" w:lineRule="exact"/>
        <w:rPr>
          <w:sz w:val="20"/>
          <w:szCs w:val="20"/>
          <w:color w:val="auto"/>
        </w:rPr>
      </w:pPr>
    </w:p>
    <w:p>
      <w:pPr>
        <w:ind w:left="520" w:right="2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5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gear we sell, which includes gamer and creator peripherals and gaming components and systems, is characterized by short product life cycles, frequent new product introductions, rapidly changing technology and evolving industry standards. In addition, average selling prices of some of our gear tend to decline as the gear matures, and we expect this trend to continue. As a result, we must continually anticipate and respond to changing gamer requirements, innovate in our current and emerging categories of gear, introduce new gear and enhance existing gear in a timely and efficient manner in order to remain competitive and execute our growth strategy.</w:t>
      </w:r>
    </w:p>
    <w:p>
      <w:pPr>
        <w:spacing w:after="0" w:line="183" w:lineRule="exact"/>
        <w:rPr>
          <w:sz w:val="20"/>
          <w:szCs w:val="20"/>
          <w:color w:val="auto"/>
        </w:rPr>
      </w:pPr>
    </w:p>
    <w:p>
      <w:pPr>
        <w:ind w:right="60" w:firstLine="510"/>
        <w:spacing w:after="0" w:line="250" w:lineRule="auto"/>
        <w:rPr>
          <w:sz w:val="20"/>
          <w:szCs w:val="20"/>
          <w:color w:val="auto"/>
        </w:rPr>
      </w:pPr>
      <w:r>
        <w:rPr>
          <w:rFonts w:ascii="Times New Roman" w:cs="Times New Roman" w:eastAsia="Times New Roman" w:hAnsi="Times New Roman"/>
          <w:sz w:val="18"/>
          <w:szCs w:val="18"/>
          <w:color w:val="auto"/>
        </w:rPr>
        <w:t>We believe that the success of our gear depends to a significant degree on our ability to identify new features or category opportunities, anticipate technological developments and market trends and distinguish our gear from those of our competitors. In order to further grow our business, we also will need to quickly develop, manufacture and ship innovative and reliable new gear and enhancements to our existing gear in a cost-effective and timely manner to take advantage of developments in enabling technologies and the introduction of new computer hardware, such as new generations of GPUs and CPUs, and computer games, all of which drive demand for our gear. Further, our growth depends in part on our ability to introduce and successfully market new gear and categories of gear. For example, in the last 24 months, we entered into four large new markets, namely the microphones and cameras markets for content creators, the gaming monitors market and prebuilt gaming laptops market for both gamers and content creators, and in the future, we intend to introduce other gear designed to appeal to these markets. To the extent we do so, we will likely encounter competition from large, well-known consumer electronics and peripherals companies. Some of these companies have significantly greater financial, manufacturing, marketing and other resources than we do and may be able to devote greater resources to the design, development, manufacturing, distribution, promotion, sale and support of their products. We cannot predict whether we will be successful in developing or marketing new gear and categories of gear and, if we fail to do so, our business may be seriously harmed.</w:t>
      </w:r>
    </w:p>
    <w:p>
      <w:pPr>
        <w:spacing w:after="0" w:line="19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In addition, we have shifted to a hybrid work model for many of our employees in response to the continuing COVID-19 disruptions. Pursuant to this policy, many of our employees work in the office and at home on designated days. This hybrid work model is relatively new and may impair our ability to maintain a collaborative and innovative culture, and may cause disruptions among our employees, including decreases in productivity, challenges in communications between on-site and off-site employees and, potentially, employee dissatisfaction and attrition. Further, any future attempt to transition away from the hybrid work model to more stringent on-site work requirements may result in employee dissatisfaction and attrition. If we fail to retain key employees, attract new employees or maintain employee productivity as a result of the hybrid work model or an attempt to return to more on-site work, our business could be adversely impacted.</w:t>
      </w:r>
    </w:p>
    <w:p>
      <w:pPr>
        <w:spacing w:after="0" w:line="189"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The duration and extent of the impact from the coronavirus outbreak on our business depends on future developments that cannot be accurately predicted at this time, such as the severity and transmission rate of the virus, the extent and effectiveness of containment actions and the impact of these and other factors on our employees. If we do not execute on these factors successfully, demand for our current gear may decline and any new gear that we may introduce may not gain widespread acceptance. If this were to occur, our business may be seriously harmed. In addition, if we do not continue to distinguish our gear through distinctive, technologically advanced features and designs, as well as continue to build and strengthen our brand recognition and our access to distribution channels, our business may be seriously harmed.</w:t>
      </w:r>
    </w:p>
    <w:p>
      <w:pPr>
        <w:spacing w:after="0" w:line="290" w:lineRule="exact"/>
        <w:rPr>
          <w:sz w:val="20"/>
          <w:szCs w:val="20"/>
          <w:color w:val="auto"/>
        </w:rPr>
      </w:pPr>
    </w:p>
    <w:p>
      <w:pPr>
        <w:ind w:left="520"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depend upon the introduction and success of new third-party high-performance computer hardware, particularly GPUs and CPUs, and sophisticated new video games to drive sales of our gear. If newly introduced GPUs, CPUs and sophisticated video games are not successful, if the rate at which those products are introduced declines, or if they are not readily available, it may seriously harm our business.</w:t>
      </w:r>
    </w:p>
    <w:p>
      <w:pPr>
        <w:spacing w:after="0" w:line="66" w:lineRule="exact"/>
        <w:rPr>
          <w:sz w:val="20"/>
          <w:szCs w:val="20"/>
          <w:color w:val="auto"/>
        </w:rPr>
      </w:pPr>
    </w:p>
    <w:p>
      <w:pPr>
        <w:ind w:right="280" w:firstLine="510"/>
        <w:spacing w:after="0" w:line="257" w:lineRule="auto"/>
        <w:rPr>
          <w:sz w:val="20"/>
          <w:szCs w:val="20"/>
          <w:color w:val="auto"/>
        </w:rPr>
      </w:pPr>
      <w:r>
        <w:rPr>
          <w:rFonts w:ascii="Times New Roman" w:cs="Times New Roman" w:eastAsia="Times New Roman" w:hAnsi="Times New Roman"/>
          <w:sz w:val="18"/>
          <w:szCs w:val="18"/>
          <w:color w:val="auto"/>
        </w:rPr>
        <w:t>We believe that the introduction of more powerful GPUs, CPUs and similar computer hardware that place increased demands on other system components, such as memory, PSUs or cooling, has a significant effect on the demand for our gear. The manufacturers of those products are large, public, independent companies that we do not influence or control. As a result, our business results can be materially affected by the frequency with which new high-performance hardware products are introduced by these independent third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parties, whether these products achieve widespread acceptance among gamers, whether such products are readily available at affordable prices and whether additional memory, enhanced PSUs or cooling solutions, new computer cases or other peripheral devices are necessary to support those products. Although we believe that, historically, new generations of high-performance GPUs and CPUs have positively affected the demand for our gear, there can be no assurance that this will be the case in the future. For example, the introduction of a new generation of highly efficient GPUs and CPUs that require less power or that generate less heat than prior generations may reduce the demand for both our power supply units and cooling solutions. In the past, semiconductor and computer hardware companies have typically introduced new products annually, generally in the second calendar quarter, which has tended to drive our sales in the following two quarters. If computer hardware companies do not continue to regularly introduce new and enhanced GPUs, CPUs and other products that place increasing demands on system memory and processing speed, require larger power supply units or cooling solutions or that otherwise drive demand for computer cases and other peripherals, or if gamers do not accept those products, our business may be seriously harmed.</w:t>
      </w:r>
    </w:p>
    <w:p>
      <w:pPr>
        <w:spacing w:after="0" w:line="173" w:lineRule="exact"/>
        <w:rPr>
          <w:sz w:val="20"/>
          <w:szCs w:val="20"/>
          <w:color w:val="auto"/>
        </w:rPr>
      </w:pPr>
    </w:p>
    <w:p>
      <w:pPr>
        <w:ind w:right="40" w:firstLine="510"/>
        <w:spacing w:after="0" w:line="251" w:lineRule="auto"/>
        <w:rPr>
          <w:sz w:val="20"/>
          <w:szCs w:val="20"/>
          <w:color w:val="auto"/>
        </w:rPr>
      </w:pPr>
      <w:r>
        <w:rPr>
          <w:rFonts w:ascii="Times New Roman" w:cs="Times New Roman" w:eastAsia="Times New Roman" w:hAnsi="Times New Roman"/>
          <w:sz w:val="18"/>
          <w:szCs w:val="18"/>
          <w:color w:val="auto"/>
        </w:rPr>
        <w:t>We also believe that sales of our gear are driven by conditions in the computer gaming industry. In particular, we believe that our business depends on the introduction and success of computer games with sophisticated graphics that place greater demands on system processing speed and capacity and therefore require more powerful GPUs or CPUs, which in turn drives demand for our DRAM modules, PSUs, cooling systems and other components and peripherals. Likewise, we believe that the continued introduction and market acceptance of new or enhanced versions of computer games helps sustain consumer interest in computer gaming generally. The demand for our gear would likely decline, perhaps substantially, if computer game companies and developers do not introduce and successfully market sophisticated new and improved games that require increasingly high levels of system and graphics processing power on an ongoing basis or if demand for computer games among computer gaming enthusiasts or conditions in the computer gaming industry deteriorate for any reason. As a result, our sales and other operating results fluctuate due to conditions in the market for computer games, and downturns in this market may seriously harm our business.</w:t>
      </w:r>
    </w:p>
    <w:p>
      <w:pPr>
        <w:spacing w:after="0" w:line="292" w:lineRule="exact"/>
        <w:rPr>
          <w:sz w:val="20"/>
          <w:szCs w:val="20"/>
          <w:color w:val="auto"/>
        </w:rPr>
      </w:pPr>
    </w:p>
    <w:p>
      <w:pPr>
        <w:ind w:left="520" w:right="6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do not compete effectively, we could lose market share, demand for our gear could decline and our business may be seriously harmed.</w:t>
      </w:r>
    </w:p>
    <w:p>
      <w:pPr>
        <w:spacing w:after="0" w:line="52" w:lineRule="exact"/>
        <w:rPr>
          <w:sz w:val="20"/>
          <w:szCs w:val="20"/>
          <w:color w:val="auto"/>
        </w:rPr>
      </w:pPr>
    </w:p>
    <w:p>
      <w:pPr>
        <w:ind w:right="220" w:firstLine="510"/>
        <w:spacing w:after="0" w:line="252" w:lineRule="auto"/>
        <w:rPr>
          <w:sz w:val="20"/>
          <w:szCs w:val="20"/>
          <w:color w:val="auto"/>
        </w:rPr>
      </w:pPr>
      <w:r>
        <w:rPr>
          <w:rFonts w:ascii="Times New Roman" w:cs="Times New Roman" w:eastAsia="Times New Roman" w:hAnsi="Times New Roman"/>
          <w:sz w:val="18"/>
          <w:szCs w:val="18"/>
          <w:color w:val="auto"/>
        </w:rPr>
        <w:t>We face intense competition in the markets for all of our gear. We operate in markets that are characterized by rapid technological change, constant price pressure, rapid product obsolescence, evolving industry standards and new demands for features and performance. We experience aggressive price competition and other promotional activities by competitors, including in response to declines in consumer demand and excess product supply or as competitors seek to gain market share. We provide a variety of financial incentive programs to our customers, including special pricing arrangements, promotions, rebates and volume-based incentives, among others. The reserves for such incentive programs are based on our judgment and estimates, using actual sales data, historical experience, forecasted incentives, anticipated volume of future purchases, and inventory levels in the channel. There could be significant differences between the actual costs of such programs and our estimates.</w:t>
      </w:r>
    </w:p>
    <w:p>
      <w:pPr>
        <w:spacing w:after="0" w:line="18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Because of the continuing convergence of the markets for computing devices and consumer electronics, we expect greater competition in the future from well-established consumer electronics companies. Many of our current and potential competitors, some of which are large, multi-national businesses, have substantially greater financial, technical, sales, marketing, personnel and other resources and greater brand recognition than we have. Our competitors may be in a stronger position to respond quickly to new technologies and may be able to design, develop, market and sell their products more effectively than we can. In addition, some of our competitors are small or mid-sized specialty companies that can react to changes in industry trends or consumer preferences or to introduce new or innovative products more quickly than we can. As a result, our product development efforts may not be successful or result in market acceptance of our gear. Our primary competitors include:</w:t>
      </w:r>
    </w:p>
    <w:p>
      <w:pPr>
        <w:spacing w:after="0" w:line="187" w:lineRule="exact"/>
        <w:rPr>
          <w:sz w:val="20"/>
          <w:szCs w:val="20"/>
          <w:color w:val="auto"/>
        </w:rPr>
      </w:pPr>
    </w:p>
    <w:p>
      <w:pPr>
        <w:ind w:right="24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Competitors in the gamer and creator peripherals market. </w:t>
      </w:r>
      <w:r>
        <w:rPr>
          <w:rFonts w:ascii="Times New Roman" w:cs="Times New Roman" w:eastAsia="Times New Roman" w:hAnsi="Times New Roman"/>
          <w:sz w:val="18"/>
          <w:szCs w:val="18"/>
          <w:color w:val="auto"/>
        </w:rPr>
        <w:t>Our primary competitors in the market for gaming keyboards and mice include Logitech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Razer. Our primary competitors in the market for headset and related audio products include Logitech, Razer, Steel Series and HP through its HyperX brand. Our primary competitors in the gamer and creator streaming gear market include Logitech, following its acquisition of Blue Microphones, and AVerMedia. Our primary competitors in the performance controller market include Microsoft and Logitech.</w:t>
      </w:r>
    </w:p>
    <w:p>
      <w:pPr>
        <w:spacing w:after="0" w:line="179"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Competitors in the gaming components and systems market. </w:t>
      </w:r>
      <w:r>
        <w:rPr>
          <w:rFonts w:ascii="Times New Roman" w:cs="Times New Roman" w:eastAsia="Times New Roman" w:hAnsi="Times New Roman"/>
          <w:sz w:val="18"/>
          <w:szCs w:val="18"/>
          <w:color w:val="auto"/>
        </w:rPr>
        <w:t>Our primary competitors in the market for PSUs, cooling solutions and computer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Cooler Master, NZXT, EVGA, Seasonic and Thermaltake. Our primary competitors in the market for DRAM modules include G.Skill and Kingston. Our primary competitors in the market for prebuilt gaming PCs and laptops include Dell through its Alienware brand, HP through its Omen brand, Asus, MSI and Razer. Our primary competitors in the market for custom-built gaming PCs and laptops include iBuypower and Cyberpower.</w:t>
      </w:r>
    </w:p>
    <w:p>
      <w:pPr>
        <w:spacing w:after="0" w:line="179" w:lineRule="exact"/>
        <w:rPr>
          <w:sz w:val="20"/>
          <w:szCs w:val="20"/>
          <w:color w:val="auto"/>
        </w:rPr>
      </w:pPr>
    </w:p>
    <w:p>
      <w:pPr>
        <w:ind w:right="260" w:firstLine="510"/>
        <w:spacing w:after="0" w:line="279" w:lineRule="auto"/>
        <w:rPr>
          <w:sz w:val="20"/>
          <w:szCs w:val="20"/>
          <w:color w:val="auto"/>
        </w:rPr>
      </w:pPr>
      <w:r>
        <w:rPr>
          <w:rFonts w:ascii="Times New Roman" w:cs="Times New Roman" w:eastAsia="Times New Roman" w:hAnsi="Times New Roman"/>
          <w:sz w:val="18"/>
          <w:szCs w:val="18"/>
          <w:i w:val="1"/>
          <w:iCs w:val="1"/>
          <w:color w:val="auto"/>
        </w:rPr>
        <w:t>Competitors in new markets</w:t>
      </w:r>
      <w:r>
        <w:rPr>
          <w:rFonts w:ascii="Times New Roman" w:cs="Times New Roman" w:eastAsia="Times New Roman" w:hAnsi="Times New Roman"/>
          <w:sz w:val="18"/>
          <w:szCs w:val="18"/>
          <w:color w:val="auto"/>
        </w:rPr>
        <w:t>. We are considering introducing new gear for gamers or streamers and content creators and, to the extent we introduce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gear in new categories, we will likely experience substantial competition from additional companies, including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large computer gaming and streaming peripherals and consumer electronics companies with global brand recognition and significantly greater resources than ours.</w:t>
      </w:r>
    </w:p>
    <w:p>
      <w:pPr>
        <w:spacing w:after="0" w:line="163"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8"/>
          <w:szCs w:val="18"/>
          <w:color w:val="auto"/>
        </w:rPr>
        <w:t>Our ability to compete successfully is fundamental to our success in existing and new markets. We believe that the principal competitive factors in our markets include performance, reliability, brand and associated style and image, time to market with new emerging technologies, early identification of emerging opportunities, interoperability of products and responsive customer support on a worldwide basis. If we do not compete effectively, demand for our gear could decline, our net revenue and gross margin could decrease and we could lose market share, which may seriously harm our business.</w:t>
      </w:r>
    </w:p>
    <w:p>
      <w:pPr>
        <w:spacing w:after="0" w:line="182" w:lineRule="exact"/>
        <w:rPr>
          <w:sz w:val="20"/>
          <w:szCs w:val="20"/>
          <w:color w:val="auto"/>
        </w:rPr>
      </w:pPr>
    </w:p>
    <w:p>
      <w:pPr>
        <w:ind w:right="140" w:firstLine="510"/>
        <w:spacing w:after="0" w:line="262" w:lineRule="auto"/>
        <w:rPr>
          <w:sz w:val="20"/>
          <w:szCs w:val="20"/>
          <w:color w:val="auto"/>
        </w:rPr>
      </w:pPr>
      <w:r>
        <w:rPr>
          <w:rFonts w:ascii="Times New Roman" w:cs="Times New Roman" w:eastAsia="Times New Roman" w:hAnsi="Times New Roman"/>
          <w:sz w:val="18"/>
          <w:szCs w:val="18"/>
          <w:color w:val="auto"/>
        </w:rPr>
        <w:t>Further, our ability to successfully compete depends in large part on our ability to compete on price for our high-performance gear. Much of the gear we sell is priced higher than products offered by our competitors. If gamers or streamers are not willing to pay the higher price point for our gear, we will either need to discount our gear or our sales volume could decrease. In either event, our business could be seriously harmed.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gaming, including streaming and esports, does not grow as expected or declines our business could be seriously harmed.</w:t>
      </w:r>
    </w:p>
    <w:p>
      <w:pPr>
        <w:spacing w:after="0" w:line="118" w:lineRule="exact"/>
        <w:rPr>
          <w:sz w:val="20"/>
          <w:szCs w:val="20"/>
          <w:color w:val="auto"/>
        </w:rPr>
      </w:pPr>
    </w:p>
    <w:p>
      <w:pPr>
        <w:ind w:right="260" w:firstLine="510"/>
        <w:spacing w:after="0" w:line="257" w:lineRule="auto"/>
        <w:rPr>
          <w:sz w:val="20"/>
          <w:szCs w:val="20"/>
          <w:color w:val="auto"/>
        </w:rPr>
      </w:pPr>
      <w:r>
        <w:rPr>
          <w:rFonts w:ascii="Times New Roman" w:cs="Times New Roman" w:eastAsia="Times New Roman" w:hAnsi="Times New Roman"/>
          <w:sz w:val="18"/>
          <w:szCs w:val="18"/>
          <w:color w:val="auto"/>
        </w:rPr>
        <w:t>Over the past three decades, gaming has grown from a relatively niche industry to a significant segment of the global entertainment industry with a wide following across various demographic groups globally. This growth includes, and has been driven by, the rapid expansion of live game streaming by content creators and the growing popularity of professional competitive gaming, also referred to as esports. However, the continued growth of the video gaming industry will depend on numerous factors, many of which are beyond our control, including but not limited to:</w:t>
      </w:r>
    </w:p>
    <w:p>
      <w:pPr>
        <w:spacing w:after="0" w:line="75" w:lineRule="exact"/>
        <w:rPr>
          <w:sz w:val="20"/>
          <w:szCs w:val="20"/>
          <w:color w:val="auto"/>
        </w:rPr>
      </w:pPr>
    </w:p>
    <w:p>
      <w:pPr>
        <w:ind w:left="1020" w:right="320" w:hanging="506"/>
        <w:spacing w:after="0" w:line="27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growth of PCs and gaming consoles or the migration of gamers to mobile devices and tablets away from PCs, which historically have been the core focus of our business;</w:t>
      </w:r>
    </w:p>
    <w:p>
      <w:pPr>
        <w:spacing w:after="0" w:line="56" w:lineRule="exact"/>
        <w:rPr>
          <w:rFonts w:ascii="Times New Roman" w:cs="Times New Roman" w:eastAsia="Times New Roman" w:hAnsi="Times New Roman"/>
          <w:sz w:val="18"/>
          <w:szCs w:val="18"/>
          <w:color w:val="auto"/>
        </w:rPr>
      </w:pPr>
    </w:p>
    <w:p>
      <w:pPr>
        <w:ind w:left="1020" w:right="640" w:hanging="506"/>
        <w:spacing w:after="0" w:line="27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of streaming, including its popularity among fans and aspiring content creators and how it impacts their desire to purchase high-performance gaming and streaming gear;</w:t>
      </w:r>
    </w:p>
    <w:p>
      <w:pPr>
        <w:spacing w:after="0" w:line="56" w:lineRule="exact"/>
        <w:rPr>
          <w:rFonts w:ascii="Times New Roman" w:cs="Times New Roman" w:eastAsia="Times New Roman" w:hAnsi="Times New Roman"/>
          <w:sz w:val="18"/>
          <w:szCs w:val="18"/>
          <w:color w:val="auto"/>
        </w:rPr>
      </w:pPr>
    </w:p>
    <w:p>
      <w:pPr>
        <w:ind w:left="1020" w:right="100" w:hanging="506"/>
        <w:spacing w:after="0" w:line="27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of esports, including its increasing popularity among fans and amateur esports athletes and how it impacts their desire to purchase high-performance gaming gear;</w:t>
      </w:r>
    </w:p>
    <w:p>
      <w:pPr>
        <w:spacing w:after="0" w:line="56"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particularly economic conditions adversely affecting discretionary consumer spending;</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perceptions of gaming, especially those related to the impact of gaming on health and social development;</w:t>
      </w:r>
    </w:p>
    <w:p>
      <w:pPr>
        <w:spacing w:after="0" w:line="113" w:lineRule="exact"/>
        <w:rPr>
          <w:rFonts w:ascii="Times New Roman" w:cs="Times New Roman" w:eastAsia="Times New Roman" w:hAnsi="Times New Roman"/>
          <w:sz w:val="18"/>
          <w:szCs w:val="18"/>
          <w:color w:val="auto"/>
        </w:rPr>
      </w:pPr>
    </w:p>
    <w:p>
      <w:pPr>
        <w:ind w:left="1020" w:right="60" w:hanging="506"/>
        <w:spacing w:after="0" w:line="27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legislation or other regulatory restrictions on gaming, such as restrictions addressing violence in video games and addiction to video games, also referred to as Gaming Disorder by the World Health Organization;</w:t>
      </w:r>
    </w:p>
    <w:p>
      <w:pPr>
        <w:spacing w:after="0" w:line="56"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availability and popularity of other forms of entertainment; and</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tastes and preferences.</w:t>
      </w:r>
    </w:p>
    <w:p>
      <w:pPr>
        <w:spacing w:after="0" w:line="220" w:lineRule="exact"/>
        <w:rPr>
          <w:sz w:val="20"/>
          <w:szCs w:val="20"/>
          <w:color w:val="auto"/>
        </w:rPr>
      </w:pPr>
    </w:p>
    <w:p>
      <w:pPr>
        <w:ind w:right="420" w:firstLine="510"/>
        <w:spacing w:after="0" w:line="277" w:lineRule="auto"/>
        <w:rPr>
          <w:sz w:val="20"/>
          <w:szCs w:val="20"/>
          <w:color w:val="auto"/>
        </w:rPr>
      </w:pPr>
      <w:r>
        <w:rPr>
          <w:rFonts w:ascii="Times New Roman" w:cs="Times New Roman" w:eastAsia="Times New Roman" w:hAnsi="Times New Roman"/>
          <w:sz w:val="18"/>
          <w:szCs w:val="18"/>
          <w:color w:val="auto"/>
        </w:rPr>
        <w:t>We generate a significant portion of our net revenue from gaming-related gear. As a result, any decline or slowdown in the growth of the gaming industry or the declining popularity of the gaming industry could materially and adversely affect our business.</w:t>
      </w:r>
    </w:p>
    <w:p>
      <w:pPr>
        <w:spacing w:after="0" w:line="163"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We have no specific plans to attract gamers who use only mobile devices or tablets and we have no plans to develop gear specifically designed for gamers who use mobile devices or tablets. As a result, if gamers migrate to mobile devices or tablets and away from PCs and consoles, our business may be seriously harmed. In addition, there can be no assurance that the active demographics in gaming will continue to buy into and drive the growth in gamer culture and the games industry overall nor can there be any assurance that gaming will expand into new demographics that will drive growth. Further, if gamers’ interest in video games is diminished, this may seriously harm our business.</w:t>
      </w:r>
    </w:p>
    <w:p>
      <w:pPr>
        <w:spacing w:after="0" w:line="286" w:lineRule="exact"/>
        <w:rPr>
          <w:sz w:val="20"/>
          <w:szCs w:val="20"/>
          <w:color w:val="auto"/>
        </w:rPr>
      </w:pPr>
    </w:p>
    <w:p>
      <w:pPr>
        <w:ind w:left="520" w:right="3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growth prospects are, to a certain extent, connected with the ongoing growth of live game streaming and esports and any reduction in the growth or popularity of live game streaming or esports may seriously harm our business.</w:t>
      </w:r>
    </w:p>
    <w:p>
      <w:pPr>
        <w:spacing w:after="0" w:line="52" w:lineRule="exact"/>
        <w:rPr>
          <w:sz w:val="20"/>
          <w:szCs w:val="20"/>
          <w:color w:val="auto"/>
        </w:rPr>
      </w:pPr>
    </w:p>
    <w:p>
      <w:pPr>
        <w:ind w:right="440" w:firstLine="510"/>
        <w:spacing w:after="0" w:line="277" w:lineRule="auto"/>
        <w:rPr>
          <w:sz w:val="20"/>
          <w:szCs w:val="20"/>
          <w:color w:val="auto"/>
        </w:rPr>
      </w:pPr>
      <w:r>
        <w:rPr>
          <w:rFonts w:ascii="Times New Roman" w:cs="Times New Roman" w:eastAsia="Times New Roman" w:hAnsi="Times New Roman"/>
          <w:sz w:val="18"/>
          <w:szCs w:val="18"/>
          <w:color w:val="auto"/>
        </w:rPr>
        <w:t>The success of our business depends on live game streaming and esports driving significant growth in the high-performance gaming and content streaming market, which could prompt strong growth in the sales of our gear. However, there are a number of</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color w:val="auto"/>
        </w:rPr>
        <w:t>factors which could result in the esports or live game streaming markets having limited or negative impact on our sales and overall growth. These factors include:</w:t>
      </w:r>
    </w:p>
    <w:p>
      <w:pPr>
        <w:spacing w:after="0" w:line="57" w:lineRule="exact"/>
        <w:rPr>
          <w:sz w:val="20"/>
          <w:szCs w:val="20"/>
          <w:color w:val="auto"/>
        </w:rPr>
      </w:pPr>
    </w:p>
    <w:p>
      <w:pPr>
        <w:ind w:left="1020" w:hanging="506"/>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marketing products that gain broader acceptance among game streamers, esports participants and content creators;</w:t>
      </w:r>
    </w:p>
    <w:p>
      <w:pPr>
        <w:spacing w:after="0" w:line="113" w:lineRule="exact"/>
        <w:rPr>
          <w:rFonts w:ascii="Times New Roman" w:cs="Times New Roman" w:eastAsia="Times New Roman" w:hAnsi="Times New Roman"/>
          <w:sz w:val="18"/>
          <w:szCs w:val="18"/>
          <w:color w:val="auto"/>
        </w:rPr>
      </w:pPr>
    </w:p>
    <w:p>
      <w:pPr>
        <w:ind w:left="1020" w:right="360" w:hanging="506"/>
        <w:spacing w:after="0" w:line="277"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esports amateurs and/or spectators not purchasing our gear that is utilized by esports athletes and teams or streamers and content creators, including the esports athletes and teams, and streamers we sponsor;</w:t>
      </w:r>
    </w:p>
    <w:p>
      <w:pPr>
        <w:spacing w:after="0" w:line="56" w:lineRule="exact"/>
        <w:rPr>
          <w:rFonts w:ascii="Times New Roman" w:cs="Times New Roman" w:eastAsia="Times New Roman" w:hAnsi="Times New Roman"/>
          <w:sz w:val="18"/>
          <w:szCs w:val="18"/>
          <w:color w:val="auto"/>
        </w:rPr>
      </w:pPr>
    </w:p>
    <w:p>
      <w:pPr>
        <w:ind w:left="1020" w:right="140" w:hanging="506"/>
        <w:spacing w:after="0" w:line="277"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popularity of esports games that do not utilize any of our gear, for example games that run on mobile devices or tablets that replace more traditional esports; and</w:t>
      </w:r>
    </w:p>
    <w:p>
      <w:pPr>
        <w:spacing w:after="0" w:line="56" w:lineRule="exact"/>
        <w:rPr>
          <w:rFonts w:ascii="Times New Roman" w:cs="Times New Roman" w:eastAsia="Times New Roman" w:hAnsi="Times New Roman"/>
          <w:sz w:val="18"/>
          <w:szCs w:val="18"/>
          <w:color w:val="auto"/>
        </w:rPr>
      </w:pPr>
    </w:p>
    <w:p>
      <w:pPr>
        <w:ind w:left="1020" w:right="200" w:hanging="506"/>
        <w:spacing w:after="0" w:line="277"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and the gear we sell failing to satisfy the increasing high-performance requirements of competitive gamers or streamers.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Further, there are a number of factors which could result in the growth in live game streaming or the esports markets stagnating, or even decreasing.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include:</w:t>
      </w:r>
    </w:p>
    <w:p>
      <w:pPr>
        <w:spacing w:after="0" w:line="95" w:lineRule="exact"/>
        <w:rPr>
          <w:sz w:val="20"/>
          <w:szCs w:val="20"/>
          <w:color w:val="auto"/>
        </w:rPr>
      </w:pPr>
    </w:p>
    <w:p>
      <w:pPr>
        <w:ind w:left="1020" w:hanging="506"/>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 in watching either live or streamed broadcasts of competitors playing video games diminishing or even disappearing;</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limiting the broadcast of live streaming or esports;</w:t>
      </w:r>
    </w:p>
    <w:p>
      <w:pPr>
        <w:spacing w:after="0" w:line="113" w:lineRule="exact"/>
        <w:rPr>
          <w:rFonts w:ascii="Times New Roman" w:cs="Times New Roman" w:eastAsia="Times New Roman" w:hAnsi="Times New Roman"/>
          <w:sz w:val="18"/>
          <w:szCs w:val="18"/>
          <w:color w:val="auto"/>
        </w:rPr>
      </w:pPr>
    </w:p>
    <w:p>
      <w:pPr>
        <w:ind w:left="1020" w:right="560" w:hanging="506"/>
        <w:spacing w:after="0" w:line="27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accessibility of streaming and other gaming video content, whether due to platform fragmentation, the erection of paywalls, or otherwise; and</w:t>
      </w:r>
    </w:p>
    <w:p>
      <w:pPr>
        <w:spacing w:after="0" w:line="56"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economics or monetization of esports performing below expectations, ultimately causing a decrease in outside investments in esports.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one or more of the above factors are realized, our business may be seriously harmed.</w:t>
      </w:r>
    </w:p>
    <w:p>
      <w:pPr>
        <w:spacing w:after="0" w:line="323"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lose or are unable to attract and retain key management, our ability to compete could be seriously harmed and our financial performance could suffer.</w:t>
      </w:r>
    </w:p>
    <w:p>
      <w:pPr>
        <w:spacing w:after="0" w:line="52" w:lineRule="exact"/>
        <w:rPr>
          <w:sz w:val="20"/>
          <w:szCs w:val="20"/>
          <w:color w:val="auto"/>
        </w:rPr>
      </w:pPr>
    </w:p>
    <w:p>
      <w:pPr>
        <w:ind w:right="60" w:firstLine="510"/>
        <w:spacing w:after="0" w:line="257" w:lineRule="auto"/>
        <w:rPr>
          <w:sz w:val="20"/>
          <w:szCs w:val="20"/>
          <w:color w:val="auto"/>
        </w:rPr>
      </w:pPr>
      <w:r>
        <w:rPr>
          <w:rFonts w:ascii="Times New Roman" w:cs="Times New Roman" w:eastAsia="Times New Roman" w:hAnsi="Times New Roman"/>
          <w:sz w:val="18"/>
          <w:szCs w:val="18"/>
          <w:color w:val="auto"/>
        </w:rPr>
        <w:t>Our performance depends to a significant degree upon the contributions of our management team, particularly Andrew J. Paul, our co-founder, Chief Executive Officer and Director. If we lose the services of one or more of our key executives, we may not be able to successfully manage our business, meet competitive challenges or achieve our growth objectives. To the extent that our business grows, we will need to attract and retain additional qualified management personnel in a timely manner, and we may not be able to do so.</w:t>
      </w:r>
    </w:p>
    <w:p>
      <w:pPr>
        <w:spacing w:after="0" w:line="285"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attract, retain or motivate key personnel or hire qualified personnel our business may be seriously harmed.</w:t>
      </w:r>
    </w:p>
    <w:p>
      <w:pPr>
        <w:spacing w:after="0" w:line="52" w:lineRule="exact"/>
        <w:rPr>
          <w:sz w:val="20"/>
          <w:szCs w:val="20"/>
          <w:color w:val="auto"/>
        </w:rPr>
      </w:pPr>
    </w:p>
    <w:p>
      <w:pPr>
        <w:ind w:firstLine="510"/>
        <w:spacing w:after="0" w:line="250" w:lineRule="auto"/>
        <w:rPr>
          <w:sz w:val="20"/>
          <w:szCs w:val="20"/>
          <w:color w:val="auto"/>
        </w:rPr>
      </w:pPr>
      <w:r>
        <w:rPr>
          <w:rFonts w:ascii="Times New Roman" w:cs="Times New Roman" w:eastAsia="Times New Roman" w:hAnsi="Times New Roman"/>
          <w:sz w:val="18"/>
          <w:szCs w:val="18"/>
          <w:color w:val="auto"/>
        </w:rPr>
        <w:t>Our performance is largely dependent on the talents and efforts of highly skilled individuals, particularly our marketing personnel, sales force, electrical engineers, mechanical engineers and computer professionals. Our future success depends on our continuing ability to identify, hire, develop, motivate and retain highly skilled personnel and, if we are unable to hire and train a sufficient number of qualified employees for any reason, we may not be able to implement our current initiatives or grow, or our business may contract and we may lose market share. Moreover, certain of our competitors or other technology businesses may seek to hire our employees. There can be no assurance that our stock-based and other compensation will provide adequate incentives to attract, retain and motivate employees in the future, particularly if the market price of our common stock does not increase or declines. If we do not succeed in attracting, retaining and motivating highly qualified personnel, our business may be seriously harmed. Further, we also face significant competition for employees, particularly in the San Francisco Bay Area where our headquarters are located, and as a result, skilled employees in this competitive geographic location can often command higher compensation and may be difficult to hire. In addition, Russia’s invasion of Ukraine, poor relations between the United States and Russia, and sanctions by the United States and the European Union against Russia could have an adverse impact on our research and development efforts as we outsource significant research and development activities to companies in Ukraine.</w:t>
      </w:r>
    </w:p>
    <w:p>
      <w:pPr>
        <w:spacing w:after="0" w:line="296"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Currency exchange rate fluctuations could result in our gear becoming relatively more expensive to our overseas customers or increase our manufacturing costs, each of which may seriously harm our business.</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Our international sales and our operations in foreign countries subject us to risks associated with fluctuating currency exchange rates. Because sales of our gear is denominated primarily in U.S. dollars, an increase in the value of the U.S. dollar relative to the currency used in the countries where our gear is sold has and may continue to result in an increase in the price of our gear in those countries, which has and may continue to lead to a reduction in sales in such countries. Likewise, because we pay our suppliers and third-party manufacturers, most of which are located outside of the United States, primarily in U.S. dollars, any decline in the value of the U.S. dollar relative to the applicable local currency, such as the Chinese Yuan or the New Taiwan dollar, may cause our suppliers and manufacturers to raise the prices they charge us. In addition, we generally pay our employees located outside the United States in the local currency and, as a result of our foreign sales and operations, we have other expenses, assets and liabilities that are denominated in foreign currencies and changes in the value of the U.S. dollar could result in significant increases in our expenses that may seriously harm our business.</w:t>
      </w:r>
    </w:p>
    <w:p>
      <w:pPr>
        <w:spacing w:after="0" w:line="288" w:lineRule="exact"/>
        <w:rPr>
          <w:sz w:val="20"/>
          <w:szCs w:val="20"/>
          <w:color w:val="auto"/>
        </w:rPr>
      </w:pPr>
    </w:p>
    <w:p>
      <w:pPr>
        <w:ind w:left="520" w:right="2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Supply chain issues, including scarcity of raw materials or other components to produce our products and limited ability to control or influence our procurement process, could increase costs or cause a delay in our ability to produce our products, and could adversely affect our future results of operations and our overall financial performance.</w:t>
      </w:r>
    </w:p>
    <w:p>
      <w:pPr>
        <w:spacing w:after="0" w:line="280" w:lineRule="exact"/>
        <w:rPr>
          <w:sz w:val="20"/>
          <w:szCs w:val="20"/>
          <w:color w:val="auto"/>
        </w:rPr>
      </w:pPr>
    </w:p>
    <w:p>
      <w:pPr>
        <w:ind w:right="20" w:firstLine="510"/>
        <w:spacing w:after="0" w:line="250" w:lineRule="auto"/>
        <w:rPr>
          <w:sz w:val="20"/>
          <w:szCs w:val="20"/>
          <w:color w:val="auto"/>
        </w:rPr>
      </w:pPr>
      <w:r>
        <w:rPr>
          <w:rFonts w:ascii="Times New Roman" w:cs="Times New Roman" w:eastAsia="Times New Roman" w:hAnsi="Times New Roman"/>
          <w:sz w:val="18"/>
          <w:szCs w:val="18"/>
          <w:color w:val="auto"/>
        </w:rPr>
        <w:t>We and our manufacturers rely on an extended third-party supply chain and the availability of raw materials to produce a significant amount of our gear. From time to time we have experienced product shortages due to both disruptions in supply from the third parties that manufacture or supply our gear and our inability or the inability of these third-party manufacturers to obtain necessary components, and we may experience similar shortages in the future. A reduction or interruption in supply, including interruptions due to the ongoing COVID-19 pandemic or geopolitical unrest beyond our control, an inability to procure quality raw materials in a cost effective manner and constrain volatile materials costs, a failure to monitor contract compliance to ensure and sustain sourcing savings, a failure to procure adequate inventory or raw materials from our suppliers or regulatory changes may lead to delays in manufacturing and increases in costs. Moreover, procurement of many components used in our gear is generally the responsibility of the third parties that manufacture our gear, and we therefore have limited or no ability to control or influence the procurement process or to monitor the quality of components. Our manufacturers or suppliers may provide us with products or components that do not perform reliably or do not meet our quality standards or performance specifications, are susceptible to early failure or contain other defects. This may seriously harm our reputation, increase our warranty and other costs or lead to product returns or recalls, any of which may seriously harm our business.</w:t>
      </w:r>
    </w:p>
    <w:p>
      <w:pPr>
        <w:spacing w:after="0" w:line="86" w:lineRule="exact"/>
        <w:rPr>
          <w:sz w:val="20"/>
          <w:szCs w:val="20"/>
          <w:color w:val="auto"/>
        </w:rPr>
      </w:pPr>
    </w:p>
    <w:p>
      <w:pPr>
        <w:ind w:right="80" w:firstLine="510"/>
        <w:spacing w:after="0" w:line="252" w:lineRule="auto"/>
        <w:rPr>
          <w:sz w:val="20"/>
          <w:szCs w:val="20"/>
          <w:color w:val="auto"/>
        </w:rPr>
      </w:pPr>
      <w:r>
        <w:rPr>
          <w:rFonts w:ascii="Times New Roman" w:cs="Times New Roman" w:eastAsia="Times New Roman" w:hAnsi="Times New Roman"/>
          <w:sz w:val="18"/>
          <w:szCs w:val="18"/>
          <w:color w:val="auto"/>
        </w:rPr>
        <w:t>Many components, including those that are available from multiple sources, are at times subject to industry-wide shortages that could materially adversely affect our financial condition and operating results. While we have entered into agreements for the supply of many components, there can be no assurance that we will be able to extend or renew these agreements on similar terms, or at all. Component suppliers may suffer from poor financial conditions, which can lead to business failure for the supplier or consolidation within a particular industry, further limiting our ability to obtain sufficient quantities of components on commercially reasonable terms. Health crises, like the ongoing COVID-19 pandemic, have led, and could lead, to quarantines or labor shortages, which may impact the output of key suppliers because of longer production and shipping times, and increased supply, shipping and logistics costs, each of which have historically negatively impacted our gross margins, as well as the need to purchase long-lead time items ahead of demand due to supply constraints.</w:t>
      </w:r>
    </w:p>
    <w:p>
      <w:pPr>
        <w:spacing w:after="0" w:line="78"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Any disruption in or termination of our relationships with any of our manufacturers or suppliers or our inability to develop relationships with new manufacturers or suppliers as and when required would cause delays, disruptions or reductions in product shipment and may require product redesigns, all of which could damage relationships with our customers, seriously harm our brand, increase our costs and otherwise seriously harm our business. Likewise, shortages or interruptions in the supply of products or components, or any inability to procure these products or components from alternate sources at acceptable prices in a timely manner, could delay shipments to our customers and increase our costs, any of which may seriously harm our business. If our customers experience delays or unavailability of our products due to our inability to obtain certain components, this may negatively impact our customers’ ordering patterns. Accordingly, if our supply of components for a new or existing product were delayed or constrained, or if an outsourcing partner delayed shipments of completed products to us, our financial condition and operating results could be materially adversely affected.</w:t>
      </w:r>
    </w:p>
    <w:p>
      <w:pPr>
        <w:spacing w:after="0" w:line="288" w:lineRule="exact"/>
        <w:rPr>
          <w:sz w:val="20"/>
          <w:szCs w:val="20"/>
          <w:color w:val="auto"/>
        </w:rPr>
      </w:pPr>
    </w:p>
    <w:p>
      <w:pPr>
        <w:ind w:left="520" w:right="4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Total unit shipments of our gear have historically been higher during the third and fourth quarters of the year. As a result, our sales may be subject to seasonal fluctuations, which may seriously harm our business.</w:t>
      </w:r>
    </w:p>
    <w:p>
      <w:pPr>
        <w:spacing w:after="0" w:line="52"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We have experienced and expect to continue to experience seasonal fluctuations in sales due to the spending patterns of gamers who purchase our gear. Our total unit shipments have generally been lowest in the first and second calendar quarters due to lower sales following the fourth quarter holiday season and because of the decline in sales that typically occurs in anticipation of the introduction of new or enhanced GPUs, CPUs and other computer hardware products, which usually takes place in the second calendar quarter, and which tends to drive sales in the following two quarters. As a consequence of seasonality, our total unit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shipments for the second calendar quarter are generally the lowest of the year, followed by total unit shipments for the first calendar quarter. As a result, our total unit shipments are subject to seasonal fluctuations, which may seriously harm our business. Historical seasonal patterns may not continue in the future and have been impacted, most recently in 2020 and 2021, and may be further impacted in the future, by macroeconomic factors, increasing supply constraints, GPU shortages, shifts in customer behavior and the continuing impacts of the COVID-19 pandemic.</w:t>
      </w:r>
    </w:p>
    <w:p>
      <w:pPr>
        <w:spacing w:after="0" w:line="285"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substantial quarterly and annual fluctuations, which may adversely affect the market price of our common stock.</w:t>
      </w:r>
    </w:p>
    <w:p>
      <w:pPr>
        <w:spacing w:after="0" w:line="52" w:lineRule="exact"/>
        <w:rPr>
          <w:sz w:val="20"/>
          <w:szCs w:val="20"/>
          <w:color w:val="auto"/>
        </w:rPr>
      </w:pPr>
    </w:p>
    <w:p>
      <w:pPr>
        <w:ind w:right="60" w:firstLine="510"/>
        <w:spacing w:after="0" w:line="271" w:lineRule="auto"/>
        <w:rPr>
          <w:sz w:val="20"/>
          <w:szCs w:val="20"/>
          <w:color w:val="auto"/>
        </w:rPr>
      </w:pPr>
      <w:r>
        <w:rPr>
          <w:rFonts w:ascii="Times New Roman" w:cs="Times New Roman" w:eastAsia="Times New Roman" w:hAnsi="Times New Roman"/>
          <w:sz w:val="17"/>
          <w:szCs w:val="17"/>
          <w:color w:val="auto"/>
        </w:rPr>
        <w:t>Our results of operations have in the past fluctuated, sometimes substantially, from period to period, and we expect that these fluctuations will continue. A number of factors, many of which are outside our control, may cause or contribute to significant fluctuations in our quarterly and annual net revenue and other operating results. These fluctuations may make financial planning and forecasting more difficult. In addition, these fluctuations may result in unanticipated decreases in our available cash, which could negatively impact our business. These fluctuations also could both increase the volatility and adversely affect the market price of our common stock. There are numerous factors that may cause or contribute to fluctuations in our operating results. As discussed below, these factors may relate directly to our business or may relate to technological developments and economic conditions generally.</w:t>
      </w:r>
    </w:p>
    <w:p>
      <w:pPr>
        <w:spacing w:after="0" w:line="63" w:lineRule="exact"/>
        <w:rPr>
          <w:sz w:val="20"/>
          <w:szCs w:val="20"/>
          <w:color w:val="auto"/>
        </w:rPr>
      </w:pPr>
    </w:p>
    <w:p>
      <w:pPr>
        <w:ind w:right="160" w:firstLine="510"/>
        <w:spacing w:after="0" w:line="279" w:lineRule="auto"/>
        <w:rPr>
          <w:sz w:val="20"/>
          <w:szCs w:val="20"/>
          <w:color w:val="auto"/>
        </w:rPr>
      </w:pPr>
      <w:r>
        <w:rPr>
          <w:rFonts w:ascii="Times New Roman" w:cs="Times New Roman" w:eastAsia="Times New Roman" w:hAnsi="Times New Roman"/>
          <w:sz w:val="18"/>
          <w:szCs w:val="18"/>
          <w:i w:val="1"/>
          <w:iCs w:val="1"/>
          <w:color w:val="auto"/>
        </w:rPr>
        <w:t>Factors affecting our business and markets</w:t>
      </w:r>
      <w:r>
        <w:rPr>
          <w:rFonts w:ascii="Times New Roman" w:cs="Times New Roman" w:eastAsia="Times New Roman" w:hAnsi="Times New Roman"/>
          <w:sz w:val="18"/>
          <w:szCs w:val="18"/>
          <w:color w:val="auto"/>
        </w:rPr>
        <w:t>. Our result of operations may be materially adversely affected by factors that directly affect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competitive conditions in our markets, including the following:</w:t>
      </w:r>
    </w:p>
    <w:p>
      <w:pPr>
        <w:spacing w:after="0" w:line="55" w:lineRule="exact"/>
        <w:rPr>
          <w:sz w:val="20"/>
          <w:szCs w:val="20"/>
          <w:color w:val="auto"/>
        </w:rPr>
      </w:pPr>
    </w:p>
    <w:p>
      <w:pPr>
        <w:ind w:left="1020" w:hanging="506"/>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lower margin products relative to demand for our higher margin gear;</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enhancement of products by us and our competitors, and market acceptance of these new or enhanced products;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significant retail customers, cancellations or reductions of orders and product returns;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average selling prices of and demand for our gear;</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demand for our gear due to our gear having higher price-points than products supplied by our competitors;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and price reductions offered by our competitors;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reduction or cessation of deliveries from one or more of the third parties that manufacture our gear;</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shortages of our gear or components used in our gear;</w:t>
      </w:r>
    </w:p>
    <w:p>
      <w:pPr>
        <w:spacing w:after="0" w:line="113" w:lineRule="exact"/>
        <w:rPr>
          <w:rFonts w:ascii="Times New Roman" w:cs="Times New Roman" w:eastAsia="Times New Roman" w:hAnsi="Times New Roman"/>
          <w:sz w:val="18"/>
          <w:szCs w:val="18"/>
          <w:color w:val="auto"/>
        </w:rPr>
      </w:pPr>
    </w:p>
    <w:p>
      <w:pPr>
        <w:ind w:left="1020" w:hanging="506"/>
        <w:spacing w:after="0" w:line="308"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frequency with which new high-performance computer hardware, particularly GPUs and CPUs, and sophisticated new computer games that drive demand for additional DRAM modules, higher wattage PSUs, enhanced cooling solutions and peripherals are introduced;</w:t>
      </w:r>
    </w:p>
    <w:p>
      <w:pPr>
        <w:spacing w:after="0" w:line="32" w:lineRule="exact"/>
        <w:rPr>
          <w:rFonts w:ascii="Times New Roman" w:cs="Times New Roman" w:eastAsia="Times New Roman" w:hAnsi="Times New Roman"/>
          <w:sz w:val="17"/>
          <w:szCs w:val="17"/>
          <w:color w:val="auto"/>
        </w:rPr>
      </w:pPr>
    </w:p>
    <w:p>
      <w:pPr>
        <w:ind w:left="1020" w:right="80" w:hanging="506"/>
        <w:spacing w:after="0" w:line="26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available supply of high-performance computer hardware resulting in the increased costs to gamers, which could ultimately lead to decreased demand for our gaming gear, due to factors such as component supply shortages or gamers purchasing GPUs for non-gaming purposes such as cryptocurrency mining;</w:t>
      </w:r>
    </w:p>
    <w:p>
      <w:pPr>
        <w:spacing w:after="0" w:line="70" w:lineRule="exact"/>
        <w:rPr>
          <w:rFonts w:ascii="Times New Roman" w:cs="Times New Roman" w:eastAsia="Times New Roman" w:hAnsi="Times New Roman"/>
          <w:sz w:val="18"/>
          <w:szCs w:val="18"/>
          <w:color w:val="auto"/>
        </w:rPr>
      </w:pPr>
    </w:p>
    <w:p>
      <w:pPr>
        <w:ind w:left="1020" w:right="120" w:hanging="506"/>
        <w:spacing w:after="0" w:line="26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 between Russia and the Ukraine resulting in shipments of resources from these countries being delayed, or even ceasing, which could cause the GPU shortage to last longer as the production of GPUs requires resources that come from these countries such as highly purified neon gas and palladium, of which Ukraine and Russia, respectively, are the world’s leading exporters;</w:t>
      </w:r>
    </w:p>
    <w:p>
      <w:pPr>
        <w:spacing w:after="0" w:line="70"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changes in trade relations or the implementation of export sanctions, in particular any sanctions between the United States and China;</w:t>
      </w:r>
    </w:p>
    <w:p>
      <w:pPr>
        <w:spacing w:after="0" w:line="12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including tax and trade laws, and regulatory requirements;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problems in our introduction of new gear;</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problems in the shipment or delivery of gear to customers;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freight costs;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purchasing patterns by the distributors and retailers to which we sell our gear;</w:t>
      </w:r>
    </w:p>
    <w:p>
      <w:pPr>
        <w:spacing w:after="0" w:line="113" w:lineRule="exact"/>
        <w:rPr>
          <w:rFonts w:ascii="Times New Roman" w:cs="Times New Roman" w:eastAsia="Times New Roman" w:hAnsi="Times New Roman"/>
          <w:sz w:val="18"/>
          <w:szCs w:val="18"/>
          <w:color w:val="auto"/>
        </w:rPr>
      </w:pPr>
    </w:p>
    <w:p>
      <w:pPr>
        <w:ind w:left="1020" w:right="20" w:hanging="506"/>
        <w:spacing w:after="0" w:line="277"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electronics product purchasing patterns by our retail and distributor customers, as well as the gamers and streamers that purchase their gear directly from us;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left="1020" w:hanging="506"/>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resulting in, among other things, lower selling prices or loss of market share; and</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and adverse outcomes of litigation, governmental proceedings or any proceedings to protect our brand or other intellectual property.</w:t>
      </w:r>
    </w:p>
    <w:p>
      <w:pPr>
        <w:spacing w:after="0" w:line="218" w:lineRule="exact"/>
        <w:rPr>
          <w:sz w:val="20"/>
          <w:szCs w:val="20"/>
          <w:color w:val="auto"/>
        </w:rPr>
      </w:pPr>
    </w:p>
    <w:p>
      <w:pPr>
        <w:ind w:right="480" w:firstLine="510"/>
        <w:spacing w:after="0" w:line="279" w:lineRule="auto"/>
        <w:rPr>
          <w:sz w:val="20"/>
          <w:szCs w:val="20"/>
          <w:color w:val="auto"/>
        </w:rPr>
      </w:pPr>
      <w:r>
        <w:rPr>
          <w:rFonts w:ascii="Times New Roman" w:cs="Times New Roman" w:eastAsia="Times New Roman" w:hAnsi="Times New Roman"/>
          <w:sz w:val="18"/>
          <w:szCs w:val="18"/>
          <w:i w:val="1"/>
          <w:iCs w:val="1"/>
          <w:color w:val="auto"/>
        </w:rPr>
        <w:t>General economic conditions</w:t>
      </w:r>
      <w:r>
        <w:rPr>
          <w:rFonts w:ascii="Times New Roman" w:cs="Times New Roman" w:eastAsia="Times New Roman" w:hAnsi="Times New Roman"/>
          <w:sz w:val="18"/>
          <w:szCs w:val="18"/>
          <w:color w:val="auto"/>
        </w:rPr>
        <w:t>. Our business may be materially adversely affected by factors relating to global, national and regional economies,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w:t>
      </w:r>
    </w:p>
    <w:p>
      <w:pPr>
        <w:spacing w:after="0" w:line="55" w:lineRule="exact"/>
        <w:rPr>
          <w:sz w:val="20"/>
          <w:szCs w:val="20"/>
          <w:color w:val="auto"/>
        </w:rPr>
      </w:pPr>
    </w:p>
    <w:p>
      <w:pPr>
        <w:ind w:left="1020" w:hanging="506"/>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economic conditions, either globally or in specific countries or regions;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outbreaks of pandemics, such as the novel coronavirus;</w:t>
      </w:r>
    </w:p>
    <w:p>
      <w:pPr>
        <w:spacing w:after="0" w:line="113" w:lineRule="exact"/>
        <w:rPr>
          <w:rFonts w:ascii="Times New Roman" w:cs="Times New Roman" w:eastAsia="Times New Roman" w:hAnsi="Times New Roman"/>
          <w:sz w:val="18"/>
          <w:szCs w:val="18"/>
          <w:color w:val="auto"/>
        </w:rPr>
      </w:pPr>
    </w:p>
    <w:p>
      <w:pPr>
        <w:ind w:left="1020" w:right="60" w:hanging="506"/>
        <w:spacing w:after="0" w:line="26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instability, natural disasters, war and/or events of terrorism, such as the war between Russia and Ukraine, and the corresponding tensions created from such conflict between Russia, the United States and countries in Europe as well as other countries such as China;</w:t>
      </w:r>
    </w:p>
    <w:p>
      <w:pPr>
        <w:spacing w:after="0" w:line="70" w:lineRule="exact"/>
        <w:rPr>
          <w:rFonts w:ascii="Times New Roman" w:cs="Times New Roman" w:eastAsia="Times New Roman" w:hAnsi="Times New Roman"/>
          <w:sz w:val="18"/>
          <w:szCs w:val="18"/>
          <w:color w:val="auto"/>
        </w:rPr>
      </w:pPr>
    </w:p>
    <w:p>
      <w:pPr>
        <w:ind w:left="1020" w:right="120" w:hanging="506"/>
        <w:spacing w:after="0" w:line="277"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fluctuations in the United States and global economies, including those that impact discretionary consumer spending such as may result from the COVID-19 coronavirus outbreak, increased interest rates or increased inflation;</w:t>
      </w:r>
    </w:p>
    <w:p>
      <w:pPr>
        <w:spacing w:after="0" w:line="56"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cycles that affect the markets in which we sell our gear; and</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fluctuations in interest rates on consumer disposable income.</w:t>
      </w:r>
    </w:p>
    <w:p>
      <w:pPr>
        <w:spacing w:after="0" w:line="218" w:lineRule="exact"/>
        <w:rPr>
          <w:sz w:val="20"/>
          <w:szCs w:val="20"/>
          <w:color w:val="auto"/>
        </w:rPr>
      </w:pPr>
    </w:p>
    <w:p>
      <w:pPr>
        <w:ind w:right="40" w:firstLine="510"/>
        <w:spacing w:after="0" w:line="263" w:lineRule="auto"/>
        <w:rPr>
          <w:sz w:val="20"/>
          <w:szCs w:val="20"/>
          <w:color w:val="auto"/>
        </w:rPr>
      </w:pPr>
      <w:r>
        <w:rPr>
          <w:rFonts w:ascii="Times New Roman" w:cs="Times New Roman" w:eastAsia="Times New Roman" w:hAnsi="Times New Roman"/>
          <w:sz w:val="18"/>
          <w:szCs w:val="18"/>
          <w:i w:val="1"/>
          <w:iCs w:val="1"/>
          <w:color w:val="auto"/>
        </w:rPr>
        <w:t>Technological factors</w:t>
      </w:r>
      <w:r>
        <w:rPr>
          <w:rFonts w:ascii="Times New Roman" w:cs="Times New Roman" w:eastAsia="Times New Roman" w:hAnsi="Times New Roman"/>
          <w:sz w:val="18"/>
          <w:szCs w:val="18"/>
          <w:color w:val="auto"/>
        </w:rPr>
        <w:t>. In addition to technological developments directly relating to our gear, more generalized changes in technology may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effect on our operating results. For example, our business could be seriously harmed by rapid, wholesale changes in technology in or affecting the markets in which we compete or widespread adoption of cloud computing.</w:t>
      </w:r>
    </w:p>
    <w:p>
      <w:pPr>
        <w:spacing w:after="0" w:line="176"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8"/>
          <w:szCs w:val="18"/>
          <w:color w:val="auto"/>
        </w:rPr>
        <w:t>One or more of the foregoing or other factors may cause our expenses to be disproportionately higher or lower or may cause our net revenue and other operating results to fluctuate significantly in any particular quarterly or annual period. Our results of operations in one or more future quarters or years may fail to meet the expectations of investment research analysts or investors, which could cause an immediate and significant decline in the market price of our common stock.</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may seriously harm our business.</w:t>
      </w:r>
    </w:p>
    <w:p>
      <w:pPr>
        <w:spacing w:after="0" w:line="224"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Cloud computing refers to a computing environment in which software is run on third-party servers and accessed by end-users over the internet. In a cloud computing environment, a user’s computer may be a so-called “dumb terminal” with minimal processing power and limited need for high-performance components. Through cloud computing, gamers will be able to access and play graphically sophisticated games that they may not be able to otherwise play on a PC that is not fully equipped with the necessary, and often expensive, hardware. If cloud computing is widely accepted, the demand for high-performance computer gaming hardware products such as the PC high-performance memory, prebuilt and custom gaming PCs and laptops, and other PC gaming components we sell, could diminish significantly. As a result, if cloud computing gaming were to become widely adopted, such adoption could seriously harm our business.</w:t>
      </w:r>
    </w:p>
    <w:p>
      <w:pPr>
        <w:spacing w:after="0" w:line="291" w:lineRule="exact"/>
        <w:rPr>
          <w:sz w:val="20"/>
          <w:szCs w:val="20"/>
          <w:color w:val="auto"/>
        </w:rPr>
      </w:pPr>
    </w:p>
    <w:p>
      <w:pPr>
        <w:ind w:left="520" w:right="5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Conditions in the retail and consumer electronics markets may significantly affect our business and could have an adverse effect on our net revenue.</w:t>
      </w:r>
    </w:p>
    <w:p>
      <w:pPr>
        <w:spacing w:after="0" w:line="52" w:lineRule="exact"/>
        <w:rPr>
          <w:sz w:val="20"/>
          <w:szCs w:val="20"/>
          <w:color w:val="auto"/>
        </w:rPr>
      </w:pPr>
    </w:p>
    <w:p>
      <w:pPr>
        <w:ind w:right="280" w:firstLine="510"/>
        <w:spacing w:after="0" w:line="255" w:lineRule="auto"/>
        <w:rPr>
          <w:sz w:val="20"/>
          <w:szCs w:val="20"/>
          <w:color w:val="auto"/>
        </w:rPr>
      </w:pPr>
      <w:r>
        <w:rPr>
          <w:rFonts w:ascii="Times New Roman" w:cs="Times New Roman" w:eastAsia="Times New Roman" w:hAnsi="Times New Roman"/>
          <w:sz w:val="18"/>
          <w:szCs w:val="18"/>
          <w:color w:val="auto"/>
        </w:rPr>
        <w:t>We derive most of our revenue from higher priced gear sold through online and brick-and-mortar retailers to gamers, and we are vulnerable to declines in consumer spending due to, among other things, depressed economic conditions, high inflation, reductions in disposable income (as a result of high inflation or otherwise) and other factors that affect the retail and consumer electronics markets generally. In addition, our revenues are attributable to sales of high-performance gamer and creator peripherals and gaming components and systems, all of which are products that are geared to the computer gaming market which, like other consumer electronic markets, is susceptible to the adverse effects of poor economic conditions.</w:t>
      </w:r>
    </w:p>
    <w:p>
      <w:pPr>
        <w:spacing w:after="0" w:line="183" w:lineRule="exact"/>
        <w:rPr>
          <w:sz w:val="20"/>
          <w:szCs w:val="20"/>
          <w:color w:val="auto"/>
        </w:rPr>
      </w:pPr>
    </w:p>
    <w:p>
      <w:pPr>
        <w:jc w:val="both"/>
        <w:ind w:right="40" w:firstLine="510"/>
        <w:spacing w:after="0" w:line="262" w:lineRule="auto"/>
        <w:rPr>
          <w:sz w:val="20"/>
          <w:szCs w:val="20"/>
          <w:color w:val="auto"/>
        </w:rPr>
      </w:pPr>
      <w:r>
        <w:rPr>
          <w:rFonts w:ascii="Times New Roman" w:cs="Times New Roman" w:eastAsia="Times New Roman" w:hAnsi="Times New Roman"/>
          <w:sz w:val="18"/>
          <w:szCs w:val="18"/>
          <w:color w:val="auto"/>
        </w:rPr>
        <w:t>Other significant negative effects could include limited growth or reductions in worldwide sales of products that incorporate DRAM modules, such as PCs, smartphones and servers, resulting in excess supply in the worldwide DRAM market and reduced demand for our gear from our customers as they limit or lower their spending and inventory levels. Adverse economic conditions may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color w:val="auto"/>
        </w:rPr>
        <w:t>also reduce our cash flow due to delays in customer payments, increase the risk of customer bankruptcy or business failures and result in increases in bad debt write-offs and receivables reserves.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negative effects on our business resulting from adverse economic conditions worldwide may include:</w:t>
      </w:r>
    </w:p>
    <w:p>
      <w:pPr>
        <w:spacing w:after="0" w:line="114" w:lineRule="exact"/>
        <w:rPr>
          <w:sz w:val="20"/>
          <w:szCs w:val="20"/>
          <w:color w:val="auto"/>
        </w:rPr>
      </w:pPr>
    </w:p>
    <w:p>
      <w:pPr>
        <w:ind w:left="1020" w:hanging="506"/>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for promotions, customer incentive programs and other initiatives used to stimulate demand;</w:t>
      </w:r>
    </w:p>
    <w:p>
      <w:pPr>
        <w:spacing w:after="0" w:line="113" w:lineRule="exact"/>
        <w:rPr>
          <w:rFonts w:ascii="Times New Roman" w:cs="Times New Roman" w:eastAsia="Times New Roman" w:hAnsi="Times New Roman"/>
          <w:sz w:val="18"/>
          <w:szCs w:val="18"/>
          <w:color w:val="auto"/>
        </w:rPr>
      </w:pPr>
    </w:p>
    <w:p>
      <w:pPr>
        <w:ind w:left="1020" w:right="620" w:hanging="506"/>
        <w:spacing w:after="0" w:line="277"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constraints on consumer spending caused by higher inflation, increased interest rates and exchange rate fluctuations, leading to weaker consumer demand for our products;</w:t>
      </w:r>
    </w:p>
    <w:p>
      <w:pPr>
        <w:spacing w:after="0" w:line="56" w:lineRule="exact"/>
        <w:rPr>
          <w:rFonts w:ascii="Times New Roman" w:cs="Times New Roman" w:eastAsia="Times New Roman" w:hAnsi="Times New Roman"/>
          <w:sz w:val="18"/>
          <w:szCs w:val="18"/>
          <w:color w:val="auto"/>
        </w:rPr>
      </w:pPr>
    </w:p>
    <w:p>
      <w:pPr>
        <w:ind w:left="1020" w:right="160" w:hanging="506"/>
        <w:spacing w:after="0" w:line="277"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excess and obsolete inventories, which may require write-downs or impairment charges, such as the $22.5 million inventory impairment and related charges recognized during the second quarter of 2022;</w:t>
      </w:r>
    </w:p>
    <w:p>
      <w:pPr>
        <w:spacing w:after="0" w:line="56" w:lineRule="exact"/>
        <w:rPr>
          <w:rFonts w:ascii="Times New Roman" w:cs="Times New Roman" w:eastAsia="Times New Roman" w:hAnsi="Times New Roman"/>
          <w:sz w:val="18"/>
          <w:szCs w:val="18"/>
          <w:color w:val="auto"/>
        </w:rPr>
      </w:pPr>
    </w:p>
    <w:p>
      <w:pPr>
        <w:ind w:left="1020" w:right="280" w:hanging="506"/>
        <w:spacing w:after="0" w:line="277"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distress or bankruptcy of key suppliers or third-party manufacturers, resulting in insufficient product quantities to meet demand or increases in the cost of producing our gear; and</w:t>
      </w:r>
    </w:p>
    <w:p>
      <w:pPr>
        <w:spacing w:after="0" w:line="56"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distress or bankruptcy of key distributors, resellers or retailers.</w:t>
      </w:r>
    </w:p>
    <w:p>
      <w:pPr>
        <w:spacing w:after="0" w:line="220" w:lineRule="exact"/>
        <w:rPr>
          <w:sz w:val="20"/>
          <w:szCs w:val="20"/>
          <w:color w:val="auto"/>
        </w:rPr>
      </w:pPr>
    </w:p>
    <w:p>
      <w:pPr>
        <w:ind w:right="160" w:firstLine="510"/>
        <w:spacing w:after="0" w:line="277" w:lineRule="auto"/>
        <w:rPr>
          <w:sz w:val="20"/>
          <w:szCs w:val="20"/>
          <w:color w:val="auto"/>
        </w:rPr>
      </w:pPr>
      <w:r>
        <w:rPr>
          <w:rFonts w:ascii="Times New Roman" w:cs="Times New Roman" w:eastAsia="Times New Roman" w:hAnsi="Times New Roman"/>
          <w:sz w:val="18"/>
          <w:szCs w:val="18"/>
          <w:color w:val="auto"/>
        </w:rPr>
        <w:t>Depressed economic conditions, whether in our key regional markets or globally, could result in a decline in both product prices and the demand for our gear, which may seriously harm our business.</w:t>
      </w:r>
    </w:p>
    <w:p>
      <w:pPr>
        <w:spacing w:after="0" w:line="266"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DRAM integrated circuits account for most of the cost of producing our DRAM modules and fluctuations in the market price of DRAM integrated circuits may have a material impact on our net revenue and gross profit.</w:t>
      </w:r>
    </w:p>
    <w:p>
      <w:pPr>
        <w:spacing w:after="0" w:line="52" w:lineRule="exact"/>
        <w:rPr>
          <w:sz w:val="20"/>
          <w:szCs w:val="20"/>
          <w:color w:val="auto"/>
        </w:rPr>
      </w:pPr>
    </w:p>
    <w:p>
      <w:pPr>
        <w:ind w:right="40" w:firstLine="510"/>
        <w:spacing w:after="0" w:line="251" w:lineRule="auto"/>
        <w:rPr>
          <w:sz w:val="20"/>
          <w:szCs w:val="20"/>
          <w:color w:val="auto"/>
        </w:rPr>
      </w:pPr>
      <w:r>
        <w:rPr>
          <w:rFonts w:ascii="Times New Roman" w:cs="Times New Roman" w:eastAsia="Times New Roman" w:hAnsi="Times New Roman"/>
          <w:sz w:val="18"/>
          <w:szCs w:val="18"/>
          <w:color w:val="auto"/>
        </w:rPr>
        <w:t>DRAM integrated circuits, or ICs, account for most of the cost of producing our DRAM modules. The market for these ICs is highly competitive and cyclical. Prices of DRAM ICs have historically been subject to volatility over relatively short periods of time due to a number of factors, including imbalances in supply and demand. We expect these fluctuations will recur in the future, which could seriously harm our business. For example, changes in the selling prices of our DRAM modules can have a substantial impact on our net revenue as our performance memory products represents a significant portion of our overall net revenue. In addition, declines in the market price of ICs enable our competitors to lower prices and we will likely be forced to lower our product prices in order to compete effectively which could have an adverse effect on our net revenue. Further, because we carry inventory of DRAM ICs and DRAM modules at our facility in Taiwan, fluctuations in the market price of these ICs can have an effect on our gross margin. For example, declines in the prices of these ICs and their related products have tended to have a negative short-term impact on gross margin of our DRAM modules. In addition, selling prices of our DRAM modules, on the one hand, and market prices of DRAM ICs, on the other hand, may rise or fall at different rates, which may also affect our gross margin. Any of these circumstances could materially adversely affect our net revenue and gross margins.</w:t>
      </w:r>
    </w:p>
    <w:p>
      <w:pPr>
        <w:spacing w:after="0" w:line="186" w:lineRule="exact"/>
        <w:rPr>
          <w:sz w:val="20"/>
          <w:szCs w:val="20"/>
          <w:color w:val="auto"/>
        </w:rPr>
      </w:pPr>
    </w:p>
    <w:p>
      <w:pPr>
        <w:ind w:right="80" w:firstLine="510"/>
        <w:spacing w:after="0" w:line="252" w:lineRule="auto"/>
        <w:rPr>
          <w:sz w:val="20"/>
          <w:szCs w:val="20"/>
          <w:color w:val="auto"/>
        </w:rPr>
      </w:pPr>
      <w:r>
        <w:rPr>
          <w:rFonts w:ascii="Times New Roman" w:cs="Times New Roman" w:eastAsia="Times New Roman" w:hAnsi="Times New Roman"/>
          <w:sz w:val="18"/>
          <w:szCs w:val="18"/>
          <w:color w:val="auto"/>
        </w:rPr>
        <w:t>We use DRAM ICs produced by Samsung, Micron and Hynix in our DRAM modules. We purchase those DRAM ICs, pursuant to purchase orders and not long-term supply contracts, largely from third-party distributors and, to a lesser extent, directly from those manufacturers. According to the most recent external market share data for the trailing twelve months average, ended September 30, 2022, Samsung, a manufacturer of DRAM ICs, had an approximately 42% share of the worldwide DRAM IC market, compared to approximately 28% for Hynix and approximately 24% for Micron in each case for the same period. However, should supply from any of these vendors be limited, there can be no assurance that we would be able to meet our needs by purchasing DRAM ICs produced by other manufacturers or from agents and distributors. Further, there are a limited number of companies capable of producing the high-speed DRAM ICs required for our high-performance DRAM modules, and any inability to procure the requisite quantities and quality of DRAM ICs could reduce our production of DRAM modules and could seriously harm our business.</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coronavirus outbreak has had, and could continue to have, a materially disruptive effect on our business.</w:t>
      </w:r>
    </w:p>
    <w:p>
      <w:pPr>
        <w:spacing w:after="0" w:line="224" w:lineRule="exact"/>
        <w:rPr>
          <w:sz w:val="20"/>
          <w:szCs w:val="20"/>
          <w:color w:val="auto"/>
        </w:rPr>
      </w:pPr>
    </w:p>
    <w:p>
      <w:pPr>
        <w:ind w:right="60" w:firstLine="510"/>
        <w:spacing w:after="0" w:line="277" w:lineRule="auto"/>
        <w:rPr>
          <w:sz w:val="20"/>
          <w:szCs w:val="20"/>
          <w:color w:val="auto"/>
        </w:rPr>
      </w:pPr>
      <w:r>
        <w:rPr>
          <w:rFonts w:ascii="Times New Roman" w:cs="Times New Roman" w:eastAsia="Times New Roman" w:hAnsi="Times New Roman"/>
          <w:sz w:val="18"/>
          <w:szCs w:val="18"/>
          <w:color w:val="auto"/>
        </w:rPr>
        <w:t>The COVID-19 disease has spread globally and has resulted in authorities implementing numerous measures to try to contain the virus, such as travel bans and restrictions, quarantines, shelter-in-place orders and shutdowns.</w:t>
      </w:r>
    </w:p>
    <w:p>
      <w:pPr>
        <w:spacing w:after="0" w:line="163" w:lineRule="exact"/>
        <w:rPr>
          <w:sz w:val="20"/>
          <w:szCs w:val="20"/>
          <w:color w:val="auto"/>
        </w:rPr>
      </w:pPr>
    </w:p>
    <w:p>
      <w:pPr>
        <w:ind w:right="20" w:firstLine="510"/>
        <w:spacing w:after="0" w:line="277" w:lineRule="auto"/>
        <w:rPr>
          <w:sz w:val="20"/>
          <w:szCs w:val="20"/>
          <w:color w:val="auto"/>
        </w:rPr>
      </w:pPr>
      <w:r>
        <w:rPr>
          <w:rFonts w:ascii="Times New Roman" w:cs="Times New Roman" w:eastAsia="Times New Roman" w:hAnsi="Times New Roman"/>
          <w:sz w:val="18"/>
          <w:szCs w:val="18"/>
          <w:color w:val="auto"/>
        </w:rPr>
        <w:t>The spread of COVID-19 has harmed and future outbreaks of COVID-19 could continue to harm, our business. Current and potential impacts include, but are not limited to, the following:</w:t>
      </w:r>
    </w:p>
    <w:p>
      <w:pPr>
        <w:spacing w:after="0" w:line="57" w:lineRule="exact"/>
        <w:rPr>
          <w:sz w:val="20"/>
          <w:szCs w:val="20"/>
          <w:color w:val="auto"/>
        </w:rPr>
      </w:pPr>
    </w:p>
    <w:p>
      <w:pPr>
        <w:ind w:left="1020" w:right="20" w:hanging="506"/>
        <w:spacing w:after="0" w:line="308" w:lineRule="auto"/>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Strict COVID-19 pandemic-related safety measures in Asia, for example, where many of our products and the components and subcomponents used in the manufacture of our gear created, have created, and could in the future create, supply chain disruptions for our gear;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left="1020" w:right="540" w:hanging="506"/>
        <w:spacing w:after="0" w:line="27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employee absences could negatively impact our business, including potential reductions in the availability of the sales team to complete sales and delays in deliverables and timelines within our engineering and support functions;</w:t>
      </w:r>
    </w:p>
    <w:p>
      <w:pPr>
        <w:spacing w:after="0" w:line="56" w:lineRule="exact"/>
        <w:rPr>
          <w:rFonts w:ascii="Times New Roman" w:cs="Times New Roman" w:eastAsia="Times New Roman" w:hAnsi="Times New Roman"/>
          <w:sz w:val="18"/>
          <w:szCs w:val="18"/>
          <w:color w:val="auto"/>
        </w:rPr>
      </w:pPr>
    </w:p>
    <w:p>
      <w:pPr>
        <w:ind w:left="1020" w:right="240" w:hanging="506"/>
        <w:spacing w:after="0" w:line="27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exchange rates could make our products less competitive in a price-sensitive environment for our non-US customers; and</w:t>
      </w:r>
    </w:p>
    <w:p>
      <w:pPr>
        <w:spacing w:after="0" w:line="56" w:lineRule="exact"/>
        <w:rPr>
          <w:rFonts w:ascii="Times New Roman" w:cs="Times New Roman" w:eastAsia="Times New Roman" w:hAnsi="Times New Roman"/>
          <w:sz w:val="18"/>
          <w:szCs w:val="18"/>
          <w:color w:val="auto"/>
        </w:rPr>
      </w:pPr>
    </w:p>
    <w:p>
      <w:pPr>
        <w:ind w:left="1020" w:right="640" w:hanging="506"/>
        <w:spacing w:after="0" w:line="27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of global financial markets, reducing our ability to access capital, which could in the future negatively affect our liquidity, including our ability to repay the indebtedness outstanding from our credit facilities.</w:t>
      </w:r>
    </w:p>
    <w:p>
      <w:pPr>
        <w:spacing w:after="0" w:line="163"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Starting in early 2020 in connection with the COVID-19 pandemic, we experienced an increase in demand for our gear as more people were under shelter-in-place restrictions, which limited people’s access to alternative forms of entertainment and social interaction, and thus increased the demand for home entertainment and connecting with others through content creation at the start of the pandemic. In contrast, as shelter-in-place and other similar restrictions were eased beginning in 2021, many consumers returned to other alternative forms of entertainment and interaction. This in turn has resulted in a decline in demand for our products since the second half of 2021.</w:t>
      </w:r>
    </w:p>
    <w:p>
      <w:pPr>
        <w:spacing w:after="0" w:line="183"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extent to which the COVID-19 outbreak, including the spread of more contagious and deadly variants, ultimately impacts our business, results of operations, cash flows and financial condition will depend on future developments, which are highly uncertain and cannot be predicted, including, but not limited to, the continued duration and spread of the outbreak, its severity, the actions to contain the virus or treat its impact, and how quickly and to what extent normal economic and operating conditions can resume after healthy and safety restrictions are put in place from time to time. Since the outbreak of the COVID-19 pandemic, we have experienced, and may continue to experience significant impacts to our business as a result of its continuing global economic impact, including any economic downturn or recession that has occurred or may occur in the future.</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ongoing war between Russia and Ukraine could adversely affect our business, financial condition and results of operations.</w:t>
      </w:r>
    </w:p>
    <w:p>
      <w:pPr>
        <w:spacing w:after="0" w:line="118"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color w:val="auto"/>
        </w:rPr>
        <w:t>In February 2022, Russian military forces invaded Ukraine. In response, Ukrainian military personnel and civilians are actively resisting the invasion. Although the length, impact and outcome of the war is highly unpredictable, this war has contributed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spacing w:after="0" w:line="75" w:lineRule="exact"/>
        <w:rPr>
          <w:sz w:val="20"/>
          <w:szCs w:val="20"/>
          <w:color w:val="auto"/>
        </w:rPr>
      </w:pPr>
    </w:p>
    <w:p>
      <w:pPr>
        <w:ind w:right="20" w:firstLine="510"/>
        <w:spacing w:after="0" w:line="251" w:lineRule="auto"/>
        <w:rPr>
          <w:sz w:val="20"/>
          <w:szCs w:val="20"/>
          <w:color w:val="auto"/>
        </w:rPr>
      </w:pPr>
      <w:r>
        <w:rPr>
          <w:rFonts w:ascii="Times New Roman" w:cs="Times New Roman" w:eastAsia="Times New Roman" w:hAnsi="Times New Roman"/>
          <w:sz w:val="18"/>
          <w:szCs w:val="18"/>
          <w:color w:val="auto"/>
        </w:rPr>
        <w:t>Russia's recognition of two separatist republics in the Donetsk and Luhansk regions of Ukraine and subsequent military action against Ukraine have also led to an unprecedented expansion of sanction programs imposed by the United States, the European Union and other countries against Russia, Belarus, the Crimea Region of Ukraine, the so-called Donetsk People's Republic and the so-called Luhansk People's Republic. The situation is rapidly evolving as a result of the war in Ukraine, and the United States, the European Union and other countries may implement additional sanctions, export controls or other measures against Russia, Belarus and other countries, regions, officials, individuals or industries in the respective territories. In response to Russia’s invasion of Ukraine and the aforementioned sanctions, with effect from February 2022, we ceased the sale of all of our gear in Russia. While we do not expect this decision to have a material adverse effect on our business, results of operations or financial condition, such sanctions and other measures, as well as the existing and potential further responses from Russia or other countries to such sanctions, tensions and military actions, could adversely affect the global economy and financial markets and could adversely affect our business, financial condition and results of operations.</w:t>
      </w:r>
    </w:p>
    <w:p>
      <w:pPr>
        <w:spacing w:after="0" w:line="82"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In addition, the war, sanctions against Russia and Russia’s drastic reduction to the supply of natural gas to Europe in response to sanctions has and could continue to negatively impact the production and sales of consumer electronics due to a variety of factors such as lower consumer confidence, increase the ongoing disruption of supply chains, worsen the current semiconductor chip shortage since Russia and Ukraine are critical suppliers of neon gas and palladium used in chip production, exacerbate energy shortages and high energy prices, and increase cybersecurity threats. These impacts have adversely impacted our operations, sales and profitability, and could continue to do so.</w:t>
      </w:r>
    </w:p>
    <w:p>
      <w:pPr>
        <w:spacing w:after="0" w:line="76"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are actively monitoring the situation in Ukraine and assessing its impact on our business, including our suppliers and customers. We have no way to predict the progress or outcome of the war in Ukraine or its impacts in Ukraine, Russia or Belarus as the war, and any resulting government reactions, are rapidly developing and are beyond our control. The extent and duration of the military action, sanctions and resulting market disruptions could be significant and could potentially have substantial impact on the global economy and our business for an unknown period of time. Any of the abovementioned factors could affect our business, financial condition and results of operations. Any such disruptions may also magnify the impact of other risks described in this Annual Report on Form 10-K.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net revenue is generated by sales of DRAM modules and any significant decrease in the average selling prices of our DRAM modules would seriously harm our business.</w:t>
      </w:r>
    </w:p>
    <w:p>
      <w:pPr>
        <w:spacing w:after="0" w:line="52" w:lineRule="exact"/>
        <w:rPr>
          <w:sz w:val="20"/>
          <w:szCs w:val="20"/>
          <w:color w:val="auto"/>
        </w:rPr>
      </w:pPr>
    </w:p>
    <w:p>
      <w:pPr>
        <w:jc w:val="both"/>
        <w:ind w:right="40" w:firstLine="510"/>
        <w:spacing w:after="0" w:line="257" w:lineRule="auto"/>
        <w:rPr>
          <w:sz w:val="20"/>
          <w:szCs w:val="20"/>
          <w:color w:val="auto"/>
        </w:rPr>
      </w:pPr>
      <w:r>
        <w:rPr>
          <w:rFonts w:ascii="Times New Roman" w:cs="Times New Roman" w:eastAsia="Times New Roman" w:hAnsi="Times New Roman"/>
          <w:sz w:val="18"/>
          <w:szCs w:val="18"/>
          <w:color w:val="auto"/>
        </w:rPr>
        <w:t>A significant percentage of our net revenue is generated by sales of DRAM modules. In particular, net revenue generated by sales of DRAM modules accounted for a total of 34.3% and 28.5% of our net revenue in 2022 and 2021, respectively. As a result, any significant decrease in average selling prices of our DRAM modules, whether as a result of declining market prices of DRAM ICs or for any other reason, would seriously harm our business. Selling prices for our DRAM modules tend to increase or decrease with increases or decreases, respectively, in market prices of DRAM ICs.</w:t>
      </w:r>
    </w:p>
    <w:p>
      <w:pPr>
        <w:spacing w:after="0" w:line="285"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Sales to a limited number of customers represent a significant portion of our net revenue, and the loss of one or more of our key customers may seriously harm our business.</w:t>
      </w:r>
    </w:p>
    <w:p>
      <w:pPr>
        <w:spacing w:after="0" w:line="52" w:lineRule="exact"/>
        <w:rPr>
          <w:sz w:val="20"/>
          <w:szCs w:val="20"/>
          <w:color w:val="auto"/>
        </w:rPr>
      </w:pPr>
    </w:p>
    <w:p>
      <w:pPr>
        <w:ind w:firstLine="510"/>
        <w:spacing w:after="0" w:line="250" w:lineRule="auto"/>
        <w:rPr>
          <w:sz w:val="20"/>
          <w:szCs w:val="20"/>
          <w:color w:val="auto"/>
        </w:rPr>
      </w:pPr>
      <w:r>
        <w:rPr>
          <w:rFonts w:ascii="Times New Roman" w:cs="Times New Roman" w:eastAsia="Times New Roman" w:hAnsi="Times New Roman"/>
          <w:sz w:val="18"/>
          <w:szCs w:val="18"/>
          <w:color w:val="auto"/>
        </w:rPr>
        <w:t>In 2022 and 2021, sales to Amazon accounted for 26.0% and 26.7% of our net revenue, respectively. Sales to our ten largest customers accounted for 52.3% and 51.7% of our net revenue in 2022 and 2021, respectively. Our customers, including Amazon, typically do not enter into long-term agreements to purchase our gear but instead enter into purchase orders with us from time to time. These purchase orders may generally be cancelled and orders can be reduced or postponed by the customer. In addition, our customers are under no obligation to continue purchasing from us and may purchase similar products from our competitors, and some of our customer agreements contain “most favored nation” clauses. Further, while we maintain accounts receivables insurance for many of our customers, we do not maintain such coverage for Amazon and others. As a result, if either Amazon or others were to default on its payment to us, and if we were to have substantial accounts receivables balances with such customers outstanding, we would not be covered by such insurance, and our business may be seriously harmed. If the financial condition of a key customer weakens, if a key customer stops purchasing our gear, or if uncertainty regarding demand for our gear causes a key customer to reduce their orders and marketing of our gear, our business could be seriously harmed. A decision by one or more of our key customers to reduce, delay or cancel its orders from us, either as a result of industry conditions or specific events relating to a particular customer or failure or inability to pay amounts owed to us in a timely manner, or at all, may seriously harm our business. In addition, because of our reliance on key customers, the loss of one or more key customers as a result of bankruptcy or liquidation or otherwise, and the resulting loss of sales, may seriously harm our business. Additionally, some of our customer agreements contain “most favored nation” clauses.</w:t>
      </w:r>
    </w:p>
    <w:p>
      <w:pPr>
        <w:spacing w:after="0" w:line="292" w:lineRule="exact"/>
        <w:rPr>
          <w:sz w:val="20"/>
          <w:szCs w:val="20"/>
          <w:color w:val="auto"/>
        </w:rPr>
      </w:pPr>
    </w:p>
    <w:p>
      <w:pPr>
        <w:ind w:left="520"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limited manufacturing facilities that only assemble our DRAM modules, custom built PCs, custom cooling and controllers, we have no guaranteed sources of supply of products or components and we depend upon a small number of manufacturers, some of which are exclusive or single-source suppliers, to supply our gear, each of which may result in product or component shortages, delayed deliveries and quality control problems.</w:t>
      </w:r>
    </w:p>
    <w:p>
      <w:pPr>
        <w:spacing w:after="0" w:line="72"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We maintain limited manufacturing facilities that only assemble certain products such as our DRAM modules, custom built PCs, custom cooling and performance controllers, and as a result, we depend entirely upon third parties to manufacture and supply the gear we sell and the components used in our gear such as gaming peripherals and gaming components. Our gear that is manufactured by outsourced parties is generally produced by a limited number of manufacturers and in some instances is purchased on a purchase order basis. For example, each model of our gaming keyboards, gaming mice, gaming headsets, computer cases, PSUs and cooling solutions is produced by a single manufacturer. We do not have long-term supply agreements with most of our manufacturers and suppliers. In addition, we carry limited inventory of our gear, and the loss of one or more of these manufacturers or suppliers, or a significant decline in production or deliveries by any of them, could significantly limit our shipments of gear or prevent us from shipping that gear entirely. If one of our exclusive or single-source manufacturers were to stop production, or experience product quality or shortage issues, we may be unable to locate or engage a suitable replacement on terms we consider acceptable and, in any event, there would likely be significant delays before we were able to transition production to a new manufacturer and potentially significant costs associated with that transition.</w:t>
      </w:r>
    </w:p>
    <w:p>
      <w:pPr>
        <w:spacing w:after="0" w:line="289" w:lineRule="exact"/>
        <w:rPr>
          <w:sz w:val="20"/>
          <w:szCs w:val="20"/>
          <w:color w:val="auto"/>
        </w:rPr>
      </w:pPr>
    </w:p>
    <w:p>
      <w:pPr>
        <w:ind w:left="520" w:right="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proprietary iCUE software or Elgato streaming software suite have any “bugs” or glitches, or if we are unable to update the iCUE software or Elgato streaming software suite to incorporate innovations, our business may be seriously harmed.</w:t>
      </w:r>
    </w:p>
    <w:p>
      <w:pPr>
        <w:spacing w:after="0" w:line="52" w:lineRule="exact"/>
        <w:rPr>
          <w:sz w:val="20"/>
          <w:szCs w:val="20"/>
          <w:color w:val="auto"/>
        </w:rPr>
      </w:pPr>
    </w:p>
    <w:p>
      <w:pPr>
        <w:ind w:right="100" w:firstLine="510"/>
        <w:spacing w:after="0" w:line="252" w:lineRule="auto"/>
        <w:rPr>
          <w:sz w:val="20"/>
          <w:szCs w:val="20"/>
          <w:color w:val="auto"/>
        </w:rPr>
      </w:pPr>
      <w:r>
        <w:rPr>
          <w:rFonts w:ascii="Times New Roman" w:cs="Times New Roman" w:eastAsia="Times New Roman" w:hAnsi="Times New Roman"/>
          <w:sz w:val="18"/>
          <w:szCs w:val="18"/>
          <w:color w:val="auto"/>
        </w:rPr>
        <w:t>Because most of the gear we sell is linked through either our iCUE software or our Elgato streaming software suite, “bugs” or other glitches in the software may cause it to not perform reliably, meet our quality standards or meet performance specifications. Further, even if we detect any bugs or other glitches in the iCUE software or our Elgato streaming software suite we may be unable to update the affected software effectively to remediate these problems. In addition, in order for us to stay competitive, we need to update the iCUE software, Elgato streaming software suite and any other software utilized by our gear, to incorporate innovations and other changes to address gamers and content creators’ changing needs. If we are unable to update the iCUE software or our Elgato streaming software suite to include such updates or address any bugs or glitches, its use to gamers and content creators may be substantially diminished, which could seriously harm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left="520"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need to continuously develop new gear and product improvements increases the risk that our gear will contain defects or fail to meet specifications, which may increase our warranty costs and product returns, lead to recalls of gear, damage our reputation and seriously harm our business.</w:t>
      </w:r>
    </w:p>
    <w:p>
      <w:pPr>
        <w:spacing w:after="0" w:line="66" w:lineRule="exact"/>
        <w:rPr>
          <w:sz w:val="20"/>
          <w:szCs w:val="20"/>
          <w:color w:val="auto"/>
        </w:rPr>
      </w:pPr>
    </w:p>
    <w:p>
      <w:pPr>
        <w:ind w:firstLine="510"/>
        <w:spacing w:after="0" w:line="250" w:lineRule="auto"/>
        <w:rPr>
          <w:sz w:val="20"/>
          <w:szCs w:val="20"/>
          <w:color w:val="auto"/>
        </w:rPr>
      </w:pPr>
      <w:r>
        <w:rPr>
          <w:rFonts w:ascii="Times New Roman" w:cs="Times New Roman" w:eastAsia="Times New Roman" w:hAnsi="Times New Roman"/>
          <w:sz w:val="18"/>
          <w:szCs w:val="18"/>
          <w:color w:val="auto"/>
        </w:rPr>
        <w:t>Gear that does not meet specifications or that contains, or is perceived by our customers or gamers to contain, defects could impose significant costs on us or seriously harm our business. Our gear may suffer from design flaws, quality control problems in the manufacturing process or components that are defective or do not meet our quality standards. Moreover, the markets we serve are characterized by rapidly changing technology and intense competition and the pressure to continuously develop new gear and improvements and bring that gear and improvements to market quickly heightens the risks that our gear will be subject to both quality control and design problems. Because we largely rely on third parties to manufacture our gear and the components that are used in our gear, our ability to control the quality of the manufacturing process and the components that are used to manufacture our gear is limited. Product quality issues, whether as a result of design or manufacturing flaws or the use of components that are not of the requisite quality or do not meet our specifications, could result in product recalls, product redesign efforts, lost revenue, loss of reputation, and significant warranty and other expenses. In that regard, we have previously voluntarily recalled the SF-series PSUs. Recalls of gear and warranty-related issues can be costly, cause damage to our reputation and result in increased expenses, lost revenue and production delays. We may also be required to compensate customers for costs incurred or damages caused by defective gear. If we incur warranty or product redesign costs, institute recalls of gear or suffer damage to our reputation as a result of defective gear, our business could be seriously harmed.</w:t>
      </w:r>
    </w:p>
    <w:p>
      <w:pPr>
        <w:spacing w:after="0" w:line="294" w:lineRule="exact"/>
        <w:rPr>
          <w:sz w:val="20"/>
          <w:szCs w:val="20"/>
          <w:color w:val="auto"/>
        </w:rPr>
      </w:pPr>
    </w:p>
    <w:p>
      <w:pPr>
        <w:ind w:left="520" w:right="2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While we operate a facility in Taiwan that assembles, tests and packages all of our DRAM modules and certain other products, we rely upon manufacturers in China and Southeast Asia to produce a significant portion of our other products, which exposes us to risks that may seriously harm our business.</w:t>
      </w:r>
    </w:p>
    <w:p>
      <w:pPr>
        <w:spacing w:after="0" w:line="66" w:lineRule="exact"/>
        <w:rPr>
          <w:sz w:val="20"/>
          <w:szCs w:val="20"/>
          <w:color w:val="auto"/>
        </w:rPr>
      </w:pPr>
    </w:p>
    <w:p>
      <w:pPr>
        <w:ind w:right="240" w:firstLine="510"/>
        <w:spacing w:after="0" w:line="255" w:lineRule="auto"/>
        <w:rPr>
          <w:sz w:val="20"/>
          <w:szCs w:val="20"/>
          <w:color w:val="auto"/>
        </w:rPr>
      </w:pPr>
      <w:r>
        <w:rPr>
          <w:rFonts w:ascii="Times New Roman" w:cs="Times New Roman" w:eastAsia="Times New Roman" w:hAnsi="Times New Roman"/>
          <w:sz w:val="18"/>
          <w:szCs w:val="18"/>
          <w:color w:val="auto"/>
        </w:rPr>
        <w:t>We operate a facility in Taiwan that assembles, tests, packages and ultimately supplies all of our DRAM modules and a significant portion of our cooling solutions, prebuilt and custom gaming systems and custom gaming controllers. We also assemble, test, package and ultimately supply our custom-built PCs and our customized gaming controllers in our U.S. facility. All of the other gear we sell, including the components used to assemble our DRAM modules, are produced at factories operated by third parties located in China, Taiwan and countries in Southeast Asia. The fact that all of these facilities, manufacturers, suppliers and factories are concentrated in China, Taiwan and countries in Southeast Asia exposes us to numerous risks.</w:t>
      </w:r>
    </w:p>
    <w:p>
      <w:pPr>
        <w:spacing w:after="0" w:line="183"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We believe one of the most significant risks associated with this concentration is that production may be interrupted or limited because of labor shortages in southern China, restrictive health and safety measures in response to ongoing COVID-19 outbreaks and by strains on the local infrastructure. In addition, production at facilities located in China, Taiwan or Southeast Asia, including our own manufacturing, testing and packaging facility in Taiwan, and deliveries from those facilities, may be adversely affected by tensions, hostilities or trade disputes involving China, Taiwan, the United States or other countries. There is considerable potential political instability in Taiwan related to its disputes with China. In addition, political instability in countries in Southeast Asia where we source certain components, such as Thailand, could result in delays in shipments or our inability to source certain critical components for our products. Although we do not do business in North Korea, any future increase in tensions between South Korea and North Korea, such as an outbreak or escalation of military hostilities, or between Taiwan and China could materially adversely affect our operations in Asia or the global economy, which in turn may seriously harm our business.</w:t>
      </w:r>
    </w:p>
    <w:p>
      <w:pPr>
        <w:spacing w:after="0" w:line="189" w:lineRule="exact"/>
        <w:rPr>
          <w:sz w:val="20"/>
          <w:szCs w:val="20"/>
          <w:color w:val="auto"/>
        </w:rPr>
      </w:pPr>
    </w:p>
    <w:p>
      <w:pPr>
        <w:ind w:right="580" w:firstLine="510"/>
        <w:spacing w:after="0" w:line="277" w:lineRule="auto"/>
        <w:rPr>
          <w:sz w:val="20"/>
          <w:szCs w:val="20"/>
          <w:color w:val="auto"/>
        </w:rPr>
      </w:pPr>
      <w:r>
        <w:rPr>
          <w:rFonts w:ascii="Times New Roman" w:cs="Times New Roman" w:eastAsia="Times New Roman" w:hAnsi="Times New Roman"/>
          <w:sz w:val="18"/>
          <w:szCs w:val="18"/>
          <w:color w:val="auto"/>
        </w:rPr>
        <w:t>Other risks resulting from this concentration of our manufacturing facilities and our suppliers in China, Taiwan and Southeast Asia include the following:</w:t>
      </w:r>
    </w:p>
    <w:p>
      <w:pPr>
        <w:spacing w:after="0" w:line="57" w:lineRule="exact"/>
        <w:rPr>
          <w:sz w:val="20"/>
          <w:szCs w:val="20"/>
          <w:color w:val="auto"/>
        </w:rPr>
      </w:pPr>
    </w:p>
    <w:p>
      <w:pPr>
        <w:ind w:left="1020" w:right="160" w:hanging="506"/>
        <w:spacing w:after="0" w:line="277"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enforcement of China’s laws continues to evolve, which may make it more difficult for us to obtain a reliable supply of our gear at predictable costs;</w:t>
      </w:r>
    </w:p>
    <w:p>
      <w:pPr>
        <w:spacing w:after="0" w:line="56" w:lineRule="exact"/>
        <w:rPr>
          <w:rFonts w:ascii="Times New Roman" w:cs="Times New Roman" w:eastAsia="Times New Roman" w:hAnsi="Times New Roman"/>
          <w:sz w:val="18"/>
          <w:szCs w:val="18"/>
          <w:color w:val="auto"/>
        </w:rPr>
      </w:pPr>
    </w:p>
    <w:p>
      <w:pPr>
        <w:ind w:left="1020" w:right="440" w:hanging="506"/>
        <w:spacing w:after="0" w:line="277"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are located in regions that may be affected by earthquakes, typhoons, other natural disasters, pandemic outbreaks, political instability, military actions, power outages or other conditions that may cause a disruption in supply;</w:t>
      </w:r>
    </w:p>
    <w:p>
      <w:pPr>
        <w:spacing w:after="0" w:line="56"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may be increased and deliveries of our gear may be decreased or delayed by trade restrictions; and</w:t>
      </w:r>
    </w:p>
    <w:p>
      <w:pPr>
        <w:spacing w:after="0" w:line="113" w:lineRule="exact"/>
        <w:rPr>
          <w:rFonts w:ascii="Times New Roman" w:cs="Times New Roman" w:eastAsia="Times New Roman" w:hAnsi="Times New Roman"/>
          <w:sz w:val="18"/>
          <w:szCs w:val="18"/>
          <w:color w:val="auto"/>
        </w:rPr>
      </w:pPr>
    </w:p>
    <w:p>
      <w:pPr>
        <w:jc w:val="both"/>
        <w:ind w:left="1020" w:right="260" w:hanging="506"/>
        <w:spacing w:after="0" w:line="26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foreign manufacturers and suppliers exposes us to other risks of doing business internationally, some of which are described below under “We conduct our operations and sell our gear internationally and the effect of business, legal and political risks associated with international operations may seriously harm our business.”</w:t>
      </w:r>
    </w:p>
    <w:p>
      <w:pPr>
        <w:spacing w:after="0" w:line="177"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8"/>
          <w:szCs w:val="18"/>
          <w:color w:val="auto"/>
        </w:rPr>
        <w:t>In addition, if significant tariffs or other restrictions are placed on Chinese imports or any related counter-measures are taken by China, our business may be seriously harmed if such tariffs or counter-measures affect the manufacturing costs of any of our gear. Further, such tariffs could adversely impact our gross profits if we cannot pass the increased costs incurred as a result of these tariffs through to our consumers, or if the resulting increased prices result in a decrease in consumer demand.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occurrence of any one or more of these risks may seriously harm our business.</w:t>
      </w:r>
    </w:p>
    <w:p>
      <w:pPr>
        <w:spacing w:after="0" w:line="3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successfully coordinate the worldwide manufacturing and distribution of our gear, we could lose sales.</w:t>
      </w:r>
    </w:p>
    <w:p>
      <w:pPr>
        <w:spacing w:after="0" w:line="118" w:lineRule="exact"/>
        <w:rPr>
          <w:sz w:val="20"/>
          <w:szCs w:val="20"/>
          <w:color w:val="auto"/>
        </w:rPr>
      </w:pPr>
    </w:p>
    <w:p>
      <w:pPr>
        <w:ind w:right="300" w:firstLine="510"/>
        <w:spacing w:after="0" w:line="257" w:lineRule="auto"/>
        <w:rPr>
          <w:sz w:val="20"/>
          <w:szCs w:val="20"/>
          <w:color w:val="auto"/>
        </w:rPr>
      </w:pPr>
      <w:r>
        <w:rPr>
          <w:rFonts w:ascii="Times New Roman" w:cs="Times New Roman" w:eastAsia="Times New Roman" w:hAnsi="Times New Roman"/>
          <w:sz w:val="18"/>
          <w:szCs w:val="18"/>
          <w:color w:val="auto"/>
        </w:rPr>
        <w:t>Our business requires that we coordinate the manufacturing and distribution of our gear over a significant portion of the world. We rely upon third parties to manufacture our gear and to transport and distribute our gear to our customers. If we do not successfully coordinate the timely and efficient manufacturing and distribution of our gear, our costs may increase, we may experience a build-up in inventory, we may not be able to deliver sufficient quantities to meet customer demand and we could lose sales, each of which could seriously harm our business.</w:t>
      </w:r>
    </w:p>
    <w:p>
      <w:pPr>
        <w:spacing w:after="0" w:line="285" w:lineRule="exact"/>
        <w:rPr>
          <w:sz w:val="20"/>
          <w:szCs w:val="20"/>
          <w:color w:val="auto"/>
        </w:rPr>
      </w:pPr>
    </w:p>
    <w:p>
      <w:pPr>
        <w:ind w:left="520" w:right="340"/>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are particularly sensitive to freight costs, and our costs may increase significantly if we are unable to ship and transport finished products efficiently and economically across long distances and international borders, which may seriously harm our business.</w:t>
      </w:r>
    </w:p>
    <w:p>
      <w:pPr>
        <w:spacing w:after="0" w:line="30" w:lineRule="exact"/>
        <w:rPr>
          <w:sz w:val="20"/>
          <w:szCs w:val="20"/>
          <w:color w:val="auto"/>
        </w:rPr>
      </w:pPr>
    </w:p>
    <w:p>
      <w:pPr>
        <w:ind w:firstLine="510"/>
        <w:spacing w:after="0" w:line="250" w:lineRule="auto"/>
        <w:rPr>
          <w:sz w:val="20"/>
          <w:szCs w:val="20"/>
          <w:color w:val="auto"/>
        </w:rPr>
      </w:pPr>
      <w:r>
        <w:rPr>
          <w:rFonts w:ascii="Times New Roman" w:cs="Times New Roman" w:eastAsia="Times New Roman" w:hAnsi="Times New Roman"/>
          <w:sz w:val="18"/>
          <w:szCs w:val="18"/>
          <w:color w:val="auto"/>
        </w:rPr>
        <w:t>The majority of our gear is manufactured in Asia, and we transport significant volumes of finished products across long distances and international borders. As a result, our operating results can be significantly affected by changes in transportation costs. In that regard, although we ship our DRAM modules, which have selling prices that are relatively high compared to their size and weight, by air, we generally use ocean freight to ship our other products because of their relatively low selling prices compared to their size and weight. If we underestimate the demand for any of the products we ship by ocean freight, or if deliveries of those products to us by our manufacturers are delayed or interrupted, we may be required to ship those products by air in order to fill orders on a timely basis. Shipping larger or heavier items, such as cases or PSUs, by air is significantly more expensive than using ocean freight. As a result, any requirement that we ship these products by air, whether because we underestimate demand or because of an interruption in supply from the manufacturers who produce these products or for any other reason, could materially increase our costs. In addition, freight rates can vary significantly due to large number of factors beyond our control, including changes in fuel prices or general economic conditions or the threat of terrorist activities or acts of piracy. If demand for air or ocean freight should increase substantially, it could make it difficult for us to procure sufficient cargo transportation space at prices we consider acceptable, or at all. Increases in our freight expenses, or any inability to ship our gear as and when required, may seriously harm our business.</w:t>
      </w:r>
    </w:p>
    <w:p>
      <w:pPr>
        <w:spacing w:after="0" w:line="191" w:lineRule="exact"/>
        <w:rPr>
          <w:sz w:val="20"/>
          <w:szCs w:val="20"/>
          <w:color w:val="auto"/>
        </w:rPr>
      </w:pPr>
    </w:p>
    <w:p>
      <w:pPr>
        <w:ind w:right="40" w:firstLine="510"/>
        <w:spacing w:after="0" w:line="257" w:lineRule="auto"/>
        <w:rPr>
          <w:sz w:val="20"/>
          <w:szCs w:val="20"/>
          <w:color w:val="auto"/>
        </w:rPr>
      </w:pPr>
      <w:r>
        <w:rPr>
          <w:rFonts w:ascii="Times New Roman" w:cs="Times New Roman" w:eastAsia="Times New Roman" w:hAnsi="Times New Roman"/>
          <w:sz w:val="18"/>
          <w:szCs w:val="18"/>
          <w:color w:val="auto"/>
        </w:rPr>
        <w:t>Because our gear must cross international borders, we are subject to risk of delay if our documentation does not comply with customs rules and regulations or for similar reasons. In addition, any increases in customs duties or tariffs, as a result of changes to existing trade agreements between countries or otherwise, could increase our costs or the final cost of our gear to our retailer customers or gamers or decrease our margins. The laws governing customs and tariffs in many countries are complex, subject to many interpretations and often include substantial penalties for non-compliance.</w:t>
      </w:r>
    </w:p>
    <w:p>
      <w:pPr>
        <w:spacing w:after="0" w:line="285"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Technological developments or other changes in our industry could render our gear less competitive or obsolete, which may seriously harm our business.</w:t>
      </w:r>
    </w:p>
    <w:p>
      <w:pPr>
        <w:spacing w:after="0" w:line="52" w:lineRule="exact"/>
        <w:rPr>
          <w:sz w:val="20"/>
          <w:szCs w:val="20"/>
          <w:color w:val="auto"/>
        </w:rPr>
      </w:pPr>
    </w:p>
    <w:p>
      <w:pPr>
        <w:ind w:right="40" w:firstLine="510"/>
        <w:spacing w:after="0" w:line="250" w:lineRule="auto"/>
        <w:rPr>
          <w:sz w:val="20"/>
          <w:szCs w:val="20"/>
          <w:color w:val="auto"/>
        </w:rPr>
      </w:pPr>
      <w:r>
        <w:rPr>
          <w:rFonts w:ascii="Times New Roman" w:cs="Times New Roman" w:eastAsia="Times New Roman" w:hAnsi="Times New Roman"/>
          <w:sz w:val="18"/>
          <w:szCs w:val="18"/>
          <w:color w:val="auto"/>
        </w:rPr>
        <w:t>Our industry is characterized by rapidly evolving technology and standards. These technological developments require us to integrate new technology and standards into our gear, create new and relevant categories of gear and adapt to changing business models in a timely manner. Our competitors may develop or acquire alternative and competing technologies and standards that could allow them to create new and disruptive products or produce similar competitive products at lower costs of production. Advances in the development of gaming, computing and audiovisual technology could render our gear less competitive or obsolete. For example, the emergence of augmented reality and virtual reality headsets could render certain of our gamer and creator peripherals such as keyboards and mice less relevant, similar to how cloud computing could drastically reduce the need for gaming components and systems. If we are unable to provide new gear for augmented or virtual reality devices or to address other technological trends, our business may be seriously harmed. In addition, government authorities and industry organizations may adopt new standards that apply to our gear. As a result, we may need to invest significant resources in research and development to maintain our market position, keep pace with technological changes and compete effectively. Our product development expenses were $66.5 million and $60.3 million in 2022 and 2021, respectively, representing 4.8% and 3.2% of our net revenue for these periods, respectively. Our failure to improve our gear, create new and relevant categories of gear and adapt to changing business models in a timely manner may seriously harm our business.</w:t>
      </w:r>
    </w:p>
    <w:p>
      <w:pPr>
        <w:spacing w:after="0" w:line="84" w:lineRule="exact"/>
        <w:rPr>
          <w:sz w:val="20"/>
          <w:szCs w:val="20"/>
          <w:color w:val="auto"/>
        </w:rPr>
      </w:pPr>
    </w:p>
    <w:p>
      <w:pPr>
        <w:ind w:right="80" w:firstLine="510"/>
        <w:spacing w:after="0" w:line="262" w:lineRule="auto"/>
        <w:rPr>
          <w:sz w:val="20"/>
          <w:szCs w:val="20"/>
          <w:color w:val="auto"/>
        </w:rPr>
      </w:pPr>
      <w:r>
        <w:rPr>
          <w:rFonts w:ascii="Times New Roman" w:cs="Times New Roman" w:eastAsia="Times New Roman" w:hAnsi="Times New Roman"/>
          <w:sz w:val="18"/>
          <w:szCs w:val="18"/>
          <w:color w:val="auto"/>
        </w:rPr>
        <w:t>In addition, Russia’s invasion of Ukraine, poor relations between the United States and Russia, and sanctions by the United States and the European Union against Russia could have an adverse impact on our research and development efforts as we outsource significant research and development activities to companies in Ukraine.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left="5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order most of our gear from third-party manufacturers based on our forecasts of future demand and targeted inventory levels, which exposes us to the risk of both product shortages, which may result in lost sales and higher expenses, and excess inventory, which may require us to sell our gear at substantial discounts and lead to write-offs.</w:t>
      </w:r>
    </w:p>
    <w:p>
      <w:pPr>
        <w:spacing w:after="0" w:line="66"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7"/>
          <w:szCs w:val="17"/>
          <w:color w:val="auto"/>
        </w:rPr>
        <w:t>We depend upon our product forecasts to make decisions regarding investments of our resources and production levels of our gear. Because of the lead time necessary to manufacture our gear and the fact that we usually have little or no advance notice of customer orders, we must order our gear from third-party manufacturers and therefore commit to substantial purchases prior to obtaining orders for those products from our customers. This makes it difficult for us to adjust our inventory levels if orders fall below our expectations. Our failure to predict low demand for product can result in excess inventory, as well as lower cash flows and lower margins if we were unable to sell a product or if we were required to lower product prices in order to reduce inventories, and may also result in inventory write-downs such as the $22.5 million inventory impairment and related charges recognized during the second quarter of 2022. In addition, the cancellation or reduction of orders by our customers may also result in excess inventory. On the other hand, if actual orders exceed our expectations, we may need to incur additional costs, such as higher shipping costs for air freight or other expedited delivery or higher product costs for expedited manufacturing, in order to deliver sufficient quantities of products to meet customer orders on a timely basis or we may be unable to fill some orders altogether. In addition, many of the types of gear we sell have short product life cycles, so a failure to accurately predict and meet demand for products can result in lost sales that we may be unable to recover in subsequent periods. These short life cycles also make it more likely that slow moving or excess inventory may become obsolete, requiring us to sell our gear at significant discounts or write off entirely excess or obsolete inventory. Any failure to deliver gear in quantities sufficient to satisfy demand can also seriously harm our reputation with both our retailer customers and end-consumers.</w:t>
      </w:r>
    </w:p>
    <w:p>
      <w:pPr>
        <w:spacing w:after="0" w:line="176" w:lineRule="exact"/>
        <w:rPr>
          <w:sz w:val="20"/>
          <w:szCs w:val="20"/>
          <w:color w:val="auto"/>
        </w:rPr>
      </w:pPr>
    </w:p>
    <w:p>
      <w:pPr>
        <w:ind w:right="200" w:firstLine="510"/>
        <w:spacing w:after="0" w:line="277" w:lineRule="auto"/>
        <w:rPr>
          <w:sz w:val="20"/>
          <w:szCs w:val="20"/>
          <w:color w:val="auto"/>
        </w:rPr>
      </w:pPr>
      <w:r>
        <w:rPr>
          <w:rFonts w:ascii="Times New Roman" w:cs="Times New Roman" w:eastAsia="Times New Roman" w:hAnsi="Times New Roman"/>
          <w:sz w:val="17"/>
          <w:szCs w:val="17"/>
          <w:color w:val="auto"/>
        </w:rPr>
        <w:t>Over the past few years, we have expanded the number and type of gear we sell, and the geographic markets in which we sell them, and we will endeavor to further expand our product portfolio and sales reach. The growth of our product portfolio and the markets in which we sell our gear has increased the difficulty of accurately forecasting product demand. We have in the past experienced significant differences between our forecasts and actual demand for our gear and expect similar differences in the future. If we do not accurately predict product demand, our business may be seriously harmed.</w:t>
      </w:r>
    </w:p>
    <w:p>
      <w:pPr>
        <w:spacing w:after="0" w:line="269"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indemnification obligations to our customers and suppliers for intellectual property infringement claims could require us to pay substantial amounts and may seriously harm our business.</w:t>
      </w:r>
    </w:p>
    <w:p>
      <w:pPr>
        <w:spacing w:after="0" w:line="52"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We indemnify a limited number of retailer customers for damages and costs which may arise if our gear infringe third-party patents or other proprietary rights. We may periodically have to respond to claims and litigate these types of indemnification obligations. Any such indemnification claims could require us to make substantial settlement, damages or royalty payments or result in our incurring substantial legal costs. Our insurance does not cover intellectual property infringement. The potential amount of future payments to defend lawsuits or settle or otherwise satisfy indemnified claims under any of these indemnification provisions may be unlimited. We also have replacement obligations for product warranty claims relating to our gear. Our insurance does not cover such claims. Claims for intellectual property infringement and product warranty claims may seriously harm our business.</w:t>
      </w:r>
    </w:p>
    <w:p>
      <w:pPr>
        <w:spacing w:after="0" w:line="187" w:lineRule="exact"/>
        <w:rPr>
          <w:sz w:val="20"/>
          <w:szCs w:val="20"/>
          <w:color w:val="auto"/>
        </w:rPr>
      </w:pPr>
    </w:p>
    <w:p>
      <w:pPr>
        <w:ind w:right="380" w:firstLine="510"/>
        <w:spacing w:after="0" w:line="277" w:lineRule="auto"/>
        <w:rPr>
          <w:sz w:val="20"/>
          <w:szCs w:val="20"/>
          <w:color w:val="auto"/>
        </w:rPr>
      </w:pPr>
      <w:r>
        <w:rPr>
          <w:rFonts w:ascii="Times New Roman" w:cs="Times New Roman" w:eastAsia="Times New Roman" w:hAnsi="Times New Roman"/>
          <w:sz w:val="18"/>
          <w:szCs w:val="18"/>
          <w:color w:val="auto"/>
        </w:rPr>
        <w:t>From time to time, we pay licensing fees in settlement of certain intellectual property infringement claims made by third parties. There can be no assurance that licensing fees paid under these circumstances will not seriously harm our business.</w:t>
      </w:r>
    </w:p>
    <w:p>
      <w:pPr>
        <w:spacing w:after="0" w:line="266" w:lineRule="exact"/>
        <w:rPr>
          <w:sz w:val="20"/>
          <w:szCs w:val="20"/>
          <w:color w:val="auto"/>
        </w:rPr>
      </w:pPr>
    </w:p>
    <w:p>
      <w:pPr>
        <w:ind w:left="520" w:right="4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integrate our gear and proprietary software with third-party hardware, operating system software and other products, the functionality of our gear would be adversely affected, which may seriously harm our business.</w:t>
      </w:r>
    </w:p>
    <w:p>
      <w:pPr>
        <w:spacing w:after="0" w:line="52" w:lineRule="exact"/>
        <w:rPr>
          <w:sz w:val="20"/>
          <w:szCs w:val="20"/>
          <w:color w:val="auto"/>
        </w:rPr>
      </w:pPr>
    </w:p>
    <w:p>
      <w:pPr>
        <w:ind w:right="120" w:firstLine="510"/>
        <w:spacing w:after="0" w:line="252" w:lineRule="auto"/>
        <w:rPr>
          <w:sz w:val="20"/>
          <w:szCs w:val="20"/>
          <w:color w:val="auto"/>
        </w:rPr>
      </w:pPr>
      <w:r>
        <w:rPr>
          <w:rFonts w:ascii="Times New Roman" w:cs="Times New Roman" w:eastAsia="Times New Roman" w:hAnsi="Times New Roman"/>
          <w:sz w:val="18"/>
          <w:szCs w:val="18"/>
          <w:color w:val="auto"/>
        </w:rPr>
        <w:t>The functionality of some of our gear depends on our ability to integrate that gear with the hardware, operating system software and related products of providers such as Intel, AMD, NVIDIA, Microsoft, Sony and Asus, among others. We rely to a certain extent on the relationships we have with those companies in developing our gear and resolving issues. There can be no assurance that those relationships will be maintained or that those or other companies will continue to provide the necessary information and support to allow us to develop gear that integrates with their products or that third party developers will continue to develop plugins for and integrations with our proprietary software. If integration with the products of those or other companies becomes more difficult, our gear would likely be more difficult to use or may not be compatible with key hardware, operating systems or other products, which would seriously harm our reputation and the utility and desirability of our gear, and, as a result, would seriously harm our business.</w:t>
      </w:r>
    </w:p>
    <w:p>
      <w:pPr>
        <w:spacing w:after="0" w:line="291"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One of our strategies is to grow through acquisitions, which could result in operating difficulties, dilution to our stockholders and other seriously harmful consequences.</w:t>
      </w:r>
    </w:p>
    <w:p>
      <w:pPr>
        <w:spacing w:after="0" w:line="52" w:lineRule="exact"/>
        <w:rPr>
          <w:sz w:val="20"/>
          <w:szCs w:val="20"/>
          <w:color w:val="auto"/>
        </w:rPr>
      </w:pPr>
    </w:p>
    <w:p>
      <w:pPr>
        <w:ind w:right="320" w:firstLine="510"/>
        <w:spacing w:after="0" w:line="277" w:lineRule="auto"/>
        <w:rPr>
          <w:sz w:val="20"/>
          <w:szCs w:val="20"/>
          <w:color w:val="auto"/>
        </w:rPr>
      </w:pPr>
      <w:r>
        <w:rPr>
          <w:rFonts w:ascii="Times New Roman" w:cs="Times New Roman" w:eastAsia="Times New Roman" w:hAnsi="Times New Roman"/>
          <w:sz w:val="18"/>
          <w:szCs w:val="18"/>
          <w:color w:val="auto"/>
        </w:rPr>
        <w:t>One of our strategies is to grow through acquisitions and we may also seek to grow through other strategic transactions such as alliances and joint ventures. In particular, we believe that our future growth depends in part on our ability to enhance our existing</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product lines and introduce new gear and categories of gear through acquisitions and other strategic transactions. There is substantial competition for attractive acquisitions and other strategic transactions, and we may not be successful in completing any such acquisitions or other strategic transactions in the future. If we are successful in making any acquisition or strategic transaction, we may be unable to integrate the acquired business effectively or may incur unanticipated expenditures, which could seriously harm our business. The COVID-19 pandemic may make integration of these businesses even more difficult. Acquisitions and strategic transactions can involve a wide variety of risks depending upon, among other things, the specific business or assets being acquired or the specific terms of any transaction.</w:t>
      </w:r>
    </w:p>
    <w:p>
      <w:pPr>
        <w:spacing w:after="0" w:line="187"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In addition, we may finance acquisitions or investments, strategic partnerships or joint ventures by issuing common stock, which may be dilutive to our stockholders, or by incurring indebtedness, which could increase our interest expense and leverage, perhaps substantially. Acquisitions and other investments may also result in charges for the impairment of goodwill or other acquired assets. Acquisitions of, or alliances with, technology companies are inherently risky, and any acquisitions or investments we make, or alliances we enter into, may not perform in accordance with our expectations. Accordingly, any of these transactions, if completed, may not be successful and may seriously harm our business.</w:t>
      </w:r>
    </w:p>
    <w:p>
      <w:pPr>
        <w:spacing w:after="0" w:line="183" w:lineRule="exact"/>
        <w:rPr>
          <w:sz w:val="20"/>
          <w:szCs w:val="20"/>
          <w:color w:val="auto"/>
        </w:rPr>
      </w:pPr>
    </w:p>
    <w:p>
      <w:pPr>
        <w:ind w:right="20" w:firstLine="510"/>
        <w:spacing w:after="0" w:line="262" w:lineRule="auto"/>
        <w:rPr>
          <w:sz w:val="20"/>
          <w:szCs w:val="20"/>
          <w:color w:val="auto"/>
        </w:rPr>
      </w:pPr>
      <w:r>
        <w:rPr>
          <w:rFonts w:ascii="Times New Roman" w:cs="Times New Roman" w:eastAsia="Times New Roman" w:hAnsi="Times New Roman"/>
          <w:sz w:val="18"/>
          <w:szCs w:val="18"/>
          <w:color w:val="auto"/>
        </w:rPr>
        <w:t>In addition, foreign acquisitions or strategic transactions with foreign partners involve additional risks, including those related to integration of operations across different geographies, cultures and languages, as well as risks related to fluctuation in currency exchange rates and risks associated with the particular economic, political and regulatory environment in specific countries.</w:t>
      </w:r>
    </w:p>
    <w:p>
      <w:pPr>
        <w:spacing w:after="0" w:line="280" w:lineRule="exact"/>
        <w:rPr>
          <w:sz w:val="20"/>
          <w:szCs w:val="20"/>
          <w:color w:val="auto"/>
        </w:rPr>
      </w:pPr>
    </w:p>
    <w:p>
      <w:pPr>
        <w:ind w:left="520" w:right="6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sponsorship of individuals, teams and events within the gaming community is subject to numerous risks that may seriously harm our business.</w:t>
      </w:r>
    </w:p>
    <w:p>
      <w:pPr>
        <w:spacing w:after="0" w:line="52"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We interact with the gaming community in numerous ways, including through the sponsorship of streamers, esports events, tournaments, esports athletes and teams. These sponsored events and individuals are associated with our brand and represent our commitment to the gaming community. There can be no assurance that we will be able to maintain our existing relationships with any of our sponsored individuals or teams in the future or that we will be able to attract new highly visible gamers to endorse our gear. Additionally, certain individuals or teams with greater access to capital may increase the cost of certain sponsorships to levels we may choose not to match. If this were to occur, our sponsored individuals, teams or events may terminate their relationships with us and endorse our competitors’ products, and we may be unable to obtain endorsements from other comparable alternatives. In addition, if any of our sponsored individuals or teams become unpopular or engage in activities perceived negatively in the gaming community or more broadly, our sponsorship expenditures could be wasted and our brand reputation could be damaged which, in turn, could seriously harm our business.</w:t>
      </w:r>
    </w:p>
    <w:p>
      <w:pPr>
        <w:spacing w:after="0" w:line="288" w:lineRule="exact"/>
        <w:rPr>
          <w:sz w:val="20"/>
          <w:szCs w:val="20"/>
          <w:color w:val="auto"/>
        </w:rPr>
      </w:pPr>
    </w:p>
    <w:p>
      <w:pPr>
        <w:ind w:left="520"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need substantial working capital to operate our business, and we rely to a significant degree upon credit extended by our manufacturers and suppliers and borrowings under our revolving credit facility to meet our working capital needs. If we are unable to meet our working capital needs, we may be required to reduce expenses or product purchases, or delay the development, commercialization and marketing of our gear, which would seriously harm our business.</w:t>
      </w:r>
    </w:p>
    <w:p>
      <w:pPr>
        <w:spacing w:after="0" w:line="72" w:lineRule="exact"/>
        <w:rPr>
          <w:sz w:val="20"/>
          <w:szCs w:val="20"/>
          <w:color w:val="auto"/>
        </w:rPr>
      </w:pPr>
    </w:p>
    <w:p>
      <w:pPr>
        <w:ind w:firstLine="510"/>
        <w:spacing w:after="0" w:line="249" w:lineRule="auto"/>
        <w:rPr>
          <w:sz w:val="20"/>
          <w:szCs w:val="20"/>
          <w:color w:val="auto"/>
        </w:rPr>
      </w:pPr>
      <w:r>
        <w:rPr>
          <w:rFonts w:ascii="Times New Roman" w:cs="Times New Roman" w:eastAsia="Times New Roman" w:hAnsi="Times New Roman"/>
          <w:sz w:val="18"/>
          <w:szCs w:val="18"/>
          <w:color w:val="auto"/>
        </w:rPr>
        <w:t>We need substantial working capital to operate our business. We rely to a significant degree upon credit extended by many of our manufacturers and suppliers in order to meet our working capital needs. Credit terms vary from vendor to vendor but typically allow us zero to 120 days to pay for the products. However, notwithstanding the foregoing, there are instances when we are required to pay for gear in advance of it being manufactured and delivered to us. We may also utilize borrowings under our revolving credit facility to provide working capital, and access to external debt financing has historically been and will likely continue to be very important to us. As a result of any downturn in general economic conditions or conditions in the credit markets or other factors, manufacturers and suppliers may be reluctant to provide us with the same credit that they have in the past, which would require that we increase the level of borrowing under our revolving credit facility or obtain other external financing to provide for our substantial working capital needs. Additional financing may not be available on terms acceptable to us or at all. In particular, our access to other debt financing is limited by the negative covenant in our credit agreement restricting our ability to incur other indebtedness, as well as the financial covenants therein prohibiting our Consolidated Total Net Leverage Ratio from exceeding 3.75 to 1.0 from the quarter ending December 31, 2022 through and including March 31, 2023, 3.5 to 1.0 for the quarter ending June 30, 2023, 3.25 to 1.0 from the quarter ending September 30, 2023 through and including December 31, 2023, and not exceeding 3.0 to 1.0 from the quarter ended March 31, 2024 and each quarter thereafter or our Consolidated Interest Coverage Ratio being less than 3.0 to 1.0 for the quarter ending December 31, 2022, 2.5 to 1.0 from the quarter ending March 31, 2023 through and including December 31, 2023, and 3.0 to 1.0 from the quarter ended March 31, 2024 and each quarter thereafter (both tested quarterly on a trailing four fiscal quarter basis). As a result, such restrictions could limit, perhaps substantially, the amount of indebtedness we are permitted to borrow under other debt arrangements.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ind w:right="20" w:firstLine="510"/>
        <w:spacing w:after="0" w:line="273" w:lineRule="auto"/>
        <w:rPr>
          <w:sz w:val="20"/>
          <w:szCs w:val="20"/>
          <w:color w:val="auto"/>
        </w:rPr>
      </w:pPr>
      <w:r>
        <w:rPr>
          <w:rFonts w:ascii="Times New Roman" w:cs="Times New Roman" w:eastAsia="Times New Roman" w:hAnsi="Times New Roman"/>
          <w:sz w:val="17"/>
          <w:szCs w:val="17"/>
          <w:color w:val="auto"/>
        </w:rPr>
        <w:t>To the extent we incur additional indebtedness under our revolving credit facility or are required to incur indebtedness from other sources (if available and if permitted by the credit facility) to provide working capital, it could increase our interest expense and expose us to other risks of leverage. Any inability to meet our working capital or other cash needs as and when required would likely seriously harm our business, results of operations and financial condition and adversely affect our growth prospects and stock price and could require, among other things, that we reduce expenses, which might require us to reduce shipments of our gear or our inventory levels substantially or to delay or curtail the development, commercialization and marketing of our gear.</w:t>
      </w:r>
    </w:p>
    <w:p>
      <w:pPr>
        <w:spacing w:after="0" w:line="273" w:lineRule="exact"/>
        <w:rPr>
          <w:sz w:val="20"/>
          <w:szCs w:val="20"/>
          <w:color w:val="auto"/>
        </w:rPr>
      </w:pPr>
    </w:p>
    <w:p>
      <w:pPr>
        <w:ind w:left="520" w:right="4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Indebtedness and the terms of our credit facilities may impair our ability to respond to changing business and economic conditions and may seriously harm our business.</w:t>
      </w:r>
    </w:p>
    <w:p>
      <w:pPr>
        <w:spacing w:after="0" w:line="5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had $238.7 million of indebtedness as of December 31, 2022. We have incurred significant indebtedness under our credit facilities to fund working capital and other cash needs and we expect to incur additional indebtedness in the future, particularly if we use borrowings or other debt financing to finance all or a portion of any future acquisitions. In addition, the terms of our credit facilities require, and any debt instruments we enter into in the future may require, that we comply with certain restrictions and covenants. These covenants and restrictions, as well as any significant increase in our indebtedness, could adversely impact us for a number of reasons, including the following:</w:t>
      </w:r>
    </w:p>
    <w:p>
      <w:pPr>
        <w:spacing w:after="0" w:line="181"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 required to pay debt service. </w:t>
      </w:r>
      <w:r>
        <w:rPr>
          <w:rFonts w:ascii="Times New Roman" w:cs="Times New Roman" w:eastAsia="Times New Roman" w:hAnsi="Times New Roman"/>
          <w:sz w:val="18"/>
          <w:szCs w:val="18"/>
          <w:color w:val="auto"/>
        </w:rPr>
        <w:t>We may be required to dedicate a substantial portion of our available cash flow to debt service. This risk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the fact that borrowings under our credit facilities bear interest at a variable rate. This exposes us to the risk that the amount of cash required to pay interest under our credit facilities will increase to the extent that market interest increases. Our indebtedness and debt service obligations may also increase our vulnerability to economic downturns and adverse competitive and industry conditions.</w:t>
      </w:r>
    </w:p>
    <w:p>
      <w:pPr>
        <w:spacing w:after="0" w:line="179"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Adverse effect of financial and other covenants</w:t>
      </w:r>
      <w:r>
        <w:rPr>
          <w:rFonts w:ascii="Times New Roman" w:cs="Times New Roman" w:eastAsia="Times New Roman" w:hAnsi="Times New Roman"/>
          <w:sz w:val="18"/>
          <w:szCs w:val="18"/>
          <w:color w:val="auto"/>
        </w:rPr>
        <w:t>. The covenants and other restrictions in our credit facilities and any debt instruments we may 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in the future may limit our ability to raise funds for working capital, capital expenditures, acquisitions, product development and other general corporate requirements, which may adversely affect our ability to finance our operations, any acquisitions or investments or other capital needs or engage in other business activities that would be in our interests. Restrictive covenants may also limit our ability to plan for or react to market conditions or otherwise limit our activities or business plans and place us at a disadvantage compared to our competitors.</w:t>
      </w:r>
    </w:p>
    <w:p>
      <w:pPr>
        <w:spacing w:after="0" w:line="183" w:lineRule="exact"/>
        <w:rPr>
          <w:sz w:val="20"/>
          <w:szCs w:val="20"/>
          <w:color w:val="auto"/>
        </w:rPr>
      </w:pPr>
    </w:p>
    <w:p>
      <w:pPr>
        <w:ind w:right="60" w:firstLine="510"/>
        <w:spacing w:after="0" w:line="250" w:lineRule="auto"/>
        <w:rPr>
          <w:sz w:val="20"/>
          <w:szCs w:val="20"/>
          <w:color w:val="auto"/>
        </w:rPr>
      </w:pPr>
      <w:r>
        <w:rPr>
          <w:rFonts w:ascii="Times New Roman" w:cs="Times New Roman" w:eastAsia="Times New Roman" w:hAnsi="Times New Roman"/>
          <w:sz w:val="18"/>
          <w:szCs w:val="18"/>
          <w:i w:val="1"/>
          <w:iCs w:val="1"/>
          <w:color w:val="auto"/>
        </w:rPr>
        <w:t>Risks of default</w:t>
      </w:r>
      <w:r>
        <w:rPr>
          <w:rFonts w:ascii="Times New Roman" w:cs="Times New Roman" w:eastAsia="Times New Roman" w:hAnsi="Times New Roman"/>
          <w:sz w:val="18"/>
          <w:szCs w:val="18"/>
          <w:color w:val="auto"/>
        </w:rPr>
        <w:t>. If we breach or are unable to comply with a covenant or other agreement contained in a debt instrument, the lender generally has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declare all borrowings outstanding under that debt instrument, together with accrued interest, to be immediately due and payable and may have the right to raise the interest rate. Upon an event of default under our credit facilities, the lender may require the immediate repayment of all outstanding loans and accrued interest. In addition, during the continuance of certain events of default under our credit facilities (subject to a cure period for some events of default), interest may accrue at a rate that is 200 basis points above the otherwise applicable rate. As a result, any breach or failure to comply with covenants contained in our debt instruments could seriously harm our business. Moreover, our credit facilities are secured by substantially all of our assets (including capital stock of our subsidiaries), except assets of our foreign subsidiaries and shares of some of our foreign subsidiaries, and if we are unable to pay indebtedness secured by collateral when due, whether at maturity or if declared due and payable by the lender following a default, the lender generally has the right to seize and sell the collateral securing that indebtedness. There can be no assurance that we will not breach the covenants or other terms of our credit facilities or any other debt instruments in the future and, if a breach occurs, there can be no assurance that we will be able to obtain necessary waivers or amendments from the lender or to refinance the related indebtedness on terms we find acceptable, or at all. As a result, any breach or default of this nature may seriously harm our business.</w:t>
      </w:r>
    </w:p>
    <w:p>
      <w:pPr>
        <w:spacing w:after="0" w:line="84" w:lineRule="exact"/>
        <w:rPr>
          <w:sz w:val="20"/>
          <w:szCs w:val="20"/>
          <w:color w:val="auto"/>
        </w:rPr>
      </w:pPr>
    </w:p>
    <w:p>
      <w:pPr>
        <w:ind w:right="220" w:firstLine="510"/>
        <w:spacing w:after="0" w:line="275" w:lineRule="auto"/>
        <w:rPr>
          <w:sz w:val="20"/>
          <w:szCs w:val="20"/>
          <w:color w:val="auto"/>
        </w:rPr>
      </w:pPr>
      <w:r>
        <w:rPr>
          <w:rFonts w:ascii="Times New Roman" w:cs="Times New Roman" w:eastAsia="Times New Roman" w:hAnsi="Times New Roman"/>
          <w:sz w:val="17"/>
          <w:szCs w:val="17"/>
          <w:i w:val="1"/>
          <w:iCs w:val="1"/>
          <w:color w:val="auto"/>
        </w:rPr>
        <w:t>Restrictions under our credit facilities</w:t>
      </w:r>
      <w:r>
        <w:rPr>
          <w:rFonts w:ascii="Times New Roman" w:cs="Times New Roman" w:eastAsia="Times New Roman" w:hAnsi="Times New Roman"/>
          <w:sz w:val="17"/>
          <w:szCs w:val="17"/>
          <w:color w:val="auto"/>
        </w:rPr>
        <w:t>. We must comply with covenants under our current credit facilities, which require the maintenance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maximum Consolidated Total Net Leverage Ratio of 3.75 to 1.0 from the quarter ending December 31, 2022 through and including March 31, 2023, 3.5 to</w:t>
      </w:r>
    </w:p>
    <w:p>
      <w:pPr>
        <w:ind w:right="200"/>
        <w:spacing w:after="0" w:line="249" w:lineRule="auto"/>
        <w:rPr>
          <w:sz w:val="20"/>
          <w:szCs w:val="20"/>
          <w:color w:val="auto"/>
        </w:rPr>
      </w:pPr>
      <w:r>
        <w:rPr>
          <w:rFonts w:ascii="Times New Roman" w:cs="Times New Roman" w:eastAsia="Times New Roman" w:hAnsi="Times New Roman"/>
          <w:sz w:val="18"/>
          <w:szCs w:val="18"/>
          <w:color w:val="auto"/>
        </w:rPr>
        <w:t>.1.0 for the quarter ending June 30, 2023, 3.25 to 1.0 from the quarter ending September 30, 2023 through and including December 31, 2023, and not exceeding 3.0 to 1.0 from the quarter ended March 31, 2024 and each quarter thereafter and a minimum Consolidated Interest Coverage Ratio of 3.0 to 1.0 for the quarter ending December 31, 2022, 2.5 to 1.0 from the quarter ending March 31, 2023 through and including December 31, 2023, and not less than 3.0 to 1.0 from the quarter ended March 31, 2024 and each quarter thereafter (as defined in our credit facilities). While we were in compliance with all applicable financial covenants under our credit facilities as of December 31, 2022, there can be no assurance that we will not breach these financial covenants in our credit facilities in the future or other covenants in our future credit facilities.</w:t>
      </w:r>
    </w:p>
    <w:p>
      <w:pPr>
        <w:spacing w:after="0" w:line="82" w:lineRule="exact"/>
        <w:rPr>
          <w:sz w:val="20"/>
          <w:szCs w:val="20"/>
          <w:color w:val="auto"/>
        </w:rPr>
      </w:pPr>
    </w:p>
    <w:p>
      <w:pPr>
        <w:ind w:right="60" w:firstLine="510"/>
        <w:spacing w:after="0" w:line="257" w:lineRule="auto"/>
        <w:rPr>
          <w:sz w:val="20"/>
          <w:szCs w:val="20"/>
          <w:color w:val="auto"/>
        </w:rPr>
      </w:pPr>
      <w:r>
        <w:rPr>
          <w:rFonts w:ascii="Times New Roman" w:cs="Times New Roman" w:eastAsia="Times New Roman" w:hAnsi="Times New Roman"/>
          <w:sz w:val="18"/>
          <w:szCs w:val="18"/>
          <w:color w:val="auto"/>
        </w:rPr>
        <w:t>Our credit facilities also include covenants that limit or restrict our ability to, among other things, incur liens on our properties, make acquisitions and other investments and sell assets, in each case, subject to specified exceptions. In addition to the covenants described in the preceding sentence, we are also prohibited from incurring indebtedness other than debt owed to the lenders under our credit facilities, debt associated with certain liens permitted by our credit facilities, certain subordinated debt and other specified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exceptions. Our credit facilities also contain restrictions on our ability to pay dividends or make distributions in respect of our common stock or redemptions or repurchases of our common stock.</w:t>
      </w:r>
    </w:p>
    <w:p>
      <w:pPr>
        <w:spacing w:after="0" w:line="266" w:lineRule="exact"/>
        <w:rPr>
          <w:sz w:val="20"/>
          <w:szCs w:val="20"/>
          <w:color w:val="auto"/>
        </w:rPr>
      </w:pPr>
    </w:p>
    <w:p>
      <w:pPr>
        <w:ind w:left="520" w:right="4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conduct our operations and sell our gear internationally and the effect of business, legal and political risks associated with international operations may seriously harm our business.</w:t>
      </w:r>
    </w:p>
    <w:p>
      <w:pPr>
        <w:spacing w:after="0" w:line="52" w:lineRule="exact"/>
        <w:rPr>
          <w:sz w:val="20"/>
          <w:szCs w:val="20"/>
          <w:color w:val="auto"/>
        </w:rPr>
      </w:pPr>
    </w:p>
    <w:p>
      <w:pPr>
        <w:ind w:firstLine="510"/>
        <w:spacing w:after="0" w:line="262" w:lineRule="auto"/>
        <w:rPr>
          <w:sz w:val="20"/>
          <w:szCs w:val="20"/>
          <w:color w:val="auto"/>
        </w:rPr>
      </w:pPr>
      <w:r>
        <w:rPr>
          <w:rFonts w:ascii="Times New Roman" w:cs="Times New Roman" w:eastAsia="Times New Roman" w:hAnsi="Times New Roman"/>
          <w:sz w:val="18"/>
          <w:szCs w:val="18"/>
          <w:color w:val="auto"/>
        </w:rPr>
        <w:t>Sales to customers outside the United States accounted for 54.6% and 61.7% our net revenue in 2022 and 2021, respectively. In addition, substantially all of the gear that we sell is manufactured at facilities in Asia. Our international sales and operations are subject to a wide range of risks, which may vary from country to country or region to region. These risks include the following:</w:t>
      </w:r>
    </w:p>
    <w:p>
      <w:pPr>
        <w:spacing w:after="0" w:line="70" w:lineRule="exact"/>
        <w:rPr>
          <w:sz w:val="20"/>
          <w:szCs w:val="20"/>
          <w:color w:val="auto"/>
        </w:rPr>
      </w:pPr>
    </w:p>
    <w:p>
      <w:pPr>
        <w:ind w:left="1020" w:hanging="506"/>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import duties, changes to import and export regulations, and restrictions on the transfer of funds;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exchange rates;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the transportation or delivery of our gear;</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arising from cultural or language differences and labor unrest;</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greater difficulty in collecting accounts receivable;</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trade and technical standards in a variety of jurisdictions;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 including the risks associated with fraud, theft and other illegal conduct;</w:t>
      </w:r>
    </w:p>
    <w:p>
      <w:pPr>
        <w:spacing w:after="0" w:line="113" w:lineRule="exact"/>
        <w:rPr>
          <w:rFonts w:ascii="Times New Roman" w:cs="Times New Roman" w:eastAsia="Times New Roman" w:hAnsi="Times New Roman"/>
          <w:sz w:val="18"/>
          <w:szCs w:val="18"/>
          <w:color w:val="auto"/>
        </w:rPr>
      </w:pPr>
    </w:p>
    <w:p>
      <w:pPr>
        <w:ind w:left="1020" w:right="60" w:hanging="506"/>
        <w:spacing w:after="0" w:line="277"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including environmental, employment and tax laws, which vary from country to country and over time, increasing the costs of compliance and potential risks of non-compliance;</w:t>
      </w:r>
    </w:p>
    <w:p>
      <w:pPr>
        <w:spacing w:after="0" w:line="56" w:lineRule="exact"/>
        <w:rPr>
          <w:rFonts w:ascii="Times New Roman" w:cs="Times New Roman" w:eastAsia="Times New Roman" w:hAnsi="Times New Roman"/>
          <w:sz w:val="18"/>
          <w:szCs w:val="18"/>
          <w:color w:val="auto"/>
        </w:rPr>
      </w:pPr>
    </w:p>
    <w:p>
      <w:pPr>
        <w:ind w:left="1020" w:right="500" w:hanging="506"/>
        <w:spacing w:after="0" w:line="277"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enforcing our contractual and intellectual property rights, especially in those foreign countries that do not respect and protect intellectual property rights to the same extent as the United States and European countries;</w:t>
      </w:r>
    </w:p>
    <w:p>
      <w:pPr>
        <w:spacing w:after="0" w:line="56" w:lineRule="exact"/>
        <w:rPr>
          <w:rFonts w:ascii="Times New Roman" w:cs="Times New Roman" w:eastAsia="Times New Roman" w:hAnsi="Times New Roman"/>
          <w:sz w:val="18"/>
          <w:szCs w:val="18"/>
          <w:color w:val="auto"/>
        </w:rPr>
      </w:pPr>
    </w:p>
    <w:p>
      <w:pPr>
        <w:jc w:val="both"/>
        <w:ind w:left="1020" w:right="220" w:hanging="506"/>
        <w:spacing w:after="0" w:line="26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trade to or from some foreign countries, or companies in foreign countries that manufacture our gear or supply components that are used in our gear, may be affected by political tensions, trade disputes and similar matters, particularly between China and Taiwan, China and the United States, Russia and Ukraine, and the United States and Russia;</w:t>
      </w:r>
    </w:p>
    <w:p>
      <w:pPr>
        <w:spacing w:after="0" w:line="70" w:lineRule="exact"/>
        <w:rPr>
          <w:rFonts w:ascii="Times New Roman" w:cs="Times New Roman" w:eastAsia="Times New Roman" w:hAnsi="Times New Roman"/>
          <w:sz w:val="18"/>
          <w:szCs w:val="18"/>
          <w:color w:val="auto"/>
        </w:rPr>
      </w:pPr>
    </w:p>
    <w:p>
      <w:pPr>
        <w:ind w:left="1020" w:right="320" w:hanging="506"/>
        <w:spacing w:after="0" w:line="277"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foreign trade restrictions, including those that may limit the importation of technology or components to or from various countries or impose tariffs or quotas;</w:t>
      </w:r>
    </w:p>
    <w:p>
      <w:pPr>
        <w:spacing w:after="0" w:line="56" w:lineRule="exact"/>
        <w:rPr>
          <w:rFonts w:ascii="Times New Roman" w:cs="Times New Roman" w:eastAsia="Times New Roman" w:hAnsi="Times New Roman"/>
          <w:sz w:val="18"/>
          <w:szCs w:val="18"/>
          <w:color w:val="auto"/>
        </w:rPr>
      </w:pPr>
    </w:p>
    <w:p>
      <w:pPr>
        <w:ind w:left="1020" w:right="200" w:hanging="506"/>
        <w:spacing w:after="0" w:line="277"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increased costs in establishing sales and distribution channels in unfamiliar markets, with their own market characteristics and competition; and</w:t>
      </w:r>
    </w:p>
    <w:p>
      <w:pPr>
        <w:spacing w:after="0" w:line="56"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currency exchange controls or taxes that make it impracticable or costly to repatriate funds from foreign countries.</w:t>
      </w:r>
    </w:p>
    <w:p>
      <w:pPr>
        <w:spacing w:after="0" w:line="114" w:lineRule="exact"/>
        <w:rPr>
          <w:sz w:val="20"/>
          <w:szCs w:val="20"/>
          <w:color w:val="auto"/>
        </w:rPr>
      </w:pPr>
    </w:p>
    <w:p>
      <w:pPr>
        <w:ind w:right="380" w:firstLine="510"/>
        <w:spacing w:after="0" w:line="277" w:lineRule="auto"/>
        <w:rPr>
          <w:sz w:val="20"/>
          <w:szCs w:val="20"/>
          <w:color w:val="auto"/>
        </w:rPr>
      </w:pPr>
      <w:r>
        <w:rPr>
          <w:rFonts w:ascii="Times New Roman" w:cs="Times New Roman" w:eastAsia="Times New Roman" w:hAnsi="Times New Roman"/>
          <w:sz w:val="18"/>
          <w:szCs w:val="18"/>
          <w:color w:val="auto"/>
        </w:rPr>
        <w:t>To the extent we successfully execute our strategy of expanding into new geographic areas, these and similar risks will increase. There can be no assurance that the risks relating to our international operations will not seriously harm our business.</w:t>
      </w:r>
    </w:p>
    <w:p>
      <w:pPr>
        <w:spacing w:after="0" w:line="266"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taxation-related risks in multiple jurisdictions, and the adoption and interpretation of new tax legislation, tax regulations, tax rulings, or exposure to additional tax liabilities could materially affect our business, financial condition and results of operations.</w:t>
      </w:r>
    </w:p>
    <w:p>
      <w:pPr>
        <w:spacing w:after="0" w:line="266" w:lineRule="exact"/>
        <w:rPr>
          <w:sz w:val="20"/>
          <w:szCs w:val="20"/>
          <w:color w:val="auto"/>
        </w:rPr>
      </w:pPr>
    </w:p>
    <w:p>
      <w:pPr>
        <w:ind w:right="80" w:firstLine="510"/>
        <w:spacing w:after="0" w:line="257" w:lineRule="auto"/>
        <w:rPr>
          <w:sz w:val="20"/>
          <w:szCs w:val="20"/>
          <w:color w:val="auto"/>
        </w:rPr>
      </w:pPr>
      <w:r>
        <w:rPr>
          <w:rFonts w:ascii="Times New Roman" w:cs="Times New Roman" w:eastAsia="Times New Roman" w:hAnsi="Times New Roman"/>
          <w:sz w:val="18"/>
          <w:szCs w:val="18"/>
          <w:color w:val="auto"/>
        </w:rPr>
        <w:t>We are a U.S.-based multinational company subject to income and other taxes in the United States and other foreign jurisdictions in which we do business. As a result, our provision for income taxes and our effective tax rate may be impacted by changes in or interpretations of tax laws in any given jurisdiction, utilization of or limitations on our ability to utilize any tax credit carryforwards, changes in geographical allocation of revenue and expense and changes in management’s assessment of matters such as our ability to realize the value of deferred tax assets.</w:t>
      </w:r>
    </w:p>
    <w:p>
      <w:pPr>
        <w:spacing w:after="0" w:line="47" w:lineRule="exact"/>
        <w:rPr>
          <w:sz w:val="20"/>
          <w:szCs w:val="20"/>
          <w:color w:val="auto"/>
        </w:rPr>
      </w:pPr>
    </w:p>
    <w:p>
      <w:pPr>
        <w:ind w:right="20" w:firstLine="510"/>
        <w:spacing w:after="0" w:line="230" w:lineRule="exact"/>
        <w:rPr>
          <w:sz w:val="20"/>
          <w:szCs w:val="20"/>
          <w:color w:val="auto"/>
        </w:rPr>
      </w:pPr>
      <w:r>
        <w:rPr>
          <w:rFonts w:ascii="Times New Roman" w:cs="Times New Roman" w:eastAsia="Times New Roman" w:hAnsi="Times New Roman"/>
          <w:sz w:val="18"/>
          <w:szCs w:val="18"/>
          <w:color w:val="auto"/>
        </w:rPr>
        <w:t>Tax laws are regularly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examined and evaluated globally. New laws and interpretations of the law are taken into account for financial statement purposes in the quarter or year that they become applicable. Tax authorities are increasingly scrutinizing the tax positions of multinational companies. If U.S. or other foreign tax authorities change applicable tax laws, or if there is a change in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interpretation of existing law, our overall liability could increase, and our business, financial condition and results of operations may be harmed.</w:t>
      </w:r>
    </w:p>
    <w:p>
      <w:pPr>
        <w:spacing w:after="0" w:line="220"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an addition of further limitations on the deductibility of business interest. For example, beginning in 2022, the Tax Cuts and Jobs Act of 2017 requires U.S. research and experimental expenditures to be capitalized and amortized ratably over a five-year period. Any such expenditures attributable to research conducted outside the United States must be capitalized and amortized over a 15-year period. In addition, the Inflation Reduction Act of 2022 recently became law and imposes a minimum tax on certain corporations with book income of at least $1 billion, subject to certain adjustments, and a 1% excise tax on certain stock buybacks and similar corporate actions. In addition, the Organization for Economic Co-Operation and Development has released guidance and blueprints covering various topics, including a global minimum effective tax rate on certain corporate groups known as “Pillar Two”, and rules governing transfer pricing, country-by-country reporting, and definitional changes to permanent establishment that could ultimately impact our tax liabilities as those guidance and blueprints are potentially implemented in various jurisdictions.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effective tax rate could also increase due to several factors, including:</w:t>
      </w:r>
    </w:p>
    <w:p>
      <w:pPr>
        <w:spacing w:after="0" w:line="114" w:lineRule="exact"/>
        <w:rPr>
          <w:sz w:val="20"/>
          <w:szCs w:val="20"/>
          <w:color w:val="auto"/>
        </w:rPr>
      </w:pPr>
    </w:p>
    <w:p>
      <w:pPr>
        <w:ind w:left="1020" w:hanging="506"/>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tax treaties, and regulations or the interpretation of them;</w:t>
      </w:r>
    </w:p>
    <w:p>
      <w:pPr>
        <w:spacing w:after="0" w:line="113" w:lineRule="exact"/>
        <w:rPr>
          <w:rFonts w:ascii="Times New Roman" w:cs="Times New Roman" w:eastAsia="Times New Roman" w:hAnsi="Times New Roman"/>
          <w:sz w:val="18"/>
          <w:szCs w:val="18"/>
          <w:color w:val="auto"/>
        </w:rPr>
      </w:pPr>
    </w:p>
    <w:p>
      <w:pPr>
        <w:ind w:left="1020" w:right="20" w:hanging="506"/>
        <w:spacing w:after="0" w:line="277"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6"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w:t>
      </w:r>
    </w:p>
    <w:p>
      <w:pPr>
        <w:spacing w:after="0" w:line="220" w:lineRule="exact"/>
        <w:rPr>
          <w:sz w:val="20"/>
          <w:szCs w:val="20"/>
          <w:color w:val="auto"/>
        </w:rPr>
      </w:pPr>
    </w:p>
    <w:p>
      <w:pPr>
        <w:ind w:right="40" w:firstLine="510"/>
        <w:spacing w:after="0" w:line="262" w:lineRule="auto"/>
        <w:rPr>
          <w:sz w:val="20"/>
          <w:szCs w:val="20"/>
          <w:color w:val="auto"/>
        </w:rPr>
      </w:pPr>
      <w:r>
        <w:rPr>
          <w:rFonts w:ascii="Times New Roman" w:cs="Times New Roman" w:eastAsia="Times New Roman" w:hAnsi="Times New Roman"/>
          <w:sz w:val="18"/>
          <w:szCs w:val="18"/>
          <w:color w:val="auto"/>
        </w:rPr>
        <w:t>In the past, we have experienced fluctuations in our effective income tax rate which reflects a variety of factors that may or may not be present in any given year. In light of these factors, there can be no assurance that our effective income tax rate will not change in future periods. Accordingly, if our effective tax rate were to increase, it may have a material adverse effect on our business, financial condition and results of operations.</w:t>
      </w:r>
    </w:p>
    <w:p>
      <w:pPr>
        <w:spacing w:after="0" w:line="70"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Finally, because we have substantial operations in a number of locations worldwide, tax authorities in various jurisdictions may raise questions concerning matters such as transfer pricing, whether revenues or expenses should be attributed to particular countries, the presence or absence of permanent establishments in particular countries and similar matters. In addition, we have engaged in a number of material restructuring transactions in various jurisdictions, and the tax positions we have adopted in connection with these restructuring transactions may be subject to challenge. Accordingly, a material assessment by a tax authority in any jurisdiction could require that we make significant cash payments without reimbursement. If this were to occur, our business may be seriously harmed.</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losses, or NOLs, carryforwards and certain other tax attributes may be limited.</w:t>
      </w:r>
    </w:p>
    <w:p>
      <w:pPr>
        <w:spacing w:after="0" w:line="118" w:lineRule="exact"/>
        <w:rPr>
          <w:sz w:val="20"/>
          <w:szCs w:val="20"/>
          <w:color w:val="auto"/>
        </w:rPr>
      </w:pPr>
    </w:p>
    <w:p>
      <w:pPr>
        <w:ind w:firstLine="510"/>
        <w:spacing w:after="0" w:line="262" w:lineRule="auto"/>
        <w:rPr>
          <w:sz w:val="20"/>
          <w:szCs w:val="20"/>
          <w:color w:val="auto"/>
        </w:rPr>
      </w:pPr>
      <w:r>
        <w:rPr>
          <w:rFonts w:ascii="Times New Roman" w:cs="Times New Roman" w:eastAsia="Times New Roman" w:hAnsi="Times New Roman"/>
          <w:sz w:val="18"/>
          <w:szCs w:val="18"/>
          <w:color w:val="auto"/>
        </w:rPr>
        <w:t>Our ability to utilize our NOL carryforwards to offset potential future taxable income and related income taxes that would otherwise be due is dependent upon our generation of future taxable income before the expiration dates of the NOL carryforwards, and we cannot predict with certainty when, or whether, we will generate sufficient taxable income to use all of our NOL carryforwards.</w:t>
      </w:r>
    </w:p>
    <w:p>
      <w:pPr>
        <w:spacing w:after="0" w:line="70"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As of December 31, 2022, we had NOL carryforwards for U.S. federal, state and foreign tax purposes of $2.3 million, $28.2 million, and $33.0 million, respectively. Certain of our tax attributes are subject to an annual limitation as a result of our change in ownership in August 2017, but we do not expect our tax attributes to be materially affected by the annual limitation. In the event that we experience ownership changes due to future transactions in our stocks, the utilization of NOLs to reduce our future taxable income and tax liabilities may be limited, which could affect our profitability.</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System security and data protection breaches, as well as cyber-attacks, could disrupt our operations, reduce our expected revenue and increase our expenses, which may seriously harm our business.</w:t>
      </w:r>
    </w:p>
    <w:p>
      <w:pPr>
        <w:spacing w:after="0" w:line="52" w:lineRule="exact"/>
        <w:rPr>
          <w:sz w:val="20"/>
          <w:szCs w:val="20"/>
          <w:color w:val="auto"/>
        </w:rPr>
      </w:pPr>
    </w:p>
    <w:p>
      <w:pPr>
        <w:jc w:val="both"/>
        <w:ind w:right="80" w:firstLine="510"/>
        <w:spacing w:after="0" w:line="253" w:lineRule="auto"/>
        <w:rPr>
          <w:sz w:val="20"/>
          <w:szCs w:val="20"/>
          <w:color w:val="auto"/>
        </w:rPr>
      </w:pPr>
      <w:r>
        <w:rPr>
          <w:rFonts w:ascii="Times New Roman" w:cs="Times New Roman" w:eastAsia="Times New Roman" w:hAnsi="Times New Roman"/>
          <w:sz w:val="18"/>
          <w:szCs w:val="18"/>
          <w:color w:val="auto"/>
        </w:rPr>
        <w:t>Security breaches, computer malware and cyber-attacks have become more prevalent and sophisticated in recent years. These threats are constantly evolving, making it increasingly difficult to successfully defend against them or implement adequate preventative measures. These malicious attempts have occurred on our systems in the past and are expected to occur in the future. Experienced computer programmers, hackers and employees may penetrate our security controls and misappropriate or compromise our confidential information or that of our employees or third parties, which in turn, may create system disruptions or cause shutdowns. These hackers may also develop and deploy viruses, worms and other malicious software programs that attack or otherwise exploit security vulnerabilities in our systems.</w:t>
      </w:r>
    </w:p>
    <w:p>
      <w:pPr>
        <w:spacing w:after="0" w:line="80" w:lineRule="exact"/>
        <w:rPr>
          <w:sz w:val="20"/>
          <w:szCs w:val="20"/>
          <w:color w:val="auto"/>
        </w:rPr>
      </w:pPr>
    </w:p>
    <w:p>
      <w:pPr>
        <w:jc w:val="both"/>
        <w:ind w:right="120" w:firstLine="510"/>
        <w:spacing w:after="0" w:line="262" w:lineRule="auto"/>
        <w:rPr>
          <w:sz w:val="20"/>
          <w:szCs w:val="20"/>
          <w:color w:val="auto"/>
        </w:rPr>
      </w:pPr>
      <w:r>
        <w:rPr>
          <w:rFonts w:ascii="Times New Roman" w:cs="Times New Roman" w:eastAsia="Times New Roman" w:hAnsi="Times New Roman"/>
          <w:sz w:val="18"/>
          <w:szCs w:val="18"/>
          <w:color w:val="auto"/>
        </w:rPr>
        <w:t>We have taken steps to put in place safeguards designed to protect the security of all the information we process, but despite these efforts, we cannot guarantee that we will not suffer successful security breaches, cyber-attacks, acts of vandalism, computer viruses, malware, ransomware, denial-of-service attacks, human error issues or other similar events that lead to misplaced or lost information, programming and/or other similar issues.</w:t>
      </w:r>
    </w:p>
    <w:p>
      <w:pPr>
        <w:spacing w:after="0" w:line="70" w:lineRule="exact"/>
        <w:rPr>
          <w:sz w:val="20"/>
          <w:szCs w:val="20"/>
          <w:color w:val="auto"/>
        </w:rPr>
      </w:pPr>
    </w:p>
    <w:p>
      <w:pPr>
        <w:ind w:right="120" w:firstLine="510"/>
        <w:spacing w:after="0" w:line="257" w:lineRule="auto"/>
        <w:rPr>
          <w:sz w:val="20"/>
          <w:szCs w:val="20"/>
          <w:color w:val="auto"/>
        </w:rPr>
      </w:pPr>
      <w:r>
        <w:rPr>
          <w:rFonts w:ascii="Times New Roman" w:cs="Times New Roman" w:eastAsia="Times New Roman" w:hAnsi="Times New Roman"/>
          <w:sz w:val="18"/>
          <w:szCs w:val="18"/>
          <w:color w:val="auto"/>
        </w:rPr>
        <w:t>For example, in early 2021, we discovered the exploitation by hackers of our subsidiary SCUF’s servers, which may have enabled such hackers to collect information provided by our customers, including payment card information, which is handled by our third-party ecommerce service provider. Such hackers utilized the credentials we had provided to another third-party to inject a script, which was active for a limited amount of time, that collected this information provided by customers.</w:t>
      </w:r>
    </w:p>
    <w:p>
      <w:pPr>
        <w:spacing w:after="0" w:line="75"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Additionally, for portions of our information technology infrastructure, including business management and communication software products, we rely on products and services provided by third parties, a number of which process personal information on our behalf. There can be no assurance that the privacy and security related measures and safeguards we have put in place in relation to these third parties will be effective to protect us and/or the relevant personal information from the risks associated with the third-party storage, transmission and other processing of such information. These providers may also experience breaches and attacks to their products which may impact our systems. Data security breaches may also result from non-technical means, such as actions by an employee with access to our systems. To defend against security threats, both to our internal systems and those of our customers, we must continuously engineer more secure products and enhance security and reliability features, which may result in increased expenses.</w:t>
      </w:r>
    </w:p>
    <w:p>
      <w:pPr>
        <w:spacing w:after="0" w:line="189" w:lineRule="exact"/>
        <w:rPr>
          <w:sz w:val="20"/>
          <w:szCs w:val="20"/>
          <w:color w:val="auto"/>
        </w:rPr>
      </w:pPr>
    </w:p>
    <w:p>
      <w:pPr>
        <w:ind w:right="40" w:firstLine="510"/>
        <w:spacing w:after="0" w:line="250" w:lineRule="auto"/>
        <w:rPr>
          <w:sz w:val="20"/>
          <w:szCs w:val="20"/>
          <w:color w:val="auto"/>
        </w:rPr>
      </w:pPr>
      <w:r>
        <w:rPr>
          <w:rFonts w:ascii="Times New Roman" w:cs="Times New Roman" w:eastAsia="Times New Roman" w:hAnsi="Times New Roman"/>
          <w:sz w:val="18"/>
          <w:szCs w:val="18"/>
          <w:color w:val="auto"/>
        </w:rPr>
        <w:t>Actual or perceived breaches of our security measures, those of third-parties or the accidental loss, inadvertent disclosure or unapproved dissemination of proprietary information or sensitive or confidential information about us, our partners, our customers or third parties have exposed, and, in the future, could expose us and other affected parties to a risk of loss or misuse of this information, resulting in litigation and potential liability, paying damages, regulatory inquiries, investigations or actions, damage to our brand and reputation or other serious harm to our business. Due to concerns about data security and integrity, a growing number of legislative and regulatory bodies have adopted breach notification and other requirements in the event that information subject to such laws is accessed by unauthorized persons. Complying with the numerous and complex regulations in the event of a data security breach could be expensive and difficult, and failure to comply with these regulations could subject us to regulatory scrutiny and additional liability. We may also be contractually required to notify customers or other counterparties of a security incident, including a data security breach. Our efforts to prevent and overcome these challenges could increase our expenses and may not be successful. We may experience interruptions, delays, cessation of service and loss of existing or potential customers. Such disruptions could adversely impact our ability to fulfill orders and interrupt other critical functions. Delayed sales, lower margins or lost customers as a result of these disruptions may seriously harm our business.</w:t>
      </w:r>
    </w:p>
    <w:p>
      <w:pPr>
        <w:spacing w:after="0" w:line="296" w:lineRule="exact"/>
        <w:rPr>
          <w:sz w:val="20"/>
          <w:szCs w:val="20"/>
          <w:color w:val="auto"/>
        </w:rPr>
      </w:pPr>
    </w:p>
    <w:p>
      <w:pPr>
        <w:jc w:val="both"/>
        <w:ind w:left="520"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U.S. federal and state and foreign laws, regulations and industry standards relating to data privacy and security, and our failure or perceived failure to comply as well as actions by regulatory authorities or changes in legislation and regulation in the jurisdictions in which we operate could have a material adverse effect on our business.</w:t>
      </w:r>
    </w:p>
    <w:p>
      <w:pPr>
        <w:spacing w:after="0" w:line="66"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connection with certain of our gear, we collect information related to our gamers and streamers. This information is increasingly subject to legislation and regulations in numerous jurisdictions around the world. Government actions are typically intended to protect the privacy and security of personal information and its collection, storage, transmission, use and distribution in or from the governing jurisdiction and other processing. In addition, because various jurisdictions have different laws and regulations concerning the use, storage, transmission and other processing of such information, we may face requirements that pose compliance challenges in existing markets as well as new international markets that we seek to enter.</w:t>
      </w:r>
    </w:p>
    <w:p>
      <w:pPr>
        <w:spacing w:after="0" w:line="76"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are subject to a variety of laws, regulations, and industry standards that relate to the collection, storing, disclosing, using, transfer or other processing and protecting of data about individuals. These laws and regulations constantly evolve and remain subject to significant change. In addition, the application and interpretation of these laws and regulations are often uncertain. Because we store, process and use data, some of which contain personal data, we are subject to complex and evolving federal, state and local laws and regulations regarding data privacy and data security. The U.S. federal and state governments and agencies may in the future enact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new legislation and promulgate new regulations governing collection, use, disclosure, storage, transmission, destruction or other processing of personal data and other information. New privacy laws add additional complexity, requirements, restrictions and potential legal risk, require additional investment in resources for compliance programs, and could impact trading strategies and availability of previously useful data.</w:t>
      </w:r>
    </w:p>
    <w:p>
      <w:pPr>
        <w:spacing w:after="0" w:line="70" w:lineRule="exact"/>
        <w:rPr>
          <w:sz w:val="20"/>
          <w:szCs w:val="20"/>
          <w:color w:val="auto"/>
        </w:rPr>
      </w:pPr>
    </w:p>
    <w:p>
      <w:pPr>
        <w:ind w:right="80" w:firstLine="510"/>
        <w:spacing w:after="0" w:line="262" w:lineRule="auto"/>
        <w:rPr>
          <w:sz w:val="20"/>
          <w:szCs w:val="20"/>
          <w:color w:val="auto"/>
        </w:rPr>
      </w:pPr>
      <w:r>
        <w:rPr>
          <w:rFonts w:ascii="Times New Roman" w:cs="Times New Roman" w:eastAsia="Times New Roman" w:hAnsi="Times New Roman"/>
          <w:sz w:val="18"/>
          <w:szCs w:val="18"/>
          <w:color w:val="auto"/>
        </w:rPr>
        <w:t>For example, in the United States, the Federal Trade Commission and state regulators enforce a variety of data privacy issues, such as promises made in privacy policies or failures to appropriately protect information about individuals, as unfair or deceptive acts or practices in or affecting commerce in violation of the Federal Trade Commission Act or similar state laws.</w:t>
      </w:r>
    </w:p>
    <w:p>
      <w:pPr>
        <w:spacing w:after="0" w:line="70" w:lineRule="exact"/>
        <w:rPr>
          <w:sz w:val="20"/>
          <w:szCs w:val="20"/>
          <w:color w:val="auto"/>
        </w:rPr>
      </w:pPr>
    </w:p>
    <w:p>
      <w:pPr>
        <w:ind w:right="20" w:firstLine="510"/>
        <w:spacing w:after="0" w:line="268" w:lineRule="auto"/>
        <w:rPr>
          <w:sz w:val="20"/>
          <w:szCs w:val="20"/>
          <w:color w:val="auto"/>
        </w:rPr>
      </w:pPr>
      <w:r>
        <w:rPr>
          <w:rFonts w:ascii="Times New Roman" w:cs="Times New Roman" w:eastAsia="Times New Roman" w:hAnsi="Times New Roman"/>
          <w:sz w:val="17"/>
          <w:szCs w:val="17"/>
          <w:color w:val="auto"/>
        </w:rPr>
        <w:t>In addition, the California Consumer Privacy Act, as amended by the California Privacy Rights Act (the “CCPA”) creates individual privacy rights for California consumers and increases the privacy and security obligations of entities handling certain information about individuals. For example, the CCPA gives California residents rights to access, delete or correct their personal information, opt out of certain personal information use and disclosure and receive detailed information about how their personal information is used. Failure to comply with the CCPA creates additional risks including enforcement by the California Attorney General or the California Privacy Protection Agency, limited private rights of actions for certain data breaches and damage to reputation. Since the CCPA went into effect, comprehensive privacy statutes that share similarities with the CCPA have been enacted in Virginia, Colorado, Connecticut and Utah. Many other states are currently reviewing or proposing the need for greater regulation of the collection, sharing, use and other processing of information related to individuals for marketing purposes or otherwise and there remains increased interest at the federal level as well.</w:t>
      </w:r>
    </w:p>
    <w:p>
      <w:pPr>
        <w:spacing w:after="0" w:line="70" w:lineRule="exact"/>
        <w:rPr>
          <w:sz w:val="20"/>
          <w:szCs w:val="20"/>
          <w:color w:val="auto"/>
        </w:rPr>
      </w:pPr>
    </w:p>
    <w:p>
      <w:pPr>
        <w:ind w:right="40" w:firstLine="510"/>
        <w:spacing w:after="0" w:line="251" w:lineRule="auto"/>
        <w:rPr>
          <w:sz w:val="20"/>
          <w:szCs w:val="20"/>
          <w:color w:val="auto"/>
        </w:rPr>
      </w:pPr>
      <w:r>
        <w:rPr>
          <w:rFonts w:ascii="Times New Roman" w:cs="Times New Roman" w:eastAsia="Times New Roman" w:hAnsi="Times New Roman"/>
          <w:sz w:val="18"/>
          <w:szCs w:val="18"/>
          <w:color w:val="auto"/>
        </w:rPr>
        <w:t>In Europe and the U.K., we are also subject to foreign legislation, such as the European Union General Data Protection Regulation (the “EU GDPR”), and to the United Kingdom General Data Protection Regulation and Data Protection Act 2018 (the “UK GDPR,” and together with the EU GDPR, the “GDPR”). The GDPR imposes comprehensive data privacy compliance obligations in relation to our collection, processing, sharing, disclosure, transfer and other use of personal information, including a principal of accountability and the obligation to demonstrate compliance through policies, procedures, training and audit. The GDPR has also imposed more stringent operational requirements for companies that are subject to the GDPR, including: requiring detailed disclosures about how personal information is to be collected, used and processed; demonstrating that appropriate legal bases are in place to justify data processing activities; complying with rights for data subjects with regard to their personal information (including access, erasure (the right to be “forgotten”) and portability); ensuring appropriate safeguards are in place where personal data is transferred out of the European Economic Area (“EEA”) and the U.K.; limitations on retention of personal information; and introducing mandatory data breach notification requirements to regulators (and in certain cases, individuals).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EU GDPR and UK GDPR also regulate cross-border transfers of personal information out of the EEA and the U.K.</w:t>
      </w:r>
    </w:p>
    <w:p>
      <w:pPr>
        <w:spacing w:after="0" w:line="220" w:lineRule="exact"/>
        <w:rPr>
          <w:sz w:val="20"/>
          <w:szCs w:val="20"/>
          <w:color w:val="auto"/>
        </w:rPr>
      </w:pPr>
    </w:p>
    <w:p>
      <w:pPr>
        <w:ind w:firstLine="510"/>
        <w:spacing w:after="0" w:line="249" w:lineRule="auto"/>
        <w:rPr>
          <w:sz w:val="20"/>
          <w:szCs w:val="20"/>
          <w:color w:val="auto"/>
        </w:rPr>
      </w:pPr>
      <w:r>
        <w:rPr>
          <w:rFonts w:ascii="Times New Roman" w:cs="Times New Roman" w:eastAsia="Times New Roman" w:hAnsi="Times New Roman"/>
          <w:sz w:val="18"/>
          <w:szCs w:val="18"/>
          <w:color w:val="auto"/>
        </w:rPr>
        <w:t>Specifically, on July 16, 2020, the Court of Justice of the European Union (“CJEU”) invalidated Decision 2016/1250 on the adequacy of the protection provided by the EU-U.S. Privacy Shield Framework (the “Privacy Shield”), under which personal information could be transferred from the EEA (and the U.K.) to relevant self-certified U.S. entities.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However, President Joe Biden, on October 7, 2022, signed an executive order to implement the new EU-US Data Privacy Framework. The new EU-US Data Privacy Framework addresses issues raised in Schrems II, that led the CJEU to invalidate the EU’s adequacy decision for the EU-US Privacy Shield. President Biden’s signed executive order has given impetus to the European Commission to prepare a new draft adequacy decision in relation to the US, and then launch its adoption procedure. Once the European Commission has adopted the final adequacy decision, expected in March 2023, data can flow freely from the EU to US companies that are certified under the new Privacy Shield framework (“EU-US Data Privacy Protection Framework”). Further, the European Commission’s adoption of the final adequacy decision will allow us to rely on the newest standard contractual clauses of June 4, 2021, already implemented in our intragroup, customer and vendor agreements. Notwithstanding the above, as the enforcement landscape further develops, and supervisory authorities issue further guidance on personal information export mechanisms, we could suffer additional costs, complaints and/or regulatory investigations or fines; we may have to stop using certain tools and vendors and make other operational changes; we may have to implement revised standard contractual clauses for existing intragroup, customer and vendor arrangements within required time frames;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business, operations or financial results.</w:t>
      </w:r>
    </w:p>
    <w:p>
      <w:pPr>
        <w:spacing w:after="0" w:line="196"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We are also subject to evolving EU and U.K. privacy laws on cookies, tracking technologies and e-marketing. In the EU and the U.K. under national laws derived from the ePrivacy Directive, informed consent is required for the placement of a cookie or similar technologies on a user’s device and for direct electronic marketing. The GDPR also imposes conditions on obtaining valid consent for cookies, such as a prohibition on pre-checked consents and a requirement to ensure separate consents are sought for each type of cookie or similar technology. Recent European court and regulator decisions are driving increased attention to cookies and tracking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technologies. If the trend of increasing enforcement by regulators of the strict approach in recent guidance and decisions continues, this could lead to substantial costs, require significant systems changes, limit the effectiveness of our marketing activities, divert the attention of our technology personnel, adversely affect our margins, increase costs and subject us to additional liabilities. In light of the complex and evolving nature of EU, EU Member State and U.K. privacy laws on cookies and tracking technologies, it may lead to broader restrictions and impairments on our marketing and personalization activities and may negatively impact our efforts to understand users.</w:t>
      </w:r>
    </w:p>
    <w:p>
      <w:pPr>
        <w:spacing w:after="0" w:line="183"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Compliance with existing and emerging privacy and cybersecurity laws, regulations and industry standards could result in increased compliance costs and/or lead to changes in business practices and policies, and any failure to protect the confidentiality of client information could adversely affect our reputation, lead to private litigation against us, and require additional investment in resources, impact strategies and availability of previously useful data, any of which could materially and adversely affect our business, operating results and financial condition.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290"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financial condition of retailers and distributors to whom we sell our gear and may also be adversely affected by the financial condition of our competitors.</w:t>
      </w:r>
    </w:p>
    <w:p>
      <w:pPr>
        <w:spacing w:after="0" w:line="52"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Retailers and distributors of consumer electronics products have, from time to time, experienced significant fluctuations in their businesses and some of them have become insolvent. A retailer or distributor experiencing such difficulties will generally not purchase and sell as much of our gear as it would under normal circumstances and may cancel orders. In addition, a retailer or distributor experiencing financial difficulties generally increases our exposure to uncollectible receivables. Moreover, if one of our distributor or retailer customers experiences financial distress or bankruptcy, they may be required to liquidate their inventory of our gear, or similar products that compete with our gear, at reduced prices, which can result in substantial over-supply and reduced demand for our gear over the short term. If any of these circumstances were to occur, it could seriously harm our business.</w:t>
      </w:r>
    </w:p>
    <w:p>
      <w:pPr>
        <w:spacing w:after="0" w:line="187"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8"/>
          <w:szCs w:val="18"/>
          <w:color w:val="auto"/>
        </w:rPr>
        <w:t>Likewise, our competitors may from time to time experience similar financial difficulties or may elect to terminate their sales of certain products. If one of our competitors experiences financial distress or bankruptcy and is forced to liquidate inventory or exits a product line and disposes of inventory at reduced prices, this may also result in over-supply of and reduced demand for our gear and could have a short-term adverse effect on our results of operations and financial condition.</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online operations are subject to numerous risks that may seriously harm our business.</w:t>
      </w:r>
    </w:p>
    <w:p>
      <w:pPr>
        <w:spacing w:after="0" w:line="118"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Our online operations, where we sell a number of products through our online stores, subject us to certain risks that could seriously harm our business, financial condition and results of operations. For example, the operation and expansion of our online stores may seriously harm our relationships with our retailers and distributors. Further, existing and future regulations and laws could impede the growth of our online operations. These regulations and laws may involve taxes, tariffs, privacy and data security, anti-spam, content protection, electronic contracts and communications, consumer protection and social media marketing.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sites by gamers, streamers and suppliers and may result in the imposition of monetary liability.</w:t>
      </w:r>
    </w:p>
    <w:p>
      <w:pPr>
        <w:spacing w:after="0" w:line="189" w:lineRule="exact"/>
        <w:rPr>
          <w:sz w:val="20"/>
          <w:szCs w:val="20"/>
          <w:color w:val="auto"/>
        </w:rPr>
      </w:pPr>
    </w:p>
    <w:p>
      <w:pPr>
        <w:ind w:right="140" w:firstLine="510"/>
        <w:spacing w:after="0" w:line="257" w:lineRule="auto"/>
        <w:rPr>
          <w:sz w:val="20"/>
          <w:szCs w:val="20"/>
          <w:color w:val="auto"/>
        </w:rPr>
      </w:pPr>
      <w:r>
        <w:rPr>
          <w:rFonts w:ascii="Times New Roman" w:cs="Times New Roman" w:eastAsia="Times New Roman" w:hAnsi="Times New Roman"/>
          <w:sz w:val="18"/>
          <w:szCs w:val="18"/>
          <w:color w:val="auto"/>
        </w:rPr>
        <w:t>In addition, our online stores are partially handled by a third-party ecommerce service provider. We rely on this service provider to handle, among other things, payment and processing of online sales. If the service provider does not perform these functions satisfactorily, we may find another third-party service provider or undertake such operations ourselves, but we may not be able to successfully do either. In either case, our online sales and our customer service reputation could be adversely affected which, in turn, may seriously harm our business.</w:t>
      </w:r>
    </w:p>
    <w:p>
      <w:pPr>
        <w:spacing w:after="0" w:line="285" w:lineRule="exact"/>
        <w:rPr>
          <w:sz w:val="20"/>
          <w:szCs w:val="20"/>
          <w:color w:val="auto"/>
        </w:rPr>
      </w:pPr>
    </w:p>
    <w:p>
      <w:pPr>
        <w:ind w:left="520" w:right="2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recognize restructuring and impairment charges in future periods, which will adversely affect our operating results and could seriously harm our business.</w:t>
      </w:r>
    </w:p>
    <w:p>
      <w:pPr>
        <w:spacing w:after="0" w:line="52" w:lineRule="exact"/>
        <w:rPr>
          <w:sz w:val="20"/>
          <w:szCs w:val="20"/>
          <w:color w:val="auto"/>
        </w:rPr>
      </w:pPr>
    </w:p>
    <w:p>
      <w:pPr>
        <w:ind w:right="40" w:firstLine="510"/>
        <w:spacing w:after="0" w:line="277" w:lineRule="auto"/>
        <w:rPr>
          <w:sz w:val="20"/>
          <w:szCs w:val="20"/>
          <w:color w:val="auto"/>
        </w:rPr>
      </w:pPr>
      <w:r>
        <w:rPr>
          <w:rFonts w:ascii="Times New Roman" w:cs="Times New Roman" w:eastAsia="Times New Roman" w:hAnsi="Times New Roman"/>
          <w:sz w:val="18"/>
          <w:szCs w:val="18"/>
          <w:color w:val="auto"/>
        </w:rPr>
        <w:t>Depending on market and economic conditions in future periods, we may implement restructuring initiatives. As a result of these initiatives, we could incur restructuring charges, lose key personnel and experience disruptions in our operations and difficulties in delivering our gear.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are required to test goodwill, intangible assets and other long-lived assets for recoverability and may be required to record charges if there are indicators of impairment, and we have in the past recognized impairment charges. As of December 31, 2022, we had approximately $347.7 million of goodwill, $216.3 million of intangible assets and $84.2 million of other long-lived assets. One of our strategies is to grow through acquisitions of other businesses or technologies and, if we are successful in doing so, these acquisitions may result in goodwill and other long-lived assets. The risk that we will be required to recognize impairment charges is also heightened by the fact that the life cycles of much of the gear we sell are relatively short, which increases the possibility that we may be required to recognize impairment charges for obsolete inventory. Impairment charges will adversely affect our operating results and could seriously harm our business.</w:t>
      </w:r>
    </w:p>
    <w:p>
      <w:pPr>
        <w:spacing w:after="0" w:line="291" w:lineRule="exact"/>
        <w:rPr>
          <w:sz w:val="20"/>
          <w:szCs w:val="20"/>
          <w:color w:val="auto"/>
        </w:rPr>
      </w:pPr>
    </w:p>
    <w:p>
      <w:pPr>
        <w:ind w:left="5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to a large degree on our ability to defend the Corsair brand and product family brands such as SCUF, Vengeance, K70, Elgato and iCUE from infringement and, if we are unable to protect our brand and other intellectual property, our business may be seriously harmed.</w:t>
      </w:r>
    </w:p>
    <w:p>
      <w:pPr>
        <w:spacing w:after="0" w:line="66"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7"/>
          <w:szCs w:val="17"/>
          <w:color w:val="auto"/>
        </w:rPr>
        <w:t>We consider the Corsair brand to be one of our most valuable assets. We also consider the Elgato, Origin, and SCUF brands, proprietary technology brands such as iCUE and Slipstream, and major product family brands such as Corsair ONE, Dark Core, Dominator, Glaive, Harpoon, Ironclaw, K70, K100, Nightsword, Scimitar, Vengeance, Virtuoso and Void to be important to our business. Our future success depends to a large degree upon our ability to defend the Corsair brand, proprietary technology brands and product family brands from infringement and to protect our other intellectual property. We rely on a combination of copyright, trademark, patent and other intellectual property laws and confidentiality procedures and contractual provisions such as nondisclosure terms to protect our intellectual property. Although we hold a trademark registration on the Corsair name in the United States and a number of other countries, the Corsair name does not have trademark protection in other parts of the world, including some major markets, and we may be unable to register the Corsair name as a trademark in some countries. Likewise, we hold a trademark registration on certain brands such as K70 only in the United States, Australia and New Zealand and therefore such brands do not have trademark protection in other parts of the world. If third parties misappropriate or infringe on our brands or we are unable to protect our brands, or if third parties use the Corsair, Corsair ONE, Dark Core, Dominator, Elgato, Glaive, Harpoon, iCUE, Ironclaw, K70, K100, Nightsword, Origin, SCUF, Slipstream, Scimitar, Vengeance, Virtuoso and Void brand names, or other brand names we maintain, to sell their products in countries where we do not have trademark protection, it may seriously harm our business.</w:t>
      </w:r>
    </w:p>
    <w:p>
      <w:pPr>
        <w:spacing w:after="0" w:line="179" w:lineRule="exact"/>
        <w:rPr>
          <w:sz w:val="20"/>
          <w:szCs w:val="20"/>
          <w:color w:val="auto"/>
        </w:rPr>
      </w:pPr>
    </w:p>
    <w:p>
      <w:pPr>
        <w:ind w:right="40" w:firstLine="510"/>
        <w:spacing w:after="0" w:line="277" w:lineRule="auto"/>
        <w:rPr>
          <w:sz w:val="20"/>
          <w:szCs w:val="20"/>
          <w:color w:val="auto"/>
        </w:rPr>
      </w:pPr>
      <w:r>
        <w:rPr>
          <w:rFonts w:ascii="Times New Roman" w:cs="Times New Roman" w:eastAsia="Times New Roman" w:hAnsi="Times New Roman"/>
          <w:sz w:val="17"/>
          <w:szCs w:val="17"/>
          <w:color w:val="auto"/>
        </w:rPr>
        <w:t>We hold a limited number of patents and pending patent applications. It is possible that any patent owned by us will be invalidated, deemed unenforceable, circumvented or challenged and that our pending or any future patent applications will not be granted. In addition, other intellectual property laws or our confidentiality procedures and contractual provisions may not adequately protect our intellectual property and others may independently develop similar technology, duplicate our gear, or design around any intellectual property rights we may have. Any of these events may seriously harm our business.</w:t>
      </w:r>
    </w:p>
    <w:p>
      <w:pPr>
        <w:spacing w:after="0" w:line="166" w:lineRule="exact"/>
        <w:rPr>
          <w:sz w:val="20"/>
          <w:szCs w:val="20"/>
          <w:color w:val="auto"/>
        </w:rPr>
      </w:pPr>
    </w:p>
    <w:p>
      <w:pPr>
        <w:ind w:right="220" w:firstLine="510"/>
        <w:spacing w:after="0" w:line="262" w:lineRule="auto"/>
        <w:rPr>
          <w:sz w:val="20"/>
          <w:szCs w:val="20"/>
          <w:color w:val="auto"/>
        </w:rPr>
      </w:pPr>
      <w:r>
        <w:rPr>
          <w:rFonts w:ascii="Times New Roman" w:cs="Times New Roman" w:eastAsia="Times New Roman" w:hAnsi="Times New Roman"/>
          <w:sz w:val="18"/>
          <w:szCs w:val="18"/>
          <w:color w:val="auto"/>
        </w:rPr>
        <w:t>Certain of the licenses pursuant to which we are permitted to use the intellectual property of third parties can be terminated at any time by us or the other party. If we are unable to negotiate and maintain licenses on acceptable terms, we will be required to develop alternative technology internally or license it from other third parties, which may be difficult and costly or impossible.</w:t>
      </w:r>
    </w:p>
    <w:p>
      <w:pPr>
        <w:spacing w:after="0" w:line="177"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color w:val="auto"/>
        </w:rPr>
        <w:t>The expansion of our business will require us to protect our trademarks, domain names, copyrights, patents and other intellectual property rights in an increasing number of jurisdictions, a process that is expensive and sometimes requires litigation. If we are unable to protect and enforce our trademarks, domain names, copyrights, patents and other intellectual property rights, or prevent third parties from infringing upon them, our business may be seriously harmed.</w:t>
      </w:r>
    </w:p>
    <w:p>
      <w:pPr>
        <w:spacing w:after="0" w:line="182" w:lineRule="exact"/>
        <w:rPr>
          <w:sz w:val="20"/>
          <w:szCs w:val="20"/>
          <w:color w:val="auto"/>
        </w:rPr>
      </w:pPr>
    </w:p>
    <w:p>
      <w:pPr>
        <w:ind w:right="340" w:firstLine="510"/>
        <w:spacing w:after="0" w:line="277" w:lineRule="auto"/>
        <w:rPr>
          <w:sz w:val="20"/>
          <w:szCs w:val="20"/>
          <w:color w:val="auto"/>
        </w:rPr>
      </w:pPr>
      <w:r>
        <w:rPr>
          <w:rFonts w:ascii="Times New Roman" w:cs="Times New Roman" w:eastAsia="Times New Roman" w:hAnsi="Times New Roman"/>
          <w:sz w:val="17"/>
          <w:szCs w:val="17"/>
          <w:color w:val="auto"/>
        </w:rPr>
        <w:t>We have taken steps in the past to enforce our intellectual property rights and expect to continue to do so in the future. However, it may not be practical or cost-effective for us to enforce our rights with respect to certain items of intellectual property rights fully, or at all, particularly in developing countries where the enforcement of intellectual property rights may be more difficult than in the United States. It is also possible that, given the costs of obtaining patent protection, we may choose not to seek patent protection for certain items of intellectual property that may later turn out to be important.</w:t>
      </w:r>
    </w:p>
    <w:p>
      <w:pPr>
        <w:spacing w:after="0" w:line="2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Some of our products contain open source software, which may pose particular risks to our proprietary software and products.</w:t>
      </w:r>
    </w:p>
    <w:p>
      <w:pPr>
        <w:spacing w:after="0" w:line="118" w:lineRule="exact"/>
        <w:rPr>
          <w:sz w:val="20"/>
          <w:szCs w:val="20"/>
          <w:color w:val="auto"/>
        </w:rPr>
      </w:pPr>
    </w:p>
    <w:p>
      <w:pPr>
        <w:ind w:right="220" w:firstLine="510"/>
        <w:spacing w:after="0" w:line="253" w:lineRule="auto"/>
        <w:rPr>
          <w:sz w:val="20"/>
          <w:szCs w:val="20"/>
          <w:color w:val="auto"/>
        </w:rPr>
      </w:pPr>
      <w:r>
        <w:rPr>
          <w:rFonts w:ascii="Times New Roman" w:cs="Times New Roman" w:eastAsia="Times New Roman" w:hAnsi="Times New Roman"/>
          <w:sz w:val="18"/>
          <w:szCs w:val="18"/>
          <w:color w:val="auto"/>
        </w:rPr>
        <w:t>Our products rely on software licensed by third parties under open source licenses, including as incorporated into software we receive from third-party commercial software vendors, and will continue to rely on such open source software in the future. Use of open source software may entail greater risks than use of third-party commercial software, as open source licensors generally do not provide support, updates, warranties or other contractual protections regarding infringement claims or the quality of the code, and the wide availability of source code to components used in our products could expose us to security vulnerabilities. Further, the terms of many open source licenses have not been interpreted by U.S. courts, and there is a risk that such licenses could be construed in 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manner that imposes unanticipated conditions or restrictions on our ability to market or commercialize our products. As a result, we may face claims from third parties claiming ownership of what we believe to be open source software. In addition, by the terms of some open source licenses, under certain conditions, we could be required to release our proprietary source code, and to make our proprietary software available under open source licenses, including authorizing further modification and redistribution. These claims or requirements could result in litigation and could require us to purchase a costly license or cease offering the implicated products unless and until we can re-engineer them to avoid infringement or release of our proprietary source code. This re-engineering process could require significant additional research and development resources. In addition, we have intentionally made certain software we have developed available on an open source basis, both by contributing modifications back to existing open source projects, and by making certain internally developed tools available pursuant to open source licenses, and we plan to continue to do so in the future. While we engage in a review process for any such contributions, which is designed to protect any code that may be competitively sensitive, it is still possible that our competitors or others could use this code for competitive purposes, or for commercial or other purposes beyond what we intended. Any of these risks could be difficult to eliminate or manage, and, if not addressed, could seriously harm our business.</w:t>
      </w:r>
    </w:p>
    <w:p>
      <w:pPr>
        <w:spacing w:after="0" w:line="296" w:lineRule="exact"/>
        <w:rPr>
          <w:sz w:val="20"/>
          <w:szCs w:val="20"/>
          <w:color w:val="auto"/>
        </w:rPr>
      </w:pPr>
    </w:p>
    <w:p>
      <w:pPr>
        <w:ind w:left="520" w:right="3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have in the past been, and may in the future be, subject to intellectual property infringement claims, which are costly to defend, could require us to pay damages or royalties and could limit our ability to use certain technologies in the future.</w:t>
      </w:r>
    </w:p>
    <w:p>
      <w:pPr>
        <w:spacing w:after="0" w:line="52" w:lineRule="exact"/>
        <w:rPr>
          <w:sz w:val="20"/>
          <w:szCs w:val="20"/>
          <w:color w:val="auto"/>
        </w:rPr>
      </w:pPr>
    </w:p>
    <w:p>
      <w:pPr>
        <w:jc w:val="both"/>
        <w:ind w:right="460" w:firstLine="510"/>
        <w:spacing w:after="0" w:line="262" w:lineRule="auto"/>
        <w:rPr>
          <w:sz w:val="20"/>
          <w:szCs w:val="20"/>
          <w:color w:val="auto"/>
        </w:rPr>
      </w:pPr>
      <w:r>
        <w:rPr>
          <w:rFonts w:ascii="Times New Roman" w:cs="Times New Roman" w:eastAsia="Times New Roman" w:hAnsi="Times New Roman"/>
          <w:sz w:val="18"/>
          <w:szCs w:val="18"/>
          <w:color w:val="auto"/>
        </w:rPr>
        <w:t>Companies in the technology industry are frequently subject to litigation or disputes based on allegations of infringement or other violations of intellectual property rights. We have faced claims that we have infringed, or that our use of components or products supplied to us by third parties have infringed, patents or other intellectual property rights of others in the past and may in the future face similar claims.</w:t>
      </w:r>
    </w:p>
    <w:p>
      <w:pPr>
        <w:spacing w:after="0" w:line="177" w:lineRule="exact"/>
        <w:rPr>
          <w:sz w:val="20"/>
          <w:szCs w:val="20"/>
          <w:color w:val="auto"/>
        </w:rPr>
      </w:pPr>
    </w:p>
    <w:p>
      <w:pPr>
        <w:ind w:right="20" w:firstLine="510"/>
        <w:spacing w:after="0" w:line="250" w:lineRule="auto"/>
        <w:rPr>
          <w:sz w:val="20"/>
          <w:szCs w:val="20"/>
          <w:color w:val="auto"/>
        </w:rPr>
      </w:pPr>
      <w:r>
        <w:rPr>
          <w:rFonts w:ascii="Times New Roman" w:cs="Times New Roman" w:eastAsia="Times New Roman" w:hAnsi="Times New Roman"/>
          <w:sz w:val="18"/>
          <w:szCs w:val="18"/>
          <w:color w:val="auto"/>
        </w:rPr>
        <w:t>Any intellectual property claims, with or without merit, can be time-consuming, expensive to litigate or settle and can divert management resources and attention. For example, in the past we have settled claims relating to infringement allegations and agreed to make royalty or license payments in connection with such settlements. An adverse determination could require that we pay damages, which could be substantial, or stop using technologies found to be in violation of a third-party’s rights and could prevent us from selling some of our gear. In order to avoid these restrictions, we may have to seek a license for the technology. Any such license may not be available on reasonable terms or at all, could require us to pay significant royalties and may significantly increase our operating expenses or otherwise seriously harm our business or operating results. As a result, we may be required to develop alternative non-infringing technologies, which could require significant effort and expense and might not be successful or, if alternative non-</w:t>
      </w:r>
    </w:p>
    <w:p>
      <w:pPr>
        <w:spacing w:after="0" w:line="6" w:lineRule="exact"/>
        <w:rPr>
          <w:sz w:val="20"/>
          <w:szCs w:val="20"/>
          <w:color w:val="auto"/>
        </w:rPr>
      </w:pPr>
    </w:p>
    <w:p>
      <w:pPr>
        <w:jc w:val="both"/>
        <w:ind w:right="400"/>
        <w:spacing w:after="0" w:line="251" w:lineRule="auto"/>
        <w:rPr>
          <w:sz w:val="20"/>
          <w:szCs w:val="20"/>
          <w:color w:val="auto"/>
        </w:rPr>
      </w:pPr>
      <w:r>
        <w:rPr>
          <w:rFonts w:ascii="Times New Roman" w:cs="Times New Roman" w:eastAsia="Times New Roman" w:hAnsi="Times New Roman"/>
          <w:sz w:val="18"/>
          <w:szCs w:val="18"/>
          <w:color w:val="auto"/>
        </w:rPr>
        <w:t>infringing technologies already exist, we may be required to license those technologies from third parties, which may be expensive or impossible. If we cannot license or develop technologies for any infringing aspects of our business, we may be forced to halt sales of our gear incorporating the infringing technologies and may be unable to compete effectively. Any of these results may seriously harm our business.</w:t>
      </w:r>
    </w:p>
    <w:p>
      <w:pPr>
        <w:spacing w:after="0" w:line="289" w:lineRule="exact"/>
        <w:rPr>
          <w:sz w:val="20"/>
          <w:szCs w:val="20"/>
          <w:color w:val="auto"/>
        </w:rPr>
      </w:pPr>
    </w:p>
    <w:p>
      <w:pPr>
        <w:ind w:left="520" w:right="4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may be adversely affected by seismic activity or other natural disasters, and our business continuity and disaster recovery plans may not adequately protect us from a serious disaster.</w:t>
      </w:r>
    </w:p>
    <w:p>
      <w:pPr>
        <w:spacing w:after="0" w:line="52"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Our corporate headquarters are located in the San Francisco Bay Area and the testing and packaging of most of our DRAM modules take place in our facility in Taiwan. Both locations are known to experience earthquakes from time to time, some of which have been severe. In addition, typhoons and other severe weather systems frequently affect Taiwan. Most of the third-party facilities where our gear and some of the components used in our gear is manufactured are located in China, Taiwan, Southeast Asia and other areas that are known for seismic activity and other natural disasters. Earthquakes in any of the foregoing areas may also result in tsunamis. We do not carry earthquake insurance. As a result, earthquakes or other natural disasters could severely disrupt our operations, either directly or as a result of their effect on third-party manufacturers and suppliers upon whom we rely and their respective supply chains and may negatively impact the ordering patterns of our customers and may seriously harm our business.</w:t>
      </w:r>
    </w:p>
    <w:p>
      <w:pPr>
        <w:spacing w:after="0" w:line="291"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environmental laws, conflict mineral-related provisions of the Dodd-Frank Act and other regulations that could impose substantial costs upon us and may seriously harm our business.</w:t>
      </w:r>
    </w:p>
    <w:p>
      <w:pPr>
        <w:spacing w:after="0" w:line="52" w:lineRule="exact"/>
        <w:rPr>
          <w:sz w:val="20"/>
          <w:szCs w:val="20"/>
          <w:color w:val="auto"/>
        </w:rPr>
      </w:pPr>
    </w:p>
    <w:p>
      <w:pPr>
        <w:ind w:firstLine="510"/>
        <w:spacing w:after="0" w:line="268" w:lineRule="auto"/>
        <w:rPr>
          <w:sz w:val="20"/>
          <w:szCs w:val="20"/>
          <w:color w:val="auto"/>
        </w:rPr>
      </w:pPr>
      <w:r>
        <w:rPr>
          <w:rFonts w:ascii="Times New Roman" w:cs="Times New Roman" w:eastAsia="Times New Roman" w:hAnsi="Times New Roman"/>
          <w:sz w:val="17"/>
          <w:szCs w:val="17"/>
          <w:color w:val="auto"/>
        </w:rPr>
        <w:t>Our operations, properties and the gear we sell are subject to a variety of U.S. and foreign environmental laws and regulations governing, among other things, air emissions, wastewater discharges, management and disposal of hazardous and non-hazardous materials and waste, and remediation of releases of hazardous materials. Our failure to comply with present and future requirements under these laws and regulations, or environmental contamination or releases of hazardous materials on our leased premises, as well as through disposal of our gear, could cause us to incur substantial costs, including clean-</w:t>
      </w:r>
    </w:p>
    <w:p>
      <w:pPr>
        <w:spacing w:after="0" w:line="1" w:lineRule="exact"/>
        <w:rPr>
          <w:sz w:val="20"/>
          <w:szCs w:val="20"/>
          <w:color w:val="auto"/>
        </w:rPr>
      </w:pPr>
    </w:p>
    <w:p>
      <w:pPr>
        <w:jc w:val="both"/>
        <w:ind w:right="100"/>
        <w:spacing w:after="0" w:line="251" w:lineRule="auto"/>
        <w:rPr>
          <w:sz w:val="20"/>
          <w:szCs w:val="20"/>
          <w:color w:val="auto"/>
        </w:rPr>
      </w:pPr>
      <w:r>
        <w:rPr>
          <w:rFonts w:ascii="Times New Roman" w:cs="Times New Roman" w:eastAsia="Times New Roman" w:hAnsi="Times New Roman"/>
          <w:sz w:val="18"/>
          <w:szCs w:val="18"/>
          <w:color w:val="auto"/>
        </w:rPr>
        <w:t>up costs, personal injury and property damage claims, fines and penalties, costs to redesign our gear or upgrade our facilities and legal costs, or require us to curtail our operations. Environmental contamination or releases of hazardous materials may also subject us to claims of property damage or personal injury, which could result in litigation and require us to make substantial payments to satisfy adverse judgments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pay settlements. Liability under environmental laws can be joint and several and without regard to comparative fault. We also expect that our operations will be affected by new environmental laws and regulations on an ongoing basis, which will likely result in additional costs. Environmental laws and regulations could also require that we redesign our gear or change how our gear is made, any of which could seriously harm our business. The costs of complying with environmental laws and regulations or the effect of any claims or liability concerning or resulting from noncompliance or environmental contamination could also seriously harm our business.</w:t>
      </w:r>
    </w:p>
    <w:p>
      <w:pPr>
        <w:spacing w:after="0" w:line="183"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Under the Dodd-Frank Act, the SEC adopted disclosure and reporting requirements for companies that use “conflict” minerals originating from the Democratic Republic of Congo or adjoining countries. We continue to incur costs associated with complying with these requirements, such as costs related to developing internal controls for the due diligence process, determining the source of any conflict minerals used in our gear, auditing the process and reporting to our customers and the SEC. In addition to the SEC regulation, the European Union, China and other jurisdictions are developing new policies focused on conflict minerals that may impact and increase the cost of our compliance program. Also, since our supply chain is complex, we may face reputational challenges if we are unable to sufficiently verify the origins of the subject minerals. Moreover, we are likely to encounter challenges to satisfy those customers who require that all of the components of our gear are certified as “conflict free.” If we cannot satisfy these customers, they may choose a competitor’s products.</w:t>
      </w:r>
    </w:p>
    <w:p>
      <w:pPr>
        <w:spacing w:after="0" w:line="185" w:lineRule="exact"/>
        <w:rPr>
          <w:sz w:val="20"/>
          <w:szCs w:val="20"/>
          <w:color w:val="auto"/>
        </w:rPr>
      </w:pPr>
    </w:p>
    <w:p>
      <w:pPr>
        <w:ind w:right="220" w:firstLine="510"/>
        <w:spacing w:after="0" w:line="255" w:lineRule="auto"/>
        <w:rPr>
          <w:sz w:val="20"/>
          <w:szCs w:val="20"/>
          <w:color w:val="auto"/>
        </w:rPr>
      </w:pPr>
      <w:r>
        <w:rPr>
          <w:rFonts w:ascii="Times New Roman" w:cs="Times New Roman" w:eastAsia="Times New Roman" w:hAnsi="Times New Roman"/>
          <w:sz w:val="18"/>
          <w:szCs w:val="18"/>
          <w:color w:val="auto"/>
        </w:rPr>
        <w:t>The U.S. federal government has issued new policies for federal procurement focused on eradicating the practice of forced labor and human trafficking. In addition, the United Kingdom and the State of California have issued laws that require us to disclose our policy and practices for identifying and eliminating forced labor and human trafficking in our supply chain. While we have a policy and management systems to identify and avoid these practices in our supply chain, we cannot guarantee that our suppliers will always be in conformance to these laws and expectations. We may face enforcement liability and reputational challenges if we are unable to sufficiently meet these expectations.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EagleTree, whose interests in our business may be different than yours.</w:t>
      </w:r>
    </w:p>
    <w:p>
      <w:pPr>
        <w:spacing w:after="0" w:line="118" w:lineRule="exact"/>
        <w:rPr>
          <w:sz w:val="20"/>
          <w:szCs w:val="20"/>
          <w:color w:val="auto"/>
        </w:rPr>
      </w:pPr>
    </w:p>
    <w:p>
      <w:pPr>
        <w:ind w:right="60" w:firstLine="510"/>
        <w:spacing w:after="0" w:line="252" w:lineRule="auto"/>
        <w:rPr>
          <w:sz w:val="20"/>
          <w:szCs w:val="20"/>
          <w:color w:val="auto"/>
        </w:rPr>
      </w:pPr>
      <w:r>
        <w:rPr>
          <w:rFonts w:ascii="Times New Roman" w:cs="Times New Roman" w:eastAsia="Times New Roman" w:hAnsi="Times New Roman"/>
          <w:sz w:val="18"/>
          <w:szCs w:val="18"/>
          <w:color w:val="auto"/>
        </w:rPr>
        <w:t>As of December 31, 2022, EagleTree beneficially owned approximately 55.5% of our common stock and is able to control our affairs in all cases. Further, pursuant to the terms of an Investor Rights Agreement between us and EagleTree, EagleTree has the right, among other things, to designate the chairman of our board of directors, as well as the right to nominate up to five out of eight directors to our board of directors as long as affiliates of EagleTree beneficially own at least 50% of our common stock, four directors as long as affiliates of EagleTree beneficially own at least 40% and less than 50% of our common stock, three directors as long as affiliates of EagleTree beneficially own at least 30% and less than 40% of our common stock, two directors as long as affiliates of EagleTree beneficially own at least 20% and less than 30% of our common stock and one director as long as affiliates of EagleTree beneficially own at least 10% and less than 20% of our common stock.</w:t>
      </w:r>
    </w:p>
    <w:p>
      <w:pPr>
        <w:spacing w:after="0" w:line="82"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As a result of the foregoing, EagleTree or its respective designees to our board of directors will have the ability to control the appointment of our management, the entering into of mergers, sales of substantially all or all of our assets and other extraordinary transactions and influence amendments to our amended and restated certificate of incorporation and bylaws. So long as EagleTree continues to beneficially own a majority of our common stock, they will have the ability to control the vote in any election of directors and will have the ability to prevent any transaction that requires stockholder approval regardless of whether other stockholders believe the transaction is in our best interests. In any of these matters, the interests of EagleTree may differ from or conflict with your interests. Moreover, this concentration of stock ownership may also adversely affect the trading price for our common stock to the extent investors perceive disadvantages in owning stock of a company with a controlling stockholder. In addition, EagleTree is in the business of making investments in companies and may, from time to time, acquire interests in businesses that directly or indirectly compete with our business, as well as businesses that are our significant existing or potential suppliers or customers. EagleTree may acquire or seek to acquire assets that we seek to acquire and, as a result, those acquisition opportunities may not be available to us or may be more expensive for us to pursue.</w:t>
      </w:r>
    </w:p>
    <w:p>
      <w:pPr>
        <w:spacing w:after="0" w:line="289" w:lineRule="exact"/>
        <w:rPr>
          <w:sz w:val="20"/>
          <w:szCs w:val="20"/>
          <w:color w:val="auto"/>
        </w:rPr>
      </w:pPr>
    </w:p>
    <w:p>
      <w:pPr>
        <w:ind w:left="520"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will qualify for, and intend to rely on, exemptions from certain corporate governance requirements. You will not have the same protections afforded to stockholders of companies that are subject to such requirements.</w:t>
      </w:r>
    </w:p>
    <w:p>
      <w:pPr>
        <w:spacing w:after="0" w:line="66" w:lineRule="exact"/>
        <w:rPr>
          <w:sz w:val="20"/>
          <w:szCs w:val="20"/>
          <w:color w:val="auto"/>
        </w:rPr>
      </w:pPr>
    </w:p>
    <w:p>
      <w:pPr>
        <w:ind w:right="160" w:firstLine="510"/>
        <w:spacing w:after="0" w:line="277" w:lineRule="auto"/>
        <w:rPr>
          <w:sz w:val="20"/>
          <w:szCs w:val="20"/>
          <w:color w:val="auto"/>
        </w:rPr>
      </w:pPr>
      <w:r>
        <w:rPr>
          <w:rFonts w:ascii="Times New Roman" w:cs="Times New Roman" w:eastAsia="Times New Roman" w:hAnsi="Times New Roman"/>
          <w:sz w:val="18"/>
          <w:szCs w:val="18"/>
          <w:color w:val="auto"/>
        </w:rPr>
        <w:t>EagleTree controls a majority of the voting power of our outstanding common stock. As a result, we are a “controlled company” within the meaning of the corporate governance standards of the Nasdaq Global Select Market, or Nasdaq. Under these rules, a</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color w:val="auto"/>
        </w:rPr>
        <w:t>company of which more than 50% of the voting power is held by an individual, group or another company is a “controlled company” and may elect not to comply with certain corporate governance requirements, including requirements that:</w:t>
      </w:r>
    </w:p>
    <w:p>
      <w:pPr>
        <w:spacing w:after="0" w:line="57" w:lineRule="exact"/>
        <w:rPr>
          <w:sz w:val="20"/>
          <w:szCs w:val="20"/>
          <w:color w:val="auto"/>
        </w:rPr>
      </w:pPr>
    </w:p>
    <w:p>
      <w:pPr>
        <w:ind w:left="1020" w:hanging="506"/>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 of “independent directors” as defined under the rules of Nasdaq;</w:t>
      </w:r>
    </w:p>
    <w:p>
      <w:pPr>
        <w:spacing w:after="0" w:line="113" w:lineRule="exact"/>
        <w:rPr>
          <w:rFonts w:ascii="Times New Roman" w:cs="Times New Roman" w:eastAsia="Times New Roman" w:hAnsi="Times New Roman"/>
          <w:sz w:val="18"/>
          <w:szCs w:val="18"/>
          <w:color w:val="auto"/>
        </w:rPr>
      </w:pPr>
    </w:p>
    <w:p>
      <w:pPr>
        <w:ind w:left="1020" w:right="80" w:hanging="506"/>
        <w:spacing w:after="0" w:line="277"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have a compensation committee that is composed entirely of independent directors with a written charter addressing the committee purpose and responsibilities; and</w:t>
      </w:r>
    </w:p>
    <w:p>
      <w:pPr>
        <w:spacing w:after="0" w:line="56" w:lineRule="exact"/>
        <w:rPr>
          <w:rFonts w:ascii="Times New Roman" w:cs="Times New Roman" w:eastAsia="Times New Roman" w:hAnsi="Times New Roman"/>
          <w:sz w:val="18"/>
          <w:szCs w:val="18"/>
          <w:color w:val="auto"/>
        </w:rPr>
      </w:pPr>
    </w:p>
    <w:p>
      <w:pPr>
        <w:jc w:val="both"/>
        <w:ind w:left="1020" w:right="60" w:hanging="506"/>
        <w:spacing w:after="0" w:line="308" w:lineRule="auto"/>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13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currently utilize certain of these exemptions. As a result, pursuant to an agreement with EagleTree, nominations for certain of our directors will be made by EagleTree based on its ownership of our outstanding voting stock. Accordingly, for so long as we are a “controlled company,” you will not have the same protections afforded to stockholders of companies that are subject to all of the corporate governance requirements of Nasdaq. In the event that we cease to be a “controlled company” and our shares continue to be listed on Nasdaq, we will be required to comply with these provisions within the applicable transition periods.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may decline.</w:t>
      </w:r>
    </w:p>
    <w:p>
      <w:pPr>
        <w:spacing w:after="0" w:line="118"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stock market in general, and the market for stocks of technology companies in particular, has been highly volatile. As a result, the market price of our common stock is likely to be volatile, and investors in our common stock may experience a decrease, which could be substantial, in the value of their common stock or the loss of their entire investment for a number of reasons, including reasons unrelated to our operating performance or prospects. The market price of our common stock could be subject to wide fluctuations in response to a broad and diverse range of factors, including those described elsewhere in this “Risk Factors” section and the following:</w:t>
      </w:r>
    </w:p>
    <w:p>
      <w:pPr>
        <w:spacing w:after="0" w:line="76" w:lineRule="exact"/>
        <w:rPr>
          <w:sz w:val="20"/>
          <w:szCs w:val="20"/>
          <w:color w:val="auto"/>
        </w:rPr>
      </w:pPr>
    </w:p>
    <w:p>
      <w:pPr>
        <w:ind w:left="1020" w:hanging="506"/>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concerning us or our competitors;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estimates or guidance that we or our competitors may give to the market;</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3" w:lineRule="exact"/>
        <w:rPr>
          <w:rFonts w:ascii="Times New Roman" w:cs="Times New Roman" w:eastAsia="Times New Roman" w:hAnsi="Times New Roman"/>
          <w:sz w:val="18"/>
          <w:szCs w:val="18"/>
          <w:color w:val="auto"/>
        </w:rPr>
      </w:pPr>
    </w:p>
    <w:p>
      <w:pPr>
        <w:ind w:left="1020" w:right="320" w:hanging="506"/>
        <w:spacing w:after="0" w:line="277"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6"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of new technologies or other innovations;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or other regulatory developments affecting us or our industry;</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epidemics or pandemics, such as the coronavirus pandemic;</w:t>
      </w:r>
    </w:p>
    <w:p>
      <w:pPr>
        <w:spacing w:after="0" w:line="113" w:lineRule="exact"/>
        <w:rPr>
          <w:rFonts w:ascii="Times New Roman" w:cs="Times New Roman" w:eastAsia="Times New Roman" w:hAnsi="Times New Roman"/>
          <w:sz w:val="18"/>
          <w:szCs w:val="18"/>
          <w:color w:val="auto"/>
        </w:rPr>
      </w:pPr>
    </w:p>
    <w:p>
      <w:pPr>
        <w:ind w:left="1020" w:right="540" w:hanging="506"/>
        <w:spacing w:after="0" w:line="277"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terrorist acts, acts of war or periods of widespread civil unrest, such as any military actions taken as a result of the war between Russia and Ukraine; and</w:t>
      </w:r>
    </w:p>
    <w:p>
      <w:pPr>
        <w:spacing w:after="0" w:line="56"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0" w:lineRule="exact"/>
        <w:rPr>
          <w:sz w:val="20"/>
          <w:szCs w:val="20"/>
          <w:color w:val="auto"/>
        </w:rPr>
      </w:pPr>
    </w:p>
    <w:p>
      <w:pPr>
        <w:ind w:right="80" w:firstLine="510"/>
        <w:spacing w:after="0" w:line="262"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be maintained.</w:t>
      </w:r>
    </w:p>
    <w:p>
      <w:pPr>
        <w:spacing w:after="0" w:line="118" w:lineRule="exact"/>
        <w:rPr>
          <w:sz w:val="20"/>
          <w:szCs w:val="20"/>
          <w:color w:val="auto"/>
        </w:rPr>
      </w:pPr>
    </w:p>
    <w:p>
      <w:pPr>
        <w:ind w:right="40" w:firstLine="510"/>
        <w:spacing w:after="0" w:line="257" w:lineRule="auto"/>
        <w:rPr>
          <w:sz w:val="20"/>
          <w:szCs w:val="20"/>
          <w:color w:val="auto"/>
        </w:rPr>
      </w:pPr>
      <w:r>
        <w:rPr>
          <w:rFonts w:ascii="Times New Roman" w:cs="Times New Roman" w:eastAsia="Times New Roman" w:hAnsi="Times New Roman"/>
          <w:sz w:val="18"/>
          <w:szCs w:val="18"/>
          <w:color w:val="auto"/>
        </w:rPr>
        <w:t>Our stock only recently began trading on Nasdaq, but we can provide no assurance that we will be able to maintain an active trading market on Nasdaq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stock price to fall.</w:t>
      </w:r>
    </w:p>
    <w:p>
      <w:pPr>
        <w:spacing w:after="0" w:line="118"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the trading price of our common stock could decline. Based upon the number of shares outstanding as of December 31, 2022, we had outstanding a total of 101.4 million shares of common stock. Of these shares, all of the shares of our common stock sold in the initial public offering, in the secondary offering in January 2021 and in the primary offering in November 2022, are freely tradable, without restriction, in the public market. In addition, in July 2022, approximately 54.2 million shares of our common stock that were held by EagleTree were registered pursuant to a Registration Statement on Form S-3.</w:t>
      </w:r>
    </w:p>
    <w:p>
      <w:pPr>
        <w:spacing w:after="0" w:line="286"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5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86" w:lineRule="exact"/>
        <w:rPr>
          <w:sz w:val="20"/>
          <w:szCs w:val="20"/>
          <w:color w:val="auto"/>
        </w:rPr>
      </w:pPr>
    </w:p>
    <w:p>
      <w:pPr>
        <w:jc w:val="both"/>
        <w:ind w:left="520"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contain antitakeover provisions that could delay, deter or prevent takeover attempts that stockholders may consider favorable or attempts to replace or remove our management that would be beneficial to our stockholders.</w:t>
      </w:r>
    </w:p>
    <w:p>
      <w:pPr>
        <w:spacing w:after="0" w:line="66"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could delay, deter or prevent a change in control or other takeover of our company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 For example, our amended and restated certificate of incorporation and amended and restated bylaws include anti-takeover provisions that:</w:t>
      </w:r>
    </w:p>
    <w:p>
      <w:pPr>
        <w:spacing w:after="0" w:line="76" w:lineRule="exact"/>
        <w:rPr>
          <w:sz w:val="20"/>
          <w:szCs w:val="20"/>
          <w:color w:val="auto"/>
        </w:rPr>
      </w:pPr>
    </w:p>
    <w:p>
      <w:pPr>
        <w:ind w:left="1020" w:right="180" w:hanging="506"/>
        <w:spacing w:after="0" w:line="26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without further action by the stockholders, to issue preferred stock in one or more series and, with respect to each series, to fix the number of shares constituting that series and to establish the rights and other terms of that series, which may include dividend and liquidation rights and preferences, conversion rights and voting rights;</w:t>
      </w:r>
    </w:p>
    <w:p>
      <w:pPr>
        <w:spacing w:after="0" w:line="70" w:lineRule="exact"/>
        <w:rPr>
          <w:rFonts w:ascii="Times New Roman" w:cs="Times New Roman" w:eastAsia="Times New Roman" w:hAnsi="Times New Roman"/>
          <w:sz w:val="18"/>
          <w:szCs w:val="18"/>
          <w:color w:val="auto"/>
        </w:rPr>
      </w:pPr>
    </w:p>
    <w:p>
      <w:pPr>
        <w:ind w:left="1020" w:right="120" w:hanging="506"/>
        <w:spacing w:after="0" w:line="277"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actions to be taken by our stockholders may only be taken at an annual or special meeting of our stockholders and not be taken by majority written consent when EagleTree owns less than a majority of our outstanding common stock;</w:t>
      </w:r>
    </w:p>
    <w:p>
      <w:pPr>
        <w:spacing w:after="0" w:line="56" w:lineRule="exact"/>
        <w:rPr>
          <w:rFonts w:ascii="Times New Roman" w:cs="Times New Roman" w:eastAsia="Times New Roman" w:hAnsi="Times New Roman"/>
          <w:sz w:val="18"/>
          <w:szCs w:val="18"/>
          <w:color w:val="auto"/>
        </w:rPr>
      </w:pPr>
    </w:p>
    <w:p>
      <w:pPr>
        <w:ind w:left="1020" w:right="120" w:hanging="506"/>
        <w:spacing w:after="0" w:line="26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the Secretary at the direction of our board of directors or the Chairman of our board of directors and not by our stockholders or any other persons when EagleTree owns less than a majority of our outstanding common stock;</w:t>
      </w:r>
    </w:p>
    <w:p>
      <w:pPr>
        <w:spacing w:after="0" w:line="70" w:lineRule="exact"/>
        <w:rPr>
          <w:rFonts w:ascii="Times New Roman" w:cs="Times New Roman" w:eastAsia="Times New Roman" w:hAnsi="Times New Roman"/>
          <w:sz w:val="18"/>
          <w:szCs w:val="18"/>
          <w:color w:val="auto"/>
        </w:rPr>
      </w:pPr>
    </w:p>
    <w:p>
      <w:pPr>
        <w:ind w:left="1020" w:right="500" w:hanging="506"/>
        <w:spacing w:after="0" w:line="277"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procedures for stockholders to submit nominations of candidates for election to our board of directors and other proposals to be brought before a stockholders meeting;</w:t>
      </w:r>
    </w:p>
    <w:p>
      <w:pPr>
        <w:spacing w:after="0" w:line="56" w:lineRule="exact"/>
        <w:rPr>
          <w:rFonts w:ascii="Times New Roman" w:cs="Times New Roman" w:eastAsia="Times New Roman" w:hAnsi="Times New Roman"/>
          <w:sz w:val="18"/>
          <w:szCs w:val="18"/>
          <w:color w:val="auto"/>
        </w:rPr>
      </w:pPr>
    </w:p>
    <w:p>
      <w:pPr>
        <w:ind w:left="1020" w:right="380" w:hanging="506"/>
        <w:spacing w:after="0" w:line="26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by the affirmative vote of at least 66-2/3% in voting power of the then-outstanding shares of capital stock of our company when EagleTree owns less than 50% in voting power of our stock entitled to vote at an election of directors;</w:t>
      </w:r>
    </w:p>
    <w:p>
      <w:pPr>
        <w:spacing w:after="0" w:line="70" w:lineRule="exact"/>
        <w:rPr>
          <w:rFonts w:ascii="Times New Roman" w:cs="Times New Roman" w:eastAsia="Times New Roman" w:hAnsi="Times New Roman"/>
          <w:sz w:val="18"/>
          <w:szCs w:val="18"/>
          <w:color w:val="auto"/>
        </w:rPr>
      </w:pPr>
    </w:p>
    <w:p>
      <w:pPr>
        <w:ind w:left="1020" w:right="40" w:hanging="506"/>
        <w:spacing w:after="0" w:line="277"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sole power of the board of directors, or EagleTree in the case of a vacancy of one of their respective board designees, to fill any vacancy on the board of directors, whether such vacancy occurs as a result of an increase in the number of directors or otherwise;</w:t>
      </w:r>
    </w:p>
    <w:p>
      <w:pPr>
        <w:spacing w:after="0" w:line="56"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 serving staggered terms of three years each;</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020" w:right="40" w:hanging="506"/>
        <w:spacing w:after="0" w:line="277"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give the holders of our common stock cumulative voting rights with respect to the election of directors, which means that the holders of a majority of our outstanding shares of common stock can elect all directors standing for election;</w:t>
      </w:r>
    </w:p>
    <w:p>
      <w:pPr>
        <w:spacing w:after="0" w:line="56" w:lineRule="exact"/>
        <w:rPr>
          <w:rFonts w:ascii="Times New Roman" w:cs="Times New Roman" w:eastAsia="Times New Roman" w:hAnsi="Times New Roman"/>
          <w:sz w:val="18"/>
          <w:szCs w:val="18"/>
          <w:color w:val="auto"/>
        </w:rPr>
      </w:pPr>
    </w:p>
    <w:p>
      <w:pPr>
        <w:ind w:left="1020" w:right="300" w:hanging="506"/>
        <w:spacing w:after="0" w:line="26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by the holders of at least two-thirds of the combined voting power of all shares of our outstanding capital stock entitled to vote generally in the election of our directors (voting as a single class) in order to amend certain provisions of our certificate of incorporation or bylaws, including those provisions changing the size of the</w:t>
      </w:r>
    </w:p>
    <w:p>
      <w:pPr>
        <w:spacing w:after="0" w:line="70" w:lineRule="exact"/>
        <w:rPr>
          <w:rFonts w:ascii="Times New Roman" w:cs="Times New Roman" w:eastAsia="Times New Roman" w:hAnsi="Times New Roman"/>
          <w:sz w:val="18"/>
          <w:szCs w:val="18"/>
          <w:color w:val="auto"/>
        </w:rPr>
      </w:pPr>
    </w:p>
    <w:p>
      <w:pPr>
        <w:ind w:left="1020" w:right="160" w:hanging="506"/>
        <w:spacing w:after="0" w:line="277"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the removal of certain directors, the availability of action by majority written consent of the stockholders or the restriction on business combinations with interested stockholders, among others; and</w:t>
      </w:r>
    </w:p>
    <w:p>
      <w:pPr>
        <w:spacing w:after="0" w:line="56" w:lineRule="exact"/>
        <w:rPr>
          <w:rFonts w:ascii="Times New Roman" w:cs="Times New Roman" w:eastAsia="Times New Roman" w:hAnsi="Times New Roman"/>
          <w:sz w:val="18"/>
          <w:szCs w:val="18"/>
          <w:color w:val="auto"/>
        </w:rPr>
      </w:pPr>
    </w:p>
    <w:p>
      <w:pPr>
        <w:jc w:val="both"/>
        <w:ind w:left="1020" w:right="100" w:hanging="506"/>
        <w:spacing w:after="0" w:line="285" w:lineRule="auto"/>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EagleTree owns less than a majority of our outstanding common stock, require the affirmative vote by the holders of at least two-thirds of the combined voting power of all shares of our outstanding capital stock entitled to vote generally in the election of our directors (voting as a single class) for any amendment, alteration, change, addition, rescission or repeal of our amended and restated certificate of incorporation.</w:t>
      </w:r>
    </w:p>
    <w:p>
      <w:pPr>
        <w:spacing w:after="0" w:line="159" w:lineRule="exact"/>
        <w:rPr>
          <w:sz w:val="20"/>
          <w:szCs w:val="20"/>
          <w:color w:val="auto"/>
        </w:rPr>
      </w:pPr>
    </w:p>
    <w:p>
      <w:pPr>
        <w:ind w:right="100" w:firstLine="510"/>
        <w:spacing w:after="0" w:line="273" w:lineRule="auto"/>
        <w:rPr>
          <w:sz w:val="20"/>
          <w:szCs w:val="20"/>
          <w:color w:val="auto"/>
        </w:rPr>
      </w:pPr>
      <w:r>
        <w:rPr>
          <w:rFonts w:ascii="Times New Roman" w:cs="Times New Roman" w:eastAsia="Times New Roman" w:hAnsi="Times New Roman"/>
          <w:sz w:val="17"/>
          <w:szCs w:val="17"/>
          <w:color w:val="auto"/>
        </w:rPr>
        <w:t>We have opted out of Section 203 of the Delaware General Corporation Law, or DGCL, which prevents stockholders holding more than 15% of our outstanding common stock from engaging in certain business combinations involving us unless certain conditions are satisfied. However, our amended and restated certificate of incorporation will include similar provisions that we may not engage in certain business combinations with interested stockholders for a period of three years following the time that the stockholder became an interested stockholder, subject to certain conditions. Pursuant to the terms of our amended and restated certificate of incorporation, EagleTree will not be considered an interested stockholder for purposes of this provision.</w:t>
      </w:r>
    </w:p>
    <w:p>
      <w:pPr>
        <w:spacing w:after="0" w:line="273" w:lineRule="exact"/>
        <w:rPr>
          <w:sz w:val="20"/>
          <w:szCs w:val="20"/>
          <w:color w:val="auto"/>
        </w:rPr>
      </w:pPr>
    </w:p>
    <w:p>
      <w:pPr>
        <w:ind w:left="520" w:right="2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2" w:lineRule="exact"/>
        <w:rPr>
          <w:sz w:val="20"/>
          <w:szCs w:val="20"/>
          <w:color w:val="auto"/>
        </w:rPr>
      </w:pPr>
    </w:p>
    <w:p>
      <w:pPr>
        <w:ind w:right="140" w:firstLine="510"/>
        <w:spacing w:after="0" w:line="277"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63" w:lineRule="exact"/>
        <w:rPr>
          <w:sz w:val="20"/>
          <w:szCs w:val="20"/>
          <w:color w:val="auto"/>
        </w:rPr>
      </w:pPr>
    </w:p>
    <w:p>
      <w:pPr>
        <w:ind w:right="280" w:firstLine="510"/>
        <w:spacing w:after="0" w:line="277" w:lineRule="auto"/>
        <w:rPr>
          <w:sz w:val="20"/>
          <w:szCs w:val="20"/>
          <w:color w:val="auto"/>
        </w:rPr>
      </w:pPr>
      <w:r>
        <w:rPr>
          <w:rFonts w:ascii="Times New Roman" w:cs="Times New Roman" w:eastAsia="Times New Roman" w:hAnsi="Times New Roman"/>
          <w:sz w:val="18"/>
          <w:szCs w:val="18"/>
          <w:color w:val="auto"/>
        </w:rPr>
        <w:t>In addition, as permitted by Section 145 of the DGCL, our amended and restated bylaws and our indemnification agreements that we have entered into with our directors and officers provide that:</w:t>
      </w:r>
    </w:p>
    <w:p>
      <w:pPr>
        <w:spacing w:after="0" w:line="57" w:lineRule="exact"/>
        <w:rPr>
          <w:sz w:val="20"/>
          <w:szCs w:val="20"/>
          <w:color w:val="auto"/>
        </w:rPr>
      </w:pPr>
    </w:p>
    <w:p>
      <w:pPr>
        <w:ind w:left="1020" w:right="220" w:hanging="506"/>
        <w:spacing w:after="0" w:line="257"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5"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3" w:lineRule="exact"/>
        <w:rPr>
          <w:rFonts w:ascii="Times New Roman" w:cs="Times New Roman" w:eastAsia="Times New Roman" w:hAnsi="Times New Roman"/>
          <w:sz w:val="18"/>
          <w:szCs w:val="18"/>
          <w:color w:val="auto"/>
        </w:rPr>
      </w:pPr>
    </w:p>
    <w:p>
      <w:pPr>
        <w:jc w:val="both"/>
        <w:ind w:left="1020" w:right="280" w:hanging="506"/>
        <w:spacing w:after="0" w:line="308"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2" w:lineRule="exact"/>
        <w:rPr>
          <w:rFonts w:ascii="Times New Roman" w:cs="Times New Roman" w:eastAsia="Times New Roman" w:hAnsi="Times New Roman"/>
          <w:sz w:val="17"/>
          <w:szCs w:val="17"/>
          <w:color w:val="auto"/>
        </w:rPr>
      </w:pPr>
    </w:p>
    <w:p>
      <w:pPr>
        <w:ind w:left="1020" w:right="340" w:hanging="506"/>
        <w:spacing w:after="0" w:line="26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70" w:lineRule="exact"/>
        <w:rPr>
          <w:rFonts w:ascii="Times New Roman" w:cs="Times New Roman" w:eastAsia="Times New Roman" w:hAnsi="Times New Roman"/>
          <w:sz w:val="18"/>
          <w:szCs w:val="18"/>
          <w:color w:val="auto"/>
        </w:rPr>
      </w:pPr>
    </w:p>
    <w:p>
      <w:pPr>
        <w:ind w:left="1020" w:hanging="506"/>
        <w:spacing w:after="0" w:line="277"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6" w:lineRule="exact"/>
        <w:rPr>
          <w:rFonts w:ascii="Times New Roman" w:cs="Times New Roman" w:eastAsia="Times New Roman" w:hAnsi="Times New Roman"/>
          <w:sz w:val="18"/>
          <w:szCs w:val="18"/>
          <w:color w:val="auto"/>
        </w:rPr>
      </w:pPr>
    </w:p>
    <w:p>
      <w:pPr>
        <w:ind w:left="1020" w:right="260" w:hanging="506"/>
        <w:spacing w:after="0" w:line="277"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266" w:lineRule="exact"/>
        <w:rPr>
          <w:sz w:val="20"/>
          <w:szCs w:val="20"/>
          <w:color w:val="auto"/>
        </w:rPr>
      </w:pPr>
    </w:p>
    <w:p>
      <w:pPr>
        <w:ind w:left="520" w:right="3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52" w:lineRule="exact"/>
        <w:rPr>
          <w:sz w:val="20"/>
          <w:szCs w:val="20"/>
          <w:color w:val="auto"/>
        </w:rPr>
      </w:pPr>
    </w:p>
    <w:p>
      <w:pPr>
        <w:ind w:right="580" w:firstLine="510"/>
        <w:spacing w:after="0" w:line="277"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80" w:lineRule="exact"/>
        <w:rPr>
          <w:sz w:val="20"/>
          <w:szCs w:val="20"/>
          <w:color w:val="auto"/>
        </w:rPr>
      </w:pPr>
    </w:p>
    <w:p>
      <w:pPr>
        <w:ind w:left="520" w:right="3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our business, if they adversely change their recommendations regarding our shares or if our operating results do not meet their expectations, the market price of our common stock could decline.</w:t>
      </w:r>
    </w:p>
    <w:p>
      <w:pPr>
        <w:spacing w:after="0" w:line="66" w:lineRule="exact"/>
        <w:rPr>
          <w:sz w:val="20"/>
          <w:szCs w:val="20"/>
          <w:color w:val="auto"/>
        </w:rPr>
      </w:pPr>
    </w:p>
    <w:p>
      <w:pPr>
        <w:ind w:firstLine="510"/>
        <w:spacing w:after="0" w:line="277" w:lineRule="auto"/>
        <w:rPr>
          <w:sz w:val="20"/>
          <w:szCs w:val="20"/>
          <w:color w:val="auto"/>
        </w:rPr>
      </w:pPr>
      <w:r>
        <w:rPr>
          <w:rFonts w:ascii="Times New Roman" w:cs="Times New Roman" w:eastAsia="Times New Roman" w:hAnsi="Times New Roman"/>
          <w:sz w:val="17"/>
          <w:szCs w:val="17"/>
          <w:color w:val="auto"/>
        </w:rPr>
        <w:t>The market price of our common stock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the market price or trading volume of our common stock to decline. Moreover, if one or more of the analysts who cover our company downgrade our common stock or if our operating results or prospects do not meet their expectations, the market price of our common stock could decline.</w:t>
      </w:r>
    </w:p>
    <w:p>
      <w:pPr>
        <w:spacing w:after="0" w:line="269" w:lineRule="exact"/>
        <w:rPr>
          <w:sz w:val="20"/>
          <w:szCs w:val="20"/>
          <w:color w:val="auto"/>
        </w:rPr>
      </w:pPr>
    </w:p>
    <w:p>
      <w:pPr>
        <w:ind w:left="520" w:right="1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66" w:lineRule="exact"/>
        <w:rPr>
          <w:sz w:val="20"/>
          <w:szCs w:val="20"/>
          <w:color w:val="auto"/>
        </w:rPr>
      </w:pPr>
    </w:p>
    <w:p>
      <w:pPr>
        <w:ind w:right="20" w:firstLine="510"/>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is the sole and exclusive forum for: (a) any derivative action or proceeding brought on our behalf; (b) any action asserting a claim of breach of a fiduciary duty owed by any of our directors, officers, employees or agents to us or our stockholders; (c) any action asserting a claim arising pursuant to any provision of the DGCL or of our amended and restated certificate of incorporation or our amended and restated bylaws; or (d) any action asserting a claim related to or involving our company that is governed by the internal affairs doctrine. Our amended and restated certificate of incorporation also provides that the federal district courts of the Unites States will be the exclusive forum for the resolution of any complaint asserting a cause of action against us or any of our directors, officers, employees or agents and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seriously harm our business. The choice of forum provision requiring that the Court of Chancery of the State of Delaware be the exclusive forum for certain actions would not apply to suits brought to enforce any liability or duty created by the Exchange Act.</w:t>
      </w:r>
    </w:p>
    <w:p>
      <w:pPr>
        <w:spacing w:after="0" w:line="292" w:lineRule="exact"/>
        <w:rPr>
          <w:sz w:val="20"/>
          <w:szCs w:val="20"/>
          <w:color w:val="auto"/>
        </w:rPr>
      </w:pPr>
    </w:p>
    <w:p>
      <w:pPr>
        <w:ind w:left="520" w:right="7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contains a provision renouncing our interest and expectancy in certain corporate opportunities.</w:t>
      </w:r>
    </w:p>
    <w:p>
      <w:pPr>
        <w:spacing w:after="0" w:line="52"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7"/>
          <w:szCs w:val="17"/>
          <w:color w:val="auto"/>
        </w:rPr>
        <w:t>Under our amended and restated certificate of incorporation, none of EagleTree or any of its respective portfolio companies, funds or other affiliates, or any of their officers, directors, agents, stockholders, members or partners will have any duty to refrain from engaging, directly or indirectly, in the same business activities, similar business activities or lines of business in which we operate. In addition, our amended and restated certificate of incorporation provides that, to the fullest extent permitted by law, no officer or director of ours who is also an officer, director, employee, managing director or other affiliate of EagleTree will be liable to us or our stockholders for breach of any fiduciary duty by reason of the fact that any such individual was presented with a corporate opportunity, other than specifically in their capacity as one of our officers or directors, and ultimately directs such corporate opportunity to EagleTree instead of us, or does not communicate information regarding a corporate opportunity to us that the officer, director, employee, managing director or other affiliate has directed to EagleTree. For instance, a director of our company who also serves as a director, officer or employee of EagleTree, or any of its respective portfolio companies, funds or other affiliates may pursue certain acquisitions or other opportunities that may be complementary to our business and, as a result, such acquisition or other opportunities may not be available to us. As of December 31, 2022, this provision of our amended and restated certificate of incorporation relates only to the EagleTree director designees. These potential conflicts of interest could seriously harm our business if attractive corporate opportunities are allocated by EagleTree to itself or its respective portfolio companies, funds or other affiliates instead of to us.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other laws and governmental regulations may seriously harm our business.</w:t>
      </w:r>
    </w:p>
    <w:p>
      <w:pPr>
        <w:spacing w:after="0" w:line="118"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Our business is subject to regulation by various federal and state governmental agencies. Such regulation includes the consumer protection laws of the Federal Trade Commission, the product safety regulatory activities of the Consumer Products Safety Commission, the regulatory activities of the Occupational Safety and Health Administration, the environmental regulatory activities of the Environmental Protection Agency, the labor regulatory activities of the Equal Employment Opportunity Commission and tax and other regulations by a variety of regulatory authorities in each of the areas in which we conduct business. We are also subject to regulation in other countries where we conduct business. In certain jurisdictions, such regulatory requirements may be more stringent than in the United States. We are also subject to a variety of federal, state and foreign employment and labor laws and regulations, including the Americans with Disabilities Act, the Federal Fair Labor Standards Act and other laws and regulations related to working conditions, wage-hour pay, overtime pay, employee benefits, anti-discrimination and termination of employment.</w:t>
      </w:r>
    </w:p>
    <w:p>
      <w:pPr>
        <w:spacing w:after="0" w:line="185" w:lineRule="exact"/>
        <w:rPr>
          <w:sz w:val="20"/>
          <w:szCs w:val="20"/>
          <w:color w:val="auto"/>
        </w:rPr>
      </w:pPr>
    </w:p>
    <w:p>
      <w:pPr>
        <w:ind w:right="100" w:firstLine="510"/>
        <w:spacing w:after="0" w:line="257" w:lineRule="auto"/>
        <w:rPr>
          <w:sz w:val="20"/>
          <w:szCs w:val="20"/>
          <w:color w:val="auto"/>
        </w:rPr>
      </w:pPr>
      <w:r>
        <w:rPr>
          <w:rFonts w:ascii="Times New Roman" w:cs="Times New Roman" w:eastAsia="Times New Roman" w:hAnsi="Times New Roman"/>
          <w:sz w:val="18"/>
          <w:szCs w:val="18"/>
          <w:color w:val="auto"/>
        </w:rPr>
        <w:t>Noncompliance with applicable regulations or requirements could subject us to investigations, sanctions, mandatory product recalls, enforcement actions, fines, damages, civil and criminal penalties or injunctions. In certain of these instances the former employee has brought legal proceedings against us, and we expect that we will encounter similar actions against us in the future. An adverse outcome in any such litigation could require us to pay damages, which may include punitive damages, attorneys’ fees and costs.</w:t>
      </w:r>
    </w:p>
    <w:p>
      <w:pPr>
        <w:spacing w:after="0" w:line="182" w:lineRule="exact"/>
        <w:rPr>
          <w:sz w:val="20"/>
          <w:szCs w:val="20"/>
          <w:color w:val="auto"/>
        </w:rPr>
      </w:pPr>
    </w:p>
    <w:p>
      <w:pPr>
        <w:ind w:right="80" w:firstLine="510"/>
        <w:spacing w:after="0" w:line="277" w:lineRule="auto"/>
        <w:rPr>
          <w:sz w:val="20"/>
          <w:szCs w:val="20"/>
          <w:color w:val="auto"/>
        </w:rPr>
      </w:pPr>
      <w:r>
        <w:rPr>
          <w:rFonts w:ascii="Times New Roman" w:cs="Times New Roman" w:eastAsia="Times New Roman" w:hAnsi="Times New Roman"/>
          <w:sz w:val="18"/>
          <w:szCs w:val="18"/>
          <w:color w:val="auto"/>
        </w:rPr>
        <w:t>As a result, noncompliance or any related enforcement or civil actions could result in governmental sanctions and possible civil or criminal litigation, which could seriously harm our business and result in a significant diversion of management’s attention and resources.</w:t>
      </w:r>
    </w:p>
    <w:p>
      <w:pPr>
        <w:spacing w:after="0" w:line="266" w:lineRule="exact"/>
        <w:rPr>
          <w:sz w:val="20"/>
          <w:szCs w:val="20"/>
          <w:color w:val="auto"/>
        </w:rPr>
      </w:pPr>
    </w:p>
    <w:p>
      <w:pPr>
        <w:ind w:left="520" w:right="520"/>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the U.S. Foreign Corrupt Practices Act, other applicable anti-corruption and anti-bribery laws, and applicable trade sanctions and export control laws could subject us to penalties and other adverse consequences that may seriously harm our business.</w:t>
      </w:r>
    </w:p>
    <w:p>
      <w:pPr>
        <w:spacing w:after="0" w:line="30" w:lineRule="exact"/>
        <w:rPr>
          <w:sz w:val="20"/>
          <w:szCs w:val="20"/>
          <w:color w:val="auto"/>
        </w:rPr>
      </w:pPr>
    </w:p>
    <w:p>
      <w:pPr>
        <w:ind w:right="40" w:firstLine="510"/>
        <w:spacing w:after="0" w:line="251" w:lineRule="auto"/>
        <w:rPr>
          <w:sz w:val="20"/>
          <w:szCs w:val="20"/>
          <w:color w:val="auto"/>
        </w:rPr>
      </w:pPr>
      <w:r>
        <w:rPr>
          <w:rFonts w:ascii="Times New Roman" w:cs="Times New Roman" w:eastAsia="Times New Roman" w:hAnsi="Times New Roman"/>
          <w:sz w:val="18"/>
          <w:szCs w:val="18"/>
          <w:color w:val="auto"/>
        </w:rPr>
        <w:t>Our gear is manufactured and/or assembled in China and, Taiwan, where we maintain a manufacturing facility, as well as countries in Southeast Asia, and we sell our gear in many countries outside of the United States. Our operations are subject to the U.S. Foreign Corrupt Practices Act, or the FCPA, as well as the anti-corruption and anti-bribery laws in the countries where we do business. The FCPA prohibits covered parties from offering, promising, authorizing or giving anything of value, directly or indirectly, to a “foreign government official” with the intent of improperly influencing the official’s act or decision, inducing the official to act or refrain from acting in violation of lawful duty, or obtaining or retaining an improper business advantage.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w:t>
      </w:r>
    </w:p>
    <w:p>
      <w:pPr>
        <w:spacing w:after="0" w:line="82" w:lineRule="exact"/>
        <w:rPr>
          <w:sz w:val="20"/>
          <w:szCs w:val="20"/>
          <w:color w:val="auto"/>
        </w:rPr>
      </w:pPr>
    </w:p>
    <w:p>
      <w:pPr>
        <w:ind w:right="320" w:firstLine="510"/>
        <w:spacing w:after="0" w:line="253" w:lineRule="auto"/>
        <w:rPr>
          <w:sz w:val="20"/>
          <w:szCs w:val="20"/>
          <w:color w:val="auto"/>
        </w:rPr>
      </w:pPr>
      <w:r>
        <w:rPr>
          <w:rFonts w:ascii="Times New Roman" w:cs="Times New Roman" w:eastAsia="Times New Roman" w:hAnsi="Times New Roman"/>
          <w:sz w:val="18"/>
          <w:szCs w:val="18"/>
          <w:color w:val="auto"/>
        </w:rPr>
        <w:t>In addition, our business must be conducted in compliance with applicable trade sanctions and export control laws and regulations, such as those administered and enforced by the U.S. Department of Treasury’s Office of Foreign Assets Control, or OFAC, the U.S. Department of State, the U.S. Department of Commerce, the United Nations Security Council and other relevant authorities. Such laws and regulations prohibit or restrict certain operations, investment decisions and sales activities, including dealings with certain countries or territories, and with certain governments and designated persons. Our global operations expose us to the risk of violating, or being accused of violating, economic and trade sanctions and export control laws and regulations.</w:t>
      </w:r>
    </w:p>
    <w:p>
      <w:pPr>
        <w:spacing w:after="0" w:line="187" w:lineRule="exact"/>
        <w:rPr>
          <w:sz w:val="20"/>
          <w:szCs w:val="20"/>
          <w:color w:val="auto"/>
        </w:rPr>
      </w:pPr>
    </w:p>
    <w:p>
      <w:pPr>
        <w:ind w:right="80" w:firstLine="510"/>
        <w:spacing w:after="0" w:line="251" w:lineRule="auto"/>
        <w:rPr>
          <w:sz w:val="20"/>
          <w:szCs w:val="20"/>
          <w:color w:val="auto"/>
        </w:rPr>
      </w:pPr>
      <w:r>
        <w:rPr>
          <w:rFonts w:ascii="Times New Roman" w:cs="Times New Roman" w:eastAsia="Times New Roman" w:hAnsi="Times New Roman"/>
          <w:sz w:val="18"/>
          <w:szCs w:val="18"/>
          <w:color w:val="auto"/>
        </w:rPr>
        <w:t>While we have implemented policies, internal controls and other measures reasonably designed to promote compliance with applicable anti-corruption and anti-bribery and trade sanctions and export control laws and regulations, our employees, representatives, distributors or agents may engage in improper conduct for which we might be held responsible. Any violations of these anti-corruption and anti-bribery or trade sanctions and export controls laws and regulations, or even allegations of such violations, can lead to an investigation and/or enforcement action, which could disrupt our operations, may expose us to reputational harm, involve significant management distraction and lead to significant costs and expenses, including legal fees. If we, or our employees, representatives, distributors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seriously harm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left="5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and Nasdaq regarding our internal controls over financial reporting. We may not complete needed improvements to our internal controls over financial reporting in a timely manner, or these internal controls may not be determined to be effective, which may adversely affect investor confidence in our company and, as a result, the value of our common stock and your investment.</w:t>
      </w:r>
    </w:p>
    <w:p>
      <w:pPr>
        <w:spacing w:after="0" w:line="72"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We are subject to the rules and regulations established from time to time by the Securities and Exchange Commission, or SEC, and Nasdaq. These rules and regulations require, among other things, that we establish and periodically evaluate procedures with respect to our internal controls over financial reporting. As part of these evaluations, material weaknesses in our internal controls over financial reporting may be identified. A material weakness is a deficiency, or a combination of deficiencies, in internal controls over financial reporting such that there is a reasonable possibility that a material misstatement of a company’s annual or interim consolidated financial statements will not be prevented or detected on a timely basis. While we were able to remediate previously identified material weaknesses in our internal controls over financial reporting, there can be no guarantee we will not identify similar or other material weaknesses in the future and if such material weaknesses are identified, there can be no guarantee we would be able to remediate such material weaknesses. Any material weaknesses in our internal controls may adversely affect our ability to record, process, summarize and accurately report timely financial information and, as a result, our consolidated financial statements may contain material misstatements or omissions.</w:t>
      </w:r>
    </w:p>
    <w:p>
      <w:pPr>
        <w:spacing w:after="0" w:line="189"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Reporting obligations as a public company place a considerable strain on our financial and management systems, processes and controls, as well as on our personnel. In addition, as a public company we are required to document and test our internal controls over financial reporting pursuant to Section 404 of the Sarbanes-Oxley Act so that our management can certify as to the effectiveness of our internal controls over financial reporting. Likewise, our independent registered public accounting firm is required to provide an attestation report on the effectiveness of our internal controls over financial reporting in our Annual Reports on Form 10-K. If our management is unable to certify the effectiveness of our internal controls or if our independent registered public accounting firm cannot deliver a report attesting to the effectiveness of our internal controls over financial reporting, or if we identify or fail to remediate material weaknesses in our internal controls, we could be subject to regulatory scrutiny and a loss of public confidence, which could seriously harm our reputation and the market price of our common stock. In addition, if we do not maintain adequate financial and management personnel, processes and controls, we may not be able to manage our business effectively or accurately report our financial performance on a timely basis, which could cause a decline in our common stock price and may seriously harm our business.</w:t>
      </w:r>
    </w:p>
    <w:p>
      <w:pPr>
        <w:spacing w:after="0" w:line="289"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have and will continue to incur significant expenses as a result of being a public company, which have and will continue to negatively impact our financial performance.</w:t>
      </w:r>
    </w:p>
    <w:p>
      <w:pPr>
        <w:spacing w:after="0" w:line="52" w:lineRule="exact"/>
        <w:rPr>
          <w:sz w:val="20"/>
          <w:szCs w:val="20"/>
          <w:color w:val="auto"/>
        </w:rPr>
      </w:pPr>
    </w:p>
    <w:p>
      <w:pPr>
        <w:ind w:right="100" w:firstLine="510"/>
        <w:spacing w:after="0" w:line="268"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that we did not incur as a private company. We are subject to the reporting requirements of the U.S. Exchange Act of 1934, as amended, or the Exchange Act, which will require, among other things, that we file with the SEC annual, quarterly and current reports with respect to our business and financial condition. In addition, the Sarbanes-Oxley Act, as well as rules subsequently adopted by the SEC and the stock exchange on which our securities are listed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or the Dodd-Frank Act, the SEC has adopted additional rules and regulations in these areas, such as mandatory “say-on-pay” voting requirements.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3"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The rules and regulations applicable to public companies have substantially increased our legal and financial compliance costs. If these requirements divert the attention of our management and personnel from other business concerns, they could seriously harm our business, financial condition and results of operations. The increased costs will decrease our net income or increase our net loss, and may require us to reduce costs in other areas of our business or increase the prices of our gear.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Further, if we are unable to satisfy our obligations as a public company, we could be subject to delisting of our common stock, fines, sanctions and other regulatory action and potentially civil litigation.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ESG matters and/or our reporting of such matters.</w:t>
      </w:r>
    </w:p>
    <w:p>
      <w:pPr>
        <w:spacing w:after="0" w:line="3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Institutional, individual, and other investors, proxy advisory services, regulatory authorities, consumers and other stakeholders are increasingly focused on environmental, social and governance, or ESG, practices of companies. As we look to respond to evolving standards for identifying, measuring, and reporting ESG metrics, our efforts may result in a significant increase in costs and may nevertheless not meet investor or other stakeholder expectations and evolving standards or regulatory requirements, which may negatively impact our financial results, our reputation, our ability to attract or retain employees, our attractiveness as a service provider, investment, or business partner, or expose us to government enforcement actions, private litigation, and actions by stockholders or stakeholders.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current principal executive office is located in Milpitas, California and consists of approximately 118,000 square feet of space under a lease that expires in August 2032. We also lease manufacturing and warehousing facilities in Georgia, Florida, Netherlands and Taiwan, as well as properties in various parts of the United States, Europe and Asia for our product development, sales and service support and administrative functions. Our total property leases as of December 31, 2022, which expire at various dates through August 2032, are for an aggregate of approximately 614,000 square feet (including the Milpitas headquarters lease). In addition, we have approximately 306,000 square feet of space dedicated to us in our contracts with various third-party distribution centers in California and China for additional warehouses to store our inventory.</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Both our gamer and creator peripherals segment and gaming components and systems segment utilize substantially each of our leased facilities.</w:t>
      </w:r>
    </w:p>
    <w:p>
      <w:pPr>
        <w:spacing w:after="0" w:line="114" w:lineRule="exact"/>
        <w:rPr>
          <w:sz w:val="20"/>
          <w:szCs w:val="20"/>
          <w:color w:val="auto"/>
        </w:rPr>
      </w:pPr>
    </w:p>
    <w:p>
      <w:pPr>
        <w:ind w:right="540" w:firstLine="510"/>
        <w:spacing w:after="0" w:line="277" w:lineRule="auto"/>
        <w:rPr>
          <w:sz w:val="20"/>
          <w:szCs w:val="20"/>
          <w:color w:val="auto"/>
        </w:rPr>
      </w:pPr>
      <w:r>
        <w:rPr>
          <w:rFonts w:ascii="Times New Roman" w:cs="Times New Roman" w:eastAsia="Times New Roman" w:hAnsi="Times New Roman"/>
          <w:sz w:val="18"/>
          <w:szCs w:val="18"/>
          <w:color w:val="auto"/>
        </w:rPr>
        <w:t>We believe that the facilities that we currently occupy are adequate for our current needs and that suitable additional space will be available, as needed, to accommodate the presently foreseeable expansion of our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8" w:lineRule="exact"/>
        <w:rPr>
          <w:sz w:val="20"/>
          <w:szCs w:val="20"/>
          <w:color w:val="auto"/>
        </w:rPr>
      </w:pPr>
    </w:p>
    <w:p>
      <w:pPr>
        <w:ind w:right="40" w:firstLine="510"/>
        <w:spacing w:after="0" w:line="257" w:lineRule="auto"/>
        <w:rPr>
          <w:sz w:val="20"/>
          <w:szCs w:val="20"/>
          <w:color w:val="auto"/>
        </w:rPr>
      </w:pPr>
      <w:r>
        <w:rPr>
          <w:rFonts w:ascii="Times New Roman" w:cs="Times New Roman" w:eastAsia="Times New Roman" w:hAnsi="Times New Roman"/>
          <w:sz w:val="18"/>
          <w:szCs w:val="18"/>
          <w:color w:val="auto"/>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of our Common Stock</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“CRSR”.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18" w:lineRule="exact"/>
        <w:rPr>
          <w:sz w:val="20"/>
          <w:szCs w:val="20"/>
          <w:color w:val="auto"/>
        </w:rPr>
      </w:pPr>
    </w:p>
    <w:p>
      <w:pPr>
        <w:ind w:right="240" w:firstLine="510"/>
        <w:spacing w:after="0" w:line="262" w:lineRule="auto"/>
        <w:rPr>
          <w:sz w:val="20"/>
          <w:szCs w:val="20"/>
          <w:color w:val="auto"/>
        </w:rPr>
      </w:pPr>
      <w:r>
        <w:rPr>
          <w:rFonts w:ascii="Times New Roman" w:cs="Times New Roman" w:eastAsia="Times New Roman" w:hAnsi="Times New Roman"/>
          <w:sz w:val="18"/>
          <w:szCs w:val="18"/>
          <w:color w:val="auto"/>
        </w:rPr>
        <w:t>According to the records of our transfer agent, there were 19 holders of record of our common stock on February 9, 2023. Because many of such shares are held by brokers and other institutions on behalf of stockholders, we are unable to estimate the total number of stockholders represented by these record 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1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 Further, our credit facilities also contain restrictions on our ability to pay dividends or make distributions in respect of our common stock or redemptions or repurchases of our common stock and future credit facilities or other borrowing arrangements may contain similar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16" w:lineRule="exact"/>
        <w:rPr>
          <w:sz w:val="20"/>
          <w:szCs w:val="20"/>
          <w:color w:val="auto"/>
        </w:rPr>
      </w:pPr>
    </w:p>
    <w:p>
      <w:pPr>
        <w:ind w:right="160" w:firstLine="510"/>
        <w:spacing w:after="0" w:line="263"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176" w:lineRule="exact"/>
        <w:rPr>
          <w:sz w:val="20"/>
          <w:szCs w:val="20"/>
          <w:color w:val="auto"/>
        </w:rPr>
      </w:pPr>
    </w:p>
    <w:p>
      <w:pPr>
        <w:ind w:right="280" w:firstLine="510"/>
        <w:spacing w:after="0" w:line="277" w:lineRule="auto"/>
        <w:rPr>
          <w:sz w:val="20"/>
          <w:szCs w:val="20"/>
          <w:color w:val="auto"/>
        </w:rPr>
      </w:pPr>
      <w:r>
        <w:rPr>
          <w:rFonts w:ascii="Times New Roman" w:cs="Times New Roman" w:eastAsia="Times New Roman" w:hAnsi="Times New Roman"/>
          <w:sz w:val="18"/>
          <w:szCs w:val="18"/>
          <w:color w:val="auto"/>
        </w:rPr>
        <w:t>The graph below compares (i) the cumulative total stockholder return on our common stock from September 23, 2020 (the date our common stock commenced trading on Nasdaq Global Select Market) through December 31, 2022 with (ii) the cumulative total</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return of the Nasdaq Composite Index and the S&amp;P Information Technology Index over the same period, assuming the investment of $100 in our common stock and in both of the indices on September 23, 2020 and the reinvestments of dividends,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115570</wp:posOffset>
            </wp:positionV>
            <wp:extent cx="5521960" cy="44024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21960" cy="440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6" w:lineRule="exact"/>
        <w:rPr>
          <w:sz w:val="20"/>
          <w:szCs w:val="20"/>
          <w:color w:val="auto"/>
        </w:rPr>
      </w:pPr>
    </w:p>
    <w:p>
      <w:pPr>
        <w:ind w:right="60" w:firstLine="46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of our financial condition and results of operations in conjunction with the consolidated financial statements and the related notes included elsewhere in this Annual Report on Form 10-K. The following discussion contains forward-looking statements that involve risks and uncertainties. Our actual results could differ materially from such forward-looking statements. Factors that could cause or contribute to these differences include those discussed below and elsewhere in this Annual Report on Form 10-K, particularly in the section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below in Item 7A,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right="180" w:firstLine="464"/>
        <w:spacing w:after="0" w:line="251" w:lineRule="auto"/>
        <w:rPr>
          <w:sz w:val="20"/>
          <w:szCs w:val="20"/>
          <w:color w:val="auto"/>
        </w:rPr>
      </w:pPr>
      <w:r>
        <w:rPr>
          <w:rFonts w:ascii="Times New Roman" w:cs="Times New Roman" w:eastAsia="Times New Roman" w:hAnsi="Times New Roman"/>
          <w:sz w:val="18"/>
          <w:szCs w:val="18"/>
          <w:color w:val="auto"/>
        </w:rPr>
        <w:t>We are a leading global provider and innovator of high-performance gear for gamers, streamers and content creators, many of which build their own PCs using our components. Our industry-leading gaming gear helps digital athletes, from casual gamers to committed professionals, perform at their peak across PC or console platforms, and streaming gear that enables streamers and content creators to produce studio-quality content to share with friends or to broadcast to millions of fans. Our PC components products offer our customers multiple options to build their customized gaming and workstation desktop PCs. Our solution is the most complete suite of gear that addresses the most critical components for both game performance and streaming. Our product offering is enhanced by our two proprietary software platforms: iCUE for gamers and the Elgato streaming suite for content creators, including our Stream Deck control software, which provide unified, intuitive performance, and aesthetic control and customization across their respective product families. We also offer digital services to enhance the customer experience by integrating esports, coaching, stream deck marketplace, customer care and extended warranty into our product offerings.</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group our products into two categories (operating segments):</w:t>
      </w:r>
    </w:p>
    <w:p>
      <w:pPr>
        <w:spacing w:after="0" w:line="123" w:lineRule="exact"/>
        <w:rPr>
          <w:sz w:val="20"/>
          <w:szCs w:val="20"/>
          <w:color w:val="auto"/>
        </w:rPr>
      </w:pPr>
    </w:p>
    <w:p>
      <w:pPr>
        <w:ind w:left="1020" w:right="140" w:hanging="506"/>
        <w:spacing w:after="0" w:line="265"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Gamer and creator peripherals. </w:t>
      </w:r>
      <w:r>
        <w:rPr>
          <w:rFonts w:ascii="Times New Roman" w:cs="Times New Roman" w:eastAsia="Times New Roman" w:hAnsi="Times New Roman"/>
          <w:sz w:val="18"/>
          <w:szCs w:val="18"/>
          <w:color w:val="auto"/>
        </w:rPr>
        <w:t>Includes our high-performance gaming keyboards, mice, headsets, controllers, and streaming gear,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includes capture cards, Stream Decks, USB microphones, our Facecam streaming camera, studio accessories, and EpocCam software, as well as coaching and training services, among others.</w:t>
      </w:r>
    </w:p>
    <w:p>
      <w:pPr>
        <w:spacing w:after="0" w:line="75" w:lineRule="exact"/>
        <w:rPr>
          <w:rFonts w:ascii="Times New Roman" w:cs="Times New Roman" w:eastAsia="Times New Roman" w:hAnsi="Times New Roman"/>
          <w:sz w:val="18"/>
          <w:szCs w:val="18"/>
          <w:color w:val="auto"/>
        </w:rPr>
      </w:pPr>
    </w:p>
    <w:p>
      <w:pPr>
        <w:ind w:left="1020" w:right="580" w:hanging="506"/>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Gaming components and systems. </w:t>
      </w:r>
      <w:r>
        <w:rPr>
          <w:rFonts w:ascii="Times New Roman" w:cs="Times New Roman" w:eastAsia="Times New Roman" w:hAnsi="Times New Roman"/>
          <w:sz w:val="18"/>
          <w:szCs w:val="18"/>
          <w:color w:val="auto"/>
        </w:rPr>
        <w:t>Includes our high-performance power supply units, or PSUs, cooling solutions, computer cases,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DRAM modules, as well as high-end prebuilt and custom-built gaming PCs and laptops, and gaming monitors, among others.</w:t>
      </w:r>
    </w:p>
    <w:p>
      <w:pPr>
        <w:spacing w:after="0" w:line="52" w:lineRule="exact"/>
        <w:rPr>
          <w:sz w:val="20"/>
          <w:szCs w:val="20"/>
          <w:color w:val="auto"/>
        </w:rPr>
      </w:pPr>
    </w:p>
    <w:p>
      <w:pPr>
        <w:ind w:firstLine="468"/>
        <w:spacing w:after="0" w:line="251" w:lineRule="auto"/>
        <w:rPr>
          <w:sz w:val="20"/>
          <w:szCs w:val="20"/>
          <w:color w:val="auto"/>
        </w:rPr>
      </w:pPr>
      <w:r>
        <w:rPr>
          <w:rFonts w:ascii="Times New Roman" w:cs="Times New Roman" w:eastAsia="Times New Roman" w:hAnsi="Times New Roman"/>
          <w:sz w:val="18"/>
          <w:szCs w:val="18"/>
          <w:color w:val="auto"/>
        </w:rPr>
        <w:t>We are committed to continuing to grow in our current markets as well as new markets by leading in the development of innovative technologies and by entering into new categories through organic growth or acquisition. In the last two years, we have entered into four new markets, namely the microphones and cameras markets for content creators, the gaming monitors market and prebuilt gaming laptops market for both gamers and content creators. We continue to expand our product portfolio and in 2022, we launched 125 new products. Our go-to-market model has continued to grow with an increased mix of direct-to-consumer sales representing 13.7%, 10.7%, and 8.6% of total our net revenue for the years ended December 31, 2022, 2021 and 2020, respectively. Since 2018, we have completed eight acquisitions, including our acquisition of 51% of the share capital of Elgato iDisplay Holding LTD. and its related companies (collectively, “iDisplay”), a leader in electronic development and design specializing in display technology, in January 2022. The iDisplay acquisition allows us to direct the development and integration of iDisplay’s display-based touch-screen technologies into our products for creators, gamers and streamers. iDisplay’s results of operations are fully consolidated with Corsair with effect from January 1, 2022.</w:t>
      </w:r>
    </w:p>
    <w:p>
      <w:pPr>
        <w:spacing w:after="0" w:line="82" w:lineRule="exact"/>
        <w:rPr>
          <w:sz w:val="20"/>
          <w:szCs w:val="20"/>
          <w:color w:val="auto"/>
        </w:rPr>
      </w:pPr>
    </w:p>
    <w:p>
      <w:pPr>
        <w:ind w:right="160" w:firstLine="468"/>
        <w:spacing w:after="0" w:line="257" w:lineRule="auto"/>
        <w:rPr>
          <w:sz w:val="20"/>
          <w:szCs w:val="20"/>
          <w:color w:val="auto"/>
        </w:rPr>
      </w:pPr>
      <w:r>
        <w:rPr>
          <w:rFonts w:ascii="Times New Roman" w:cs="Times New Roman" w:eastAsia="Times New Roman" w:hAnsi="Times New Roman"/>
          <w:sz w:val="18"/>
          <w:szCs w:val="18"/>
          <w:color w:val="auto"/>
        </w:rPr>
        <w:t>Our net revenue was $1,375.1 million, $1,904.1 million, and $1,702.4 million for the years ended December 31, 2022, 2021, and 2020, respectively. We had net income (loss) of $ (54.4) million, $101.0 million, and $103.2 million for the years ended December 31, 2022, 2021, and 2020, respectively. Net cash provided by operating activities was $66.4 million, $20.2 million, and $169.0 million for the years ended December 31, 2022, 2021, and 2020, respectively.</w:t>
      </w:r>
    </w:p>
    <w:p>
      <w:pPr>
        <w:spacing w:after="0" w:line="75" w:lineRule="exact"/>
        <w:rPr>
          <w:sz w:val="20"/>
          <w:szCs w:val="20"/>
          <w:color w:val="auto"/>
        </w:rPr>
      </w:pPr>
    </w:p>
    <w:p>
      <w:pPr>
        <w:ind w:firstLine="468"/>
        <w:spacing w:after="0" w:line="257" w:lineRule="auto"/>
        <w:rPr>
          <w:sz w:val="20"/>
          <w:szCs w:val="20"/>
          <w:color w:val="auto"/>
        </w:rPr>
      </w:pPr>
      <w:r>
        <w:rPr>
          <w:rFonts w:ascii="Times New Roman" w:cs="Times New Roman" w:eastAsia="Times New Roman" w:hAnsi="Times New Roman"/>
          <w:sz w:val="18"/>
          <w:szCs w:val="18"/>
          <w:color w:val="auto"/>
        </w:rPr>
        <w:t>In the fourth quarter of 2022, we issued 5,045,455 shares of common stock at a price of $16.50 per share in a registered underwritten public offering pursuant to our effective shelf registration statement on Form S-3, filed with the SEC on July 22, 2022 and declared effective on August 1, 2022 (“2022 Shelf Registration Statement”). We received total net proceeds of approximately $81.0 million, after deducting underwriting discounts, commission and offering expense.</w:t>
      </w:r>
    </w:p>
    <w:p>
      <w:pPr>
        <w:spacing w:after="0" w:line="75" w:lineRule="exact"/>
        <w:rPr>
          <w:sz w:val="20"/>
          <w:szCs w:val="20"/>
          <w:color w:val="auto"/>
        </w:rPr>
      </w:pPr>
    </w:p>
    <w:p>
      <w:pPr>
        <w:ind w:right="100" w:firstLine="464"/>
        <w:spacing w:after="0" w:line="277" w:lineRule="auto"/>
        <w:rPr>
          <w:sz w:val="20"/>
          <w:szCs w:val="20"/>
          <w:color w:val="auto"/>
        </w:rPr>
      </w:pPr>
      <w:r>
        <w:rPr>
          <w:rFonts w:ascii="Times New Roman" w:cs="Times New Roman" w:eastAsia="Times New Roman" w:hAnsi="Times New Roman"/>
          <w:sz w:val="18"/>
          <w:szCs w:val="18"/>
          <w:color w:val="auto"/>
        </w:rPr>
        <w:t>Further information on our industry, our market opportunity and competitive strengths is presented in Part I, Item 1, “Business”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118" w:lineRule="exact"/>
        <w:rPr>
          <w:sz w:val="20"/>
          <w:szCs w:val="20"/>
          <w:color w:val="auto"/>
        </w:rPr>
      </w:pPr>
    </w:p>
    <w:p>
      <w:pPr>
        <w:ind w:right="20" w:firstLine="468"/>
        <w:spacing w:after="0" w:line="277" w:lineRule="auto"/>
        <w:rPr>
          <w:sz w:val="20"/>
          <w:szCs w:val="20"/>
          <w:color w:val="auto"/>
        </w:rPr>
      </w:pPr>
      <w:r>
        <w:rPr>
          <w:rFonts w:ascii="Times New Roman" w:cs="Times New Roman" w:eastAsia="Times New Roman" w:hAnsi="Times New Roman"/>
          <w:sz w:val="18"/>
          <w:szCs w:val="18"/>
          <w:color w:val="auto"/>
        </w:rPr>
        <w:t>Our results of operations and financial condition are affected by numerous factors, including those discussed in the section titled “Risk Factors” in Part I, Item 1A of this Annual Report on Form 10-K and those described below.</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jc w:val="both"/>
        <w:ind w:firstLine="468"/>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Impact of Macroeconomic Conditions. </w:t>
      </w:r>
      <w:r>
        <w:rPr>
          <w:rFonts w:ascii="Times New Roman" w:cs="Times New Roman" w:eastAsia="Times New Roman" w:hAnsi="Times New Roman"/>
          <w:sz w:val="17"/>
          <w:szCs w:val="17"/>
          <w:color w:val="auto"/>
        </w:rPr>
        <w:t>Our business and financial performance are significantly impacted by worldwide economic conditions. Global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macroeconomic challenges, such as the effects of the ongoing war between Russia and Ukraine, the COVID-19 pandemic, supply chain constraints, market uncertainty, volatility in exchange rates, inflationary trends and evolving dynamics in the global trade environment, have impacted our business and financial performance. Throughout 2022, these conditions adversely impacted our net revenue and resulted in higher cost of sales due to increased shipping and production costs. Such conditions also resulted in excess inventory in our distribution channels that led to us recognizing higher inventory impairment related charges in 2022 in order to rationalize our inventory levels to align with the reduced revenue in the period. These market dynamics, which we expect will continue in the short-term, have created new and different demand dynamics in our markets and have had significant impacts on our financial results.</w:t>
      </w:r>
    </w:p>
    <w:p>
      <w:pPr>
        <w:spacing w:after="0" w:line="68" w:lineRule="exact"/>
        <w:rPr>
          <w:sz w:val="20"/>
          <w:szCs w:val="20"/>
          <w:color w:val="auto"/>
        </w:rPr>
      </w:pPr>
    </w:p>
    <w:p>
      <w:pPr>
        <w:ind w:right="20" w:firstLine="468"/>
        <w:spacing w:after="0" w:line="255" w:lineRule="auto"/>
        <w:rPr>
          <w:sz w:val="20"/>
          <w:szCs w:val="20"/>
          <w:color w:val="auto"/>
        </w:rPr>
      </w:pPr>
      <w:r>
        <w:rPr>
          <w:rFonts w:ascii="Times New Roman" w:cs="Times New Roman" w:eastAsia="Times New Roman" w:hAnsi="Times New Roman"/>
          <w:sz w:val="18"/>
          <w:szCs w:val="18"/>
          <w:color w:val="auto"/>
        </w:rPr>
        <w:t>Starting in early 2020, due to the COVID-19 pandemic, we experienced an increase in demand for our gear as more people were under shelter-in-place restrictions, which limited people’s access to alternative forms of entertainment and social interaction, and thus increased the demand for home entertainment and connecting with others through content creation. In contrast, as shelter-in-place and other similar restrictions were eased beginning in 2021, many consumers returned to other alternative forms of entertainment and interaction. This in turn resulted in a decline in demand for our products since the second half of 2021.</w:t>
      </w:r>
    </w:p>
    <w:p>
      <w:pPr>
        <w:spacing w:after="0" w:line="76" w:lineRule="exact"/>
        <w:rPr>
          <w:sz w:val="20"/>
          <w:szCs w:val="20"/>
          <w:color w:val="auto"/>
        </w:rPr>
      </w:pPr>
    </w:p>
    <w:p>
      <w:pPr>
        <w:ind w:firstLine="468"/>
        <w:spacing w:after="0" w:line="255" w:lineRule="auto"/>
        <w:rPr>
          <w:sz w:val="20"/>
          <w:szCs w:val="20"/>
          <w:color w:val="auto"/>
        </w:rPr>
      </w:pPr>
      <w:r>
        <w:rPr>
          <w:rFonts w:ascii="Times New Roman" w:cs="Times New Roman" w:eastAsia="Times New Roman" w:hAnsi="Times New Roman"/>
          <w:sz w:val="18"/>
          <w:szCs w:val="18"/>
          <w:color w:val="auto"/>
        </w:rPr>
        <w:t>In February 2022, Russia invaded Ukraine resulting in, among other things, broad economic sanctions being imposed on Russia, which has further increased existing global supply chain, logistics, and inflationary challenges. Although our business in Russia and Ukraine was not material to our results, we believe the war has degraded the consumer sentiment in Europe and coupled with the unexpected worldwide inflationary pressures and the negative impacts from the strengthening of the U.S. dollar, has dampened consumer spending, which contributed in part to the decrease in our net revenue in 2022, compared to 2021.</w:t>
      </w:r>
    </w:p>
    <w:p>
      <w:pPr>
        <w:spacing w:after="0" w:line="76" w:lineRule="exact"/>
        <w:rPr>
          <w:sz w:val="20"/>
          <w:szCs w:val="20"/>
          <w:color w:val="auto"/>
        </w:rPr>
      </w:pPr>
    </w:p>
    <w:p>
      <w:pPr>
        <w:ind w:right="140" w:firstLine="468"/>
        <w:spacing w:after="0" w:line="262" w:lineRule="auto"/>
        <w:rPr>
          <w:sz w:val="20"/>
          <w:szCs w:val="20"/>
          <w:color w:val="auto"/>
        </w:rPr>
      </w:pPr>
      <w:r>
        <w:rPr>
          <w:rFonts w:ascii="Times New Roman" w:cs="Times New Roman" w:eastAsia="Times New Roman" w:hAnsi="Times New Roman"/>
          <w:sz w:val="18"/>
          <w:szCs w:val="18"/>
          <w:color w:val="auto"/>
        </w:rPr>
        <w:t>We have experienced and may in the future continue to experience supply chain challenges, including longer production and shipping times, and increased shipping and logistics costs, each of which has negatively impacted our gross margins, as well as the need to purchase long-lead time items ahead of demand due to supply constraints.</w:t>
      </w:r>
    </w:p>
    <w:p>
      <w:pPr>
        <w:spacing w:after="0" w:line="70" w:lineRule="exact"/>
        <w:rPr>
          <w:sz w:val="20"/>
          <w:szCs w:val="20"/>
          <w:color w:val="auto"/>
        </w:rPr>
      </w:pPr>
    </w:p>
    <w:p>
      <w:pPr>
        <w:ind w:right="80" w:firstLine="468"/>
        <w:spacing w:after="0" w:line="252" w:lineRule="auto"/>
        <w:rPr>
          <w:sz w:val="20"/>
          <w:szCs w:val="20"/>
          <w:color w:val="auto"/>
        </w:rPr>
      </w:pPr>
      <w:r>
        <w:rPr>
          <w:rFonts w:ascii="Times New Roman" w:cs="Times New Roman" w:eastAsia="Times New Roman" w:hAnsi="Times New Roman"/>
          <w:sz w:val="18"/>
          <w:szCs w:val="18"/>
          <w:color w:val="auto"/>
        </w:rPr>
        <w:t>In addition, we are exposed to fluctuations in foreign currency exchange rates. Some of our international sales are denominated in foreign currencies and any unfavorable movement in the exchange rate between U.S. dollars and the currencies in which we conduct sales in foreign countries may negatively impact our revenue. For example, our net revenue for the year ended December 31, 2022 was in part negatively impacted by the strengthening of the U.S. dollar against the Euro and the British Pound. In addition, we generally pay our employees located outside the United States in the local currency, with a significant portion of those payments being made in Taiwan dollars and Euros, and such expenses were positively impacted in 2022 by the strengthening of the U.S. dollar against these currencies. As a result of our foreign sales and operations, we have other expenses, assets and liabilities that are denominated in foreign currencies, in particular the Chinese Yuan, Euro and British Pound.</w:t>
      </w:r>
    </w:p>
    <w:p>
      <w:pPr>
        <w:spacing w:after="0" w:line="82" w:lineRule="exact"/>
        <w:rPr>
          <w:sz w:val="20"/>
          <w:szCs w:val="20"/>
          <w:color w:val="auto"/>
        </w:rPr>
      </w:pPr>
    </w:p>
    <w:p>
      <w:pPr>
        <w:ind w:right="160" w:firstLine="468"/>
        <w:spacing w:after="0" w:line="262" w:lineRule="auto"/>
        <w:rPr>
          <w:sz w:val="20"/>
          <w:szCs w:val="20"/>
          <w:color w:val="auto"/>
        </w:rPr>
      </w:pPr>
      <w:r>
        <w:rPr>
          <w:rFonts w:ascii="Times New Roman" w:cs="Times New Roman" w:eastAsia="Times New Roman" w:hAnsi="Times New Roman"/>
          <w:sz w:val="18"/>
          <w:szCs w:val="18"/>
          <w:color w:val="auto"/>
        </w:rPr>
        <w:t>The extent of the impact of macroeconomic conditions, the COVID-19 pandemic, and geopolitical tensions on our business, sales, results of operations, cash flows and financial condition will depend on future developments, which are not within our control and are highly uncertain and cannot be predicted. We will continue to evaluate these risks and uncertainties and further our mitigation plans.</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Impact of Industry Trends</w:t>
      </w:r>
      <w:r>
        <w:rPr>
          <w:rFonts w:ascii="Times New Roman" w:cs="Times New Roman" w:eastAsia="Times New Roman" w:hAnsi="Times New Roman"/>
          <w:sz w:val="18"/>
          <w:szCs w:val="18"/>
          <w:color w:val="auto"/>
        </w:rPr>
        <w:t>. Our results of operations and financial condition are impacted by industry trends in the gaming market, including:</w:t>
      </w:r>
    </w:p>
    <w:p>
      <w:pPr>
        <w:spacing w:after="0" w:line="116" w:lineRule="exact"/>
        <w:rPr>
          <w:sz w:val="20"/>
          <w:szCs w:val="20"/>
          <w:color w:val="auto"/>
        </w:rPr>
      </w:pPr>
    </w:p>
    <w:p>
      <w:pPr>
        <w:ind w:left="1020" w:right="20" w:hanging="546"/>
        <w:spacing w:after="0" w:line="254"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Increasing gaming engagement</w:t>
      </w:r>
      <w:r>
        <w:rPr>
          <w:rFonts w:ascii="Times New Roman" w:cs="Times New Roman" w:eastAsia="Times New Roman" w:hAnsi="Times New Roman"/>
          <w:sz w:val="18"/>
          <w:szCs w:val="18"/>
          <w:color w:val="auto"/>
        </w:rPr>
        <w:t>. We believe that gaming’s increasing time share of global entertainment consumption will drive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in spending on both games and gaming gear. Gaming continues to become increasingly social and streaming viewership is more widely adopted along with increasing numbers of content creators. This trend, which has accelerated in the past few years experienced a setback in 2022 primarily due to challenging macroeconomic conditions and the ongoing war between Russia and Ukraine. Nonetheless, we have seen some recovery in the fourth quarter of 2022. Accordingly, we believe that the acceleration trend will resume in 2023 and that we are well positioned to serve the streaming market with best-in-class tools for content creation.</w:t>
      </w:r>
    </w:p>
    <w:p>
      <w:pPr>
        <w:spacing w:after="0" w:line="74" w:lineRule="exact"/>
        <w:rPr>
          <w:rFonts w:ascii="Times New Roman" w:cs="Times New Roman" w:eastAsia="Times New Roman" w:hAnsi="Times New Roman"/>
          <w:sz w:val="18"/>
          <w:szCs w:val="18"/>
          <w:color w:val="auto"/>
        </w:rPr>
      </w:pPr>
    </w:p>
    <w:p>
      <w:pPr>
        <w:ind w:left="1020" w:right="40" w:hanging="546"/>
        <w:spacing w:after="0" w:line="25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Introduction of new high-performance computing hardware and sophisticated games</w:t>
      </w:r>
      <w:r>
        <w:rPr>
          <w:rFonts w:ascii="Times New Roman" w:cs="Times New Roman" w:eastAsia="Times New Roman" w:hAnsi="Times New Roman"/>
          <w:sz w:val="18"/>
          <w:szCs w:val="18"/>
          <w:color w:val="auto"/>
        </w:rPr>
        <w:t>. We believe that the introduction of more powerful CPUs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GPUs that place increased demands on other system components, such as memory, power supply or cooling, has a significant effect on increasing the demand for our gear. The shortage of reasonably priced GPUs since the second half of 2021 had a negative impact to our gaming component revenue. Starting from the third quarter of 2022, we saw the availability of reasonably priced GPUs begin to normalize and bring along some positive effects to the market. In addition, we believe that our business success depends in part on the introduction and success of games with sophisticated graphics that place increasing demands on system processing speed and capacity and therefore require more powerful CPUs or GPUs, which in turn drives demand for our high-performance gaming components and systems, such as PSUs and cooling solutions, and our gaming PC memory. As a result, our operating results may be materially affected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left="1020" w:right="60"/>
        <w:spacing w:after="0" w:line="262" w:lineRule="auto"/>
        <w:rPr>
          <w:sz w:val="20"/>
          <w:szCs w:val="20"/>
          <w:color w:val="auto"/>
        </w:rPr>
      </w:pPr>
      <w:r>
        <w:rPr>
          <w:rFonts w:ascii="Times New Roman" w:cs="Times New Roman" w:eastAsia="Times New Roman" w:hAnsi="Times New Roman"/>
          <w:sz w:val="18"/>
          <w:szCs w:val="18"/>
          <w:color w:val="auto"/>
        </w:rPr>
        <w:t>by the timing of, and the rate at which computer hardware companies introduce, new and enhanced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w:t>
      </w:r>
    </w:p>
    <w:p>
      <w:pPr>
        <w:spacing w:after="0" w:line="173" w:lineRule="exact"/>
        <w:rPr>
          <w:sz w:val="20"/>
          <w:szCs w:val="20"/>
          <w:color w:val="auto"/>
        </w:rPr>
      </w:pPr>
    </w:p>
    <w:p>
      <w:pPr>
        <w:ind w:right="80" w:firstLine="46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Impact of Product Mix</w:t>
      </w:r>
      <w:r>
        <w:rPr>
          <w:rFonts w:ascii="Times New Roman" w:cs="Times New Roman" w:eastAsia="Times New Roman" w:hAnsi="Times New Roman"/>
          <w:sz w:val="18"/>
          <w:szCs w:val="18"/>
          <w:color w:val="auto"/>
        </w:rPr>
        <w:t>. Our gamer and creator peripherals segment has a higher gross margin than our gaming components and systems segment.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spacing w:after="0" w:line="178" w:lineRule="exact"/>
        <w:rPr>
          <w:sz w:val="20"/>
          <w:szCs w:val="20"/>
          <w:color w:val="auto"/>
        </w:rPr>
      </w:pPr>
    </w:p>
    <w:p>
      <w:pPr>
        <w:ind w:firstLine="46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Impact of Customer Concentration</w:t>
      </w:r>
      <w:r>
        <w:rPr>
          <w:rFonts w:ascii="Times New Roman" w:cs="Times New Roman" w:eastAsia="Times New Roman" w:hAnsi="Times New Roman"/>
          <w:sz w:val="18"/>
          <w:szCs w:val="18"/>
          <w:color w:val="auto"/>
        </w:rPr>
        <w:t>. We operate a global sales network that consists primarily of retailers (including e-retailers), as well as distributors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use to access certain retailers. Further, a limited number of retailers and distributors represent a significant portion of our net revenue, with e-retailer Amazon accounting for 26.0%, 26.7%, and 24.6% of our net revenue for 2022, 2021, and 2020, respectively, and sales to our ten largest customers accounting for approximately 52.3%, 51.7%, and 52.7% of our net revenue for the same periods, respectively. Our customers typically do not enter into long-term agreements to purchase our gear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which helps e-retailers such as Amazon process our packages more efficiently. Further, given our global operations, a significant percentage of our expenses relate to shipping costs. Our ability to effectively optimize these shipping expenses, for example utilizing expensive shipping options such as air freight for smaller packages and more urgent deliveries and more cost-efficient options, such as train or boat, for other shipments, has an impact on our expenses and results of operations.</w:t>
      </w:r>
    </w:p>
    <w:p>
      <w:pPr>
        <w:spacing w:after="0" w:line="186" w:lineRule="exact"/>
        <w:rPr>
          <w:sz w:val="20"/>
          <w:szCs w:val="20"/>
          <w:color w:val="auto"/>
        </w:rPr>
      </w:pPr>
    </w:p>
    <w:p>
      <w:pPr>
        <w:ind w:right="180" w:firstLine="464"/>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Impact of New Product Introductions</w:t>
      </w:r>
      <w:r>
        <w:rPr>
          <w:rFonts w:ascii="Times New Roman" w:cs="Times New Roman" w:eastAsia="Times New Roman" w:hAnsi="Times New Roman"/>
          <w:sz w:val="17"/>
          <w:szCs w:val="17"/>
          <w:color w:val="auto"/>
        </w:rPr>
        <w:t>. Gamers demand new technology and product features, and we expect our ability to accurately anticipate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meet these demands will be one of the main drivers for any future sales growth and market share expansion. We believe our net revenue was favorably impacted by the release of 125 new products in 2022. While we intend to continue to develop and release new products, there can be no assurance that our new product introductions will have a favorable impact on our operating results or that customers will choose our new gear over those of our competitors.</w:t>
      </w:r>
    </w:p>
    <w:p>
      <w:pPr>
        <w:spacing w:after="0" w:line="160" w:lineRule="exact"/>
        <w:rPr>
          <w:sz w:val="20"/>
          <w:szCs w:val="20"/>
          <w:color w:val="auto"/>
        </w:rPr>
      </w:pPr>
    </w:p>
    <w:p>
      <w:pPr>
        <w:ind w:firstLine="46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Seasonal Sales Trends. </w:t>
      </w:r>
      <w:r>
        <w:rPr>
          <w:rFonts w:ascii="Times New Roman" w:cs="Times New Roman" w:eastAsia="Times New Roman" w:hAnsi="Times New Roman"/>
          <w:sz w:val="18"/>
          <w:szCs w:val="18"/>
          <w:color w:val="auto"/>
        </w:rPr>
        <w:t>We have experienced and expect to continue to experience seasonal fluctuations in sales due to the buying patterns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customers and spending patterns of gamers. Our net revenue has generally been lower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quarters due to seasonal sales such as “Black Friday” and “Cyber Monday” as well as “Singles Day” in China, as retailers tend to make purchases in advance of these sales.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Historical seasonal patterns may not continue in the future and have been impacted, most recently in 2020 and 2021, and may be further impacted in the future, by supply constraints, GPU shortages, shifts in customer behavior and the continuing impacts of the COVID-19 pandemic.</w:t>
      </w:r>
    </w:p>
    <w:p>
      <w:pPr>
        <w:spacing w:after="0" w:line="186" w:lineRule="exact"/>
        <w:rPr>
          <w:sz w:val="20"/>
          <w:szCs w:val="20"/>
          <w:color w:val="auto"/>
        </w:rPr>
      </w:pPr>
    </w:p>
    <w:p>
      <w:pPr>
        <w:ind w:right="60" w:firstLine="46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Fluctuations in Integrated Circuits Pricing. </w:t>
      </w:r>
      <w:r>
        <w:rPr>
          <w:rFonts w:ascii="Times New Roman" w:cs="Times New Roman" w:eastAsia="Times New Roman" w:hAnsi="Times New Roman"/>
          <w:sz w:val="18"/>
          <w:szCs w:val="18"/>
          <w:color w:val="auto"/>
        </w:rPr>
        <w:t>Integrated circuits, or ICs, account for most of the cost of producing our high-performance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Operating Results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18" w:lineRule="exact"/>
        <w:rPr>
          <w:sz w:val="20"/>
          <w:szCs w:val="20"/>
          <w:color w:val="auto"/>
        </w:rPr>
      </w:pPr>
    </w:p>
    <w:p>
      <w:pPr>
        <w:ind w:right="260" w:firstLine="468"/>
        <w:spacing w:after="0" w:line="262" w:lineRule="auto"/>
        <w:rPr>
          <w:sz w:val="20"/>
          <w:szCs w:val="20"/>
          <w:color w:val="auto"/>
        </w:rPr>
      </w:pPr>
      <w:r>
        <w:rPr>
          <w:rFonts w:ascii="Times New Roman" w:cs="Times New Roman" w:eastAsia="Times New Roman" w:hAnsi="Times New Roman"/>
          <w:sz w:val="18"/>
          <w:szCs w:val="18"/>
          <w:color w:val="auto"/>
        </w:rPr>
        <w:t>We generate materially all of our net revenue from the sale of gamer and creator peripherals and gaming components and systems to retailers, including online retailers, gamers and distributors worldwide. Our revenue is recognized net of allowances for returns, discounts, sales incentives and any taxes collected from customers.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8" w:lineRule="exact"/>
        <w:rPr>
          <w:sz w:val="20"/>
          <w:szCs w:val="20"/>
          <w:color w:val="auto"/>
        </w:rPr>
      </w:pPr>
    </w:p>
    <w:p>
      <w:pPr>
        <w:ind w:right="20" w:firstLine="468"/>
        <w:spacing w:after="0" w:line="257" w:lineRule="auto"/>
        <w:rPr>
          <w:sz w:val="20"/>
          <w:szCs w:val="20"/>
          <w:color w:val="auto"/>
        </w:rPr>
      </w:pPr>
      <w:r>
        <w:rPr>
          <w:rFonts w:ascii="Times New Roman" w:cs="Times New Roman" w:eastAsia="Times New Roman" w:hAnsi="Times New Roman"/>
          <w:sz w:val="18"/>
          <w:szCs w:val="18"/>
          <w:color w:val="auto"/>
        </w:rPr>
        <w:t>Cost of revenue consists of product costs, including costs of contract manufacturers, inbound freight costs from manufacturers to our distribution hubs as well as inter-hub shipments, cost of materials and overhead, duties and tariffs, warranty replacement cost to process and rework returned items, depreciation of tooling equipment, warehousing costs, excess and obsolete inventory write-downs, and certain allocated costs related to facilities and information technology, or IT, and personnel-related expenses and other operating expenses related to supply chain logistics.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Operating expenses consist of sales, general and administrative expenses and product development expenses.</w:t>
      </w:r>
    </w:p>
    <w:p>
      <w:pPr>
        <w:spacing w:after="0" w:line="112" w:lineRule="exact"/>
        <w:rPr>
          <w:sz w:val="20"/>
          <w:szCs w:val="20"/>
          <w:color w:val="auto"/>
        </w:rPr>
      </w:pPr>
    </w:p>
    <w:p>
      <w:pPr>
        <w:ind w:right="20" w:firstLine="46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Sales, general and administrative. </w:t>
      </w:r>
      <w:r>
        <w:rPr>
          <w:rFonts w:ascii="Times New Roman" w:cs="Times New Roman" w:eastAsia="Times New Roman" w:hAnsi="Times New Roman"/>
          <w:sz w:val="18"/>
          <w:szCs w:val="18"/>
          <w:color w:val="auto"/>
        </w:rPr>
        <w:t>Sales, general and administrative, or SG&amp;A expenses represent the largest component of our operating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consist of distribution costs, sales, marketing and other general and administrative costs. Distribution costs include outbound freight and the costs to operate our distribution hubs. Sales and marketing costs relate to the costs to operate our global sales force that works in conjunction with our channel partners, gaming team and event sponsorships, advertising and marketing promotions of our products and services, costs of maintaining our web store and credit card processing fees related to sales on our webstore, personnel-related cost and allocated overhead costs. General and administrative costs consist primarily of personnel-related expenses for our finance, legal, human resources, IT and administrative personnel, as well as the costs of professional services related to these functions and allocated overhead costs.</w:t>
      </w:r>
    </w:p>
    <w:p>
      <w:pPr>
        <w:spacing w:after="0" w:line="76"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costs are generally expensed as incurred. Product development costs consist primarily of the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design and testing of new products and improvements to existing products. These costs relate primarily to compensation of personnel and consultants involved with product design, definition, compatibility testing and qualification, as well as depreciation costs of equipment used, prototype material costs and allocated overhead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18" w:lineRule="exact"/>
        <w:rPr>
          <w:sz w:val="20"/>
          <w:szCs w:val="20"/>
          <w:color w:val="auto"/>
        </w:rPr>
      </w:pPr>
    </w:p>
    <w:p>
      <w:pPr>
        <w:ind w:right="20" w:firstLine="468"/>
        <w:spacing w:after="0" w:line="257" w:lineRule="auto"/>
        <w:rPr>
          <w:sz w:val="20"/>
          <w:szCs w:val="20"/>
          <w:color w:val="auto"/>
        </w:rPr>
      </w:pPr>
      <w:r>
        <w:rPr>
          <w:rFonts w:ascii="Times New Roman" w:cs="Times New Roman" w:eastAsia="Times New Roman" w:hAnsi="Times New Roman"/>
          <w:sz w:val="18"/>
          <w:szCs w:val="18"/>
          <w:color w:val="auto"/>
        </w:rPr>
        <w:t>Interest expense, net consists of interest associated with our debt financing arrangements, including our revolving line of credit, amortization of debt issuance costs and debt discounts, loss from debt extinguishment, consisting of the write-off of unamortized debt discount and fees associated with the prepayment of our term loans, and the change in fair value of our interest rate cap contracts. Interest income earned on our cash and cash equivalents balance are included within interest expense, net as an offset to interest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8" w:lineRule="exact"/>
        <w:rPr>
          <w:sz w:val="20"/>
          <w:szCs w:val="20"/>
          <w:color w:val="auto"/>
        </w:rPr>
      </w:pPr>
    </w:p>
    <w:p>
      <w:pPr>
        <w:jc w:val="both"/>
        <w:ind w:right="80" w:firstLine="468"/>
        <w:spacing w:after="0" w:line="262" w:lineRule="auto"/>
        <w:rPr>
          <w:sz w:val="20"/>
          <w:szCs w:val="20"/>
          <w:color w:val="auto"/>
        </w:rPr>
      </w:pPr>
      <w:r>
        <w:rPr>
          <w:rFonts w:ascii="Times New Roman" w:cs="Times New Roman" w:eastAsia="Times New Roman" w:hAnsi="Times New Roman"/>
          <w:sz w:val="18"/>
          <w:szCs w:val="18"/>
          <w:color w:val="auto"/>
        </w:rPr>
        <w:t>Other (expense) income, net consists primarily of our foreign currency exchange gains and losses relating to transactions and remeasurement of asset and liability balances denominated in foreign currencies, net fair value gains and losses from our foreign currency forward contracts and impairment loss on available-for-sale security.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18" w:lineRule="exact"/>
        <w:rPr>
          <w:sz w:val="20"/>
          <w:szCs w:val="20"/>
          <w:color w:val="auto"/>
        </w:rPr>
      </w:pPr>
    </w:p>
    <w:p>
      <w:pPr>
        <w:ind w:right="80" w:firstLine="468"/>
        <w:spacing w:after="0" w:line="257"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spacing w:after="0" w:line="75" w:lineRule="exact"/>
        <w:rPr>
          <w:sz w:val="20"/>
          <w:szCs w:val="20"/>
          <w:color w:val="auto"/>
        </w:rPr>
      </w:pPr>
    </w:p>
    <w:p>
      <w:pPr>
        <w:ind w:right="120" w:firstLine="464"/>
        <w:spacing w:after="0" w:line="285"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w:t>
      </w:r>
    </w:p>
    <w:p>
      <w:pPr>
        <w:spacing w:after="0" w:line="118" w:lineRule="exact"/>
        <w:rPr>
          <w:sz w:val="20"/>
          <w:szCs w:val="20"/>
          <w:color w:val="auto"/>
        </w:rPr>
      </w:pPr>
    </w:p>
    <w:p>
      <w:pPr>
        <w:ind w:right="420" w:firstLine="464"/>
        <w:spacing w:after="0" w:line="277" w:lineRule="auto"/>
        <w:rPr>
          <w:sz w:val="20"/>
          <w:szCs w:val="20"/>
          <w:color w:val="auto"/>
        </w:rPr>
      </w:pPr>
      <w:r>
        <w:rPr>
          <w:rFonts w:ascii="Times New Roman" w:cs="Times New Roman" w:eastAsia="Times New Roman" w:hAnsi="Times New Roman"/>
          <w:sz w:val="18"/>
          <w:szCs w:val="18"/>
          <w:color w:val="auto"/>
        </w:rPr>
        <w:t>Net income attributable to noncontrolling interest represents the share of the net income of iDisplay attributable to the 49% ownership interest of iDisplay we did not acquire.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8" w:lineRule="exact"/>
        <w:rPr>
          <w:sz w:val="20"/>
          <w:szCs w:val="20"/>
          <w:color w:val="auto"/>
        </w:rPr>
      </w:pPr>
    </w:p>
    <w:p>
      <w:pPr>
        <w:ind w:right="100" w:firstLine="468"/>
        <w:spacing w:after="0" w:line="277" w:lineRule="auto"/>
        <w:rPr>
          <w:sz w:val="20"/>
          <w:szCs w:val="20"/>
          <w:color w:val="auto"/>
        </w:rPr>
      </w:pPr>
      <w:r>
        <w:rPr>
          <w:rFonts w:ascii="Times New Roman" w:cs="Times New Roman" w:eastAsia="Times New Roman" w:hAnsi="Times New Roman"/>
          <w:sz w:val="18"/>
          <w:szCs w:val="18"/>
          <w:color w:val="auto"/>
        </w:rPr>
        <w:t>In this section, we discuss the results of our operations for the year ended December 31, 2022, compared to the year ended December 31, 2021. For a discussion of the year ended December 31, 2021 compared to the year ended December 31, 2020, please</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 to Part II, </w:t>
      </w:r>
      <w:hyperlink r:id="rId63">
        <w:r>
          <w:rPr>
            <w:rFonts w:ascii="Times New Roman" w:cs="Times New Roman" w:eastAsia="Times New Roman" w:hAnsi="Times New Roman"/>
            <w:sz w:val="18"/>
            <w:szCs w:val="18"/>
            <w:u w:val="single" w:color="auto"/>
            <w:color w:val="0070C0"/>
          </w:rPr>
          <w:t>Item 7, “Management's Discussion and Analysis of Financial Condition and Results of Operations</w:t>
        </w:r>
      </w:hyperlink>
      <w:r>
        <w:rPr>
          <w:rFonts w:ascii="Times New Roman" w:cs="Times New Roman" w:eastAsia="Times New Roman" w:hAnsi="Times New Roman"/>
          <w:sz w:val="18"/>
          <w:szCs w:val="18"/>
          <w:u w:val="single" w:color="auto"/>
          <w:color w:val="0070C0"/>
          <w:highlight w:val="white"/>
        </w:rPr>
        <w:t>”</w:t>
      </w:r>
      <w:r>
        <w:rPr>
          <w:rFonts w:ascii="Times New Roman" w:cs="Times New Roman" w:eastAsia="Times New Roman" w:hAnsi="Times New Roman"/>
          <w:sz w:val="18"/>
          <w:szCs w:val="18"/>
          <w:color w:val="auto"/>
        </w:rPr>
        <w:t xml:space="preserve"> in our Annual Report on Form 10-K filed with the SEC on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-290830</wp:posOffset>
            </wp:positionV>
            <wp:extent cx="6428105" cy="1270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428105" cy="127000"/>
                    </a:xfrm>
                    <a:prstGeom prst="rect">
                      <a:avLst/>
                    </a:prstGeom>
                    <a:noFill/>
                  </pic:spPr>
                </pic:pic>
              </a:graphicData>
            </a:graphic>
          </wp:anchor>
        </w:drawing>
      </w:r>
    </w:p>
    <w:p>
      <w:pPr>
        <w:spacing w:after="0" w:line="37" w:lineRule="exact"/>
        <w:rPr>
          <w:sz w:val="20"/>
          <w:szCs w:val="20"/>
          <w:color w:val="auto"/>
        </w:rPr>
      </w:pPr>
    </w:p>
    <w:p>
      <w:pPr>
        <w:ind w:right="20" w:firstLine="468"/>
        <w:spacing w:after="0" w:line="277" w:lineRule="auto"/>
        <w:rPr>
          <w:sz w:val="20"/>
          <w:szCs w:val="20"/>
          <w:color w:val="auto"/>
        </w:rPr>
      </w:pPr>
      <w:r>
        <w:rPr>
          <w:rFonts w:ascii="Times New Roman" w:cs="Times New Roman" w:eastAsia="Times New Roman" w:hAnsi="Times New Roman"/>
          <w:sz w:val="18"/>
          <w:szCs w:val="18"/>
          <w:color w:val="auto"/>
        </w:rPr>
        <w:t>The following tables set forth the components of our consolidated statements of operations, in dollars and as a percentage of total net revenue, for each of the periods presented.</w:t>
      </w:r>
    </w:p>
    <w:p>
      <w:pPr>
        <w:spacing w:after="0" w:line="19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93"/>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72"/>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gridSpan w:val="5"/>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42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1,375,098</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1,904,060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1,078,466</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1,390,206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296,632</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513,854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284,932</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315,672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Product development</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66,493</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351,425</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375,960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(54,793)</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(9,186)</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(17,673)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(5,661)</w:t>
            </w:r>
          </w:p>
        </w:tc>
        <w:tc>
          <w:tcPr>
            <w:tcW w:w="0" w:type="dxa"/>
            <w:vAlign w:val="bottom"/>
          </w:tcPr>
          <w:p>
            <w:pPr>
              <w:spacing w:after="0"/>
              <w:rPr>
                <w:sz w:val="1"/>
                <w:szCs w:val="1"/>
                <w:color w:val="auto"/>
              </w:rPr>
            </w:pPr>
          </w:p>
        </w:tc>
      </w:tr>
      <w:tr>
        <w:trPr>
          <w:trHeight w:val="220"/>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(63,766)</w:t>
            </w: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114,560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(13,600)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(53,946)</w:t>
            </w: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100,960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(54,388)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100,960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gridSpan w:val="8"/>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53"/>
              <w:spacing w:after="0" w:line="157"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2"/>
              <w:spacing w:after="0" w:line="157"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7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Product development</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2022 and 2021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40"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4899025</wp:posOffset>
            </wp:positionH>
            <wp:positionV relativeFrom="paragraph">
              <wp:posOffset>20320</wp:posOffset>
            </wp:positionV>
            <wp:extent cx="21628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162810" cy="8255"/>
                    </a:xfrm>
                    <a:prstGeom prst="rect">
                      <a:avLst/>
                    </a:prstGeom>
                    <a:noFill/>
                  </pic:spPr>
                </pic:pic>
              </a:graphicData>
            </a:graphic>
          </wp:anchor>
        </w:drawing>
      </w:r>
    </w:p>
    <w:p>
      <w:pPr>
        <w:spacing w:after="0" w:line="14" w:lineRule="exact"/>
        <w:rPr>
          <w:sz w:val="20"/>
          <w:szCs w:val="20"/>
          <w:color w:val="auto"/>
        </w:rPr>
      </w:pPr>
    </w:p>
    <w:p>
      <w:pPr>
        <w:ind w:left="834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4899025</wp:posOffset>
            </wp:positionH>
            <wp:positionV relativeFrom="paragraph">
              <wp:posOffset>6985</wp:posOffset>
            </wp:positionV>
            <wp:extent cx="21628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162810" cy="8255"/>
                    </a:xfrm>
                    <a:prstGeom prst="rect">
                      <a:avLst/>
                    </a:prstGeom>
                    <a:noFill/>
                  </pic:spPr>
                </pic:pic>
              </a:graphicData>
            </a:graphic>
          </wp:anchor>
        </w:drawing>
      </w:r>
    </w:p>
    <w:p>
      <w:pPr>
        <w:spacing w:after="0" w:line="19"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33590" cy="144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6" w:lineRule="exact"/>
        <w:rPr>
          <w:sz w:val="20"/>
          <w:szCs w:val="20"/>
          <w:color w:val="auto"/>
        </w:rPr>
      </w:pPr>
    </w:p>
    <w:p>
      <w:pPr>
        <w:spacing w:after="0"/>
        <w:tabs>
          <w:tab w:leader="none" w:pos="7700" w:val="left"/>
          <w:tab w:leader="none" w:pos="8520" w:val="left"/>
          <w:tab w:leader="none" w:pos="9540" w:val="left"/>
          <w:tab w:leader="none" w:pos="10380" w:val="left"/>
        </w:tabs>
        <w:rPr>
          <w:sz w:val="20"/>
          <w:szCs w:val="20"/>
          <w:color w:val="auto"/>
        </w:rPr>
      </w:pPr>
      <w:r>
        <w:rPr>
          <w:rFonts w:ascii="Times New Roman" w:cs="Times New Roman" w:eastAsia="Times New Roman" w:hAnsi="Times New Roman"/>
          <w:sz w:val="18"/>
          <w:szCs w:val="18"/>
          <w:color w:val="auto"/>
        </w:rPr>
        <w:t>Net revenue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1,375,098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1,904,060</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ind w:right="160" w:firstLine="468"/>
        <w:spacing w:after="0" w:line="255" w:lineRule="auto"/>
        <w:rPr>
          <w:sz w:val="20"/>
          <w:szCs w:val="20"/>
          <w:color w:val="auto"/>
        </w:rPr>
      </w:pPr>
      <w:r>
        <w:rPr>
          <w:rFonts w:ascii="Times New Roman" w:cs="Times New Roman" w:eastAsia="Times New Roman" w:hAnsi="Times New Roman"/>
          <w:sz w:val="18"/>
          <w:szCs w:val="18"/>
          <w:color w:val="auto"/>
        </w:rPr>
        <w:t>Net revenue decreased $529.0 million, or 27.8%, in 2022 as compared to 2021. The decrease was primarily due to deteriorated macroeconomic conditions in 2022, including the adverse impacts from the war between Russia and Ukraine, inflationary trends and volatility in exchange rates, which resulted in a decline in the demand for most of our products, particularly in the Europe and Middle East Region. The decrease in 2022 net revenue was also in part due to a slow-down in demand as a result of more entertainment options becoming available due to the easing of the COVID-19 shelter-in-place restrictions, starting in the second half of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4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80"/>
        </w:trPr>
        <w:tc>
          <w:tcPr>
            <w:tcW w:w="42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860" w:type="dxa"/>
            <w:vAlign w:val="bottom"/>
            <w:gridSpan w:val="4"/>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27"/>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260" w:type="dxa"/>
            <w:vAlign w:val="bottom"/>
            <w:gridSpan w:val="2"/>
            <w:shd w:val="clear" w:color="auto" w:fill="CFF0FC"/>
          </w:tcPr>
          <w:p>
            <w:pPr>
              <w:jc w:val="right"/>
              <w:ind w:right="76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296,632</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513,854</w:t>
            </w:r>
          </w:p>
        </w:tc>
        <w:tc>
          <w:tcPr>
            <w:tcW w:w="180" w:type="dxa"/>
            <w:vAlign w:val="bottom"/>
            <w:shd w:val="clear" w:color="auto" w:fill="CFF0FC"/>
          </w:tcPr>
          <w:p>
            <w:pPr>
              <w:spacing w:after="0"/>
              <w:rPr>
                <w:sz w:val="19"/>
                <w:szCs w:val="19"/>
                <w:color w:val="auto"/>
              </w:rPr>
            </w:pPr>
          </w:p>
        </w:tc>
      </w:tr>
      <w:tr>
        <w:trPr>
          <w:trHeight w:val="23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9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r>
    </w:tbl>
    <w:p>
      <w:pPr>
        <w:spacing w:after="0" w:line="217" w:lineRule="exact"/>
        <w:rPr>
          <w:sz w:val="20"/>
          <w:szCs w:val="20"/>
          <w:color w:val="auto"/>
        </w:rPr>
      </w:pPr>
    </w:p>
    <w:p>
      <w:pPr>
        <w:jc w:val="both"/>
        <w:ind w:right="120" w:firstLine="468"/>
        <w:spacing w:after="0" w:line="257" w:lineRule="auto"/>
        <w:rPr>
          <w:sz w:val="20"/>
          <w:szCs w:val="20"/>
          <w:color w:val="auto"/>
        </w:rPr>
      </w:pPr>
      <w:r>
        <w:rPr>
          <w:rFonts w:ascii="Times New Roman" w:cs="Times New Roman" w:eastAsia="Times New Roman" w:hAnsi="Times New Roman"/>
          <w:sz w:val="18"/>
          <w:szCs w:val="18"/>
          <w:color w:val="auto"/>
        </w:rPr>
        <w:t>Gross margin decreased to 21.6% in 2022 from 27.0% in 2021. This decrease was primarily attributable to an unfavorable shift towards a higher mix of net revenue from our lower margin gaming components and systems segment, an increase in inventory impairment and related charges in 2022 due to the inventory rationalization plan to align our inventory balance with the revenue level in 2022, increased promotional activity and logistics costs and increased amortization of intangible assets from the iDisplay acquisition.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General and Administrative (SG&amp;A)</w:t>
      </w:r>
    </w:p>
    <w:p>
      <w:pPr>
        <w:spacing w:after="0" w:line="40"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4899025</wp:posOffset>
            </wp:positionH>
            <wp:positionV relativeFrom="paragraph">
              <wp:posOffset>20320</wp:posOffset>
            </wp:positionV>
            <wp:extent cx="21628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162810" cy="8255"/>
                    </a:xfrm>
                    <a:prstGeom prst="rect">
                      <a:avLst/>
                    </a:prstGeom>
                    <a:noFill/>
                  </pic:spPr>
                </pic:pic>
              </a:graphicData>
            </a:graphic>
          </wp:anchor>
        </w:drawing>
      </w:r>
    </w:p>
    <w:p>
      <w:pPr>
        <w:spacing w:after="0" w:line="14" w:lineRule="exact"/>
        <w:rPr>
          <w:sz w:val="20"/>
          <w:szCs w:val="20"/>
          <w:color w:val="auto"/>
        </w:rPr>
      </w:pPr>
    </w:p>
    <w:p>
      <w:pPr>
        <w:ind w:left="834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4899025</wp:posOffset>
            </wp:positionH>
            <wp:positionV relativeFrom="paragraph">
              <wp:posOffset>6985</wp:posOffset>
            </wp:positionV>
            <wp:extent cx="21628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162810" cy="8255"/>
                    </a:xfrm>
                    <a:prstGeom prst="rect">
                      <a:avLst/>
                    </a:prstGeom>
                    <a:noFill/>
                  </pic:spPr>
                </pic:pic>
              </a:graphicData>
            </a:graphic>
          </wp:anchor>
        </w:drawing>
      </w:r>
    </w:p>
    <w:p>
      <w:pPr>
        <w:spacing w:after="0" w:line="19"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33590" cy="144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6" w:lineRule="exact"/>
        <w:rPr>
          <w:sz w:val="20"/>
          <w:szCs w:val="20"/>
          <w:color w:val="auto"/>
        </w:rPr>
      </w:pPr>
    </w:p>
    <w:p>
      <w:pPr>
        <w:spacing w:after="0"/>
        <w:tabs>
          <w:tab w:leader="none" w:pos="7700" w:val="left"/>
          <w:tab w:leader="none" w:pos="8660" w:val="left"/>
          <w:tab w:leader="none" w:pos="9540" w:val="left"/>
          <w:tab w:leader="none" w:pos="10500" w:val="left"/>
        </w:tabs>
        <w:rPr>
          <w:sz w:val="20"/>
          <w:szCs w:val="20"/>
          <w:color w:val="auto"/>
        </w:rPr>
      </w:pPr>
      <w:r>
        <w:rPr>
          <w:rFonts w:ascii="Times New Roman" w:cs="Times New Roman" w:eastAsia="Times New Roman" w:hAnsi="Times New Roman"/>
          <w:sz w:val="18"/>
          <w:szCs w:val="18"/>
          <w:color w:val="auto"/>
        </w:rPr>
        <w:t>Sales, general and administrative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284,932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315,672</w:t>
      </w:r>
    </w:p>
    <w:p>
      <w:pPr>
        <w:spacing w:after="0" w:line="241" w:lineRule="exact"/>
        <w:rPr>
          <w:sz w:val="20"/>
          <w:szCs w:val="20"/>
          <w:color w:val="auto"/>
        </w:rPr>
      </w:pPr>
    </w:p>
    <w:p>
      <w:pPr>
        <w:ind w:right="180" w:firstLine="468"/>
        <w:spacing w:after="0" w:line="262" w:lineRule="auto"/>
        <w:rPr>
          <w:sz w:val="20"/>
          <w:szCs w:val="20"/>
          <w:color w:val="auto"/>
        </w:rPr>
      </w:pPr>
      <w:r>
        <w:rPr>
          <w:rFonts w:ascii="Times New Roman" w:cs="Times New Roman" w:eastAsia="Times New Roman" w:hAnsi="Times New Roman"/>
          <w:sz w:val="18"/>
          <w:szCs w:val="18"/>
          <w:color w:val="auto"/>
        </w:rPr>
        <w:t>SG&amp;A expenses decreased $30.7 million, or 9.7%, in 2022 as compared to 2021. The decrease was primarily due to an $18.6 million decrease in distribution costs, including outbound freight costs, that was primarily driven by decreased sales volume, a $4.2 million decrease in personnel-related costs mainly due to lower bonus expense, and a $6.7 million decrease in marketing and advertising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40"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4899025</wp:posOffset>
            </wp:positionH>
            <wp:positionV relativeFrom="paragraph">
              <wp:posOffset>20320</wp:posOffset>
            </wp:positionV>
            <wp:extent cx="21628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162810" cy="8255"/>
                    </a:xfrm>
                    <a:prstGeom prst="rect">
                      <a:avLst/>
                    </a:prstGeom>
                    <a:noFill/>
                  </pic:spPr>
                </pic:pic>
              </a:graphicData>
            </a:graphic>
          </wp:anchor>
        </w:drawing>
      </w:r>
    </w:p>
    <w:p>
      <w:pPr>
        <w:spacing w:after="0" w:line="14" w:lineRule="exact"/>
        <w:rPr>
          <w:sz w:val="20"/>
          <w:szCs w:val="20"/>
          <w:color w:val="auto"/>
        </w:rPr>
      </w:pPr>
    </w:p>
    <w:p>
      <w:pPr>
        <w:ind w:left="834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4899025</wp:posOffset>
            </wp:positionH>
            <wp:positionV relativeFrom="paragraph">
              <wp:posOffset>6985</wp:posOffset>
            </wp:positionV>
            <wp:extent cx="21628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162810" cy="8255"/>
                    </a:xfrm>
                    <a:prstGeom prst="rect">
                      <a:avLst/>
                    </a:prstGeom>
                    <a:noFill/>
                  </pic:spPr>
                </pic:pic>
              </a:graphicData>
            </a:graphic>
          </wp:anchor>
        </w:drawing>
      </w:r>
    </w:p>
    <w:p>
      <w:pPr>
        <w:spacing w:after="0" w:line="19"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33590" cy="144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6" w:lineRule="exact"/>
        <w:rPr>
          <w:sz w:val="20"/>
          <w:szCs w:val="20"/>
          <w:color w:val="auto"/>
        </w:rPr>
      </w:pPr>
    </w:p>
    <w:p>
      <w:pPr>
        <w:spacing w:after="0"/>
        <w:tabs>
          <w:tab w:leader="none" w:pos="7700" w:val="left"/>
          <w:tab w:leader="none" w:pos="8740" w:val="left"/>
          <w:tab w:leader="none" w:pos="9540" w:val="left"/>
          <w:tab w:leader="none" w:pos="10600" w:val="left"/>
        </w:tabs>
        <w:rPr>
          <w:sz w:val="20"/>
          <w:szCs w:val="20"/>
          <w:color w:val="auto"/>
        </w:rPr>
      </w:pPr>
      <w:r>
        <w:rPr>
          <w:rFonts w:ascii="Times New Roman" w:cs="Times New Roman" w:eastAsia="Times New Roman" w:hAnsi="Times New Roman"/>
          <w:sz w:val="18"/>
          <w:szCs w:val="18"/>
          <w:color w:val="auto"/>
        </w:rPr>
        <w:t>Product development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66,493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60,288</w:t>
      </w:r>
    </w:p>
    <w:p>
      <w:pPr>
        <w:spacing w:after="0" w:line="241" w:lineRule="exact"/>
        <w:rPr>
          <w:sz w:val="20"/>
          <w:szCs w:val="20"/>
          <w:color w:val="auto"/>
        </w:rPr>
      </w:pPr>
    </w:p>
    <w:p>
      <w:pPr>
        <w:ind w:right="500" w:firstLine="468"/>
        <w:spacing w:after="0" w:line="262" w:lineRule="auto"/>
        <w:rPr>
          <w:sz w:val="20"/>
          <w:szCs w:val="20"/>
          <w:color w:val="auto"/>
        </w:rPr>
      </w:pPr>
      <w:r>
        <w:rPr>
          <w:rFonts w:ascii="Times New Roman" w:cs="Times New Roman" w:eastAsia="Times New Roman" w:hAnsi="Times New Roman"/>
          <w:sz w:val="18"/>
          <w:szCs w:val="18"/>
          <w:color w:val="auto"/>
        </w:rPr>
        <w:t>Product development expenses increased $6.2 million, or 10.3%, in 2022 as compared to 2021. The increase was primarily due to a $3.8 million increase in amortization of intangible assets acquired in the iDisplay acquisition and a $1.9 million increase in allocation of facility-related costs and corporate IT-related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and Other (Expense) Income, Net</w:t>
      </w:r>
    </w:p>
    <w:p>
      <w:pPr>
        <w:spacing w:after="0" w:line="40"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3"/>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57"/>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r>
      <w:tr>
        <w:trPr>
          <w:trHeight w:val="180"/>
        </w:trPr>
        <w:tc>
          <w:tcPr>
            <w:tcW w:w="7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gridSpan w:val="3"/>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shd w:val="clear" w:color="auto" w:fill="CFF0FC"/>
          </w:tcPr>
          <w:p>
            <w:pPr>
              <w:jc w:val="right"/>
              <w:ind w:right="82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(9,186)</w:t>
            </w:r>
          </w:p>
        </w:tc>
        <w:tc>
          <w:tcPr>
            <w:tcW w:w="460" w:type="dxa"/>
            <w:vAlign w:val="bottom"/>
            <w:shd w:val="clear" w:color="auto" w:fill="CFF0FC"/>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(17,673)</w:t>
            </w:r>
          </w:p>
        </w:tc>
      </w:tr>
      <w:tr>
        <w:trPr>
          <w:trHeight w:val="23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(5,661)</w:t>
            </w:r>
          </w:p>
        </w:tc>
      </w:tr>
    </w:tbl>
    <w:p>
      <w:pPr>
        <w:spacing w:after="0" w:line="190" w:lineRule="exact"/>
        <w:rPr>
          <w:sz w:val="20"/>
          <w:szCs w:val="20"/>
          <w:color w:val="auto"/>
        </w:rPr>
      </w:pPr>
    </w:p>
    <w:p>
      <w:pPr>
        <w:ind w:right="80" w:firstLine="468"/>
        <w:spacing w:after="0" w:line="257" w:lineRule="auto"/>
        <w:rPr>
          <w:sz w:val="20"/>
          <w:szCs w:val="20"/>
          <w:color w:val="auto"/>
        </w:rPr>
      </w:pPr>
      <w:r>
        <w:rPr>
          <w:rFonts w:ascii="Times New Roman" w:cs="Times New Roman" w:eastAsia="Times New Roman" w:hAnsi="Times New Roman"/>
          <w:sz w:val="18"/>
          <w:szCs w:val="18"/>
          <w:color w:val="auto"/>
        </w:rPr>
        <w:t>Interest expense, net decreased $8.5 million, or 48.0%, in 2022 as compared to 2021. The decrease in interest expense, net was primarily due to a lower principal balance on our Term Loan (defined below) executed in September 2021 which replaced our First Lien Term Loan (defined below) and lower average interest rate in 2022 compared to 2021. In addition, interest expense, net decreased in 2022 as compared to 2021 due to a $4.9 million loss on debt extinguishment in 2021, whereas there was no such loss in 2022.</w:t>
      </w:r>
    </w:p>
    <w:p>
      <w:pPr>
        <w:spacing w:after="0" w:line="75"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8"/>
          <w:szCs w:val="18"/>
          <w:color w:val="auto"/>
        </w:rPr>
        <w:t>Other (expense) income, net relates primarily to the gains and losses resulting from the impact of foreign exchange rate changes on our cash, accounts receivable and intercompany balances denominated in currencies other than the functional currencies in our subsidiaries, as well as the net fair value gain and loss related to our foreign currency forward contracts. Our foreign currency exposure is primarily driven by fluctuations in the foreign currency exchanges rates of the Euro, British Pound and the Chinese Yuan.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The change in other income (expense), net in 2022 as compared to 2021 was primarily due to the impact from the strengthening of the U.S. dollar against the Euro, British Pound and the Chinese Yuan, which was offset partially by the impairment loss incurred in 2022 on our available-for-sale security.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4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80"/>
        </w:trPr>
        <w:tc>
          <w:tcPr>
            <w:tcW w:w="5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860" w:type="dxa"/>
            <w:vAlign w:val="bottom"/>
            <w:gridSpan w:val="4"/>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2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60" w:type="dxa"/>
            <w:vAlign w:val="bottom"/>
            <w:gridSpan w:val="2"/>
            <w:shd w:val="clear" w:color="auto" w:fill="CFF0FC"/>
          </w:tcPr>
          <w:p>
            <w:pPr>
              <w:jc w:val="right"/>
              <w:ind w:right="78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(63,766)</w:t>
            </w:r>
          </w:p>
        </w:tc>
        <w:tc>
          <w:tcPr>
            <w:tcW w:w="940" w:type="dxa"/>
            <w:vAlign w:val="bottom"/>
            <w:shd w:val="clear" w:color="auto" w:fill="CFF0FC"/>
          </w:tcPr>
          <w:p>
            <w:pPr>
              <w:jc w:val="right"/>
              <w:ind w:right="78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114,560</w:t>
            </w:r>
          </w:p>
        </w:tc>
        <w:tc>
          <w:tcPr>
            <w:tcW w:w="180" w:type="dxa"/>
            <w:vAlign w:val="bottom"/>
            <w:shd w:val="clear" w:color="auto" w:fill="CFF0FC"/>
          </w:tcPr>
          <w:p>
            <w:pPr>
              <w:spacing w:after="0"/>
              <w:rPr>
                <w:sz w:val="19"/>
                <w:szCs w:val="19"/>
                <w:color w:val="auto"/>
              </w:rPr>
            </w:pPr>
          </w:p>
        </w:tc>
      </w:tr>
      <w:tr>
        <w:trPr>
          <w:trHeight w:val="22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(13,600)</w:t>
            </w:r>
          </w:p>
        </w:tc>
      </w:tr>
      <w:tr>
        <w:trPr>
          <w:trHeight w:val="22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r>
    </w:tbl>
    <w:p>
      <w:pPr>
        <w:spacing w:after="0" w:line="195" w:lineRule="exact"/>
        <w:rPr>
          <w:sz w:val="20"/>
          <w:szCs w:val="20"/>
          <w:color w:val="auto"/>
        </w:rPr>
      </w:pPr>
    </w:p>
    <w:p>
      <w:pPr>
        <w:ind w:right="120" w:firstLine="468"/>
        <w:spacing w:after="0" w:line="257"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75" w:lineRule="exact"/>
        <w:rPr>
          <w:sz w:val="20"/>
          <w:szCs w:val="20"/>
          <w:color w:val="auto"/>
        </w:rPr>
      </w:pPr>
    </w:p>
    <w:p>
      <w:pPr>
        <w:ind w:right="20" w:firstLine="464"/>
        <w:spacing w:after="0" w:line="257" w:lineRule="auto"/>
        <w:rPr>
          <w:sz w:val="20"/>
          <w:szCs w:val="20"/>
          <w:color w:val="auto"/>
        </w:rPr>
      </w:pPr>
      <w:r>
        <w:rPr>
          <w:rFonts w:ascii="Times New Roman" w:cs="Times New Roman" w:eastAsia="Times New Roman" w:hAnsi="Times New Roman"/>
          <w:sz w:val="18"/>
          <w:szCs w:val="18"/>
          <w:color w:val="auto"/>
        </w:rPr>
        <w:t>Our effective tax rates were tax benefit of 15.4% and tax expense of 11.9% for 2022 and 2021, respectively. The change in effective tax rate for 2022 as compared to 2021 was primarily due to a decrease in tax benefit recorded in 2022 related to excess tax benefits from stock-based compensation because of a lower volume of options exercised by employees due to the decline in our stock price in 2022, a change in the mix of income and losses in the various tax jurisdictions in which we operate, and the release of valuation allowance against California deferred tax assets in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Net Revenue</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net revenue by segment expressed both in dollars (thousands) and as a percentage of net revenue:</w:t>
      </w:r>
    </w:p>
    <w:p>
      <w:pPr>
        <w:spacing w:after="0" w:line="3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gridSpan w:val="3"/>
          </w:tcPr>
          <w:p>
            <w:pPr>
              <w:jc w:val="right"/>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gridSpan w:val="3"/>
          </w:tcPr>
          <w:p>
            <w:pPr>
              <w:jc w:val="right"/>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Gamer and Creator Peripherals Segment</w:t>
            </w: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437,817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647,202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Gaming Components and Systems Segment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Memory Products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504,589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612,964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7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Other Component Products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432,692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643,894</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937,281</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1,256,858</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1,375,098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1,904,060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Gamer and Creator Peripherals Segment</w:t>
      </w:r>
    </w:p>
    <w:p>
      <w:pPr>
        <w:spacing w:after="0" w:line="222" w:lineRule="exact"/>
        <w:rPr>
          <w:sz w:val="20"/>
          <w:szCs w:val="20"/>
          <w:color w:val="auto"/>
        </w:rPr>
      </w:pPr>
    </w:p>
    <w:p>
      <w:pPr>
        <w:ind w:right="140" w:firstLine="468"/>
        <w:spacing w:after="0" w:line="255" w:lineRule="auto"/>
        <w:rPr>
          <w:sz w:val="20"/>
          <w:szCs w:val="20"/>
          <w:color w:val="auto"/>
        </w:rPr>
      </w:pPr>
      <w:r>
        <w:rPr>
          <w:rFonts w:ascii="Times New Roman" w:cs="Times New Roman" w:eastAsia="Times New Roman" w:hAnsi="Times New Roman"/>
          <w:sz w:val="18"/>
          <w:szCs w:val="18"/>
          <w:color w:val="auto"/>
        </w:rPr>
        <w:t>Net revenue of the gamer and creator peripherals segment decreased $209.4 million, or 32.4%, in 2022 as compared to 2021. The decrease was primarily due to the decline in consumer demand in Europe due to the war between Russia and Ukraine, inflationary economic pressures and currency pressure from the strengthening of the U.S. dollar against the Euro and British Pound, causing some of our products to be more expensive in Europe. The decrease was also partly due to the easing of COVID-19 shelter-in-place restrictions resulting in more entertainment options becoming available, starting in the second half of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Components and Systems Segment</w:t>
      </w:r>
    </w:p>
    <w:p>
      <w:pPr>
        <w:spacing w:after="0" w:line="222" w:lineRule="exact"/>
        <w:rPr>
          <w:sz w:val="20"/>
          <w:szCs w:val="20"/>
          <w:color w:val="auto"/>
        </w:rPr>
      </w:pPr>
    </w:p>
    <w:p>
      <w:pPr>
        <w:ind w:right="100" w:firstLine="468"/>
        <w:spacing w:after="0" w:line="253" w:lineRule="auto"/>
        <w:rPr>
          <w:sz w:val="20"/>
          <w:szCs w:val="20"/>
          <w:color w:val="auto"/>
        </w:rPr>
      </w:pPr>
      <w:r>
        <w:rPr>
          <w:rFonts w:ascii="Times New Roman" w:cs="Times New Roman" w:eastAsia="Times New Roman" w:hAnsi="Times New Roman"/>
          <w:sz w:val="18"/>
          <w:szCs w:val="18"/>
          <w:color w:val="auto"/>
        </w:rPr>
        <w:t>Net revenue of the gaming components and systems segment decreased $319.6 million, or 25.4%, in 2022 as compared to 2021. The decrease was primarily driven by the decline in consumer demand in Europe due to the war between Russia and Ukraine and inflationary economic pressures. In addition, the decrease in 2022 net revenue was also attributable to the shortage of reasonably priced GPUs which curtailed the demand for new PC builds and its components, as well as supply and logistics constraints caused by the COVID-19 pandemic. The availability of reasonably priced GPUs began to normalize in the third quarter of 2022 and together with the new technology platforms launched by Nvidia, AMD and Intel during such period, led to an increase in demand for our components and systems products in the second half of 2022.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Gross Profit and Gross Margin</w:t>
      </w:r>
    </w:p>
    <w:p>
      <w:pPr>
        <w:spacing w:after="0" w:line="224" w:lineRule="exact"/>
        <w:rPr>
          <w:sz w:val="20"/>
          <w:szCs w:val="20"/>
          <w:color w:val="auto"/>
        </w:rPr>
      </w:pPr>
    </w:p>
    <w:p>
      <w:pPr>
        <w:ind w:right="260" w:firstLine="468"/>
        <w:spacing w:after="0" w:line="264" w:lineRule="auto"/>
        <w:rPr>
          <w:sz w:val="20"/>
          <w:szCs w:val="20"/>
          <w:color w:val="auto"/>
        </w:rPr>
      </w:pPr>
      <w:r>
        <w:rPr>
          <w:rFonts w:ascii="Times New Roman" w:cs="Times New Roman" w:eastAsia="Times New Roman" w:hAnsi="Times New Roman"/>
          <w:sz w:val="18"/>
          <w:szCs w:val="18"/>
          <w:color w:val="auto"/>
        </w:rPr>
        <w:t>The following table sets forth our gross profit expressed in dollars (thousands) and gross margin (which we define as gross profit as a percentage of net revenue) by segment:</w:t>
      </w:r>
    </w:p>
    <w:p>
      <w:pPr>
        <w:spacing w:after="0" w:line="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gridSpan w:val="3"/>
          </w:tcPr>
          <w:p>
            <w:pPr>
              <w:jc w:val="right"/>
              <w:ind w:right="40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gridSpan w:val="3"/>
          </w:tcPr>
          <w:p>
            <w:pPr>
              <w:jc w:val="right"/>
              <w:ind w:right="40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Gamer and Creator Peripherals Segment</w:t>
            </w:r>
          </w:p>
        </w:tc>
        <w:tc>
          <w:tcPr>
            <w:tcW w:w="32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125,079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28.6%</w:t>
            </w:r>
          </w:p>
        </w:tc>
        <w:tc>
          <w:tcPr>
            <w:tcW w:w="32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224,920</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Gaming Components and Systems Segment</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Memory Products</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75,236</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5"/>
              </w:rPr>
              <w:t>14.9</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108,901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5"/>
              </w:rPr>
              <w:t>17.8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7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Other Component Products</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96,317</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5"/>
              </w:rPr>
              <w:t>22.3</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180,033</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5"/>
              </w:rPr>
              <w:t>28.0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171,553</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5"/>
              </w:rPr>
              <w:t>18.3</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288,934</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5"/>
              </w:rPr>
              <w:t>23.0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Gross Profit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296,632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21.6%</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513,854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Gamer and Creator Peripherals Segment</w:t>
      </w:r>
    </w:p>
    <w:p>
      <w:pPr>
        <w:spacing w:after="0" w:line="116" w:lineRule="exact"/>
        <w:rPr>
          <w:sz w:val="20"/>
          <w:szCs w:val="20"/>
          <w:color w:val="auto"/>
        </w:rPr>
      </w:pPr>
    </w:p>
    <w:p>
      <w:pPr>
        <w:jc w:val="both"/>
        <w:ind w:right="180" w:firstLine="464"/>
        <w:spacing w:after="0" w:line="262" w:lineRule="auto"/>
        <w:rPr>
          <w:sz w:val="20"/>
          <w:szCs w:val="20"/>
          <w:color w:val="auto"/>
        </w:rPr>
      </w:pPr>
      <w:r>
        <w:rPr>
          <w:rFonts w:ascii="Times New Roman" w:cs="Times New Roman" w:eastAsia="Times New Roman" w:hAnsi="Times New Roman"/>
          <w:sz w:val="18"/>
          <w:szCs w:val="18"/>
          <w:color w:val="auto"/>
        </w:rPr>
        <w:t>The gross margin of the gamer and creator peripherals segment decreased 6.2% in 2022 as compared to 2021, primarily attributable to an increase in inventory impairment and related charges in 2022 due to the inventory rationalization plan to align our inventory balance with our revenue in 2022, as well as increased logistics costs and promotional activity, and increased amortization of intangible assets from the iDisplay acquisition.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Components and Systems Segment</w:t>
      </w:r>
    </w:p>
    <w:p>
      <w:pPr>
        <w:spacing w:after="0" w:line="116" w:lineRule="exact"/>
        <w:rPr>
          <w:sz w:val="20"/>
          <w:szCs w:val="20"/>
          <w:color w:val="auto"/>
        </w:rPr>
      </w:pPr>
    </w:p>
    <w:p>
      <w:pPr>
        <w:ind w:right="20" w:firstLine="468"/>
        <w:spacing w:after="0" w:line="262" w:lineRule="auto"/>
        <w:rPr>
          <w:sz w:val="20"/>
          <w:szCs w:val="20"/>
          <w:color w:val="auto"/>
        </w:rPr>
      </w:pPr>
      <w:r>
        <w:rPr>
          <w:rFonts w:ascii="Times New Roman" w:cs="Times New Roman" w:eastAsia="Times New Roman" w:hAnsi="Times New Roman"/>
          <w:sz w:val="18"/>
          <w:szCs w:val="18"/>
          <w:color w:val="auto"/>
        </w:rPr>
        <w:t>The gross margin of the gaming components and systems segment decreased 4.7% in 2022 as compared to 2021, primarily attributable to product mix, an increase in inventory impairment and related charges in 2022 due to the inventory rationalization plan to align our inventory balance with our revenue in 2022, as well as increased logistics costs and promotional activity.</w:t>
      </w:r>
    </w:p>
    <w:p>
      <w:pPr>
        <w:spacing w:after="0" w:line="137" w:lineRule="exact"/>
        <w:rPr>
          <w:sz w:val="20"/>
          <w:szCs w:val="20"/>
          <w:color w:val="auto"/>
        </w:rPr>
      </w:pPr>
    </w:p>
    <w:p>
      <w:pPr>
        <w:ind w:right="300" w:firstLine="468"/>
        <w:spacing w:after="0" w:line="277" w:lineRule="auto"/>
        <w:rPr>
          <w:sz w:val="20"/>
          <w:szCs w:val="20"/>
          <w:color w:val="auto"/>
        </w:rPr>
      </w:pPr>
      <w:r>
        <w:rPr>
          <w:rFonts w:ascii="Times New Roman" w:cs="Times New Roman" w:eastAsia="Times New Roman" w:hAnsi="Times New Roman"/>
          <w:sz w:val="18"/>
          <w:szCs w:val="18"/>
          <w:color w:val="auto"/>
        </w:rPr>
        <w:t>As risks and uncertainties related to macroeconomic conditions and the COVID-19 pandemic continue to evolve, our revenue and gross margin for both segments may continue to be negatively impacted.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8" w:lineRule="exact"/>
        <w:rPr>
          <w:sz w:val="20"/>
          <w:szCs w:val="20"/>
          <w:color w:val="auto"/>
        </w:rPr>
      </w:pPr>
    </w:p>
    <w:p>
      <w:pPr>
        <w:ind w:right="680" w:firstLine="468"/>
        <w:spacing w:after="0" w:line="277" w:lineRule="auto"/>
        <w:rPr>
          <w:sz w:val="20"/>
          <w:szCs w:val="20"/>
          <w:color w:val="auto"/>
        </w:rPr>
      </w:pPr>
      <w:r>
        <w:rPr>
          <w:rFonts w:ascii="Times New Roman" w:cs="Times New Roman" w:eastAsia="Times New Roman" w:hAnsi="Times New Roman"/>
          <w:sz w:val="18"/>
          <w:szCs w:val="18"/>
          <w:color w:val="auto"/>
        </w:rPr>
        <w:t>Our principal sources of liquidity have been the payments received from customers purchasing our products, the borrowings under our Credit Agreement (defined below) and the net proceeds we received from our underwritten public offerings.</w:t>
      </w:r>
    </w:p>
    <w:p>
      <w:pPr>
        <w:spacing w:after="0" w:line="57" w:lineRule="exact"/>
        <w:rPr>
          <w:sz w:val="20"/>
          <w:szCs w:val="20"/>
          <w:color w:val="auto"/>
        </w:rPr>
      </w:pPr>
    </w:p>
    <w:p>
      <w:pPr>
        <w:ind w:right="40" w:firstLine="468"/>
        <w:spacing w:after="0" w:line="257" w:lineRule="auto"/>
        <w:rPr>
          <w:sz w:val="20"/>
          <w:szCs w:val="20"/>
          <w:color w:val="auto"/>
        </w:rPr>
      </w:pPr>
      <w:r>
        <w:rPr>
          <w:rFonts w:ascii="Times New Roman" w:cs="Times New Roman" w:eastAsia="Times New Roman" w:hAnsi="Times New Roman"/>
          <w:sz w:val="18"/>
          <w:szCs w:val="18"/>
          <w:color w:val="auto"/>
        </w:rPr>
        <w:t>On September 29, 2022, one of our subsidiaries entered into an accounts receivable Factoring Agreement with a third-party financial institution, or the Factor. Pursuant to the terms of the arrangement, we sell certain of our customer receivables on a non-recourse basis to the Factor. Our obligations to the Factor, related to advances from the Factor, are secured by certain assets of our subsidiary. The cost of factoring is not expected to have a material effect to our overall liquidity, financial condition or results of operations.</w:t>
      </w:r>
    </w:p>
    <w:p>
      <w:pPr>
        <w:spacing w:after="0" w:line="75" w:lineRule="exact"/>
        <w:rPr>
          <w:sz w:val="20"/>
          <w:szCs w:val="20"/>
          <w:color w:val="auto"/>
        </w:rPr>
      </w:pPr>
    </w:p>
    <w:p>
      <w:pPr>
        <w:ind w:right="60" w:firstLine="468"/>
        <w:spacing w:after="0" w:line="262" w:lineRule="auto"/>
        <w:rPr>
          <w:sz w:val="20"/>
          <w:szCs w:val="20"/>
          <w:color w:val="auto"/>
        </w:rPr>
      </w:pPr>
      <w:r>
        <w:rPr>
          <w:rFonts w:ascii="Times New Roman" w:cs="Times New Roman" w:eastAsia="Times New Roman" w:hAnsi="Times New Roman"/>
          <w:sz w:val="18"/>
          <w:szCs w:val="18"/>
          <w:color w:val="auto"/>
        </w:rPr>
        <w:t>Our principal uses of cash generally will include purchases of inventory, payroll and other operating expenses related to the development and marketing of our products, capital expenditure, repayments of debt and related interest, income tax payments, future investments in business and technology, and selective mergers and acquisitions.</w:t>
      </w:r>
    </w:p>
    <w:p>
      <w:pPr>
        <w:spacing w:after="0" w:line="70" w:lineRule="exact"/>
        <w:rPr>
          <w:sz w:val="20"/>
          <w:szCs w:val="20"/>
          <w:color w:val="auto"/>
        </w:rPr>
      </w:pPr>
    </w:p>
    <w:p>
      <w:pPr>
        <w:ind w:right="80" w:firstLine="468"/>
        <w:spacing w:after="0" w:line="255" w:lineRule="auto"/>
        <w:rPr>
          <w:sz w:val="20"/>
          <w:szCs w:val="20"/>
          <w:color w:val="auto"/>
        </w:rPr>
      </w:pPr>
      <w:r>
        <w:rPr>
          <w:rFonts w:ascii="Times New Roman" w:cs="Times New Roman" w:eastAsia="Times New Roman" w:hAnsi="Times New Roman"/>
          <w:sz w:val="18"/>
          <w:szCs w:val="18"/>
          <w:color w:val="auto"/>
        </w:rPr>
        <w:t>As of December 31, 2022, we had cash and restricted cash, in aggregate of $154.1 million, including $15.6 million held by our foreign subsidiaries. Amounts held outside of the United States are generally utilized to support our non-U.S. liquidity needs. Repatriations of amounts held outside the United States generally will not be taxable from a U.S. federal tax perspective but may be subject to state income or foreign withholding tax. We do not expect restrictions or potential taxes incurred on repatriation of amounts held outside of the United States to have a material effect on our overall liquidity, financial condition or results of operations.</w:t>
      </w:r>
    </w:p>
    <w:p>
      <w:pPr>
        <w:spacing w:after="0" w:line="76" w:lineRule="exact"/>
        <w:rPr>
          <w:sz w:val="20"/>
          <w:szCs w:val="20"/>
          <w:color w:val="auto"/>
        </w:rPr>
      </w:pPr>
    </w:p>
    <w:p>
      <w:pPr>
        <w:ind w:right="40" w:firstLine="468"/>
        <w:spacing w:after="0" w:line="252" w:lineRule="auto"/>
        <w:rPr>
          <w:sz w:val="20"/>
          <w:szCs w:val="20"/>
          <w:color w:val="auto"/>
        </w:rPr>
      </w:pPr>
      <w:r>
        <w:rPr>
          <w:rFonts w:ascii="Times New Roman" w:cs="Times New Roman" w:eastAsia="Times New Roman" w:hAnsi="Times New Roman"/>
          <w:sz w:val="18"/>
          <w:szCs w:val="18"/>
          <w:color w:val="auto"/>
        </w:rPr>
        <w:t>We believe that the anticipated cash flows from operations based on our current business outlook, combined with our current levels of cash balances at December 31, 2022, supplemented with the borrowings under our Revolving Credit Facility will be sufficient to fund our principal uses of cash for at least the next twelve months. In the longer term, liquidity will depend to a great extent on our future revenues and our ability to appropriately manage our costs based on the demand for our products. We may require additional funding and need or choose to raise the required funds through borrowings or public or private sales of debt or equity securities.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There can be no assurance that any such equity or debt financing will be available on favorable terms,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color w:val="auto"/>
        </w:rPr>
        <w:t>at all. Our liquidity is subject to various risks including the risks identified in the section titled “Risk Factors” in Item 1A and market risks identified in the section titled “Quantitative and Qualitative Disclosures about Market Risk” in Item 7A, each of which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36"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5"/>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7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66,389</w:t>
            </w:r>
          </w:p>
        </w:tc>
        <w:tc>
          <w:tcPr>
            <w:tcW w:w="18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(47,034)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(20,541)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(65,404)</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6" w:lineRule="exact"/>
        <w:rPr>
          <w:sz w:val="20"/>
          <w:szCs w:val="20"/>
          <w:color w:val="auto"/>
        </w:rPr>
      </w:pPr>
    </w:p>
    <w:p>
      <w:pPr>
        <w:ind w:right="100" w:firstLine="468"/>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2022 was $66.4 million and consisted of non-cash adjustments of $58.8 million and a net cash inflow of $61.5 million from changes in our net operating assets and liabilities, offset partially by a net loss of $53.9 million. The non-cash adjustments consisted primarily of amortization of intangibles and depreciation and stock-based compensation expense, which were partially offset by changes in deferred income taxes. The net cash inflow from changes in our net operating assets and liabilities was primarily related to a decrease in inventory purchases and decrease in account receivables. These cash inflows were partially offset by a decrease in accounts payable mainly due to timing of payments and purchases as well as a decrease in the accrual for sales returns, customer incentives, freight costs and bonus expenses.</w:t>
      </w:r>
    </w:p>
    <w:p>
      <w:pPr>
        <w:spacing w:after="0" w:line="80" w:lineRule="exact"/>
        <w:rPr>
          <w:sz w:val="20"/>
          <w:szCs w:val="20"/>
          <w:color w:val="auto"/>
        </w:rPr>
      </w:pPr>
    </w:p>
    <w:p>
      <w:pPr>
        <w:ind w:right="20" w:firstLine="468"/>
        <w:spacing w:after="0" w:line="252" w:lineRule="auto"/>
        <w:rPr>
          <w:sz w:val="20"/>
          <w:szCs w:val="20"/>
          <w:color w:val="auto"/>
        </w:rPr>
      </w:pPr>
      <w:r>
        <w:rPr>
          <w:rFonts w:ascii="Times New Roman" w:cs="Times New Roman" w:eastAsia="Times New Roman" w:hAnsi="Times New Roman"/>
          <w:sz w:val="18"/>
          <w:szCs w:val="18"/>
          <w:color w:val="auto"/>
        </w:rPr>
        <w:t>Net cash provided by operating activities for 2021 was $20.2 million and consisted of net income of $101.0 million and non-cash adjustments of $60.0 million, offset partially by a net use of cash of $140.8 million from changes in our net operating assets and liabilities. The non-cash adjustments consisted primarily of amortization of intangibles and depreciation, stock-based compensation expense, loss on debt extinguishment and amortization of debt issuance costs, which were partially offset by changes in deferred income taxes. The net cash outflow from changes in our net operating assets and liabilities was primarily related to increases in inventory purchases and income tax prepayment for our Hong Kong subsidiary, as well as a decrease in accounts payable mainly due to timing of payments and purchases. These cash outflows were partially offset by increases in the accrual for sales returns and customer incentives, income tax payable and bonus accrual.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6" w:lineRule="exact"/>
        <w:rPr>
          <w:sz w:val="20"/>
          <w:szCs w:val="20"/>
          <w:color w:val="auto"/>
        </w:rPr>
      </w:pPr>
    </w:p>
    <w:p>
      <w:pPr>
        <w:ind w:right="80" w:firstLine="468"/>
        <w:spacing w:after="0" w:line="262" w:lineRule="auto"/>
        <w:rPr>
          <w:sz w:val="20"/>
          <w:szCs w:val="20"/>
          <w:color w:val="auto"/>
        </w:rPr>
      </w:pPr>
      <w:r>
        <w:rPr>
          <w:rFonts w:ascii="Times New Roman" w:cs="Times New Roman" w:eastAsia="Times New Roman" w:hAnsi="Times New Roman"/>
          <w:sz w:val="18"/>
          <w:szCs w:val="18"/>
          <w:color w:val="auto"/>
        </w:rPr>
        <w:t>Cash used in investing activities was $47.0 million for 2022 and consisted of $26.3 million capital expenditure including renovation and furnishing of our new headquarters in Milpitas, California, as well as purchases of equipment and software, $19.5 million for the iDisplay acquisition (net of cash acquired), and $1.0 million for the investment in an available-for-sale convertible note.</w:t>
      </w:r>
    </w:p>
    <w:p>
      <w:pPr>
        <w:spacing w:after="0" w:line="70" w:lineRule="exact"/>
        <w:rPr>
          <w:sz w:val="20"/>
          <w:szCs w:val="20"/>
          <w:color w:val="auto"/>
        </w:rPr>
      </w:pPr>
    </w:p>
    <w:p>
      <w:pPr>
        <w:ind w:right="240" w:firstLine="468"/>
        <w:spacing w:after="0" w:line="262" w:lineRule="auto"/>
        <w:rPr>
          <w:sz w:val="20"/>
          <w:szCs w:val="20"/>
          <w:color w:val="auto"/>
        </w:rPr>
      </w:pPr>
      <w:r>
        <w:rPr>
          <w:rFonts w:ascii="Times New Roman" w:cs="Times New Roman" w:eastAsia="Times New Roman" w:hAnsi="Times New Roman"/>
          <w:sz w:val="18"/>
          <w:szCs w:val="18"/>
          <w:color w:val="auto"/>
        </w:rPr>
        <w:t>Cash used in investing activities was $20.5 million for 2021 and consisted of $11.0 million for the purchase of capital equipment and software, $4.7 million for the payment of deferred and contingent consideration primarily related to the Origin business acquisition, and $4.8 million for acquisitions of immaterial businesses.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6" w:lineRule="exact"/>
        <w:rPr>
          <w:sz w:val="20"/>
          <w:szCs w:val="20"/>
          <w:color w:val="auto"/>
        </w:rPr>
      </w:pPr>
    </w:p>
    <w:p>
      <w:pPr>
        <w:ind w:right="40" w:firstLine="468"/>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was $72.6 million for 2022 and consisted primarily of $81.7 million net proceeds from the issuance of common stock in connection with our underwritten public offering in the fourth quarter of 2022 pursuant to the 2022 Shelf Registration Statement, and $7.0 million proceeds received from the issuance of shares through our employee equity incentive plans. These cash inflows were partially offset by $9.5 million repayment of debt and debt issuance costs, $4.3 million payment of dividends to noncontrolling interest, $1.5 million payment of taxes related to net share settlement of equity awards and $0.4 million for the payment of contingent consideration. During 2022, we also borrowed $701.5 million from our revolving credit facility to fund our operations, and the full amount was repaid in 2022.</w:t>
      </w:r>
    </w:p>
    <w:p>
      <w:pPr>
        <w:spacing w:after="0" w:line="80" w:lineRule="exact"/>
        <w:rPr>
          <w:sz w:val="20"/>
          <w:szCs w:val="20"/>
          <w:color w:val="auto"/>
        </w:rPr>
      </w:pPr>
    </w:p>
    <w:p>
      <w:pPr>
        <w:ind w:right="320" w:firstLine="468"/>
        <w:spacing w:after="0" w:line="257" w:lineRule="auto"/>
        <w:rPr>
          <w:sz w:val="20"/>
          <w:szCs w:val="20"/>
          <w:color w:val="auto"/>
        </w:rPr>
      </w:pPr>
      <w:r>
        <w:rPr>
          <w:rFonts w:ascii="Times New Roman" w:cs="Times New Roman" w:eastAsia="Times New Roman" w:hAnsi="Times New Roman"/>
          <w:sz w:val="18"/>
          <w:szCs w:val="18"/>
          <w:color w:val="auto"/>
        </w:rPr>
        <w:t>Net cash used in financing activities was $65.4 million for 2021 and consisted primarily of $328.2 million repayments of debt and $0.4 million payment of taxes related to net share settlement of equity awards. These cash outflows were partially offset by $248.5 million net proceeds from our new Term Loan executed in September 2021 and $14.9 million proceeds received from the issuance of shares through our employee equity incentive plans. During 2021, we also borrowed $63.5 million from our revolving credit facility to fund our operations and the full amount was repaid in 2021.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(Term Loan and Revolving Credit Facility)</w:t>
      </w:r>
    </w:p>
    <w:p>
      <w:pPr>
        <w:spacing w:after="0" w:line="116" w:lineRule="exact"/>
        <w:rPr>
          <w:sz w:val="20"/>
          <w:szCs w:val="20"/>
          <w:color w:val="auto"/>
        </w:rPr>
      </w:pPr>
    </w:p>
    <w:p>
      <w:pPr>
        <w:ind w:right="40" w:firstLine="468"/>
        <w:spacing w:after="0" w:line="257" w:lineRule="auto"/>
        <w:rPr>
          <w:sz w:val="20"/>
          <w:szCs w:val="20"/>
          <w:color w:val="auto"/>
        </w:rPr>
      </w:pPr>
      <w:r>
        <w:rPr>
          <w:rFonts w:ascii="Times New Roman" w:cs="Times New Roman" w:eastAsia="Times New Roman" w:hAnsi="Times New Roman"/>
          <w:sz w:val="18"/>
          <w:szCs w:val="18"/>
          <w:color w:val="auto"/>
        </w:rPr>
        <w:t>On September 3, 2021, we refinanced the First Lien Credit and Guaranty Agreement with a new Credit Agreement (“Credit Agreement”). The new Credit Agreement provides for a total commitment of $350.0 million, consisting of a $100.0 million revolving credit facility (“Revolving Credit Facility”) and a $250.0 million term loan facility (“Term Loan”). The net proceeds from borrowings under the Term Loan of $248.5 million (net of $1.5 million of debt discount) were used to repay all amounts outstanding under the First Lien Term Loan on September 3, 2021.</w:t>
      </w:r>
    </w:p>
    <w:p>
      <w:pPr>
        <w:spacing w:after="0" w:line="75" w:lineRule="exact"/>
        <w:rPr>
          <w:sz w:val="20"/>
          <w:szCs w:val="20"/>
          <w:color w:val="auto"/>
        </w:rPr>
      </w:pPr>
    </w:p>
    <w:p>
      <w:pPr>
        <w:ind w:right="180" w:firstLine="468"/>
        <w:spacing w:after="0" w:line="262" w:lineRule="auto"/>
        <w:rPr>
          <w:sz w:val="20"/>
          <w:szCs w:val="20"/>
          <w:color w:val="auto"/>
        </w:rPr>
      </w:pPr>
      <w:r>
        <w:rPr>
          <w:rFonts w:ascii="Times New Roman" w:cs="Times New Roman" w:eastAsia="Times New Roman" w:hAnsi="Times New Roman"/>
          <w:sz w:val="18"/>
          <w:szCs w:val="18"/>
          <w:color w:val="auto"/>
        </w:rPr>
        <w:t>The Credit Agreement is available for a period of five years, maturing September 2026, and provides for additional incremental facilities up to a maximum aggregate principal amount of $250.0 million, subject to the satisfaction of certain conditions. We may prepay the Term Loan and the Revolving Facility at any time without premium or penalty.</w:t>
      </w:r>
    </w:p>
    <w:p>
      <w:pPr>
        <w:spacing w:after="0" w:line="70" w:lineRule="exact"/>
        <w:rPr>
          <w:sz w:val="20"/>
          <w:szCs w:val="20"/>
          <w:color w:val="auto"/>
        </w:rPr>
      </w:pPr>
    </w:p>
    <w:p>
      <w:pPr>
        <w:ind w:right="40" w:firstLine="468"/>
        <w:spacing w:after="0" w:line="257" w:lineRule="auto"/>
        <w:rPr>
          <w:sz w:val="20"/>
          <w:szCs w:val="20"/>
          <w:color w:val="auto"/>
        </w:rPr>
      </w:pPr>
      <w:r>
        <w:rPr>
          <w:rFonts w:ascii="Times New Roman" w:cs="Times New Roman" w:eastAsia="Times New Roman" w:hAnsi="Times New Roman"/>
          <w:sz w:val="18"/>
          <w:szCs w:val="18"/>
          <w:color w:val="auto"/>
        </w:rPr>
        <w:t>The Term Loan and Revolving Credit Facility under the Credit Agreement will each bear interest at our election,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total net leverage ratio.</w:t>
      </w:r>
    </w:p>
    <w:p>
      <w:pPr>
        <w:spacing w:after="0" w:line="75" w:lineRule="exact"/>
        <w:rPr>
          <w:sz w:val="20"/>
          <w:szCs w:val="20"/>
          <w:color w:val="auto"/>
        </w:rPr>
      </w:pPr>
    </w:p>
    <w:p>
      <w:pPr>
        <w:ind w:right="300" w:firstLine="468"/>
        <w:spacing w:after="0" w:line="262"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70" w:lineRule="exact"/>
        <w:rPr>
          <w:sz w:val="20"/>
          <w:szCs w:val="20"/>
          <w:color w:val="auto"/>
        </w:rPr>
      </w:pPr>
    </w:p>
    <w:p>
      <w:pPr>
        <w:ind w:firstLine="468"/>
        <w:spacing w:after="0" w:line="251" w:lineRule="auto"/>
        <w:rPr>
          <w:sz w:val="20"/>
          <w:szCs w:val="20"/>
          <w:color w:val="auto"/>
        </w:rPr>
      </w:pPr>
      <w:r>
        <w:rPr>
          <w:rFonts w:ascii="Times New Roman" w:cs="Times New Roman" w:eastAsia="Times New Roman" w:hAnsi="Times New Roman"/>
          <w:sz w:val="18"/>
          <w:szCs w:val="18"/>
          <w:color w:val="auto"/>
        </w:rPr>
        <w:t>On June 30, 2022, we entered into a First Amendment of the Credit Agreement (“First Amendment”) which, among other changes, resulted in the Bloomberg Short-Term Bank Yield Index rate (“BSBY”) being utilized as a replacement rate for LIBOR. Consequently, following the First Amendment, the Term Loan and Revolving Facility will each bear interest at our election at either (a)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In addition, pursuant to the First Amendment, the maximum permitted Consolidated Total Net Leverage Ratio (as defined in the Credit Agreement) was also amended to increase to 3.50 to 1.0 between the quarters ending September 30, 2022 through and including March 31, 2023, and such ratio will revert to 3.00 to 1.00 from the quarter ended June 30, 2023 and each quarter thereafter; provided, that upon the occurrence of a Qualified Acquisition (as defined in the Credit Agreement), such ratio can be increased to 3.50 to 1.0 temporarily provided all the requirements set forth in the Credit Agreement are met.</w:t>
      </w:r>
    </w:p>
    <w:p>
      <w:pPr>
        <w:spacing w:after="0" w:line="82" w:lineRule="exact"/>
        <w:rPr>
          <w:sz w:val="20"/>
          <w:szCs w:val="20"/>
          <w:color w:val="auto"/>
        </w:rPr>
      </w:pPr>
    </w:p>
    <w:p>
      <w:pPr>
        <w:ind w:right="20" w:firstLine="468"/>
        <w:spacing w:after="0" w:line="257" w:lineRule="auto"/>
        <w:rPr>
          <w:sz w:val="20"/>
          <w:szCs w:val="20"/>
          <w:color w:val="auto"/>
        </w:rPr>
      </w:pPr>
      <w:r>
        <w:rPr>
          <w:rFonts w:ascii="Times New Roman" w:cs="Times New Roman" w:eastAsia="Times New Roman" w:hAnsi="Times New Roman"/>
          <w:sz w:val="18"/>
          <w:szCs w:val="18"/>
          <w:color w:val="auto"/>
        </w:rPr>
        <w:t>On September 29, 2022, we entered into an accounts receivable Factoring Agreement with the Factor. In connection with the Factoring Agreement, we also entered into (i) a Second Amendment (“Second Amendment”) to the Credit Agreement to permit the transactions contemplated by the Factoring Agreement and (ii) an Assignment of Factoring Proceeds and Intercreditor Agreement with the Factor and the administrative agent under the Credit Agreement to establish the respective rights of the Factor and the Credit Agreement Agent in and to the related factoring collateral.</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On November 28, 2022, we entered into a Third Amendment (“Third Amendment”) to the Credit Agreement which provides for, among other things:</w:t>
      </w:r>
    </w:p>
    <w:p>
      <w:pPr>
        <w:spacing w:after="0" w:line="37" w:lineRule="exact"/>
        <w:rPr>
          <w:sz w:val="20"/>
          <w:szCs w:val="20"/>
          <w:color w:val="auto"/>
        </w:rPr>
      </w:pPr>
    </w:p>
    <w:p>
      <w:pPr>
        <w:ind w:right="120" w:firstLine="7"/>
        <w:spacing w:after="0" w:line="249" w:lineRule="auto"/>
        <w:tabs>
          <w:tab w:leader="none" w:pos="2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required minimum Consolidated Interest Coverage Ratio (as defined in the Credit Agreement) to 2.50 to 1.00 for the quarters ending on and after March 31, 2023 through and including December 31, 2023; (ii) an increase in the maximum permitted Consolidated Total Net Leverage Ratio (as defined in the Credit Agreement) to 3.75 to 1.00 for the quarters ending December 31, 2022 and March 31, 2023, stepping down to 3.50 to 1.00 for the quarter ending June 30, 2023, and 3.25 to 1.00 for the quarters ending September 30, 2023 and December 31, 2023; and (iii) a modified pricing grid providing for an increased margin (ranging from (x) 1.50% per annum to 3.25% per annum for loans bearing interest at the Bloomberg Short-Term</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920"/>
        <w:spacing w:after="0" w:line="277" w:lineRule="auto"/>
        <w:rPr>
          <w:sz w:val="20"/>
          <w:szCs w:val="20"/>
          <w:color w:val="auto"/>
        </w:rPr>
      </w:pPr>
      <w:r>
        <w:rPr>
          <w:rFonts w:ascii="Times New Roman" w:cs="Times New Roman" w:eastAsia="Times New Roman" w:hAnsi="Times New Roman"/>
          <w:sz w:val="18"/>
          <w:szCs w:val="18"/>
          <w:color w:val="auto"/>
        </w:rPr>
        <w:t>Bank Yield (BSBY) rate, and (y) 0.50% per annum to 2.25% per annum for loans bearing interest at the base rate, in each case depending on our Consolidated Total Net Leverage Ratio) for the period of December 31, 2022 through December 31, 2023.</w:t>
      </w:r>
    </w:p>
    <w:p>
      <w:pPr>
        <w:spacing w:after="0" w:line="57" w:lineRule="exact"/>
        <w:rPr>
          <w:sz w:val="20"/>
          <w:szCs w:val="20"/>
          <w:color w:val="auto"/>
        </w:rPr>
      </w:pPr>
    </w:p>
    <w:p>
      <w:pPr>
        <w:ind w:right="120" w:firstLine="468"/>
        <w:spacing w:after="0" w:line="277" w:lineRule="auto"/>
        <w:rPr>
          <w:sz w:val="20"/>
          <w:szCs w:val="20"/>
          <w:color w:val="auto"/>
        </w:rPr>
      </w:pPr>
      <w:r>
        <w:rPr>
          <w:rFonts w:ascii="Times New Roman" w:cs="Times New Roman" w:eastAsia="Times New Roman" w:hAnsi="Times New Roman"/>
          <w:sz w:val="18"/>
          <w:szCs w:val="18"/>
          <w:color w:val="auto"/>
        </w:rPr>
        <w:t>As of December 31, 2022, we were not in default under the Credit Agreement, and the total principal outstanding of the Term Loan was $240 million and the available and uncommitted capacity under the Revolving Credit Facility was $100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Cash and Other Obligations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contractual cash and other obligations as of December 31, 2022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840" w:type="dxa"/>
            <w:vAlign w:val="bottom"/>
          </w:tcPr>
          <w:p>
            <w:pPr>
              <w:jc w:val="right"/>
              <w:ind w:right="115"/>
              <w:spacing w:after="0" w:line="12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15"/>
              <w:spacing w:after="0" w:line="129" w:lineRule="exact"/>
              <w:rPr>
                <w:sz w:val="20"/>
                <w:szCs w:val="20"/>
                <w:color w:val="auto"/>
              </w:rPr>
            </w:pPr>
            <w:r>
              <w:rPr>
                <w:rFonts w:ascii="Times New Roman" w:cs="Times New Roman" w:eastAsia="Times New Roman" w:hAnsi="Times New Roman"/>
                <w:sz w:val="14"/>
                <w:szCs w:val="14"/>
                <w:b w:val="1"/>
                <w:bCs w:val="1"/>
                <w:color w:val="auto"/>
              </w:rPr>
              <w:t>1-3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35"/>
              <w:spacing w:after="0" w:line="129" w:lineRule="exact"/>
              <w:rPr>
                <w:sz w:val="20"/>
                <w:szCs w:val="20"/>
                <w:color w:val="auto"/>
              </w:rPr>
            </w:pPr>
            <w:r>
              <w:rPr>
                <w:rFonts w:ascii="Times New Roman" w:cs="Times New Roman" w:eastAsia="Times New Roman" w:hAnsi="Times New Roman"/>
                <w:sz w:val="14"/>
                <w:szCs w:val="14"/>
                <w:b w:val="1"/>
                <w:bCs w:val="1"/>
                <w:color w:val="auto"/>
              </w:rPr>
              <w:t>3-5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Debt principal and interest payments </w:t>
            </w:r>
            <w:r>
              <w:rPr>
                <w:rFonts w:ascii="Times New Roman" w:cs="Times New Roman" w:eastAsia="Times New Roman" w:hAnsi="Times New Roman"/>
                <w:sz w:val="15"/>
                <w:szCs w:val="15"/>
                <w:color w:val="auto"/>
              </w:rPr>
              <w:t>(1)</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289,303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23,457</w:t>
            </w:r>
          </w:p>
        </w:tc>
        <w:tc>
          <w:tcPr>
            <w:tcW w:w="440" w:type="dxa"/>
            <w:vAlign w:val="bottom"/>
            <w:gridSpan w:val="3"/>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50,298</w:t>
            </w:r>
          </w:p>
        </w:tc>
        <w:tc>
          <w:tcPr>
            <w:tcW w:w="4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215,548</w:t>
            </w:r>
          </w:p>
        </w:tc>
        <w:tc>
          <w:tcPr>
            <w:tcW w:w="2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Inventory-related purchase obligations </w:t>
            </w:r>
            <w:r>
              <w:rPr>
                <w:rFonts w:ascii="Times New Roman" w:cs="Times New Roman" w:eastAsia="Times New Roman" w:hAnsi="Times New Roman"/>
                <w:sz w:val="15"/>
                <w:szCs w:val="15"/>
                <w:color w:val="auto"/>
              </w:rPr>
              <w:t>(2)</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103,401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15"/>
                <w:szCs w:val="15"/>
                <w:color w:val="auto"/>
              </w:rPr>
              <w:t>(3)</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67,723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purchase obligations </w:t>
            </w:r>
            <w:r>
              <w:rPr>
                <w:rFonts w:ascii="Times New Roman" w:cs="Times New Roman" w:eastAsia="Times New Roman" w:hAnsi="Times New Roman"/>
                <w:sz w:val="15"/>
                <w:szCs w:val="15"/>
                <w:color w:val="auto"/>
              </w:rPr>
              <w:t>(4)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in connection with a business acquisition</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474,167</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151,147</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71,863</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227,563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380" w:right="20" w:hanging="373"/>
        <w:spacing w:after="0" w:line="266" w:lineRule="auto"/>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principal cash payments as of December 31, 2022, of our Term Loan based on the repayment schedule according to the Credit Agreement and the expected interest payments associated with the Term Loan. See Note 8 “Debt” to our consolidated financial statements for more information.</w:t>
      </w:r>
    </w:p>
    <w:p>
      <w:pPr>
        <w:spacing w:after="0" w:line="1" w:lineRule="exact"/>
        <w:rPr>
          <w:rFonts w:ascii="Times New Roman" w:cs="Times New Roman" w:eastAsia="Times New Roman" w:hAnsi="Times New Roman"/>
          <w:sz w:val="16"/>
          <w:szCs w:val="16"/>
          <w:color w:val="auto"/>
        </w:rPr>
      </w:pPr>
    </w:p>
    <w:p>
      <w:pPr>
        <w:ind w:left="380" w:hanging="373"/>
        <w:spacing w:after="0"/>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an estimate of purchase obligations related to inventory.</w:t>
      </w:r>
    </w:p>
    <w:p>
      <w:pPr>
        <w:spacing w:after="0" w:line="16" w:lineRule="exact"/>
        <w:rPr>
          <w:rFonts w:ascii="Times New Roman" w:cs="Times New Roman" w:eastAsia="Times New Roman" w:hAnsi="Times New Roman"/>
          <w:sz w:val="16"/>
          <w:szCs w:val="16"/>
          <w:color w:val="auto"/>
        </w:rPr>
      </w:pPr>
    </w:p>
    <w:p>
      <w:pPr>
        <w:ind w:left="380" w:hanging="373"/>
        <w:spacing w:after="0"/>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contractual obligations from our operating leases for offices and warehouse spaces.</w:t>
      </w:r>
    </w:p>
    <w:p>
      <w:pPr>
        <w:spacing w:after="0" w:line="16" w:lineRule="exact"/>
        <w:rPr>
          <w:rFonts w:ascii="Times New Roman" w:cs="Times New Roman" w:eastAsia="Times New Roman" w:hAnsi="Times New Roman"/>
          <w:sz w:val="16"/>
          <w:szCs w:val="16"/>
          <w:color w:val="auto"/>
        </w:rPr>
      </w:pPr>
    </w:p>
    <w:p>
      <w:pPr>
        <w:ind w:left="380" w:hanging="373"/>
        <w:spacing w:after="0"/>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non-cancelable obligations related to capital expenditures, software licenses, marketing and other activities.</w:t>
      </w:r>
    </w:p>
    <w:p>
      <w:pPr>
        <w:spacing w:after="0" w:line="110" w:lineRule="exact"/>
        <w:rPr>
          <w:sz w:val="20"/>
          <w:szCs w:val="20"/>
          <w:color w:val="auto"/>
        </w:rPr>
      </w:pPr>
    </w:p>
    <w:p>
      <w:pPr>
        <w:ind w:right="160" w:firstLine="468"/>
        <w:spacing w:after="0" w:line="262" w:lineRule="auto"/>
        <w:rPr>
          <w:sz w:val="20"/>
          <w:szCs w:val="20"/>
          <w:color w:val="auto"/>
        </w:rPr>
      </w:pPr>
      <w:r>
        <w:rPr>
          <w:rFonts w:ascii="Times New Roman" w:cs="Times New Roman" w:eastAsia="Times New Roman" w:hAnsi="Times New Roman"/>
          <w:sz w:val="18"/>
          <w:szCs w:val="18"/>
          <w:color w:val="auto"/>
        </w:rPr>
        <w:t>As of December 31, 2022, we had $2.6 million in non-current income tax payable, including interest and penalties, related to our income tax liability for uncertain tax positions. At this time, we are unable to make a reasonably reliable estimate of the timing of payments in individual years in connection with these tax liabilities; therefore, such amounts are not included in the contractual cash obligation table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Polices and Estimates</w:t>
      </w:r>
    </w:p>
    <w:p>
      <w:pPr>
        <w:spacing w:after="0" w:line="118" w:lineRule="exact"/>
        <w:rPr>
          <w:sz w:val="20"/>
          <w:szCs w:val="20"/>
          <w:color w:val="auto"/>
        </w:rPr>
      </w:pPr>
    </w:p>
    <w:p>
      <w:pPr>
        <w:ind w:right="240" w:firstLine="468"/>
        <w:spacing w:after="0" w:line="252" w:lineRule="auto"/>
        <w:rPr>
          <w:sz w:val="20"/>
          <w:szCs w:val="20"/>
          <w:color w:val="auto"/>
        </w:rPr>
      </w:pPr>
      <w:r>
        <w:rPr>
          <w:rFonts w:ascii="Times New Roman" w:cs="Times New Roman" w:eastAsia="Times New Roman" w:hAnsi="Times New Roman"/>
          <w:sz w:val="18"/>
          <w:szCs w:val="18"/>
          <w:color w:val="auto"/>
        </w:rPr>
        <w:t>A critical accounting policy is defined as one that has both a material impact on our financial condition and results of operations and requires us to make difficult, complex and/or subjective judgments, often as a result of the need to make estimates about matters that are inherently uncertain. Our consolidated financial statements are prepared in accordance with U.S. Generally Accepted Accounting Principles (“GAAP”), which requires us to make estimates, judgments and assumptions that affect the reported amounts of assets and liabilities and the disclosure of contingent liabilities at the date of the consolidated financial statements, as well as the reported amounts of revenue and expenses during the reporting periods. Our estimates are based on our historical experience and on various other factors that we believe to be applicable and evaluate them on an ongoing basis to ensure they remain reasonable under current conditions. Actual results may differ significantly from those estimates, which could have a material impact on our business, results of operations, and financial condition.</w:t>
      </w:r>
    </w:p>
    <w:p>
      <w:pPr>
        <w:spacing w:after="0" w:line="185" w:lineRule="exact"/>
        <w:rPr>
          <w:sz w:val="20"/>
          <w:szCs w:val="20"/>
          <w:color w:val="auto"/>
        </w:rPr>
      </w:pPr>
    </w:p>
    <w:p>
      <w:pPr>
        <w:ind w:right="220" w:firstLine="468"/>
        <w:spacing w:after="0" w:line="277" w:lineRule="auto"/>
        <w:rPr>
          <w:sz w:val="20"/>
          <w:szCs w:val="20"/>
          <w:color w:val="auto"/>
        </w:rPr>
      </w:pPr>
      <w:r>
        <w:rPr>
          <w:rFonts w:ascii="Times New Roman" w:cs="Times New Roman" w:eastAsia="Times New Roman" w:hAnsi="Times New Roman"/>
          <w:sz w:val="18"/>
          <w:szCs w:val="18"/>
          <w:color w:val="auto"/>
        </w:rPr>
        <w:t>We believe the accounting policies below are critical in the portrayal of our financial condition and results of operations, and involve management’s most difficult, subjective, or complex judgments.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Accruals for Product Returns and Customer Incentive Programs</w:t>
      </w:r>
    </w:p>
    <w:p>
      <w:pPr>
        <w:spacing w:after="0" w:line="224" w:lineRule="exact"/>
        <w:rPr>
          <w:sz w:val="20"/>
          <w:szCs w:val="20"/>
          <w:color w:val="auto"/>
        </w:rPr>
      </w:pPr>
    </w:p>
    <w:p>
      <w:pPr>
        <w:ind w:right="420" w:firstLine="468"/>
        <w:spacing w:after="0" w:line="277" w:lineRule="auto"/>
        <w:rPr>
          <w:sz w:val="20"/>
          <w:szCs w:val="20"/>
          <w:color w:val="auto"/>
        </w:rPr>
      </w:pPr>
      <w:r>
        <w:rPr>
          <w:rFonts w:ascii="Times New Roman" w:cs="Times New Roman" w:eastAsia="Times New Roman" w:hAnsi="Times New Roman"/>
          <w:sz w:val="18"/>
          <w:szCs w:val="18"/>
          <w:color w:val="auto"/>
        </w:rPr>
        <w:t>We offer product return rights and customer incentive programs. Customer incentive programs include special pricing arrangements, promotions, rebates and volume-based incentives.</w:t>
      </w:r>
    </w:p>
    <w:p>
      <w:pPr>
        <w:spacing w:after="0" w:line="163" w:lineRule="exact"/>
        <w:rPr>
          <w:sz w:val="20"/>
          <w:szCs w:val="20"/>
          <w:color w:val="auto"/>
        </w:rPr>
      </w:pPr>
    </w:p>
    <w:p>
      <w:pPr>
        <w:ind w:right="100" w:firstLine="468"/>
        <w:spacing w:after="0" w:line="253" w:lineRule="auto"/>
        <w:rPr>
          <w:sz w:val="20"/>
          <w:szCs w:val="20"/>
          <w:color w:val="auto"/>
        </w:rPr>
      </w:pPr>
      <w:r>
        <w:rPr>
          <w:rFonts w:ascii="Times New Roman" w:cs="Times New Roman" w:eastAsia="Times New Roman" w:hAnsi="Times New Roman"/>
          <w:sz w:val="18"/>
          <w:szCs w:val="18"/>
          <w:color w:val="auto"/>
        </w:rPr>
        <w:t>Rights of return vary by customer and range from the right to return products to limited stock rotation rights allowing the exchange of a percentage of the customer’s quarterly purchases. Estimates of expected future product returns qualify as variable consideration and are recorded as a reduction of the transaction price of the contract at the time of sale based on historical return rates. Return rates are influenced by product life cycle status, new product introductions, market acceptance of products, sales levels, the type of customer, seasonality, product quality issues, competitive pressures, published return policy, and other unforeseen global factors. Return rates can fluctuate over time but are sufficiently predictable to allow us to estimate expected future product returns.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ind w:right="120" w:firstLine="468"/>
        <w:spacing w:after="0" w:line="253" w:lineRule="auto"/>
        <w:rPr>
          <w:sz w:val="20"/>
          <w:szCs w:val="20"/>
          <w:color w:val="auto"/>
        </w:rPr>
      </w:pPr>
      <w:r>
        <w:rPr>
          <w:rFonts w:ascii="Times New Roman" w:cs="Times New Roman" w:eastAsia="Times New Roman" w:hAnsi="Times New Roman"/>
          <w:sz w:val="18"/>
          <w:szCs w:val="18"/>
          <w:color w:val="auto"/>
        </w:rPr>
        <w:t>Customer incentive programs are considered variable consideration, which we estimate and record as a reduction to revenue at the time of sale. Significant management judgments and estimates must be used to determine the cost of these programs to be included in the transaction price in any accounting period including a reduction for the estimate of amounts that ultimately will not be claimed for certain customer incentive programs. We use the expected value method to arrive at the amount of variable consideration. The Company constrains variable consideration until the likelihood of a significant revenue reversal is not probable. The accrual estimates are based on actual sales data, historical experience, forecasted incentives, anticipated volume of future purchases, and inventory levels in the channel.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8" w:lineRule="exact"/>
        <w:rPr>
          <w:sz w:val="20"/>
          <w:szCs w:val="20"/>
          <w:color w:val="auto"/>
        </w:rPr>
      </w:pPr>
    </w:p>
    <w:p>
      <w:pPr>
        <w:ind w:right="120" w:firstLine="468"/>
        <w:spacing w:after="0" w:line="277" w:lineRule="auto"/>
        <w:rPr>
          <w:sz w:val="20"/>
          <w:szCs w:val="20"/>
          <w:color w:val="auto"/>
        </w:rPr>
      </w:pPr>
      <w:r>
        <w:rPr>
          <w:rFonts w:ascii="Times New Roman" w:cs="Times New Roman" w:eastAsia="Times New Roman" w:hAnsi="Times New Roman"/>
          <w:sz w:val="18"/>
          <w:szCs w:val="18"/>
          <w:color w:val="auto"/>
        </w:rPr>
        <w:t>Refer to Note 2 to the consolidated financial statements included in this Annual Report on Form 10-K for recent accounting pronouncements adopted and to be adopted.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8" w:lineRule="exact"/>
        <w:rPr>
          <w:sz w:val="20"/>
          <w:szCs w:val="20"/>
          <w:color w:val="auto"/>
        </w:rPr>
      </w:pPr>
    </w:p>
    <w:p>
      <w:pPr>
        <w:ind w:right="280" w:firstLine="468"/>
        <w:spacing w:after="0" w:line="26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4" w:lineRule="exact"/>
        <w:rPr>
          <w:sz w:val="20"/>
          <w:szCs w:val="20"/>
          <w:color w:val="auto"/>
        </w:rPr>
      </w:pPr>
    </w:p>
    <w:p>
      <w:pPr>
        <w:ind w:right="40" w:firstLine="468"/>
        <w:spacing w:after="0" w:line="277" w:lineRule="auto"/>
        <w:rPr>
          <w:sz w:val="20"/>
          <w:szCs w:val="20"/>
          <w:color w:val="auto"/>
        </w:rPr>
      </w:pPr>
      <w:r>
        <w:rPr>
          <w:rFonts w:ascii="Times New Roman" w:cs="Times New Roman" w:eastAsia="Times New Roman" w:hAnsi="Times New Roman"/>
          <w:sz w:val="18"/>
          <w:szCs w:val="18"/>
          <w:color w:val="auto"/>
        </w:rPr>
        <w:t>As of December 31, 2022, we had cash and restricted cash of $154.1 million, which consisted primarily of bank deposits. Our cash is held for working capital purposes.</w:t>
      </w:r>
    </w:p>
    <w:p>
      <w:pPr>
        <w:spacing w:after="0" w:line="163" w:lineRule="exact"/>
        <w:rPr>
          <w:sz w:val="20"/>
          <w:szCs w:val="20"/>
          <w:color w:val="auto"/>
        </w:rPr>
      </w:pPr>
    </w:p>
    <w:p>
      <w:pPr>
        <w:ind w:firstLine="468"/>
        <w:spacing w:after="0" w:line="257" w:lineRule="auto"/>
        <w:rPr>
          <w:sz w:val="20"/>
          <w:szCs w:val="20"/>
          <w:color w:val="auto"/>
        </w:rPr>
      </w:pPr>
      <w:r>
        <w:rPr>
          <w:rFonts w:ascii="Times New Roman" w:cs="Times New Roman" w:eastAsia="Times New Roman" w:hAnsi="Times New Roman"/>
          <w:sz w:val="18"/>
          <w:szCs w:val="18"/>
          <w:color w:val="auto"/>
        </w:rPr>
        <w:t>As of December 31, 2022, under the new Credit Agreement, we had a $240 million Term Loan outstanding (face value), and the Term Loan bears variable market interest rates, primarily BSBY. A significant change in these market interest rates may adversely affect our operating results. As of December 31, 2022, a hypothetical 100 basis point change in interest rates would result in a change to interest expense for the next twelve months by approximately $2.4 million.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8" w:lineRule="exact"/>
        <w:rPr>
          <w:sz w:val="20"/>
          <w:szCs w:val="20"/>
          <w:color w:val="auto"/>
        </w:rPr>
      </w:pPr>
    </w:p>
    <w:p>
      <w:pPr>
        <w:ind w:right="20" w:firstLine="468"/>
        <w:spacing w:after="0" w:line="253" w:lineRule="auto"/>
        <w:rPr>
          <w:sz w:val="20"/>
          <w:szCs w:val="20"/>
          <w:color w:val="auto"/>
        </w:rPr>
      </w:pPr>
      <w:r>
        <w:rPr>
          <w:rFonts w:ascii="Times New Roman" w:cs="Times New Roman" w:eastAsia="Times New Roman" w:hAnsi="Times New Roman"/>
          <w:sz w:val="18"/>
          <w:szCs w:val="18"/>
          <w:color w:val="auto"/>
        </w:rPr>
        <w:t>Approximately 16.7% of our net revenue in 2022 was denominated in foreign currencies, primarily Euro and British Pound. Any unfavorable movement in the exchange rate between U.S. dollars and the currencies in which we conduct sales in foreign countries could have an adverse impact on our net revenue and gross margins as we may have to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w:t>
      </w:r>
    </w:p>
    <w:p>
      <w:pPr>
        <w:spacing w:after="0" w:line="187" w:lineRule="exact"/>
        <w:rPr>
          <w:sz w:val="20"/>
          <w:szCs w:val="20"/>
          <w:color w:val="auto"/>
        </w:rPr>
      </w:pPr>
    </w:p>
    <w:p>
      <w:pPr>
        <w:ind w:right="60" w:firstLine="468"/>
        <w:spacing w:after="0" w:line="251" w:lineRule="auto"/>
        <w:rPr>
          <w:sz w:val="20"/>
          <w:szCs w:val="20"/>
          <w:color w:val="auto"/>
        </w:rPr>
      </w:pPr>
      <w:r>
        <w:rPr>
          <w:rFonts w:ascii="Times New Roman" w:cs="Times New Roman" w:eastAsia="Times New Roman" w:hAnsi="Times New Roman"/>
          <w:sz w:val="18"/>
          <w:szCs w:val="18"/>
          <w:color w:val="auto"/>
        </w:rPr>
        <w:t>We enter into forward currency contracts to reduce the short-term effects of currency fluctuations on Euro, British Pound, and Chinese Yuan denominated cash, accounts receivable, and intercompany receivable and payable balances. These forward contracts generally mature within two to four months, and we do not enter into foreign currency forward contracts for trading purposes. The outstanding notional principal amount was $23.4 million and $48.6 million as of December 31, 2022 and 2021, respectively. The gains or losses on these contracts are recognized in earnings based on the changes in fair value of the foreign currency forward contracts. The net impact of changes in foreign currency rates, including the net gains or (losses) on the forward currency contracts, recognized in other (expense) income, net was $1.0 million, $(5.8) million, and $(1.5) million, for the years ended December 31, 2022, 2021, and 2020, respectively. A hypothetical ten percent change in exchange rates between foreign currencies and the U.S. dollar would increase or decrease our gains or losses on foreign currency exchange of approximately $0.6 million in our consolidated financial statements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10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62"/>
        </w:trPr>
        <w:tc>
          <w:tcPr>
            <w:tcW w:w="110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4"/>
                <w:szCs w:val="24"/>
                <w:color w:val="auto"/>
              </w:rPr>
            </w:pPr>
          </w:p>
        </w:tc>
      </w:tr>
      <w:tr>
        <w:trPr>
          <w:trHeight w:val="641"/>
        </w:trPr>
        <w:tc>
          <w:tcPr>
            <w:tcW w:w="1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92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80" w:type="dxa"/>
            <w:vAlign w:val="bottom"/>
          </w:tcPr>
          <w:p>
            <w:pPr>
              <w:spacing w:after="0"/>
              <w:rPr>
                <w:sz w:val="24"/>
                <w:szCs w:val="24"/>
                <w:color w:val="auto"/>
              </w:rPr>
            </w:pPr>
          </w:p>
        </w:tc>
      </w:tr>
      <w:tr>
        <w:trPr>
          <w:trHeight w:val="440"/>
        </w:trPr>
        <w:tc>
          <w:tcPr>
            <w:tcW w:w="41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Report of Independent Registered Public Accounting Firm</w:t>
            </w:r>
          </w:p>
        </w:tc>
        <w:tc>
          <w:tcPr>
            <w:tcW w:w="6860" w:type="dxa"/>
            <w:vAlign w:val="bottom"/>
            <w:gridSpan w:val="6"/>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55</w:t>
            </w:r>
          </w:p>
        </w:tc>
      </w:tr>
      <w:tr>
        <w:trPr>
          <w:trHeight w:val="341"/>
        </w:trPr>
        <w:tc>
          <w:tcPr>
            <w:tcW w:w="110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Operations - Years ended December 31, 2022, 2021, and 2020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88"/>
              </w:rPr>
              <w:t>57</w:t>
            </w:r>
          </w:p>
        </w:tc>
      </w:tr>
      <w:tr>
        <w:trPr>
          <w:trHeight w:val="20"/>
        </w:trPr>
        <w:tc>
          <w:tcPr>
            <w:tcW w:w="312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41"/>
        </w:trPr>
        <w:tc>
          <w:tcPr>
            <w:tcW w:w="110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(Loss) – Years ended December 31, 2022, 2021, and 2020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88"/>
              </w:rPr>
              <w:t>58</w:t>
            </w:r>
          </w:p>
        </w:tc>
      </w:tr>
      <w:tr>
        <w:trPr>
          <w:trHeight w:val="341"/>
        </w:trPr>
        <w:tc>
          <w:tcPr>
            <w:tcW w:w="78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Consolidated Balance Sheets – As of December 31, 2022 and 2021</w:t>
            </w:r>
          </w:p>
        </w:tc>
        <w:tc>
          <w:tcPr>
            <w:tcW w:w="3160" w:type="dxa"/>
            <w:vAlign w:val="bottom"/>
          </w:tcPr>
          <w:p>
            <w:pPr>
              <w:spacing w:after="0"/>
              <w:rPr>
                <w:sz w:val="24"/>
                <w:szCs w:val="24"/>
                <w:color w:val="auto"/>
              </w:rPr>
            </w:pPr>
          </w:p>
        </w:tc>
        <w:tc>
          <w:tcPr>
            <w:tcW w:w="1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59</w:t>
            </w:r>
          </w:p>
        </w:tc>
      </w:tr>
      <w:tr>
        <w:trPr>
          <w:trHeight w:val="20"/>
        </w:trPr>
        <w:tc>
          <w:tcPr>
            <w:tcW w:w="13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41"/>
        </w:trPr>
        <w:tc>
          <w:tcPr>
            <w:tcW w:w="110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 Years ended December 31, 2022, 2021, and 2020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88"/>
              </w:rPr>
              <w:t>60</w:t>
            </w:r>
          </w:p>
        </w:tc>
      </w:tr>
      <w:tr>
        <w:trPr>
          <w:trHeight w:val="341"/>
        </w:trPr>
        <w:tc>
          <w:tcPr>
            <w:tcW w:w="67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Consolidated Statements of Cash Flows - Years ended December 31, 2022 and 2021, and 2020</w:t>
            </w:r>
          </w:p>
        </w:tc>
        <w:tc>
          <w:tcPr>
            <w:tcW w:w="400" w:type="dxa"/>
            <w:vAlign w:val="bottom"/>
            <w:tcBorders>
              <w:top w:val="single" w:sz="8" w:color="0000EE"/>
            </w:tcBorders>
          </w:tcPr>
          <w:p>
            <w:pPr>
              <w:spacing w:after="0"/>
              <w:rPr>
                <w:sz w:val="24"/>
                <w:szCs w:val="24"/>
                <w:color w:val="auto"/>
              </w:rPr>
            </w:pPr>
          </w:p>
        </w:tc>
        <w:tc>
          <w:tcPr>
            <w:tcW w:w="388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61</w:t>
            </w:r>
          </w:p>
        </w:tc>
      </w:tr>
      <w:tr>
        <w:trPr>
          <w:trHeight w:val="341"/>
        </w:trPr>
        <w:tc>
          <w:tcPr>
            <w:tcW w:w="110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88"/>
              </w:rPr>
              <w:t>62</w:t>
            </w:r>
          </w:p>
        </w:tc>
      </w:tr>
      <w:tr>
        <w:trPr>
          <w:trHeight w:val="20"/>
        </w:trPr>
        <w:tc>
          <w:tcPr>
            <w:tcW w:w="13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Gaming,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Corsair Gaming, Inc. and subsidiaries (the Company) as of December 31, 2022 and 2021, the related consolidated statements of operations, comprehensive income (loss), stockholders’ equity, and cash flows for each of the years in the three-year period ended December 31, 2022, and the related notes (collectively,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 Also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02"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2"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in contracts with customers</w:t>
      </w:r>
    </w:p>
    <w:p>
      <w:pPr>
        <w:spacing w:after="0" w:line="22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transaction price received by the Company from sales to distributors and retailers is net of variable consideration that may include product returns and customer incentives. Estimates of expected future product returns are recorded based on historical return rates, among other factors. Customer incentive programs are recorded based on historical experience and forecasted incentives, and include special pricing arrangements, promotions, rebates, volume-based incentives, and price protection credits for certain customers. The amounts recorded for accrued reserves for sales returns and accrued reserves for customer incentive programs were $27.2 million and $58.6 million, respectively, as of December 31, 2022.</w:t>
      </w:r>
    </w:p>
    <w:p>
      <w:pPr>
        <w:spacing w:after="0" w:line="187"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We identified the evaluation of the transaction price in contracts with customers as a critical audit matter. Subjective auditor judgment was required to evaluate changes in conditions and events affecting (1) the Company’s historical return rates, and (2) the length of time between when a sale occurs and a return is processed, which are used to determine accrued reserves for sales returns. In addition, subjective auditor judgment was required to evaluate the reliability of data used to determine certain accrued reserves for customer incentive programs.</w:t>
      </w:r>
    </w:p>
    <w:p>
      <w:pPr>
        <w:spacing w:after="0" w:line="1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certain internal controls related to the Company’s process to determine the transaction price, including controls related to estimating variable consideration related to product returns and customer incentives. We evaluated the historical return rates by assessing the historical relationship between sales and returns, considering the effect of external market conditions obtained from peer company data. We evaluated the length of time between when a sale occurs and a return is processed by recalculating the time between (1) the return dates from customers’ return claims and (2) the estimated date the sale occurred. We evaluated the reliability of data used to determine certain accrued reserves for customer incentive programs by selecting a sample of incentives recorded during the year and (1) comparing the key inputs to correspondence with customers and customer agreements, and (2) recalculating the total incentive amount and comparing it to the incentive recorded or the claim from the customer if it was received by the Company before December 31, 2022.</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2023</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4"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7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1,375,098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1,904,060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1,702,367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1,078,466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1,390,206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1,236,938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296,632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513,854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284,932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315,672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351,425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375,960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137,894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(9,186)</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(17,673)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(35,137)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(5,661)</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2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(63,766)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114,560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(13,600)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(18,825)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(53,946)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100,960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30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Calculation of net income (loss) per share attributable to common stockholders of Corsair Gaming,</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3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(54,388)</w:t>
            </w:r>
          </w:p>
        </w:tc>
        <w:tc>
          <w:tcPr>
            <w:tcW w:w="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100,960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(6,536)</w:t>
            </w: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common stockholders of Corsair Gaming, Inc.</w:t>
            </w: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of Corsair Gaming, Inc.:</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(0.63)</w:t>
            </w:r>
          </w:p>
        </w:tc>
        <w:tc>
          <w:tcPr>
            <w:tcW w:w="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(0.63)</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9"/>
                <w:szCs w:val="19"/>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96,280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6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4"/>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4"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r>
      <w:tr>
        <w:trPr>
          <w:trHeight w:val="43"/>
        </w:trPr>
        <w:tc>
          <w:tcPr>
            <w:tcW w:w="6480" w:type="dxa"/>
            <w:vAlign w:val="bottom"/>
          </w:tcPr>
          <w:p>
            <w:pPr>
              <w:spacing w:after="0" w:line="44" w:lineRule="exact"/>
              <w:rPr>
                <w:sz w:val="20"/>
                <w:szCs w:val="20"/>
                <w:color w:val="auto"/>
              </w:rPr>
            </w:pPr>
            <w:r>
              <w:rPr>
                <w:rFonts w:ascii="Times New Roman" w:cs="Times New Roman" w:eastAsia="Times New Roman" w:hAnsi="Times New Roman"/>
                <w:sz w:val="4"/>
                <w:szCs w:val="4"/>
                <w:b w:val="1"/>
                <w:bCs w:val="1"/>
                <w:color w:val="auto"/>
              </w:rPr>
              <w:t>\</w:t>
            </w: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(53,946)</w:t>
            </w:r>
          </w:p>
        </w:tc>
        <w:tc>
          <w:tcPr>
            <w:tcW w:w="460" w:type="dxa"/>
            <w:vAlign w:val="bottom"/>
            <w:gridSpan w:val="2"/>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100,960</w:t>
            </w:r>
          </w:p>
        </w:tc>
        <w:tc>
          <w:tcPr>
            <w:tcW w:w="20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103,217</w:t>
            </w:r>
          </w:p>
        </w:tc>
        <w:tc>
          <w:tcPr>
            <w:tcW w:w="120" w:type="dxa"/>
            <w:vAlign w:val="bottom"/>
            <w:shd w:val="clear" w:color="auto" w:fill="CFF0FC"/>
          </w:tcPr>
          <w:p>
            <w:pPr>
              <w:spacing w:after="0"/>
              <w:rPr>
                <w:sz w:val="20"/>
                <w:szCs w:val="20"/>
                <w:color w:val="auto"/>
              </w:rPr>
            </w:pPr>
          </w:p>
        </w:tc>
      </w:tr>
      <w:tr>
        <w:trPr>
          <w:trHeight w:val="227"/>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 net of tax benefit of $344, $0 and $0 for the</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2"/>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years ended December 31, 2022, 2021 and 2020, respectively</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(7,067)</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(1,482)</w:t>
            </w: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20" w:type="dxa"/>
            <w:vAlign w:val="bottom"/>
            <w:shd w:val="clear" w:color="auto" w:fill="CFF0FC"/>
          </w:tcPr>
          <w:p>
            <w:pPr>
              <w:spacing w:after="0"/>
              <w:rPr>
                <w:sz w:val="20"/>
                <w:szCs w:val="20"/>
                <w:color w:val="auto"/>
              </w:rPr>
            </w:pPr>
          </w:p>
        </w:tc>
      </w:tr>
      <w:tr>
        <w:trPr>
          <w:trHeight w:val="209"/>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foreign exchange gain (loss) from long-term intercompany loans, net of tax</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 (expense) of $182, $76, and $(150) for the years ended December 31, 2022,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2"/>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2021, and 2020, respectively</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0"/>
                <w:szCs w:val="20"/>
                <w:color w:val="auto"/>
              </w:rPr>
            </w:pPr>
          </w:p>
        </w:tc>
      </w:tr>
      <w:tr>
        <w:trPr>
          <w:trHeight w:val="220"/>
        </w:trPr>
        <w:tc>
          <w:tcPr>
            <w:tcW w:w="6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(61,163)</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99,093</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106,915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4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Comprehensive income (loss) attributable to Corsair Gaming, Inc.</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151,180</w:t>
            </w:r>
          </w:p>
        </w:tc>
        <w:tc>
          <w:tcPr>
            <w:tcW w:w="2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40,593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622,793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347,747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216,255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75,290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1,297,245</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Debt maturing within one year, net</w:t>
            </w:r>
          </w:p>
        </w:tc>
        <w:tc>
          <w:tcPr>
            <w:tcW w:w="4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164,470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342,998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Long-term debt, net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232,170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641,811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Temporary equity</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Permanent equity</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Corsair Gaming, Inc. stockholders’ equity:</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Preferred stock, $0.0001 par value: 5,000 shares authorized, nil and nil shares issued and outstanding as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December 30, 2022 and 2021, respectively</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 $0.0001 par value: 300,000 shares authorized, 101,385 and 94,510 shares issued and</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outstanding as of December 31, 2022 and 2021, respectively</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593,486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37,223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(6,881)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40" w:type="dxa"/>
            <w:vAlign w:val="bottom"/>
            <w:tcBorders>
              <w:top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Corsair Gaming, Inc.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623,838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Nonredeemable noncontrolling interest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permanent equity</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634,067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temporary equity and permanent equity</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1,297,245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9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Nonredeemable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Permanent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2019</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84,079</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43"/>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324,968</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(106,030)</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(2,171)</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216,775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216,775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stock to directors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Issuance of common stock upon initial</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public offering, net of underwriting</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discounts, commissions and other offering</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costs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106,566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106,567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106,567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with employee equity incentive plans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Shares withheld related to net share</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settlement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91,935</w:t>
            </w:r>
          </w:p>
        </w:tc>
        <w:tc>
          <w:tcPr>
            <w:tcW w:w="2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438,667</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437,390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437,390</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(1,867)</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(1,867)</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(1,867)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with employee equity incentive plans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Shares withheld related to net share</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settlement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4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(417)</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94,510</w:t>
            </w:r>
          </w:p>
        </w:tc>
        <w:tc>
          <w:tcPr>
            <w:tcW w:w="2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470,364</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98,147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568,180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568,180</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(54,388)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(54,388)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(6,541)</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(6,541)</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(6,817)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stock in relation to</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public offering, net of underwriting</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discounts, commissions and other offering</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costs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Issuance of common stock in relation to</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business acquisition</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Noncontrolling interest from business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combination</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Change in redemption value of redeemable</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noncontrolling interest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(6,536)</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(6,536)</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(6,536)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 paid to nonredeemable</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noncontrolling interest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with employee equity incentive plans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Shares withheld related to net share</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settlement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w:t>
            </w:r>
          </w:p>
        </w:tc>
        <w:tc>
          <w:tcPr>
            <w:tcW w:w="4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(1,512)</w:t>
            </w: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22,254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22,254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22,254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101,385</w:t>
            </w:r>
          </w:p>
        </w:tc>
        <w:tc>
          <w:tcPr>
            <w:tcW w:w="2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593,486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(6,881)</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623,838</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634,067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92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0"/>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0"/>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0"/>
              <w:spacing w:after="0" w:line="154"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(53,946)</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100,960</w:t>
            </w:r>
          </w:p>
        </w:tc>
        <w:tc>
          <w:tcPr>
            <w:tcW w:w="2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w:t>
            </w: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 activities: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Depreciation</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10,300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Debt issuance costs amortization</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(21,736)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(11,962)</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(7,476)</w:t>
            </w:r>
          </w:p>
        </w:tc>
        <w:tc>
          <w:tcPr>
            <w:tcW w:w="0" w:type="dxa"/>
            <w:vAlign w:val="bottom"/>
          </w:tcPr>
          <w:p>
            <w:pPr>
              <w:spacing w:after="0"/>
              <w:rPr>
                <w:sz w:val="1"/>
                <w:szCs w:val="1"/>
                <w:color w:val="auto"/>
              </w:rPr>
            </w:pPr>
          </w:p>
        </w:tc>
      </w:tr>
      <w:tr>
        <w:trPr>
          <w:trHeight w:val="211"/>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(91,492)</w:t>
            </w: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111,288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(71,316)</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(80,086)</w:t>
            </w:r>
          </w:p>
        </w:tc>
        <w:tc>
          <w:tcPr>
            <w:tcW w:w="0" w:type="dxa"/>
            <w:vAlign w:val="bottom"/>
          </w:tcPr>
          <w:p>
            <w:pPr>
              <w:spacing w:after="0"/>
              <w:rPr>
                <w:sz w:val="1"/>
                <w:szCs w:val="1"/>
                <w:color w:val="auto"/>
              </w:rPr>
            </w:pPr>
          </w:p>
        </w:tc>
      </w:tr>
      <w:tr>
        <w:trPr>
          <w:trHeight w:val="211"/>
        </w:trPr>
        <w:tc>
          <w:tcPr>
            <w:tcW w:w="5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(13,177)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(7,953)</w:t>
            </w: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(65,928)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(63,722)</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116,522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liabilities and accrued expenses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(40,950)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7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66,389</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20,192</w:t>
            </w: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168,953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(19,534)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(4,846)</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(1,291)</w:t>
            </w:r>
          </w:p>
        </w:tc>
        <w:tc>
          <w:tcPr>
            <w:tcW w:w="0" w:type="dxa"/>
            <w:vAlign w:val="bottom"/>
          </w:tcPr>
          <w:p>
            <w:pPr>
              <w:spacing w:after="0"/>
              <w:rPr>
                <w:sz w:val="1"/>
                <w:szCs w:val="1"/>
                <w:color w:val="auto"/>
              </w:rPr>
            </w:pPr>
          </w:p>
        </w:tc>
      </w:tr>
      <w:tr>
        <w:trPr>
          <w:trHeight w:val="211"/>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 of deferred and contingent consideration</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(4,721)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(26,315)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(10,974)</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(8,989)</w:t>
            </w:r>
          </w:p>
        </w:tc>
        <w:tc>
          <w:tcPr>
            <w:tcW w:w="0" w:type="dxa"/>
            <w:vAlign w:val="bottom"/>
          </w:tcPr>
          <w:p>
            <w:pPr>
              <w:spacing w:after="0"/>
              <w:rPr>
                <w:sz w:val="1"/>
                <w:szCs w:val="1"/>
                <w:color w:val="auto"/>
              </w:rPr>
            </w:pPr>
          </w:p>
        </w:tc>
      </w:tr>
      <w:tr>
        <w:trPr>
          <w:trHeight w:val="211"/>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in available-for-sale convertible note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92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7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(47,034)</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(20,541)</w:t>
            </w: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issuance of debt, net</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248,513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debt and debt issuance costs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(9,483)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(328,392)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(190,588)</w:t>
            </w: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Borrowings from line of credit</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701,500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63,500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line of credit</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(701,500)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(63,500)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public offering, net of underwriting discounts and commissions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81,655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118,575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 of other offering costs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(8,455)</w:t>
            </w: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issuance of shares through employee equity incentive plans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14,872</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 of taxes related to net share settlement of equity awards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(1,532)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Dividend paid to noncontrolling interest</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(4,312)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92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7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72,609</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(65,404)</w:t>
            </w: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(79,131)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7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cash and restricted cash</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88,680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(68,188)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and restricted cash at the beginning of the year</w:t>
            </w:r>
          </w:p>
        </w:tc>
        <w:tc>
          <w:tcPr>
            <w:tcW w:w="7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65,380</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133,568</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51,947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restricted cash at the end of the year</w:t>
            </w:r>
          </w:p>
        </w:tc>
        <w:tc>
          <w:tcPr>
            <w:tcW w:w="7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154,060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65,380</w:t>
            </w: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133,568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92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paid for interest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9,019</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11,267</w:t>
            </w:r>
          </w:p>
        </w:tc>
        <w:tc>
          <w:tcPr>
            <w:tcW w:w="2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Equipment purchased and unpaid at period end</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4,985</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2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Issuance of common stock relating to business acquisitions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purchase consideration related to business acquisitions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Measurement period adjustments relating to business acquisitions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18" w:lineRule="exact"/>
        <w:rPr>
          <w:sz w:val="20"/>
          <w:szCs w:val="20"/>
          <w:color w:val="auto"/>
        </w:rPr>
      </w:pPr>
    </w:p>
    <w:p>
      <w:pPr>
        <w:ind w:right="40" w:firstLine="510"/>
        <w:spacing w:after="0" w:line="308" w:lineRule="auto"/>
        <w:rPr>
          <w:sz w:val="20"/>
          <w:szCs w:val="20"/>
          <w:color w:val="auto"/>
        </w:rPr>
      </w:pPr>
      <w:r>
        <w:rPr>
          <w:rFonts w:ascii="Times New Roman" w:cs="Times New Roman" w:eastAsia="Times New Roman" w:hAnsi="Times New Roman"/>
          <w:sz w:val="17"/>
          <w:szCs w:val="17"/>
          <w:color w:val="auto"/>
        </w:rPr>
        <w:t>Corsair Gaming, Inc., a Delaware corporation, together with its subsidiaries (collectively, “Corsair” the “Company”, “we”, “us”, or “our”), is a global provider and innovator of high-performance gear for gamers, streamers and content creators, many of which build their own PCs using our components.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Corsair is organized into two reportable segments:</w:t>
      </w:r>
    </w:p>
    <w:p>
      <w:pPr>
        <w:spacing w:after="0" w:line="110" w:lineRule="exact"/>
        <w:rPr>
          <w:sz w:val="20"/>
          <w:szCs w:val="20"/>
          <w:color w:val="auto"/>
        </w:rPr>
      </w:pPr>
    </w:p>
    <w:p>
      <w:pPr>
        <w:ind w:left="1020" w:right="120" w:hanging="506"/>
        <w:spacing w:after="0" w:line="26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Includes our high-performance gaming keyboards, mice, headsets, controllers, and streaming gear,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capture cards, Stream Decks, USB microphones, our Facecam streaming camera, studio accessories, and EpocCam software, as well as coaching and training services, among others.</w:t>
      </w:r>
    </w:p>
    <w:p>
      <w:pPr>
        <w:spacing w:after="0" w:line="62" w:lineRule="exact"/>
        <w:rPr>
          <w:rFonts w:ascii="Times New Roman" w:cs="Times New Roman" w:eastAsia="Times New Roman" w:hAnsi="Times New Roman"/>
          <w:sz w:val="18"/>
          <w:szCs w:val="18"/>
          <w:color w:val="auto"/>
        </w:rPr>
      </w:pPr>
    </w:p>
    <w:p>
      <w:pPr>
        <w:ind w:left="1020" w:right="460" w:hanging="506"/>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components and systems</w:t>
      </w:r>
      <w:r>
        <w:rPr>
          <w:rFonts w:ascii="Times New Roman" w:cs="Times New Roman" w:eastAsia="Times New Roman" w:hAnsi="Times New Roman"/>
          <w:sz w:val="18"/>
          <w:szCs w:val="18"/>
          <w:color w:val="auto"/>
        </w:rPr>
        <w:t>. Includes our high-performance power supply units, or PSUs, cooling solutions, computer cases,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DRAM modules, as well as high-end prebuilt and custom-built gaming PCs and laptops, and gaming monitors, among others.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Offerings</w:t>
      </w:r>
    </w:p>
    <w:p>
      <w:pPr>
        <w:spacing w:after="0" w:line="116"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 xml:space="preserve">On September 25, 2020, we completed our initial public offering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IPO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In connection with the IPO, we sold 7,500,000 shares of common stock at $17.00 per share, resulting in proceeds of $118.6 million, net of the underwriting discounts and commissions and before offering costs. In connection with the IPO, certain selling stockholders sold 6,500,000 shares of common stock at $17.00 per share. Subsequent to the IPO, certain selling stockholders further sold 1,135,375 shares pursuant to the underwriters’ exercise of their option to purchase additional shares.</w:t>
      </w:r>
    </w:p>
    <w:p>
      <w:pPr>
        <w:spacing w:after="0" w:line="74" w:lineRule="exact"/>
        <w:rPr>
          <w:sz w:val="20"/>
          <w:szCs w:val="20"/>
          <w:color w:val="auto"/>
        </w:rPr>
      </w:pPr>
    </w:p>
    <w:p>
      <w:pPr>
        <w:ind w:right="100" w:firstLine="510"/>
        <w:spacing w:after="0" w:line="277" w:lineRule="auto"/>
        <w:rPr>
          <w:sz w:val="20"/>
          <w:szCs w:val="20"/>
          <w:color w:val="auto"/>
        </w:rPr>
      </w:pPr>
      <w:r>
        <w:rPr>
          <w:rFonts w:ascii="Times New Roman" w:cs="Times New Roman" w:eastAsia="Times New Roman" w:hAnsi="Times New Roman"/>
          <w:sz w:val="18"/>
          <w:szCs w:val="18"/>
          <w:color w:val="auto"/>
        </w:rPr>
        <w:t>On January 26, 2021, we completed a secondary offering of our common stock where certain selling stockholders sold 8,625,000, shares of common stock at $35.00 per share. We did not receive any of the proceeds from the sale of shares by the selling stockholders.</w:t>
      </w:r>
    </w:p>
    <w:p>
      <w:pPr>
        <w:spacing w:after="0" w:line="57"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On July 22, 2022, we filed a shelf registration statement on Form S-3 with the SEC, which was declared effective August 1, 2022 (“2022 Shelf Registration Statement”). The 2022 Shelf Registration Statement registered securities to be offered by us, in an amount up to $300.0 million, including common stock, preferred stock and warrants. In addition, the 2022 Shelf Registration Statement registered 54,179,559 shares of common stock held by the selling securityholders named in the 2022 Shelf Registration Statement. We will not receive any of the proceeds from the sale of the shares registered by the selling securityholders.</w:t>
      </w:r>
    </w:p>
    <w:p>
      <w:pPr>
        <w:spacing w:after="0" w:line="76" w:lineRule="exact"/>
        <w:rPr>
          <w:sz w:val="20"/>
          <w:szCs w:val="20"/>
          <w:color w:val="auto"/>
        </w:rPr>
      </w:pPr>
    </w:p>
    <w:p>
      <w:pPr>
        <w:ind w:right="100" w:firstLine="510"/>
        <w:spacing w:after="0" w:line="257" w:lineRule="auto"/>
        <w:rPr>
          <w:sz w:val="20"/>
          <w:szCs w:val="20"/>
          <w:color w:val="auto"/>
        </w:rPr>
      </w:pPr>
      <w:r>
        <w:rPr>
          <w:rFonts w:ascii="Times New Roman" w:cs="Times New Roman" w:eastAsia="Times New Roman" w:hAnsi="Times New Roman"/>
          <w:sz w:val="18"/>
          <w:szCs w:val="18"/>
          <w:color w:val="auto"/>
        </w:rPr>
        <w:t>In November 2022, we issued 4,545,455 shares of common stock at a price of $16.50 per share in a registered underwritten public offering pursuant to the 2022 Shelf Registration Statement. Following the partial exercise in December 2022 by the underwriters of their option to purchase additional shares, we issued an additional 500,000 shares. The total proceeds from the underwritten public offering, net of underwriting discounts, commission and offering expenses, were approximately $81.0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18" w:lineRule="exact"/>
        <w:rPr>
          <w:sz w:val="20"/>
          <w:szCs w:val="20"/>
          <w:color w:val="auto"/>
        </w:rPr>
      </w:pPr>
    </w:p>
    <w:p>
      <w:pPr>
        <w:ind w:right="180" w:firstLine="510"/>
        <w:spacing w:after="0" w:line="277"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United States generally accepted accounting principles (“U.S. GAAP”) and pursuant to the rules and regulations of the United States Securities and Exchange Commission (“SEC”).</w:t>
      </w:r>
    </w:p>
    <w:p>
      <w:pPr>
        <w:spacing w:after="0" w:line="57"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Corsair and its wholly owned subsidiaries. All intercompany accounts and transactions have been eliminated in consolidation. For consolidated entities where we own less than 100% of the equity, our consolidated net comprehensive income (loss) is reduced by the portion attributable to the noncontrolling interest. In determining whether an entity is considered a controlled entity, we apply the VIE (variable interest entity) and VOE (voting interest entity) models. Entities that do not qualify as a VIE are assessed for consolidation under the VOE model. Under the VOE model, we consolidate the entity if we determine that we have a controlling financial interest in the entity through our ownership of greater than 50% of the outstanding voting shares of the entity and that other equity holders do not have substantive voting, participating or liquidation rights.</w:t>
      </w:r>
    </w:p>
    <w:p>
      <w:pPr>
        <w:spacing w:after="0" w:line="82"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color w:val="auto"/>
        </w:rPr>
        <w:t>On January 1, 2022 (“Closing” or “Closing Date”), we completed the acquisition of a 51% ownership stake in Elgato iDisplay Holdings LTD. and its related companies (together “iDisplay”). (See Note 5, “Business Combination - iDisplay Acquisition” for more details on the iDisplay Acquisition). We have determined that iDisplay does not qualify as a VIE and Corsair has a controlling financial interest in iDisplay under the VOE model and therefore, iDisplay is fully consolidated with Corsair with effect from January 1, 2022.</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8" w:lineRule="exact"/>
        <w:rPr>
          <w:sz w:val="20"/>
          <w:szCs w:val="20"/>
          <w:color w:val="auto"/>
        </w:rPr>
      </w:pPr>
    </w:p>
    <w:p>
      <w:pPr>
        <w:ind w:firstLine="510"/>
        <w:spacing w:after="0" w:line="250"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and deferred income tax. As of December 31, 2022, the impact to our business from the changing macroeconomic factors continued to unfold. We continue to assess and evaluate impacts from the events in Ukraine, inflationary concerns and, certain supply chain disruptions, as well as the impacts of COVID-19 pandemic that remain uncertain and cannot be predicted. As a result, many of our estimates and assumptions required increased judgment and may carry a higher degree of variability and volatility. As events continue to evolve and additional information becomes available, our estimates may change in future periods. Management bases its estimates on historical experience and on various other assumptions that it believes to be reasonable under the circumstances. Management believes that the accounting estimates employed and the resulting amounts are reasonable; however,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five-step approach:</w:t>
      </w:r>
    </w:p>
    <w:p>
      <w:pPr>
        <w:spacing w:after="0" w:line="114" w:lineRule="exact"/>
        <w:rPr>
          <w:sz w:val="20"/>
          <w:szCs w:val="20"/>
          <w:color w:val="auto"/>
        </w:rPr>
      </w:pPr>
    </w:p>
    <w:p>
      <w:pPr>
        <w:ind w:left="1020" w:hanging="506"/>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the customer</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3"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 is fulfilled</w:t>
      </w:r>
    </w:p>
    <w:p>
      <w:pPr>
        <w:spacing w:after="0" w:line="114" w:lineRule="exact"/>
        <w:rPr>
          <w:sz w:val="20"/>
          <w:szCs w:val="20"/>
          <w:color w:val="auto"/>
        </w:rPr>
      </w:pPr>
    </w:p>
    <w:p>
      <w:pPr>
        <w:ind w:right="260" w:firstLine="510"/>
        <w:spacing w:after="0" w:line="277" w:lineRule="auto"/>
        <w:rPr>
          <w:sz w:val="20"/>
          <w:szCs w:val="20"/>
          <w:color w:val="auto"/>
        </w:rPr>
      </w:pPr>
      <w:r>
        <w:rPr>
          <w:rFonts w:ascii="Times New Roman" w:cs="Times New Roman" w:eastAsia="Times New Roman" w:hAnsi="Times New Roman"/>
          <w:sz w:val="18"/>
          <w:szCs w:val="18"/>
          <w:color w:val="auto"/>
        </w:rPr>
        <w:t>Revenue is recognized when performance obligations are satisfied under the terms of the contracts, and control of the products is transferred to the customers in an amount that reflects the consideration we expect to receive from the customers in exchange for those products or services.</w:t>
      </w:r>
    </w:p>
    <w:p>
      <w:pPr>
        <w:spacing w:after="0" w:line="57" w:lineRule="exact"/>
        <w:rPr>
          <w:sz w:val="20"/>
          <w:szCs w:val="20"/>
          <w:color w:val="auto"/>
        </w:rPr>
      </w:pPr>
    </w:p>
    <w:p>
      <w:pPr>
        <w:ind w:right="80" w:firstLine="510"/>
        <w:spacing w:after="0" w:line="271" w:lineRule="auto"/>
        <w:rPr>
          <w:sz w:val="20"/>
          <w:szCs w:val="20"/>
          <w:color w:val="auto"/>
        </w:rPr>
      </w:pPr>
      <w:r>
        <w:rPr>
          <w:rFonts w:ascii="Times New Roman" w:cs="Times New Roman" w:eastAsia="Times New Roman" w:hAnsi="Times New Roman"/>
          <w:sz w:val="17"/>
          <w:szCs w:val="17"/>
          <w:color w:val="auto"/>
        </w:rPr>
        <w:t>Our products are primarily sold through a network of distributors and retailers, including online retailers, and to a lesser extent direct to consumers. We primarily sell hardware products, such as gamer and creator peripherals and gaming components and systems. These products are hardware devices, which may include embedded software that function together, and are considered as one performance obligation. Hardware devices are generally plug and play, requiring no configuration and little or no installation. Revenue is recognized at a point in time when control of the products is transferred to the customer which generally occurs upon shipment or delivery to customer. We report revenue net of any required taxes collected from customers and remitted to government authorities, with the collected taxes recorded as other liabilities and accrued expenses until remitted to the relevant government authority.</w:t>
      </w:r>
    </w:p>
    <w:p>
      <w:pPr>
        <w:spacing w:after="0" w:line="65" w:lineRule="exact"/>
        <w:rPr>
          <w:sz w:val="20"/>
          <w:szCs w:val="20"/>
          <w:color w:val="auto"/>
        </w:rPr>
      </w:pPr>
    </w:p>
    <w:p>
      <w:pPr>
        <w:ind w:right="100" w:firstLine="510"/>
        <w:spacing w:after="0" w:line="262" w:lineRule="auto"/>
        <w:rPr>
          <w:sz w:val="20"/>
          <w:szCs w:val="20"/>
          <w:color w:val="auto"/>
        </w:rPr>
      </w:pPr>
      <w:r>
        <w:rPr>
          <w:rFonts w:ascii="Times New Roman" w:cs="Times New Roman" w:eastAsia="Times New Roman" w:hAnsi="Times New Roman"/>
          <w:sz w:val="18"/>
          <w:szCs w:val="18"/>
          <w:color w:val="auto"/>
        </w:rPr>
        <w:t>Shipping and handling costs associated with outbound freight are accounted for as a fulfillment cost and are included as part of our distribution costs recorded under sales, general and administrative expenses. Costs of maintaining our web store and credit card processing fees related to sales on our webstore are recorded under sales, general and administrative expenses.</w:t>
      </w:r>
    </w:p>
    <w:p>
      <w:pPr>
        <w:spacing w:after="0" w:line="70" w:lineRule="exact"/>
        <w:rPr>
          <w:sz w:val="20"/>
          <w:szCs w:val="20"/>
          <w:color w:val="auto"/>
        </w:rPr>
      </w:pPr>
    </w:p>
    <w:p>
      <w:pPr>
        <w:jc w:val="both"/>
        <w:ind w:right="400" w:firstLine="510"/>
        <w:spacing w:after="0" w:line="262" w:lineRule="auto"/>
        <w:rPr>
          <w:sz w:val="20"/>
          <w:szCs w:val="20"/>
          <w:color w:val="auto"/>
        </w:rPr>
      </w:pPr>
      <w:r>
        <w:rPr>
          <w:rFonts w:ascii="Times New Roman" w:cs="Times New Roman" w:eastAsia="Times New Roman" w:hAnsi="Times New Roman"/>
          <w:sz w:val="18"/>
          <w:szCs w:val="18"/>
          <w:color w:val="auto"/>
        </w:rPr>
        <w:t>We generally provide a warranty on products that provides assurance that our products conform to published specifications. Such assurance-type warranties are not deemed to be separate performance obligations from the product, and costs associated with providing these warranties are accrued in accordance with ASC 460-10, Guarantees.</w:t>
      </w:r>
    </w:p>
    <w:p>
      <w:pPr>
        <w:spacing w:after="0" w:line="70" w:lineRule="exact"/>
        <w:rPr>
          <w:sz w:val="20"/>
          <w:szCs w:val="20"/>
          <w:color w:val="auto"/>
        </w:rPr>
      </w:pPr>
    </w:p>
    <w:p>
      <w:pPr>
        <w:ind w:right="100" w:firstLine="510"/>
        <w:spacing w:after="0" w:line="277" w:lineRule="auto"/>
        <w:rPr>
          <w:sz w:val="20"/>
          <w:szCs w:val="20"/>
          <w:color w:val="auto"/>
        </w:rPr>
      </w:pPr>
      <w:r>
        <w:rPr>
          <w:rFonts w:ascii="Times New Roman" w:cs="Times New Roman" w:eastAsia="Times New Roman" w:hAnsi="Times New Roman"/>
          <w:sz w:val="18"/>
          <w:szCs w:val="18"/>
          <w:color w:val="auto"/>
        </w:rPr>
        <w:t>We offer return rights and customer incentive programs. Customer incentive programs include special pricing arrangements, promotions, rebates and volume-based incentives.</w:t>
      </w:r>
    </w:p>
    <w:p>
      <w:pPr>
        <w:spacing w:after="0" w:line="57" w:lineRule="exact"/>
        <w:rPr>
          <w:sz w:val="20"/>
          <w:szCs w:val="20"/>
          <w:color w:val="auto"/>
        </w:rPr>
      </w:pPr>
    </w:p>
    <w:p>
      <w:pPr>
        <w:ind w:right="80" w:firstLine="510"/>
        <w:spacing w:after="0" w:line="257" w:lineRule="auto"/>
        <w:rPr>
          <w:sz w:val="20"/>
          <w:szCs w:val="20"/>
          <w:color w:val="auto"/>
        </w:rPr>
      </w:pPr>
      <w:r>
        <w:rPr>
          <w:rFonts w:ascii="Times New Roman" w:cs="Times New Roman" w:eastAsia="Times New Roman" w:hAnsi="Times New Roman"/>
          <w:sz w:val="18"/>
          <w:szCs w:val="18"/>
          <w:color w:val="auto"/>
        </w:rPr>
        <w:t>We have agreements with certain customers that contain terms allowing price protection credits to be issued in the event of a subsequent price reduction. Our decision to make price reductions is influenced by product life cycle stage, market acceptance of products, the competitive environment, new product introductions and other factors. Accruals for estimated expected future pricing actions are recognized at the time of sale based on analysis of historical pricing actions by customer and by product, inventories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760"/>
        <w:spacing w:after="0" w:line="277" w:lineRule="auto"/>
        <w:rPr>
          <w:sz w:val="20"/>
          <w:szCs w:val="20"/>
          <w:color w:val="auto"/>
        </w:rPr>
      </w:pPr>
      <w:r>
        <w:rPr>
          <w:rFonts w:ascii="Times New Roman" w:cs="Times New Roman" w:eastAsia="Times New Roman" w:hAnsi="Times New Roman"/>
          <w:sz w:val="18"/>
          <w:szCs w:val="18"/>
          <w:color w:val="auto"/>
        </w:rPr>
        <w:t>owned by and located at distributors and retailers, current customer demand, current operating conditions, and other relevant customer and product information, such as stage of product life-cycle.</w:t>
      </w:r>
    </w:p>
    <w:p>
      <w:pPr>
        <w:spacing w:after="0" w:line="57" w:lineRule="exact"/>
        <w:rPr>
          <w:sz w:val="20"/>
          <w:szCs w:val="20"/>
          <w:color w:val="auto"/>
        </w:rPr>
      </w:pPr>
    </w:p>
    <w:p>
      <w:pPr>
        <w:ind w:right="440" w:firstLine="510"/>
        <w:spacing w:after="0" w:line="277" w:lineRule="auto"/>
        <w:rPr>
          <w:sz w:val="20"/>
          <w:szCs w:val="20"/>
          <w:color w:val="auto"/>
        </w:rPr>
      </w:pPr>
      <w:r>
        <w:rPr>
          <w:rFonts w:ascii="Times New Roman" w:cs="Times New Roman" w:eastAsia="Times New Roman" w:hAnsi="Times New Roman"/>
          <w:sz w:val="18"/>
          <w:szCs w:val="18"/>
          <w:color w:val="auto"/>
        </w:rPr>
        <w:t>The transaction price received by us from sales to distributors and retailers is calculated as selling price net of variable consideration which may include rebates, product returns and price protection.</w:t>
      </w:r>
    </w:p>
    <w:p>
      <w:pPr>
        <w:spacing w:after="0" w:line="57"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Rights of return vary by customer and range from the right to return products to limited stock rotation rights allowing the exchange of a percentage of the customer’s quarterly purchases. Estimates of expected future product returns qualify as variable consideration and are recorded as a reduction of the transaction price of the contract at the time of sale based on historical return rates. Return rates are influenced by product life cycle status, new product introductions, market acceptance of products, sales levels, the type of customer, seasonality, product quality issues, competitive pressures, operational policies and procedures, and other factors. Return rates can fluctuate over time but are sufficiently predictable to allow us to estimate expected future product returns.</w:t>
      </w:r>
    </w:p>
    <w:p>
      <w:pPr>
        <w:spacing w:after="0" w:line="80" w:lineRule="exact"/>
        <w:rPr>
          <w:sz w:val="20"/>
          <w:szCs w:val="20"/>
          <w:color w:val="auto"/>
        </w:rPr>
      </w:pPr>
    </w:p>
    <w:p>
      <w:pPr>
        <w:ind w:right="540" w:firstLine="510"/>
        <w:spacing w:after="0" w:line="262" w:lineRule="auto"/>
        <w:rPr>
          <w:sz w:val="20"/>
          <w:szCs w:val="20"/>
          <w:color w:val="auto"/>
        </w:rPr>
      </w:pPr>
      <w:r>
        <w:rPr>
          <w:rFonts w:ascii="Times New Roman" w:cs="Times New Roman" w:eastAsia="Times New Roman" w:hAnsi="Times New Roman"/>
          <w:sz w:val="18"/>
          <w:szCs w:val="18"/>
          <w:color w:val="auto"/>
        </w:rPr>
        <w:t>We normally require payments from customers within 30 to 90 days from invoice date. We do not generally modify payment terms on existing receivables. Our contracts with customers typically do not include significant financing components as the period between the satisfaction of the performance obligations and timing of payment are generally within one year.</w:t>
      </w:r>
    </w:p>
    <w:p>
      <w:pPr>
        <w:spacing w:after="0" w:line="70"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Customer incentive programs are considered variable consideration, which we estimate and record as a reduction to revenue at the time of sale. Significant management judgments and estimates must be used to determine the cost of these programs to be included in the transaction price in any accounting period including a reduction for the estimate of amounts that ultimately will not be claimed for certain customer incentive programs. We use the expected value method to arrive at the amount of variable consideration. The Company constrains variable consideration until the likelihood of a significant revenue reversal is not probable. The accrual estimates are based on actual sales data, historical experience, forecasted incentives, anticipated volume of future purchases, and inventory levels in the channel.</w:t>
      </w:r>
    </w:p>
    <w:p>
      <w:pPr>
        <w:spacing w:after="0" w:line="80" w:lineRule="exact"/>
        <w:rPr>
          <w:sz w:val="20"/>
          <w:szCs w:val="20"/>
          <w:color w:val="auto"/>
        </w:rPr>
      </w:pPr>
    </w:p>
    <w:p>
      <w:pPr>
        <w:ind w:right="40" w:firstLine="510"/>
        <w:spacing w:after="0" w:line="257" w:lineRule="auto"/>
        <w:rPr>
          <w:sz w:val="20"/>
          <w:szCs w:val="20"/>
          <w:color w:val="auto"/>
        </w:rPr>
      </w:pPr>
      <w:r>
        <w:rPr>
          <w:rFonts w:ascii="Times New Roman" w:cs="Times New Roman" w:eastAsia="Times New Roman" w:hAnsi="Times New Roman"/>
          <w:sz w:val="18"/>
          <w:szCs w:val="18"/>
          <w:color w:val="auto"/>
        </w:rPr>
        <w:t>During the years ended December 31, 2022 and 2021, we did not recognize any material revenue adjustments related to performance obligations satisfied in prior periods as a result of changes in estimated variable consideration. Because the majority of the performance obligations in our contracts with customers relate to contracts with a duration of less than one year, we have elected to apply the optional exemption to not disclose the aggregate amount of the transaction price allocated to performance obligations that are unsatisfied or partially unsatisfied at the end of the reporting period.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6" w:lineRule="exact"/>
        <w:rPr>
          <w:sz w:val="20"/>
          <w:szCs w:val="20"/>
          <w:color w:val="auto"/>
        </w:rPr>
      </w:pPr>
    </w:p>
    <w:p>
      <w:pPr>
        <w:ind w:right="120" w:firstLine="510"/>
        <w:spacing w:after="0" w:line="262" w:lineRule="auto"/>
        <w:rPr>
          <w:sz w:val="20"/>
          <w:szCs w:val="20"/>
          <w:color w:val="auto"/>
        </w:rPr>
      </w:pPr>
      <w:r>
        <w:rPr>
          <w:rFonts w:ascii="Times New Roman" w:cs="Times New Roman" w:eastAsia="Times New Roman" w:hAnsi="Times New Roman"/>
          <w:sz w:val="18"/>
          <w:szCs w:val="18"/>
          <w:color w:val="auto"/>
        </w:rPr>
        <w:t>Contract liabilities are recorded when cash payments are received or due in advance of performance, primarily for our webstore sales and extended warranty subscriptions. Contract liabilities are included in other liabilities and accrued expenses and other liabilities noncurrent on the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8" w:lineRule="exact"/>
        <w:rPr>
          <w:sz w:val="20"/>
          <w:szCs w:val="20"/>
          <w:color w:val="auto"/>
        </w:rPr>
      </w:pPr>
    </w:p>
    <w:p>
      <w:pPr>
        <w:ind w:right="80" w:firstLine="510"/>
        <w:spacing w:after="0" w:line="257" w:lineRule="auto"/>
        <w:rPr>
          <w:sz w:val="20"/>
          <w:szCs w:val="20"/>
          <w:color w:val="auto"/>
        </w:rPr>
      </w:pPr>
      <w:r>
        <w:rPr>
          <w:rFonts w:ascii="Times New Roman" w:cs="Times New Roman" w:eastAsia="Times New Roman" w:hAnsi="Times New Roman"/>
          <w:sz w:val="18"/>
          <w:szCs w:val="18"/>
          <w:color w:val="auto"/>
        </w:rPr>
        <w:t>Cost of revenue consists of product costs, including purchases from contract manufacturers, inbound freight costs from manufacturers to our distribution hubs, as well as inter-hubs shipments, duties and tariffs, warranty replacement costs, costs to process and rework returned items, depreciation of tooling equipment, warehousing costs, inventory valuation write-downs, certain allocated costs related to facilities and IT department, and personnel-related expenses and other operating expenses related to supply chain logistics.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Costs</w:t>
      </w:r>
    </w:p>
    <w:p>
      <w:pPr>
        <w:spacing w:after="0" w:line="118"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Distribution costs, recorded as a component of sales, general and administrative expenses, include the costs to operate two of our distribution hubs internally and the costs paid to third-party logistics providers to operate our remaining four distribution hubs. Distribution costs also include the costs of shipping products to customers through third party carriers. Amounts billed to customers for shipping and handling of products are recorded in net revenue. We do not consider distribution costs to be part of the costs to bring our products to the finished condition and therefore record such distribution costs as sales, general and administrative expense rather than in cost of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Costs</w:t>
      </w:r>
    </w:p>
    <w:p>
      <w:pPr>
        <w:spacing w:after="0" w:line="118"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Product development costs are generally expensed as incurred. Product development costs consist primarily of the costs associated with the design and testing of new products and improvements to existing products. These costs relate primarily to compensation of personnel and consultants involved with product design, definition, compatibility testing and qualification. To date, almost all of the software development costs have been expensed as incurred because the period between achieving technological feasibility and the release of the software has been short and development costs qualifying for capitalization have been insignificant.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18" w:lineRule="exact"/>
        <w:rPr>
          <w:sz w:val="20"/>
          <w:szCs w:val="20"/>
          <w:color w:val="auto"/>
        </w:rPr>
      </w:pPr>
    </w:p>
    <w:p>
      <w:pPr>
        <w:ind w:right="100" w:firstLine="510"/>
        <w:spacing w:after="0" w:line="26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as a component of sales, general and administrative expense in the consolidated statements of operations. Advertising and promotion expenses were $17.3 million, $19.8 million, and $19.1 million for the years ended December 31, 2022, 2021, and 2020,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measure and recognize compensation for all stock-based compensation awards, including stock options, stock purchase rights and restricted stock units (“RSU”), based upon the grant-date fair value of those awards. The grant-date fair value of our stock options and stock purchase rights is estimated using a Black-Scholes-Merton option-pricing model. The fair value of our RSUs is calculated based on the market value of our stock at the grant date. Stock-based compensation is recognized on a straight-line basis over the requisite service period and we have elected to recognize actual forfeitures by reducing the stock-based compensation in the same period as the forfeitures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18" w:lineRule="exact"/>
        <w:rPr>
          <w:sz w:val="20"/>
          <w:szCs w:val="20"/>
          <w:color w:val="auto"/>
        </w:rPr>
      </w:pPr>
    </w:p>
    <w:p>
      <w:pPr>
        <w:ind w:right="140" w:firstLine="510"/>
        <w:spacing w:after="0" w:line="274" w:lineRule="auto"/>
        <w:rPr>
          <w:sz w:val="20"/>
          <w:szCs w:val="20"/>
          <w:color w:val="auto"/>
        </w:rPr>
      </w:pPr>
      <w:r>
        <w:rPr>
          <w:rFonts w:ascii="Times New Roman" w:cs="Times New Roman" w:eastAsia="Times New Roman" w:hAnsi="Times New Roman"/>
          <w:sz w:val="17"/>
          <w:szCs w:val="17"/>
          <w:color w:val="auto"/>
        </w:rPr>
        <w:t>Operating segments are based on components of a company that engage in business activity that earn revenue and incur expenses and (a) whose operating results are regularly reviewed by its chief operating decision maker (“CODM”) to make decisions about resource allocation and performance and</w:t>
      </w:r>
    </w:p>
    <w:p>
      <w:pPr>
        <w:ind w:left="520" w:right="7220" w:hanging="513"/>
        <w:spacing w:after="0" w:line="358" w:lineRule="auto"/>
        <w:tabs>
          <w:tab w:leader="none" w:pos="2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discrete financial information is available. We have two reportable segments:</w:t>
      </w:r>
    </w:p>
    <w:p>
      <w:pPr>
        <w:jc w:val="both"/>
        <w:ind w:left="1020" w:right="160" w:hanging="506"/>
        <w:spacing w:after="0" w:line="265"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Includes our high-performance gaming keyboards, mice, headsets, controllers, and streaming gear,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capture cards, Stream Decks, USB microphones, our Facecam streaming camera, studio accessories and EpocCam software, as well as coaching and training services, among others.</w:t>
      </w:r>
    </w:p>
    <w:p>
      <w:pPr>
        <w:spacing w:after="0" w:line="62" w:lineRule="exact"/>
        <w:rPr>
          <w:rFonts w:ascii="Times New Roman" w:cs="Times New Roman" w:eastAsia="Times New Roman" w:hAnsi="Times New Roman"/>
          <w:sz w:val="18"/>
          <w:szCs w:val="18"/>
          <w:color w:val="auto"/>
        </w:rPr>
      </w:pPr>
    </w:p>
    <w:p>
      <w:pPr>
        <w:ind w:left="1020" w:right="380" w:hanging="506"/>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Components and Systems</w:t>
      </w:r>
      <w:r>
        <w:rPr>
          <w:rFonts w:ascii="Times New Roman" w:cs="Times New Roman" w:eastAsia="Times New Roman" w:hAnsi="Times New Roman"/>
          <w:sz w:val="18"/>
          <w:szCs w:val="18"/>
          <w:color w:val="auto"/>
        </w:rPr>
        <w:t>. Includes our high-performance power supply units, or PSUs, cooling solutions, computer cases,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DRAM modules, as well as high-end prebuilt and custom-built gaming PCs and laptops, and gaming monitors, among others.</w:t>
      </w:r>
    </w:p>
    <w:p>
      <w:pPr>
        <w:spacing w:after="0" w:line="159" w:lineRule="exact"/>
        <w:rPr>
          <w:sz w:val="20"/>
          <w:szCs w:val="20"/>
          <w:color w:val="auto"/>
        </w:rPr>
      </w:pPr>
    </w:p>
    <w:p>
      <w:pPr>
        <w:ind w:right="200" w:firstLine="510"/>
        <w:spacing w:after="0" w:line="262" w:lineRule="auto"/>
        <w:rPr>
          <w:sz w:val="20"/>
          <w:szCs w:val="20"/>
          <w:color w:val="auto"/>
        </w:rPr>
      </w:pPr>
      <w:r>
        <w:rPr>
          <w:rFonts w:ascii="Times New Roman" w:cs="Times New Roman" w:eastAsia="Times New Roman" w:hAnsi="Times New Roman"/>
          <w:sz w:val="18"/>
          <w:szCs w:val="18"/>
          <w:color w:val="auto"/>
        </w:rPr>
        <w:t>Our CODM is determined to be Corsair’s Chief Executive Officer. The results of the reportable segments are derived directly from our reporting system and are based on the methods of internal reporting which are not necessarily in conformity with GAAP. The segmental net revenue and gross profit are used to evaluate the performance of, and allocate resources to, each of the segments.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18" w:lineRule="exact"/>
        <w:rPr>
          <w:sz w:val="20"/>
          <w:szCs w:val="20"/>
          <w:color w:val="auto"/>
        </w:rPr>
      </w:pPr>
    </w:p>
    <w:p>
      <w:pPr>
        <w:ind w:right="280" w:firstLine="510"/>
        <w:spacing w:after="0" w:line="277" w:lineRule="auto"/>
        <w:rPr>
          <w:sz w:val="20"/>
          <w:szCs w:val="20"/>
          <w:color w:val="auto"/>
        </w:rPr>
      </w:pPr>
      <w:r>
        <w:rPr>
          <w:rFonts w:ascii="Times New Roman" w:cs="Times New Roman" w:eastAsia="Times New Roman" w:hAnsi="Times New Roman"/>
          <w:sz w:val="18"/>
          <w:szCs w:val="18"/>
          <w:color w:val="auto"/>
        </w:rPr>
        <w:t>Total restricted cash as of December 31, 2022 and 2021 was $2.9 million and $3.0 million, respectively. The restricted cash serves as collateral for certain bank guarantees, customer deposits and security deposits.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1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Accounts receivable from contracts with customers are recorded at the invoiced amount when we have an unconditional right to consideration, net of allowance for credit losses. We maintain trade credit insurance to mitigate credit risks on certain of our accounts receivable that reimburse us for up to 90% of collection losses. We estimate an allowance for credit losses by using a combination of relevant information including historical loss information, adjusted to take into account current market conditions and our customers’ financial condition, the amount of any receivables in dispute, the current receivables aging, and the current payment terms.</w:t>
      </w:r>
    </w:p>
    <w:p>
      <w:pPr>
        <w:spacing w:after="0" w:line="74"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On September 29, 2022, one of our fully consolidated subsidiaries entered into an accounts receivable factoring agreement (“Factoring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with a third-party financial institution (“Factor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Pursuant to the terms of the arrangement, we sell certain of our customer receivables on a non-recourse basis to the Factor. Proceeds from factoring the accounts receivable are due upon collection of payments from the customers, but upon our request, the Factor may, at their sole discretion, remit a portion of the proceeds to us prior to their collection of payments from the customers. Our obligations to the Factor, related to advances from the Factor, are secured by certain assets of our subsidiary. Transactions under this agreement are accounted for as sales of accounts receivable, and the receivables sold are removed from the consolidated balance sheet at the time of the sales transaction. We classify proceeds received from the sales of accounts receivable as an operating cash flow in the consolidated statement of cash flows. We record the factoring fees in selling, general and administrative expenses in our consolidated statement of operations.</w:t>
      </w:r>
    </w:p>
    <w:p>
      <w:pPr>
        <w:spacing w:after="0" w:line="80" w:lineRule="exact"/>
        <w:rPr>
          <w:sz w:val="20"/>
          <w:szCs w:val="20"/>
          <w:color w:val="auto"/>
        </w:rPr>
      </w:pPr>
    </w:p>
    <w:p>
      <w:pPr>
        <w:ind w:right="660" w:firstLine="510"/>
        <w:spacing w:after="0" w:line="277" w:lineRule="auto"/>
        <w:rPr>
          <w:sz w:val="20"/>
          <w:szCs w:val="20"/>
          <w:color w:val="auto"/>
        </w:rPr>
      </w:pPr>
      <w:r>
        <w:rPr>
          <w:rFonts w:ascii="Times New Roman" w:cs="Times New Roman" w:eastAsia="Times New Roman" w:hAnsi="Times New Roman"/>
          <w:sz w:val="18"/>
          <w:szCs w:val="18"/>
          <w:color w:val="auto"/>
        </w:rPr>
        <w:t>In the year ended December 31, 2022, we sold receivables and received cash proceeds of $175.1 million and $83.4 million, respectively. The factoring fees incurred in the year ended December 31, 2022 totaled $0.5 million.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the amount due from the Factor was $91.0 million, or 38.6% of our accounts receivable, net balance, and there</w:t>
      </w:r>
    </w:p>
    <w:p>
      <w:pPr>
        <w:spacing w:after="0" w:line="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was one other customer with more than 10% of our accounts receivable, net balance. Two customers represented 10% or more of our accounts receivable, net balance as of December 31,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18" w:lineRule="exact"/>
        <w:rPr>
          <w:sz w:val="20"/>
          <w:szCs w:val="20"/>
          <w:color w:val="auto"/>
        </w:rPr>
      </w:pPr>
    </w:p>
    <w:p>
      <w:pPr>
        <w:ind w:right="160" w:firstLine="510"/>
        <w:spacing w:after="0" w:line="308" w:lineRule="auto"/>
        <w:rPr>
          <w:sz w:val="20"/>
          <w:szCs w:val="20"/>
          <w:color w:val="auto"/>
        </w:rPr>
      </w:pPr>
      <w:r>
        <w:rPr>
          <w:rFonts w:ascii="Times New Roman" w:cs="Times New Roman" w:eastAsia="Times New Roman" w:hAnsi="Times New Roman"/>
          <w:sz w:val="17"/>
          <w:szCs w:val="17"/>
          <w:color w:val="auto"/>
        </w:rPr>
        <w:t>Our financial instruments that are exposed to concentrations of credit risk consist principally of cash, restricted cash and accounts receivable. We maintain our cash and restricted cash with various high-quality financial institutions with investment-grade ratings and we have not experienced any losses.</w:t>
      </w:r>
    </w:p>
    <w:p>
      <w:pPr>
        <w:spacing w:after="0" w:line="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customer accounted for more than 10% of our consolidated net revenue for the years ended December 31, 2022, 2021 and 2020.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18"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color w:val="auto"/>
        </w:rPr>
        <w:t>Inventories primarily consist of finished goods and to a lesser extent component parts, which are purchased from contract manufacturers and component suppliers. Inventories are stated at lower of cost and net realizable value using the weighted average cost method of accounting. We assess the valuation of inventory balances including an assessment to determine potential excess and/or obsolete inventory. We may be required to write down the value of inventory if estimates of future demand and market conditions indicate estimated excess or obsolete inventory.</w:t>
      </w:r>
    </w:p>
    <w:p>
      <w:pPr>
        <w:spacing w:after="0" w:line="75"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8"/>
          <w:szCs w:val="18"/>
          <w:color w:val="auto"/>
        </w:rPr>
        <w:t>We recognized inventory impairment related charges of $25.5 million and $7.9 million for the years ended December 31, 2022, and 2021, respectively. The increase in inventory impairment related charges in the year ended December 31, 2022 was primarily due to the buildup of excess inventory in the distribution channels as the demand from our customers was negatively impacted in 2022, primarily due to unfavorable macroeconomic conditions and also because more entertainment options have become available as a result of the easing of COVID-19 shelter-in-place restrictions.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18" w:lineRule="exact"/>
        <w:rPr>
          <w:sz w:val="20"/>
          <w:szCs w:val="20"/>
          <w:color w:val="auto"/>
        </w:rPr>
      </w:pPr>
    </w:p>
    <w:p>
      <w:pPr>
        <w:ind w:right="160" w:firstLine="510"/>
        <w:spacing w:after="0" w:line="257"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Major improvements that extend the life, capacity or improve the safety of an asset are capitalized, while maintenance and repairs are expensed as incurred. Depreciation is calculated on the straight-line method over the estimated useful lives of the assets, determined to be two to seven years. Leasehold improvements are amortized over the shorter of the remaining lease term or the estimated useful lives of the improvements.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lease portfolio consists primarily of real estate facilities for manufacturing, distribution, warehousing and office use purposes under operating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95"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Right-of-use (“ROU”) assets and lease liabilities are recognized at commencement based on the present value of the lease consideration in the contracts over the lease term. We do not record leases with an initial term of 12 months or less on our consolidated balance sheet but continue to record rent expense on a straight-line basis over the lease term. Certain of our lease agreements include options to extend or renew the lease terms. Such options are excluded from the ROU assets and lease liabilities unless they are reasonably certain to be exercised. We account for the lease and non-lease components as a single lease component. Operating lease expense is recognized on a straight-line basis over the lease term.</w:t>
      </w:r>
    </w:p>
    <w:p>
      <w:pPr>
        <w:spacing w:after="0" w:line="8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apply the incremental borrowing rate, in determining the present value of the lease consideration, as our leases do not provide an implicit rate. Our incremental borrowing rate is the rate of interest we would have to pay on a collateralized basis to borrow an amount equal to the lease payments under similar terms. Because we do not frequently borrow on a collateralized basis, we consider a combination of factors to determine our incremental borrowing rate, including our credit worthiness, adjusted to approximate a collateralized rating, observable market yield curves, and the U.S. and foreign currency risk-free rates.</w:t>
      </w:r>
    </w:p>
    <w:p>
      <w:pPr>
        <w:spacing w:after="0" w:line="76"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Our variable lease expense consists primarily of warehousing and distribution services related to our outsourced distribution hubs, and to a lesser extent, variable costs related to office common area maintenance charges. Our service contracts with third-party logistic service providers include both fixed payments for the use of a fixed warehouse space and variable payments based on the usage of their services for distribution and warehouse management. The fixed payments are included in the calculation of the ROU asset and lease liability, but the variable payments are expensed as incurred. In addition, our real estate leases typically contain variable payments for office common area maintenance and these costs are also expensed as incurred.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8" w:lineRule="exact"/>
        <w:rPr>
          <w:sz w:val="20"/>
          <w:szCs w:val="20"/>
          <w:color w:val="auto"/>
        </w:rPr>
      </w:pPr>
    </w:p>
    <w:p>
      <w:pPr>
        <w:ind w:right="20" w:firstLine="510"/>
        <w:spacing w:after="0" w:line="308" w:lineRule="auto"/>
        <w:rPr>
          <w:sz w:val="20"/>
          <w:szCs w:val="20"/>
          <w:color w:val="auto"/>
        </w:rPr>
      </w:pPr>
      <w:r>
        <w:rPr>
          <w:rFonts w:ascii="Times New Roman" w:cs="Times New Roman" w:eastAsia="Times New Roman" w:hAnsi="Times New Roman"/>
          <w:sz w:val="17"/>
          <w:szCs w:val="17"/>
          <w:color w:val="auto"/>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are available in active markets for identical assets or liabilities as of the measurement date.</w:t>
      </w:r>
    </w:p>
    <w:p>
      <w:pPr>
        <w:spacing w:after="0" w:line="114" w:lineRule="exact"/>
        <w:rPr>
          <w:sz w:val="20"/>
          <w:szCs w:val="20"/>
          <w:color w:val="auto"/>
        </w:rPr>
      </w:pPr>
    </w:p>
    <w:p>
      <w:pPr>
        <w:jc w:val="both"/>
        <w:ind w:right="400" w:firstLine="510"/>
        <w:spacing w:after="0" w:line="263"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—Pricing inputs are other than quoted prices in active market, which are either directly or indirectly observable as of the report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nature of these securities includes investments for which quoted prices are available but traded less frequently and investments that are fair valued using other securities, the parameters of which can be directly observed.</w:t>
      </w:r>
    </w:p>
    <w:p>
      <w:pPr>
        <w:spacing w:after="0" w:line="68" w:lineRule="exact"/>
        <w:rPr>
          <w:sz w:val="20"/>
          <w:szCs w:val="20"/>
          <w:color w:val="auto"/>
        </w:rPr>
      </w:pPr>
    </w:p>
    <w:p>
      <w:pPr>
        <w:ind w:right="180" w:firstLine="510"/>
        <w:spacing w:after="0" w:line="310" w:lineRule="auto"/>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—Securities that have little to no pricing observability as of the report date. These securities are measured using management’s best estimate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fair value, where the inputs into the determination of fair value are not observable and require significant management judgment or estimation.</w:t>
      </w:r>
    </w:p>
    <w:p>
      <w:pPr>
        <w:spacing w:after="0" w:line="31" w:lineRule="exact"/>
        <w:rPr>
          <w:sz w:val="20"/>
          <w:szCs w:val="20"/>
          <w:color w:val="auto"/>
        </w:rPr>
      </w:pPr>
    </w:p>
    <w:p>
      <w:pPr>
        <w:ind w:right="360" w:firstLine="510"/>
        <w:spacing w:after="0" w:line="262" w:lineRule="auto"/>
        <w:rPr>
          <w:sz w:val="20"/>
          <w:szCs w:val="20"/>
          <w:color w:val="auto"/>
        </w:rPr>
      </w:pPr>
      <w:r>
        <w:rPr>
          <w:rFonts w:ascii="Times New Roman" w:cs="Times New Roman" w:eastAsia="Times New Roman" w:hAnsi="Times New Roman"/>
          <w:sz w:val="18"/>
          <w:szCs w:val="18"/>
          <w:color w:val="auto"/>
        </w:rPr>
        <w:t>Fair value accounting is applied to all financial assets and liabilities that are recognized or disclosed at fair value in our consolidated financial statements on a recurring basis. Our financial instruments, including cash, restricted cash, accounts receivable, accounts payable, borrowings from credit lines and other liabilities and accrued expenses approximate fair value due to their short-term maturities.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8" w:lineRule="exact"/>
        <w:rPr>
          <w:sz w:val="20"/>
          <w:szCs w:val="20"/>
          <w:color w:val="auto"/>
        </w:rPr>
      </w:pPr>
    </w:p>
    <w:p>
      <w:pPr>
        <w:ind w:right="160" w:firstLine="510"/>
        <w:spacing w:after="0" w:line="252"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which requires that the assets acquired, liabilities assumed, contractual contingencies and contingent consideration are recorded at the date of acquisition at their respective fair values. Goodwill is recorded when consideration paid in a purchase acquisition exceeds the fair value of the net assets acquired. Amounts recorded in a business combination may change during the measurement period, which is a period not to exceed one year from the date of acquisition, as additional information about conditions existing at the acquisition date becomes available. We include the results of operations of the acquired business in the consolidated financial statements prospectively from the date of acquisition. Acquisition-related charges, including primarily third-party professional fees, accounting fees and legal fees are recognized separately from the business combination and are expensed as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118" w:lineRule="exact"/>
        <w:rPr>
          <w:sz w:val="20"/>
          <w:szCs w:val="20"/>
          <w:color w:val="auto"/>
        </w:rPr>
      </w:pPr>
    </w:p>
    <w:p>
      <w:pPr>
        <w:ind w:right="80" w:firstLine="510"/>
        <w:spacing w:after="0" w:line="252"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and are tested for impairment on an annual basis at October 1 or between annual tests if an event occurs or circumstances change that would more likely than not reduce the fair value of the reporting unit or asset below its carrying value. We perform our annual goodwill impairment assessment at the reporting unit level and our indefinite-lived intangible assets at the individual asset level. In reviewing impairment, we have the option to first assess qualitative factors to determine whether the existence of events or circumstances leads to a determination that it is more likely than not (greater than 50%) that the estimated fair value of a reporting unit is less than its carrying amount. We also may elect not to perform the qualitative assessment and, instead, proceed directly to the quantitative impairment test. The ultimate outcome of the goodwill impairment review for a reporting unit should be the same whether we choose to perform the qualitative assessment or proceed directly to the quantitative impairment test.</w:t>
      </w:r>
    </w:p>
    <w:p>
      <w:pPr>
        <w:spacing w:after="0" w:line="78"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A qualitative assessment requires that we consider events or circumstances including macroeconomic conditions, industry and market considerations, cost factors, overall financial performance, changes in management or key personnel, changes in strategy, changes in customers, changes in the composition or carrying amount of a reporting segment’s net assets and changes in our stock price. If, after assessing the totality of events or circumstances, we determine that it is more likely than not that the fair values of our reporting units are greater than the carrying amounts, then the quantitative goodwill impairment test is not performed.</w:t>
      </w:r>
    </w:p>
    <w:p>
      <w:pPr>
        <w:spacing w:after="0" w:line="76" w:lineRule="exact"/>
        <w:rPr>
          <w:sz w:val="20"/>
          <w:szCs w:val="20"/>
          <w:color w:val="auto"/>
        </w:rPr>
      </w:pPr>
    </w:p>
    <w:p>
      <w:pPr>
        <w:ind w:right="260" w:firstLine="510"/>
        <w:spacing w:after="0" w:line="257" w:lineRule="auto"/>
        <w:rPr>
          <w:sz w:val="20"/>
          <w:szCs w:val="20"/>
          <w:color w:val="auto"/>
        </w:rPr>
      </w:pPr>
      <w:r>
        <w:rPr>
          <w:rFonts w:ascii="Times New Roman" w:cs="Times New Roman" w:eastAsia="Times New Roman" w:hAnsi="Times New Roman"/>
          <w:sz w:val="18"/>
          <w:szCs w:val="18"/>
          <w:color w:val="auto"/>
        </w:rPr>
        <w:t>For the 2022 annual goodwill impairment test, we bypassed the qualitative assessment and performed a quantitative assessment in accordance with our policy and concluded that goodwill was not impaired. For the 2022 annual impairment test for our indefinite-lived intangible assets, we performed a qualitative assessment and determined that an impairment was not more likely than not and no further analysis was required. We have not recorded any impairment charges related to goodwill or indefinite-lived intangible assets for any prior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with finite-lives and Long-Lived Assets</w:t>
      </w:r>
    </w:p>
    <w:p>
      <w:pPr>
        <w:spacing w:after="0" w:line="118" w:lineRule="exact"/>
        <w:rPr>
          <w:sz w:val="20"/>
          <w:szCs w:val="20"/>
          <w:color w:val="auto"/>
        </w:rPr>
      </w:pPr>
    </w:p>
    <w:p>
      <w:pPr>
        <w:ind w:right="160" w:firstLine="510"/>
        <w:spacing w:after="0" w:line="277" w:lineRule="auto"/>
        <w:rPr>
          <w:sz w:val="20"/>
          <w:szCs w:val="20"/>
          <w:color w:val="auto"/>
        </w:rPr>
      </w:pPr>
      <w:r>
        <w:rPr>
          <w:rFonts w:ascii="Times New Roman" w:cs="Times New Roman" w:eastAsia="Times New Roman" w:hAnsi="Times New Roman"/>
          <w:sz w:val="17"/>
          <w:szCs w:val="17"/>
          <w:color w:val="auto"/>
        </w:rPr>
        <w:t>Our intangible assets with finite lives principally include acquired technology, patents, tradenames, customer relationships and non-compete agreements. The assets are carried at cost and amortized using a straight-line method over the estimated economic lives of the assets. Amortization expense related to patents is included in cost of revenues. Amortization expense related to developed technology is included in product development costs. Amortization expense related to customer relationships, trade name and non-compete agreements is included in sales, general and administrative costs.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120" w:firstLine="510"/>
        <w:spacing w:after="0" w:line="277" w:lineRule="auto"/>
        <w:rPr>
          <w:sz w:val="20"/>
          <w:szCs w:val="20"/>
          <w:color w:val="auto"/>
        </w:rPr>
      </w:pPr>
      <w:r>
        <w:rPr>
          <w:rFonts w:ascii="Times New Roman" w:cs="Times New Roman" w:eastAsia="Times New Roman" w:hAnsi="Times New Roman"/>
          <w:sz w:val="18"/>
          <w:szCs w:val="18"/>
          <w:color w:val="auto"/>
        </w:rPr>
        <w:t>Our long-lived assets are primarily comprised of operating lease ROU assets, property and equipment and capitalized implementation costs of cloud computing arrangements.</w:t>
      </w:r>
    </w:p>
    <w:p>
      <w:pPr>
        <w:spacing w:after="0" w:line="57"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evaluate the recoverability of intangible assets with finite lives and long-lived assets for impairment whenever events or changes in circumstances indicate that the carrying amounts may not be recoverable. For ROU assets such circumstances would include a decision to abandon the use of all or part of an asset, or subleases that do not fully recover the costs of the associated lease. Recoverability is measured by comparing the carrying amounts to the future undiscounted cash flows the assets are expected to generate. If it is determined that an asset may not be recoverable, an impairment loss equal to the excess of the asset’s carrying value over its fair value is recorded. Fair value is determined based on an asset’s projected discounted future cash flow or appraised value, depending on the nature of the asset. Such impairment charges recorded in the periods presented were not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Reserve</w:t>
      </w:r>
    </w:p>
    <w:p>
      <w:pPr>
        <w:spacing w:after="0" w:line="11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All of our products are covered by warranty to be free from defects in material and workmanship for periods ranging from six months to ten years, and for life for memory products. Our warranty does not provide a service beyond assuring that the product complies with agreed-upon specifications. At the time of sale, an estimate of future warranty costs is recorded as a component of cost of revenue and a warranty liability is recorded for estimated costs to satisfy the warranty obligation. The estimate of the costs to fulfill our warranty obligations is based on historical experience and expectations of future costs to repair or replace.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Issuance Costs and Debt Discounts</w:t>
      </w:r>
    </w:p>
    <w:p>
      <w:pPr>
        <w:spacing w:after="0" w:line="118"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Costs incurred in obtaining long-term financing paid to parties other than creditors are considered a debt issuance cost. Amounts paid to creditors are recorded as a reduction in the proceeds received by the creditor and are considered a discount on the issuance of debt. Deferred issuance costs and debt discounts are amortized over the terms of the long-term financing agreements using the effective-interest method and recorded as a deduction of the carrying amount of the debt in the consolidated balance sheets. Deferred issuance costs of our revolving line of credit are recorded in prepaid expenses and other current assets and other assets, according to the timing of amortization.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Nonmonetary Transactions</w:t>
      </w:r>
    </w:p>
    <w:p>
      <w:pPr>
        <w:spacing w:after="0" w:line="118" w:lineRule="exact"/>
        <w:rPr>
          <w:sz w:val="20"/>
          <w:szCs w:val="20"/>
          <w:color w:val="auto"/>
        </w:rPr>
      </w:pPr>
    </w:p>
    <w:p>
      <w:pPr>
        <w:ind w:right="220" w:firstLine="510"/>
        <w:spacing w:after="0" w:line="270" w:lineRule="auto"/>
        <w:rPr>
          <w:sz w:val="20"/>
          <w:szCs w:val="20"/>
          <w:color w:val="auto"/>
        </w:rPr>
      </w:pPr>
      <w:r>
        <w:rPr>
          <w:rFonts w:ascii="Times New Roman" w:cs="Times New Roman" w:eastAsia="Times New Roman" w:hAnsi="Times New Roman"/>
          <w:sz w:val="17"/>
          <w:szCs w:val="17"/>
          <w:color w:val="auto"/>
        </w:rPr>
        <w:t>The sales and purchases of inventory with our manufacturers are accounted for as nonmonetary transactions. Upon sale of raw materials to the manufacturer, for the inventories on-hand with the manufacturer where there is an anticipated reciprocal purchase by us, we will record this nonmonetary transaction as prepaid inventories and accrued liabilities. When we transact the reciprocal purchase of inventory from the manufacturer, we will record a payable to the manufacturer at the repurchase price, which replaces the initial nonmonetary transaction and inventory will be reflected at carrying value, which includes the costs for the raw materials and the incremental costs charged by the manufacturer for additional work performed on the inventory. In connection with such nonmonetary transactions with our manufacturers, as of December 31, 2022, we recognized $1.0 million prepaid inventory and $1.3 million accrued liabilities, and as of December 31, 2021, we recognized $5.0 million prepaid inventory and $5.4 million accrued liabilities.</w:t>
      </w:r>
    </w:p>
    <w:p>
      <w:pPr>
        <w:spacing w:after="0" w:line="64" w:lineRule="exact"/>
        <w:rPr>
          <w:sz w:val="20"/>
          <w:szCs w:val="20"/>
          <w:color w:val="auto"/>
        </w:rPr>
      </w:pPr>
    </w:p>
    <w:p>
      <w:pPr>
        <w:ind w:right="80" w:firstLine="510"/>
        <w:spacing w:after="0" w:line="277" w:lineRule="auto"/>
        <w:rPr>
          <w:sz w:val="20"/>
          <w:szCs w:val="20"/>
          <w:color w:val="auto"/>
        </w:rPr>
      </w:pPr>
      <w:r>
        <w:rPr>
          <w:rFonts w:ascii="Times New Roman" w:cs="Times New Roman" w:eastAsia="Times New Roman" w:hAnsi="Times New Roman"/>
          <w:sz w:val="18"/>
          <w:szCs w:val="18"/>
          <w:color w:val="auto"/>
        </w:rPr>
        <w:t>Because the transactions are nonmonetary, they have not been included in the consolidated statements of cash flows pursuant to ASC 230, Statement of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18" w:lineRule="exact"/>
        <w:rPr>
          <w:sz w:val="20"/>
          <w:szCs w:val="20"/>
          <w:color w:val="auto"/>
        </w:rPr>
      </w:pPr>
    </w:p>
    <w:p>
      <w:pPr>
        <w:ind w:right="220" w:firstLine="510"/>
        <w:spacing w:after="0" w:line="262" w:lineRule="auto"/>
        <w:rPr>
          <w:sz w:val="20"/>
          <w:szCs w:val="20"/>
          <w:color w:val="auto"/>
        </w:rPr>
      </w:pPr>
      <w:r>
        <w:rPr>
          <w:rFonts w:ascii="Times New Roman" w:cs="Times New Roman" w:eastAsia="Times New Roman" w:hAnsi="Times New Roman"/>
          <w:sz w:val="18"/>
          <w:szCs w:val="18"/>
          <w:color w:val="auto"/>
        </w:rPr>
        <w:t>For subsidiaries that have non-U.S. dollar functional currencies, the assets and liabilities of these subsidiaries are translated using period-end exchange rates. Revenues and expenses are translated using average exchange rates in effect during the reporting period. Cumulative translation gains and losses are included as a component of stockholders’ equity in accumulated other comprehensive income (loss).</w:t>
      </w:r>
    </w:p>
    <w:p>
      <w:pPr>
        <w:spacing w:after="0" w:line="70"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Monetary assets or liabilities denominated in currencies other than the functional currency are remeasured using exchange rates prevailing on the balance sheet date. Foreign currency remeasurement gains and (losses), net is included in other (expense) income, net in the consolidated statements of operations and the amounts were $(1.4) million, $(6.3) million and $1.6 million for the years ended December 31, 2022, 2021 and 2020, respectively. These amounts do not include the change in fair value of our foreign currency forward contracts. Refer to Note 4, Derivative Financial Instruments for more information on our hedging instruments.</w:t>
      </w:r>
    </w:p>
    <w:p>
      <w:pPr>
        <w:spacing w:after="0" w:line="76" w:lineRule="exact"/>
        <w:rPr>
          <w:sz w:val="20"/>
          <w:szCs w:val="20"/>
          <w:color w:val="auto"/>
        </w:rPr>
      </w:pPr>
    </w:p>
    <w:p>
      <w:pPr>
        <w:ind w:right="280" w:firstLine="510"/>
        <w:spacing w:after="0" w:line="277" w:lineRule="auto"/>
        <w:rPr>
          <w:sz w:val="20"/>
          <w:szCs w:val="20"/>
          <w:color w:val="auto"/>
        </w:rPr>
      </w:pPr>
      <w:r>
        <w:rPr>
          <w:rFonts w:ascii="Times New Roman" w:cs="Times New Roman" w:eastAsia="Times New Roman" w:hAnsi="Times New Roman"/>
          <w:sz w:val="18"/>
          <w:szCs w:val="18"/>
          <w:color w:val="auto"/>
        </w:rPr>
        <w:t>Gains and losses on long-term intercompany loans not intended to be repaid in the foreseeable future are recorded as a component of accumulated other comprehensive income (loss).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18" w:lineRule="exact"/>
        <w:rPr>
          <w:sz w:val="20"/>
          <w:szCs w:val="20"/>
          <w:color w:val="auto"/>
        </w:rPr>
      </w:pPr>
    </w:p>
    <w:p>
      <w:pPr>
        <w:ind w:right="500" w:firstLine="510"/>
        <w:spacing w:after="0" w:line="277" w:lineRule="auto"/>
        <w:rPr>
          <w:sz w:val="20"/>
          <w:szCs w:val="20"/>
          <w:color w:val="auto"/>
        </w:rPr>
      </w:pPr>
      <w:r>
        <w:rPr>
          <w:rFonts w:ascii="Times New Roman" w:cs="Times New Roman" w:eastAsia="Times New Roman" w:hAnsi="Times New Roman"/>
          <w:sz w:val="18"/>
          <w:szCs w:val="18"/>
          <w:color w:val="auto"/>
        </w:rPr>
        <w:t>We have included both redeemable noncontrolling interest and noncontrolling interest in our consolidated balance sheet in connection with our consolidation of the 51% ownership of iDisplay.</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220" w:firstLine="510"/>
        <w:spacing w:after="0" w:line="268" w:lineRule="auto"/>
        <w:rPr>
          <w:sz w:val="20"/>
          <w:szCs w:val="20"/>
          <w:color w:val="auto"/>
        </w:rPr>
      </w:pPr>
      <w:r>
        <w:rPr>
          <w:rFonts w:ascii="Times New Roman" w:cs="Times New Roman" w:eastAsia="Times New Roman" w:hAnsi="Times New Roman"/>
          <w:sz w:val="17"/>
          <w:szCs w:val="17"/>
          <w:color w:val="auto"/>
        </w:rPr>
        <w:t>Redeemable noncontrolling interest that are redeemable and not solely within our control are classified within temporary equity in the consolidated balance sheets. Redeemable noncontrolling interest are measured at the greater of the redemption value (calculated based on the formula stipulated in the Shareholders Agreement between the iDisplay seller and Corsair and including the amounts for dividends not currently declared or paid, for which the payment is not solely within our control), or the carrying value before giving effect to the redemption feature. The redeemable noncontrolling interest are recorded at their maximum redemption value at each reporting date. The redemption value is remeasured each quarter and changes in the value are recognized immediately. Any resulting change in the value of the redeemable noncontrolling interest is recognized through retained earnings and this adjustment also impacts the net income or loss attributable to common stockholders of Corsair Gaming, Inc used in the net income (loss) per share calculation. (See Note 12 “Net Income (Loss) Per Share” and Note 17 “Redeemable Noncontrolling Interest” for more information).</w:t>
      </w:r>
    </w:p>
    <w:p>
      <w:pPr>
        <w:spacing w:after="0" w:line="70" w:lineRule="exact"/>
        <w:rPr>
          <w:sz w:val="20"/>
          <w:szCs w:val="20"/>
          <w:color w:val="auto"/>
        </w:rPr>
      </w:pPr>
    </w:p>
    <w:p>
      <w:pPr>
        <w:ind w:right="1080" w:firstLine="510"/>
        <w:spacing w:after="0" w:line="277" w:lineRule="auto"/>
        <w:rPr>
          <w:sz w:val="20"/>
          <w:szCs w:val="20"/>
          <w:color w:val="auto"/>
        </w:rPr>
      </w:pPr>
      <w:r>
        <w:rPr>
          <w:rFonts w:ascii="Times New Roman" w:cs="Times New Roman" w:eastAsia="Times New Roman" w:hAnsi="Times New Roman"/>
          <w:sz w:val="18"/>
          <w:szCs w:val="18"/>
          <w:color w:val="auto"/>
        </w:rPr>
        <w:t>In addition, we have noncontrolling interest recorded at carrying value which do not have redemption features and are classified within permanent equity in our consolidated balance sheet.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8"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 Deferred tax assets are reduced through the establishment of a valuation allowance, if, based upon available evidence, it is determined that it is more likely than not that the deferred tax assets will not be realized. We are subject to foreign income taxes on our foreign operations. All deferred tax assets and liabilities are classified as non-current in the consolidated financial statements.</w:t>
      </w:r>
    </w:p>
    <w:p>
      <w:pPr>
        <w:spacing w:after="0" w:line="80" w:lineRule="exact"/>
        <w:rPr>
          <w:sz w:val="20"/>
          <w:szCs w:val="20"/>
          <w:color w:val="auto"/>
        </w:rPr>
      </w:pPr>
    </w:p>
    <w:p>
      <w:pPr>
        <w:ind w:right="40" w:firstLine="510"/>
        <w:spacing w:after="0" w:line="257" w:lineRule="auto"/>
        <w:rPr>
          <w:sz w:val="20"/>
          <w:szCs w:val="20"/>
          <w:color w:val="auto"/>
        </w:rPr>
      </w:pPr>
      <w:r>
        <w:rPr>
          <w:rFonts w:ascii="Times New Roman" w:cs="Times New Roman" w:eastAsia="Times New Roman" w:hAnsi="Times New Roman"/>
          <w:sz w:val="18"/>
          <w:szCs w:val="18"/>
          <w:color w:val="auto"/>
        </w:rPr>
        <w:t>We recognize the effect of income tax positions only if those positions are more likely than not of being sustained on examination based on the technical merit of the position. The first step is to evaluate the tax position for recognition by determining if the weight of available evidence indicates it is more likely than not that the position will be sustained on examination, including resolution of related appeals or litigation processes, if any. The second step is to measure the tax benefit as the largest amount, which is more than 50% likely of being realized upon ultimate settlement.</w:t>
      </w:r>
    </w:p>
    <w:p>
      <w:pPr>
        <w:spacing w:after="0" w:line="75" w:lineRule="exact"/>
        <w:rPr>
          <w:sz w:val="20"/>
          <w:szCs w:val="20"/>
          <w:color w:val="auto"/>
        </w:rPr>
      </w:pPr>
    </w:p>
    <w:p>
      <w:pPr>
        <w:ind w:firstLine="510"/>
        <w:spacing w:after="0" w:line="277" w:lineRule="auto"/>
        <w:rPr>
          <w:sz w:val="20"/>
          <w:szCs w:val="20"/>
          <w:color w:val="auto"/>
        </w:rPr>
      </w:pPr>
      <w:r>
        <w:rPr>
          <w:rFonts w:ascii="Times New Roman" w:cs="Times New Roman" w:eastAsia="Times New Roman" w:hAnsi="Times New Roman"/>
          <w:sz w:val="18"/>
          <w:szCs w:val="18"/>
          <w:color w:val="auto"/>
        </w:rPr>
        <w:t>We consider many factors when evaluating and estimating our tax positions and tax benefits, which may require periodic adjustments. Interest charges and penalties related to unrecognized tax benefits are recognized as a component of the income tax (expense) benefit.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18" w:lineRule="exact"/>
        <w:rPr>
          <w:sz w:val="20"/>
          <w:szCs w:val="20"/>
          <w:color w:val="auto"/>
        </w:rPr>
      </w:pPr>
    </w:p>
    <w:p>
      <w:pPr>
        <w:jc w:val="both"/>
        <w:ind w:right="40" w:firstLine="510"/>
        <w:spacing w:after="0" w:line="285" w:lineRule="auto"/>
        <w:rPr>
          <w:sz w:val="20"/>
          <w:szCs w:val="20"/>
          <w:color w:val="auto"/>
        </w:rPr>
      </w:pPr>
      <w:r>
        <w:rPr>
          <w:rFonts w:ascii="Times New Roman" w:cs="Times New Roman" w:eastAsia="Times New Roman" w:hAnsi="Times New Roman"/>
          <w:sz w:val="17"/>
          <w:szCs w:val="17"/>
          <w:color w:val="auto"/>
        </w:rPr>
        <w:t>Basic net income (loss) per share is computed by dividing net income (loss) by the weighted-average number of shares outstanding during the period, without consideration of potential dilutive securities. Diluted net income per share is computed based on the weighted-average number of shares outstanding during the period, adjusted to include the incremental shares expected to be issued for assumed exercise of options under the treasury stock method.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6"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to provide optional expedients and exceptions for applying generally accepted accounting principles to contracts, hedging relationships, and other transactions affected by reference rate reform if certain criteria are met. We adopted this standard effective January 1, 2022. The adoption of this new standard did not have a material impact on our consolidated financial statements.</w:t>
      </w:r>
    </w:p>
    <w:p>
      <w:pPr>
        <w:spacing w:after="0" w:line="72" w:lineRule="exact"/>
        <w:rPr>
          <w:sz w:val="20"/>
          <w:szCs w:val="20"/>
          <w:color w:val="auto"/>
        </w:rPr>
      </w:pPr>
    </w:p>
    <w:p>
      <w:pPr>
        <w:ind w:right="80" w:firstLine="510"/>
        <w:spacing w:after="0" w:line="274" w:lineRule="auto"/>
        <w:rPr>
          <w:sz w:val="20"/>
          <w:szCs w:val="20"/>
          <w:color w:val="auto"/>
        </w:rPr>
      </w:pPr>
      <w:r>
        <w:rPr>
          <w:rFonts w:ascii="Times New Roman" w:cs="Times New Roman" w:eastAsia="Times New Roman" w:hAnsi="Times New Roman"/>
          <w:sz w:val="17"/>
          <w:szCs w:val="17"/>
          <w:color w:val="auto"/>
        </w:rPr>
        <w:t xml:space="preserve">In October 2021, the FASB issued ASU No. 2021-08, </w:t>
      </w:r>
      <w:r>
        <w:rPr>
          <w:rFonts w:ascii="Times New Roman" w:cs="Times New Roman" w:eastAsia="Times New Roman" w:hAnsi="Times New Roman"/>
          <w:sz w:val="17"/>
          <w:szCs w:val="17"/>
          <w:i w:val="1"/>
          <w:iCs w:val="1"/>
          <w:color w:val="auto"/>
        </w:rPr>
        <w:t>Business Combinations (Topic 805),</w:t>
      </w:r>
      <w:r>
        <w:rPr>
          <w:rFonts w:ascii="Times New Roman" w:cs="Times New Roman" w:eastAsia="Times New Roman" w:hAnsi="Times New Roman"/>
          <w:sz w:val="17"/>
          <w:szCs w:val="17"/>
          <w:color w:val="auto"/>
        </w:rPr>
        <w:t xml:space="preserve"> which requires contract assets and contract liabilities (i.e., deferred revenue) acquired in a business combination to be recognized and measured by the acquirer on the acquisition date in accordance with ASC 606, Revenue from Contracts with Customers. Generally, this new guidance will result in the acquirer recognizing contract assets and contract liabilities at the same amounts recorded by the acquiree. Historically, such amounts were recognized by the acquirer at fair value in acquisition accounting. We adopted this standard effective January 1, 2022. The adoption of this new standard did not have a material impact on our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118" w:lineRule="exact"/>
        <w:rPr>
          <w:sz w:val="20"/>
          <w:szCs w:val="20"/>
          <w:color w:val="auto"/>
        </w:rPr>
      </w:pPr>
    </w:p>
    <w:p>
      <w:pPr>
        <w:ind w:right="20" w:firstLine="510"/>
        <w:spacing w:after="0" w:line="262" w:lineRule="auto"/>
        <w:rPr>
          <w:sz w:val="20"/>
          <w:szCs w:val="20"/>
          <w:color w:val="auto"/>
        </w:rPr>
      </w:pPr>
      <w:r>
        <w:rPr>
          <w:rFonts w:ascii="Times New Roman" w:cs="Times New Roman" w:eastAsia="Times New Roman" w:hAnsi="Times New Roman"/>
          <w:sz w:val="18"/>
          <w:szCs w:val="18"/>
          <w:color w:val="auto"/>
        </w:rPr>
        <w:t>The balances of our financial assets that were measured at fair value on a recurring basis as of December 31, 2022 and 2021 were not material. The following tables summarize our financial liabilities that were measured at fair value on a recurring basis, and indicate the fair value hierarchy of the valuation inputs utilized to determine such fair value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bottom w:val="single" w:sz="8" w:color="auto"/>
            </w:tcBorders>
          </w:tcPr>
          <w:p>
            <w:pPr>
              <w:jc w:val="right"/>
              <w:ind w:right="45"/>
              <w:spacing w:after="0" w:line="154"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580"/>
              <w:spacing w:after="0" w:line="154"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cash consideration in connection with a business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acquisition—SCUF</w:t>
            </w:r>
            <w:r>
              <w:rPr>
                <w:rFonts w:ascii="Times New Roman" w:cs="Times New Roman" w:eastAsia="Times New Roman" w:hAnsi="Times New Roman"/>
                <w:sz w:val="15"/>
                <w:szCs w:val="15"/>
                <w:color w:val="auto"/>
              </w:rPr>
              <w:t>(1)</w:t>
            </w:r>
          </w:p>
        </w:tc>
        <w:tc>
          <w:tcPr>
            <w:tcW w:w="1340" w:type="dxa"/>
            <w:vAlign w:val="bottom"/>
            <w:gridSpan w:val="3"/>
          </w:tcPr>
          <w:p>
            <w:pPr>
              <w:jc w:val="right"/>
              <w:ind w:right="94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3"/>
          </w:tcPr>
          <w:p>
            <w:pPr>
              <w:jc w:val="right"/>
              <w:ind w:right="82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82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954</w:t>
            </w:r>
          </w:p>
        </w:tc>
        <w:tc>
          <w:tcPr>
            <w:tcW w:w="5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15"/>
                <w:szCs w:val="15"/>
                <w:color w:val="auto"/>
              </w:rPr>
              <w:t>(2)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auto"/>
            </w:tcBorders>
          </w:tcPr>
          <w:p>
            <w:pPr>
              <w:jc w:val="right"/>
              <w:ind w:right="94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bottom w:val="single" w:sz="8" w:color="auto"/>
            </w:tcBorders>
          </w:tcPr>
          <w:p>
            <w:pPr>
              <w:jc w:val="right"/>
              <w:ind w:right="82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bottom w:val="single" w:sz="8" w:color="auto"/>
            </w:tcBorders>
          </w:tcPr>
          <w:p>
            <w:pPr>
              <w:jc w:val="right"/>
              <w:ind w:right="82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
              <w:spacing w:after="0" w:line="154"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5"/>
              <w:spacing w:after="0" w:line="154"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cash consideration in connection with a business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acquisition—SCUF</w:t>
            </w:r>
            <w:r>
              <w:rPr>
                <w:rFonts w:ascii="Times New Roman" w:cs="Times New Roman" w:eastAsia="Times New Roman" w:hAnsi="Times New Roman"/>
                <w:sz w:val="15"/>
                <w:szCs w:val="15"/>
                <w:color w:val="auto"/>
              </w:rPr>
              <w:t>(1)</w:t>
            </w:r>
          </w:p>
        </w:tc>
        <w:tc>
          <w:tcPr>
            <w:tcW w:w="1340" w:type="dxa"/>
            <w:vAlign w:val="bottom"/>
            <w:gridSpan w:val="3"/>
          </w:tcPr>
          <w:p>
            <w:pPr>
              <w:jc w:val="right"/>
              <w:ind w:right="94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84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84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1,250</w:t>
            </w:r>
          </w:p>
        </w:tc>
        <w:tc>
          <w:tcPr>
            <w:tcW w:w="20" w:type="dxa"/>
            <w:vAlign w:val="bottom"/>
          </w:tcPr>
          <w:p>
            <w:pPr>
              <w:spacing w:after="0"/>
              <w:rPr>
                <w:sz w:val="20"/>
                <w:szCs w:val="20"/>
                <w:color w:val="auto"/>
              </w:rPr>
            </w:pPr>
          </w:p>
        </w:tc>
        <w:tc>
          <w:tcPr>
            <w:tcW w:w="580" w:type="dxa"/>
            <w:vAlign w:val="bottom"/>
            <w:gridSpan w:val="3"/>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15"/>
                <w:szCs w:val="15"/>
                <w:color w:val="auto"/>
              </w:rPr>
              <w:t>(2)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tcBorders>
              <w:top w:val="single" w:sz="8" w:color="CFF0FC"/>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FF0FC"/>
          </w:tcPr>
          <w:p>
            <w:pPr>
              <w:jc w:val="right"/>
              <w:ind w:right="94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ind w:right="84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ind w:right="84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1,474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80" w:right="60" w:hanging="373"/>
        <w:spacing w:after="0" w:line="267" w:lineRule="auto"/>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2019, one of our subsidiaries entered into an Agreement and Plan of Merger with Scuf Holdings, Inc. and its subsidiaries (collectively “SCUF”) and acquired 100% of their equity interests (the “SCUF Acquisition”). The fair value of the SCUF contingent consideration was determined based on the estimates of acquired tax benefits owed to SCUF’s sellers according to the merger agreement, and these estimates represent a level 3 fair value measurement. The $1.3 million liability as of December 31, 2021 consist of $0.3 million based on a contractual amount and the remaining $1.0 million is subject to update upon filing our tax return for tax year 2021. In March 2022, we paid the $0.3 million contractual amount, and the contingency around the remaining $1.0 million liability was finalized in the fourth quarter of 2022 and this amount is expected to be paid in the first quarter of 2023.</w:t>
      </w:r>
    </w:p>
    <w:p>
      <w:pPr>
        <w:spacing w:after="0" w:line="14" w:lineRule="exact"/>
        <w:rPr>
          <w:rFonts w:ascii="Times New Roman" w:cs="Times New Roman" w:eastAsia="Times New Roman" w:hAnsi="Times New Roman"/>
          <w:sz w:val="16"/>
          <w:szCs w:val="16"/>
          <w:color w:val="auto"/>
        </w:rPr>
      </w:pPr>
    </w:p>
    <w:p>
      <w:pPr>
        <w:ind w:left="380" w:right="40" w:hanging="373"/>
        <w:spacing w:after="0" w:line="293" w:lineRule="auto"/>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values of the forward contracts are based on similar exchange traded derivatives and the related asset or liability is, therefore, included within Level 2 of the fair value hierarchy.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Derivative Financial Instruments</w:t>
      </w:r>
    </w:p>
    <w:p>
      <w:pPr>
        <w:spacing w:after="0" w:line="118" w:lineRule="exact"/>
        <w:rPr>
          <w:sz w:val="20"/>
          <w:szCs w:val="20"/>
          <w:color w:val="auto"/>
        </w:rPr>
      </w:pPr>
    </w:p>
    <w:p>
      <w:pPr>
        <w:ind w:right="160" w:firstLine="510"/>
        <w:spacing w:after="0" w:line="253" w:lineRule="auto"/>
        <w:rPr>
          <w:sz w:val="20"/>
          <w:szCs w:val="20"/>
          <w:color w:val="auto"/>
        </w:rPr>
      </w:pPr>
      <w:r>
        <w:rPr>
          <w:rFonts w:ascii="Times New Roman" w:cs="Times New Roman" w:eastAsia="Times New Roman" w:hAnsi="Times New Roman"/>
          <w:sz w:val="18"/>
          <w:szCs w:val="18"/>
          <w:color w:val="auto"/>
        </w:rPr>
        <w:t>From time to time, we enter into derivative instruments such as foreign currency forward contracts, to minimize the short-term impact of foreign currency exchange rate fluctuations on certain foreign currency denominated assets and liabilities, and interest rate cap contracts, to minimize our exposure to interest rate movements on our variable rate debts. The derivative instruments are recorded at fair value in prepaid expenses and other current assets or other liabilities and accrued expenses on the consolidated balance sheets. We do not designate such instruments as hedges for accounting purposes; accordingly, changes in the value of these contracts are recognized in each reporting period in other (expense) income, net in the consolidated statements of operations. We do not enter into derivative instruments for trading purposes.</w:t>
      </w:r>
    </w:p>
    <w:p>
      <w:pPr>
        <w:spacing w:after="0" w:line="80" w:lineRule="exact"/>
        <w:rPr>
          <w:sz w:val="20"/>
          <w:szCs w:val="20"/>
          <w:color w:val="auto"/>
        </w:rPr>
      </w:pPr>
    </w:p>
    <w:p>
      <w:pPr>
        <w:ind w:right="180" w:firstLine="510"/>
        <w:spacing w:after="0" w:line="257" w:lineRule="auto"/>
        <w:rPr>
          <w:sz w:val="20"/>
          <w:szCs w:val="20"/>
          <w:color w:val="auto"/>
        </w:rPr>
      </w:pPr>
      <w:r>
        <w:rPr>
          <w:rFonts w:ascii="Times New Roman" w:cs="Times New Roman" w:eastAsia="Times New Roman" w:hAnsi="Times New Roman"/>
          <w:sz w:val="18"/>
          <w:szCs w:val="18"/>
          <w:color w:val="auto"/>
        </w:rPr>
        <w:t>The foreign currency forward contracts generally mature within two to four months. The notional principal amount of outstanding foreign exchange forward contracts was $23.4 million and $48.6 million as of December 31, 2022 and December 31, 2021, respectively. The net fair value gain (loss) recognized in other (expense) income, net in relation to these derivative instruments was $2.4 million, $0.5 million, and $(3.0) million for the year ended December 31, 2022, 2021, and 2020,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iDisplay Acquisition</w:t>
      </w:r>
    </w:p>
    <w:p>
      <w:pPr>
        <w:spacing w:after="0" w:line="118" w:lineRule="exact"/>
        <w:rPr>
          <w:sz w:val="20"/>
          <w:szCs w:val="20"/>
          <w:color w:val="auto"/>
        </w:rPr>
      </w:pPr>
    </w:p>
    <w:p>
      <w:pPr>
        <w:ind w:right="800" w:firstLine="510"/>
        <w:spacing w:after="0" w:line="277" w:lineRule="auto"/>
        <w:rPr>
          <w:sz w:val="20"/>
          <w:szCs w:val="20"/>
          <w:color w:val="auto"/>
        </w:rPr>
      </w:pPr>
      <w:r>
        <w:rPr>
          <w:rFonts w:ascii="Times New Roman" w:cs="Times New Roman" w:eastAsia="Times New Roman" w:hAnsi="Times New Roman"/>
          <w:sz w:val="18"/>
          <w:szCs w:val="18"/>
          <w:color w:val="auto"/>
        </w:rPr>
        <w:t>On January 1, 2022, we completed the acquisition of a 51% ownership stake in iDisplay (the “iDisplay Acquisition”), a leader in electronic development and design specializing in display technology, headquartered in Taiwan.</w:t>
      </w:r>
    </w:p>
    <w:p>
      <w:pPr>
        <w:spacing w:after="0" w:line="57" w:lineRule="exact"/>
        <w:rPr>
          <w:sz w:val="20"/>
          <w:szCs w:val="20"/>
          <w:color w:val="auto"/>
        </w:rPr>
      </w:pPr>
    </w:p>
    <w:p>
      <w:pPr>
        <w:ind w:right="100" w:firstLine="510"/>
        <w:spacing w:after="0" w:line="262" w:lineRule="auto"/>
        <w:rPr>
          <w:sz w:val="20"/>
          <w:szCs w:val="20"/>
          <w:color w:val="auto"/>
        </w:rPr>
      </w:pPr>
      <w:r>
        <w:rPr>
          <w:rFonts w:ascii="Times New Roman" w:cs="Times New Roman" w:eastAsia="Times New Roman" w:hAnsi="Times New Roman"/>
          <w:sz w:val="18"/>
          <w:szCs w:val="18"/>
          <w:color w:val="auto"/>
        </w:rPr>
        <w:t>The fair value consideration for iDisplay was $36.4 million, including $21.9 million in cash and the issuance of 690,333 shares of our common stock with a fair value of $14.5 million at Closing Date. The consideration was reduced for the effective 51% settlement of a pre-existing contractual accounts payable balance owed to iDisplay of $3.5 million. The iDisplay Acquisition will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760"/>
        <w:spacing w:after="0" w:line="277" w:lineRule="auto"/>
        <w:rPr>
          <w:sz w:val="20"/>
          <w:szCs w:val="20"/>
          <w:color w:val="auto"/>
        </w:rPr>
      </w:pPr>
      <w:r>
        <w:rPr>
          <w:rFonts w:ascii="Times New Roman" w:cs="Times New Roman" w:eastAsia="Times New Roman" w:hAnsi="Times New Roman"/>
          <w:sz w:val="18"/>
          <w:szCs w:val="18"/>
          <w:color w:val="auto"/>
        </w:rPr>
        <w:t>allow us to direct the development and integration of iDisplay’s display-based touch-screen technologies into our products for creators, gamers and streamers. iDisplay’s results of operations are fully consolidated with Corsair with effect from January 1, 2022.</w:t>
      </w:r>
    </w:p>
    <w:p>
      <w:pPr>
        <w:spacing w:after="0" w:line="57" w:lineRule="exact"/>
        <w:rPr>
          <w:sz w:val="20"/>
          <w:szCs w:val="20"/>
          <w:color w:val="auto"/>
        </w:rPr>
      </w:pPr>
    </w:p>
    <w:p>
      <w:pPr>
        <w:ind w:right="140" w:firstLine="510"/>
        <w:spacing w:after="0" w:line="252" w:lineRule="auto"/>
        <w:rPr>
          <w:sz w:val="20"/>
          <w:szCs w:val="20"/>
          <w:color w:val="auto"/>
        </w:rPr>
      </w:pPr>
      <w:r>
        <w:rPr>
          <w:rFonts w:ascii="Times New Roman" w:cs="Times New Roman" w:eastAsia="Times New Roman" w:hAnsi="Times New Roman"/>
          <w:sz w:val="18"/>
          <w:szCs w:val="18"/>
          <w:color w:val="auto"/>
        </w:rPr>
        <w:t>The seller of iDisplay (the “iDisplay Seller”) has retained 49% noncontrolling interest in iDisplay. Under the Shareholders Agreement between Corsair and the iDisplay Seller, a put option was provided to the iDisplay Seller and a call option was provided to Corsair for the option to transfer (i) 14% ownership interest in iDisplay to Corsair upon the first anniversary of the Closing and (ii) an additional 15% of ownership interest in iDisplay to Corsair upon the second anniversary of the Closing. Both put and call options expire on January 1, 2025. The exercise price of the put option and the call option is based on multiples of iDisplay’s trailing twelve-month earnings before interest, income tax, depreciation and amortization (“TTM EBITDA”) less any debt. The 29% noncontrolling interest subject to the put option is considered a redeemable noncontrolling interest. See Note 2, “Summary of Significant Accounting Policies – Noncontrolling Interest” and Note 17, “Redeemable Noncontrolling Interest” for more information regarding the redeemable noncontrolling interest.</w:t>
      </w:r>
    </w:p>
    <w:p>
      <w:pPr>
        <w:spacing w:after="0" w:line="78" w:lineRule="exact"/>
        <w:rPr>
          <w:sz w:val="20"/>
          <w:szCs w:val="20"/>
          <w:color w:val="auto"/>
        </w:rPr>
      </w:pPr>
    </w:p>
    <w:p>
      <w:pPr>
        <w:ind w:right="480" w:firstLine="510"/>
        <w:spacing w:after="0" w:line="308" w:lineRule="auto"/>
        <w:rPr>
          <w:sz w:val="20"/>
          <w:szCs w:val="20"/>
          <w:color w:val="auto"/>
        </w:rPr>
      </w:pPr>
      <w:r>
        <w:rPr>
          <w:rFonts w:ascii="Times New Roman" w:cs="Times New Roman" w:eastAsia="Times New Roman" w:hAnsi="Times New Roman"/>
          <w:sz w:val="17"/>
          <w:szCs w:val="17"/>
          <w:color w:val="auto"/>
        </w:rPr>
        <w:t>The fair value of the 49% noncontrolling interest was estimated to be $29.6 million. The control premium was based on an analysis considering similar market transactions involving control premiums, as well as factors specific to iDisplay, including its significant customer concentration.</w:t>
      </w:r>
    </w:p>
    <w:p>
      <w:pPr>
        <w:spacing w:after="0" w:line="139" w:lineRule="exact"/>
        <w:rPr>
          <w:sz w:val="20"/>
          <w:szCs w:val="20"/>
          <w:color w:val="auto"/>
        </w:rPr>
      </w:pPr>
    </w:p>
    <w:p>
      <w:pPr>
        <w:ind w:right="60" w:firstLine="510"/>
        <w:spacing w:after="0" w:line="285" w:lineRule="auto"/>
        <w:rPr>
          <w:sz w:val="20"/>
          <w:szCs w:val="20"/>
          <w:color w:val="auto"/>
        </w:rPr>
      </w:pPr>
      <w:r>
        <w:rPr>
          <w:rFonts w:ascii="Times New Roman" w:cs="Times New Roman" w:eastAsia="Times New Roman" w:hAnsi="Times New Roman"/>
          <w:sz w:val="17"/>
          <w:szCs w:val="17"/>
          <w:color w:val="auto"/>
        </w:rPr>
        <w:t>Subsequent to the iDisplay Acquisition Closing Date, we recorded measurement period adjustments which increased goodwill by $1.0 million and decreased identifiable intangible assets and deferred liabilities by $1.1 million and $0.1 million, respectively. The final allocation of the iDisplay Acquisition purchase consideration to the estimated fair value of the assets acquired and liabilities assumed at the acquisition date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20"/>
        </w:trPr>
        <w:tc>
          <w:tcPr>
            <w:tcW w:w="9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tcBorders>
              <w:top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assets</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27"/>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27"/>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0"/>
        </w:trPr>
        <w:tc>
          <w:tcPr>
            <w:tcW w:w="92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(29,606)</w:t>
            </w:r>
          </w:p>
        </w:tc>
        <w:tc>
          <w:tcPr>
            <w:tcW w:w="0" w:type="dxa"/>
            <w:vAlign w:val="bottom"/>
          </w:tcPr>
          <w:p>
            <w:pPr>
              <w:spacing w:after="0"/>
              <w:rPr>
                <w:sz w:val="1"/>
                <w:szCs w:val="1"/>
                <w:color w:val="auto"/>
              </w:rPr>
            </w:pPr>
          </w:p>
        </w:tc>
      </w:tr>
      <w:tr>
        <w:trPr>
          <w:trHeight w:val="220"/>
        </w:trPr>
        <w:tc>
          <w:tcPr>
            <w:tcW w:w="926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360" w:type="dxa"/>
            <w:vAlign w:val="bottom"/>
            <w:tcBorders>
              <w:top w:val="single" w:sz="8" w:color="auto"/>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Purchase consideration:</w:t>
            </w: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92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9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Corsair common stock</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2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360" w:type="dxa"/>
            <w:vAlign w:val="bottom"/>
            <w:tcBorders>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The fair value of certain working capital related items, including accounts receivable, prepaid and other assets, accounts payable and accrued liabilities, as well as the fair value of property and equipment approximated their book values at the date of the iDisplay Acquisition. The fair value of the inventories was estimated by major category, at net realizable value, which we believe approximates the price a market participant could achieve in a current sale. The difference between the fair value of the inventories and the book value recorded by iDisplay on the acquisition date was $0.3 million, which was recognized in cost of revenue in the consolidated statements of operations upon the sale of the acquired inventory.</w:t>
      </w:r>
    </w:p>
    <w:p>
      <w:pPr>
        <w:spacing w:after="0" w:line="76" w:lineRule="exact"/>
        <w:rPr>
          <w:sz w:val="20"/>
          <w:szCs w:val="20"/>
          <w:color w:val="auto"/>
        </w:rPr>
      </w:pPr>
    </w:p>
    <w:p>
      <w:pPr>
        <w:ind w:right="60" w:firstLine="510"/>
        <w:spacing w:after="0" w:line="257" w:lineRule="auto"/>
        <w:rPr>
          <w:sz w:val="20"/>
          <w:szCs w:val="20"/>
          <w:color w:val="auto"/>
        </w:rPr>
      </w:pPr>
      <w:r>
        <w:rPr>
          <w:rFonts w:ascii="Times New Roman" w:cs="Times New Roman" w:eastAsia="Times New Roman" w:hAnsi="Times New Roman"/>
          <w:sz w:val="18"/>
          <w:szCs w:val="18"/>
          <w:color w:val="auto"/>
        </w:rPr>
        <w:t>The goodwill recognized for the iDisplay Acquisition, which is the excess of the purchase consideration over the fair value of the identifiable intangible assets and the net tangible assets and liabilities acquired, has been estimated to be $33.0 million, of which $29.3 million and $3.7 million are assigned to our gamer and creator peripherals reporting unit and gaming component and systems reporting unit, respectively. We believe goodwill represents the strengthening of our supply chain with display-based touch-screen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8"/>
          <w:szCs w:val="18"/>
          <w:color w:val="auto"/>
        </w:rPr>
        <w:t>technologies into our products for creators, gamers and streamers, and the ability to design and generate new technologies to enhance the features of our products.</w:t>
      </w:r>
    </w:p>
    <w:p>
      <w:pPr>
        <w:spacing w:after="0" w:line="57" w:lineRule="exact"/>
        <w:rPr>
          <w:sz w:val="20"/>
          <w:szCs w:val="20"/>
          <w:color w:val="auto"/>
        </w:rPr>
      </w:pPr>
    </w:p>
    <w:p>
      <w:pPr>
        <w:ind w:right="160" w:firstLine="510"/>
        <w:spacing w:after="0" w:line="277" w:lineRule="auto"/>
        <w:rPr>
          <w:sz w:val="20"/>
          <w:szCs w:val="20"/>
          <w:color w:val="auto"/>
        </w:rPr>
      </w:pPr>
      <w:r>
        <w:rPr>
          <w:rFonts w:ascii="Times New Roman" w:cs="Times New Roman" w:eastAsia="Times New Roman" w:hAnsi="Times New Roman"/>
          <w:sz w:val="18"/>
          <w:szCs w:val="18"/>
          <w:color w:val="auto"/>
        </w:rPr>
        <w:t>A portion of the identifiable intangible assets are not deductible for tax purposes for which a $4.6 million deferred tax liability has been estimated at the date of acquisition for the difference between the book and tax bases of these assets. The goodwill is not deductible for tax purposes.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identified intangible assets</w:t>
      </w:r>
    </w:p>
    <w:p>
      <w:pPr>
        <w:spacing w:after="0" w:line="116" w:lineRule="exact"/>
        <w:rPr>
          <w:sz w:val="20"/>
          <w:szCs w:val="20"/>
          <w:color w:val="auto"/>
        </w:rPr>
      </w:pPr>
    </w:p>
    <w:p>
      <w:pPr>
        <w:ind w:right="540" w:firstLine="510"/>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valuation of the identifiable intangible assets acquired in the iDisplay Acquisition and the estimate of their respective useful lives as of the Closing Date, including subsequent measurement period adjustments:</w:t>
      </w:r>
    </w:p>
    <w:tbl>
      <w:tblPr>
        <w:tblLayout w:type="fixed"/>
        <w:tblInd w:w="0" w:type="dxa"/>
        <w:tblCellMar>
          <w:top w:w="0" w:type="dxa"/>
          <w:left w:w="0" w:type="dxa"/>
          <w:bottom w:w="0" w:type="dxa"/>
          <w:right w:w="0" w:type="dxa"/>
        </w:tblCellMar>
      </w:tblPr>
      <w:tr>
        <w:trPr>
          <w:trHeight w:val="136"/>
        </w:trPr>
        <w:tc>
          <w:tcPr>
            <w:tcW w:w="7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vMerge w:val="restart"/>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300" w:type="dxa"/>
            <w:vAlign w:val="bottom"/>
          </w:tcPr>
          <w:p>
            <w:pPr>
              <w:spacing w:after="0"/>
              <w:rPr>
                <w:sz w:val="11"/>
                <w:szCs w:val="11"/>
                <w:color w:val="auto"/>
              </w:rPr>
            </w:pPr>
          </w:p>
        </w:tc>
        <w:tc>
          <w:tcPr>
            <w:tcW w:w="184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72"/>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54"/>
        </w:trPr>
        <w:tc>
          <w:tcPr>
            <w:tcW w:w="7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37"/>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3"/>
                <w:szCs w:val="13"/>
                <w:color w:val="auto"/>
              </w:rPr>
            </w:pPr>
          </w:p>
        </w:tc>
        <w:tc>
          <w:tcPr>
            <w:tcW w:w="1740" w:type="dxa"/>
            <w:vAlign w:val="bottom"/>
            <w:tcBorders>
              <w:top w:val="single" w:sz="8" w:color="auto"/>
            </w:tcBorders>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 portfolio</w:t>
            </w:r>
          </w:p>
        </w:tc>
        <w:tc>
          <w:tcPr>
            <w:tcW w:w="26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040" w:type="dxa"/>
            <w:vAlign w:val="bottom"/>
            <w:gridSpan w:val="2"/>
            <w:shd w:val="clear" w:color="auto" w:fill="CFF0FC"/>
          </w:tcPr>
          <w:p>
            <w:pPr>
              <w:jc w:val="right"/>
              <w:ind w:right="709"/>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2040" w:type="dxa"/>
            <w:vAlign w:val="bottom"/>
            <w:gridSpan w:val="2"/>
          </w:tcPr>
          <w:p>
            <w:pPr>
              <w:jc w:val="right"/>
              <w:ind w:right="709"/>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22,300</w:t>
            </w:r>
          </w:p>
        </w:tc>
        <w:tc>
          <w:tcPr>
            <w:tcW w:w="2040" w:type="dxa"/>
            <w:vAlign w:val="bottom"/>
            <w:gridSpan w:val="2"/>
            <w:shd w:val="clear" w:color="auto" w:fill="CFF0FC"/>
          </w:tcPr>
          <w:p>
            <w:pPr>
              <w:jc w:val="right"/>
              <w:ind w:right="709"/>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34,200</w:t>
            </w: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120" w:firstLine="510"/>
        <w:spacing w:after="0" w:line="251" w:lineRule="auto"/>
        <w:rPr>
          <w:sz w:val="20"/>
          <w:szCs w:val="20"/>
          <w:color w:val="auto"/>
        </w:rPr>
      </w:pPr>
      <w:r>
        <w:rPr>
          <w:rFonts w:ascii="Times New Roman" w:cs="Times New Roman" w:eastAsia="Times New Roman" w:hAnsi="Times New Roman"/>
          <w:sz w:val="18"/>
          <w:szCs w:val="18"/>
          <w:color w:val="auto"/>
        </w:rPr>
        <w:t>The fair value of patent portfolio was estimated using the relief from royalty approach and the economic useful life was determined based on the average product life cycle of the products manufactured by iDisplay. The supplier relationships intangible asset represents the value assigned to the relationship iDisplay had established over the years with a broad network of suppliers and OEMs that have been crucial to the quality and magnitude of iDisplay manufacturing capability. The fair value of supplier relationships was estimated using the multi-period excess earnings approach and the economic useful life was determined to be aligned with the estimated useful life of the developed technology acquired from iDisplay. The developed technology intangible asset represents unpatented propriety technologies, such as hardware designs and architectures and process technologies used in the on-going research and design of the products manufactured by iDisplay. The fair value of developed technology was estimated using the income approach and the economic useful life was based on the technology cycle of the products manufactured, as well as the cash flows anticipated over the forecasted periods. The valuations of the intangible assets were calculated with the assistance of a third-party valuation firm. The fair values of these intangibles were valued based on long-term cash flow projections, which we consider to be Level 3 inputs.</w:t>
      </w:r>
    </w:p>
    <w:p>
      <w:pPr>
        <w:spacing w:after="0" w:line="79" w:lineRule="exact"/>
        <w:rPr>
          <w:sz w:val="20"/>
          <w:szCs w:val="20"/>
          <w:color w:val="auto"/>
        </w:rPr>
      </w:pPr>
    </w:p>
    <w:p>
      <w:pPr>
        <w:ind w:right="180" w:firstLine="510"/>
        <w:spacing w:after="0" w:line="262" w:lineRule="auto"/>
        <w:rPr>
          <w:sz w:val="20"/>
          <w:szCs w:val="20"/>
          <w:color w:val="auto"/>
        </w:rPr>
      </w:pPr>
      <w:r>
        <w:rPr>
          <w:rFonts w:ascii="Times New Roman" w:cs="Times New Roman" w:eastAsia="Times New Roman" w:hAnsi="Times New Roman"/>
          <w:sz w:val="18"/>
          <w:szCs w:val="18"/>
          <w:color w:val="auto"/>
        </w:rPr>
        <w:t>These intangibles are being amortized over their estimated useful lives using the straight-line method of amortization, which reflects the pattern in which the economic benefits of the intangible asset are consumed. Amortization of patent portfolio and supplier relationships is included in cost of revenue and amortization of developed technology is included in product development expense in our consolidated statements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incurred acquisition-related costs of approximately $0.5 million and $0.6 million for the year ended December 31, 2022 and 2021, respectively.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are recorded in sales, general and administrative expenses in the consolidated statement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Pro-forma Financial Information</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Pro forma financial information is not included because the effects of the acquisition are not material to our consolidated statements of operations for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8" w:lineRule="exact"/>
        <w:rPr>
          <w:sz w:val="20"/>
          <w:szCs w:val="20"/>
          <w:color w:val="auto"/>
        </w:rPr>
      </w:pPr>
    </w:p>
    <w:p>
      <w:pPr>
        <w:ind w:right="60" w:firstLine="510"/>
        <w:spacing w:after="0" w:line="262" w:lineRule="auto"/>
        <w:rPr>
          <w:sz w:val="20"/>
          <w:szCs w:val="20"/>
          <w:color w:val="auto"/>
        </w:rPr>
      </w:pPr>
      <w:r>
        <w:rPr>
          <w:rFonts w:ascii="Times New Roman" w:cs="Times New Roman" w:eastAsia="Times New Roman" w:hAnsi="Times New Roman"/>
          <w:sz w:val="18"/>
          <w:szCs w:val="18"/>
          <w:color w:val="auto"/>
        </w:rPr>
        <w:t>We have four reporting units: Gaming Peripherals, Gaming Components, Gaming Memory and Gaming Systems. The Gamer and Creator Peripherals segment includes the Gaming Peripherals reporting unit, and the Gaming Components and Systems segment includes the Gaming Components, Gaming Memory and Gaming Systems reporting units.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by reportable segment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Gaming</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4"/>
            <w:vMerge w:val="restart"/>
          </w:tcPr>
          <w:p>
            <w:pPr>
              <w:jc w:val="center"/>
              <w:ind w:right="391"/>
              <w:spacing w:after="0"/>
              <w:rPr>
                <w:sz w:val="20"/>
                <w:szCs w:val="20"/>
                <w:color w:val="auto"/>
              </w:rPr>
            </w:pPr>
            <w:r>
              <w:rPr>
                <w:rFonts w:ascii="Times New Roman" w:cs="Times New Roman" w:eastAsia="Times New Roman" w:hAnsi="Times New Roman"/>
                <w:sz w:val="14"/>
                <w:szCs w:val="14"/>
                <w:b w:val="1"/>
                <w:bCs w:val="1"/>
                <w:color w:val="auto"/>
              </w:rPr>
              <w:t>Gamer and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5"/>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and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4"/>
          </w:tcPr>
          <w:p>
            <w:pPr>
              <w:jc w:val="center"/>
              <w:ind w:right="391"/>
              <w:spacing w:after="0" w:line="147" w:lineRule="exact"/>
              <w:rPr>
                <w:sz w:val="20"/>
                <w:szCs w:val="20"/>
                <w:color w:val="auto"/>
              </w:rPr>
            </w:pPr>
            <w:r>
              <w:rPr>
                <w:rFonts w:ascii="Times New Roman" w:cs="Times New Roman" w:eastAsia="Times New Roman" w:hAnsi="Times New Roman"/>
                <w:sz w:val="14"/>
                <w:szCs w:val="14"/>
                <w:b w:val="1"/>
                <w:bCs w:val="1"/>
                <w:color w:val="auto"/>
                <w:w w:val="96"/>
              </w:rPr>
              <w:t>Creator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4"/>
          </w:tcPr>
          <w:p>
            <w:pPr>
              <w:jc w:val="center"/>
              <w:ind w:right="391"/>
              <w:spacing w:after="0"/>
              <w:rPr>
                <w:sz w:val="20"/>
                <w:szCs w:val="20"/>
                <w:color w:val="auto"/>
              </w:rPr>
            </w:pPr>
            <w:r>
              <w:rPr>
                <w:rFonts w:ascii="Times New Roman" w:cs="Times New Roman" w:eastAsia="Times New Roman" w:hAnsi="Times New Roman"/>
                <w:sz w:val="14"/>
                <w:szCs w:val="14"/>
                <w:b w:val="1"/>
                <w:bCs w:val="1"/>
                <w:color w:val="auto"/>
              </w:rPr>
              <w:t>Peripherals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145,644</w:t>
            </w:r>
          </w:p>
        </w:tc>
        <w:tc>
          <w:tcPr>
            <w:tcW w:w="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167,116</w:t>
            </w:r>
          </w:p>
        </w:tc>
        <w:tc>
          <w:tcPr>
            <w:tcW w:w="2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 from business acquisitions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Effect of foreign currency exchange rates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145,310</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171,744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 from business acquisitions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3,485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Effect of foreign currency exchange rates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(2,196)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5900" w:type="dxa"/>
            <w:vAlign w:val="bottom"/>
            <w:gridSpan w:val="8"/>
          </w:tcPr>
          <w:p>
            <w:pPr>
              <w:ind w:left="500"/>
              <w:spacing w:after="0"/>
              <w:rPr>
                <w:sz w:val="20"/>
                <w:szCs w:val="20"/>
                <w:color w:val="auto"/>
              </w:rPr>
            </w:pPr>
            <w:r>
              <w:rPr>
                <w:rFonts w:ascii="Times New Roman" w:cs="Times New Roman" w:eastAsia="Times New Roman" w:hAnsi="Times New Roman"/>
                <w:sz w:val="18"/>
                <w:szCs w:val="18"/>
                <w:color w:val="auto"/>
              </w:rPr>
              <w:t>The following table is a summary of intangible assets, net (in thousands):</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900" w:type="dxa"/>
            <w:vAlign w:val="bottom"/>
            <w:gridSpan w:val="2"/>
          </w:tcPr>
          <w:p>
            <w:pPr>
              <w:jc w:val="center"/>
              <w:ind w:right="99"/>
              <w:spacing w:after="0" w:line="12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ind w:left="14"/>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374"/>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5"/>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99"/>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4"/>
          </w:tcPr>
          <w:p>
            <w:pPr>
              <w:jc w:val="center"/>
              <w:ind w:right="94"/>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4"/>
                <w:szCs w:val="14"/>
                <w:color w:val="auto"/>
              </w:rPr>
            </w:pPr>
          </w:p>
        </w:tc>
        <w:tc>
          <w:tcPr>
            <w:tcW w:w="900" w:type="dxa"/>
            <w:vAlign w:val="bottom"/>
            <w:gridSpan w:val="2"/>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53,726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29,638</w:t>
            </w:r>
          </w:p>
        </w:tc>
        <w:tc>
          <w:tcPr>
            <w:tcW w:w="5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32,086</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22,933</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30,665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218,542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116,919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101,623</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218,566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94,910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Patent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31,481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finite-life intangibles</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341,330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160,594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180,736</w:t>
            </w:r>
          </w:p>
        </w:tc>
        <w:tc>
          <w:tcPr>
            <w:tcW w:w="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315,319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125,163</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Indefinite life trade name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123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376,849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160,594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216,255</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350,872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125,163</w:t>
            </w:r>
          </w:p>
        </w:tc>
        <w:tc>
          <w:tcPr>
            <w:tcW w:w="22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right="60" w:firstLine="510"/>
        <w:spacing w:after="0" w:line="277" w:lineRule="auto"/>
        <w:rPr>
          <w:sz w:val="20"/>
          <w:szCs w:val="20"/>
          <w:color w:val="auto"/>
        </w:rPr>
      </w:pPr>
      <w:r>
        <w:rPr>
          <w:rFonts w:ascii="Times New Roman" w:cs="Times New Roman" w:eastAsia="Times New Roman" w:hAnsi="Times New Roman"/>
          <w:sz w:val="18"/>
          <w:szCs w:val="18"/>
          <w:color w:val="auto"/>
        </w:rPr>
        <w:t>In the year after an identified intangible asset becomes fully amortized, we remove the fully amortized balances from the gross asset and accumulated amortization amounts from the table above.</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of intangible assets is recognized in our consolidated statements of operations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5"/>
              <w:spacing w:after="0" w:line="154"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60" w:type="dxa"/>
            <w:vAlign w:val="bottom"/>
            <w:gridSpan w:val="2"/>
            <w:shd w:val="clear" w:color="auto" w:fill="CFF0FC"/>
          </w:tcPr>
          <w:p>
            <w:pPr>
              <w:jc w:val="right"/>
              <w:ind w:right="64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5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24,401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8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1860" w:type="dxa"/>
            <w:vAlign w:val="bottom"/>
          </w:tcPr>
          <w:p>
            <w:pPr>
              <w:spacing w:after="0"/>
              <w:rPr>
                <w:sz w:val="19"/>
                <w:szCs w:val="19"/>
                <w:color w:val="auto"/>
              </w:rPr>
            </w:pPr>
          </w:p>
        </w:tc>
        <w:tc>
          <w:tcPr>
            <w:tcW w:w="80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39,897</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December 31, 2022 is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20"/>
        </w:trPr>
        <w:tc>
          <w:tcPr>
            <w:tcW w:w="9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top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36,382</w:t>
            </w:r>
          </w:p>
        </w:tc>
        <w:tc>
          <w:tcPr>
            <w:tcW w:w="100" w:type="dxa"/>
            <w:vAlign w:val="bottom"/>
          </w:tcPr>
          <w:p>
            <w:pPr>
              <w:spacing w:after="0"/>
              <w:rPr>
                <w:sz w:val="19"/>
                <w:szCs w:val="19"/>
                <w:color w:val="auto"/>
              </w:rPr>
            </w:pPr>
          </w:p>
        </w:tc>
      </w:tr>
      <w:tr>
        <w:trPr>
          <w:trHeight w:val="227"/>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36,095</w:t>
            </w:r>
          </w:p>
        </w:tc>
        <w:tc>
          <w:tcPr>
            <w:tcW w:w="100" w:type="dxa"/>
            <w:vAlign w:val="bottom"/>
            <w:shd w:val="clear" w:color="auto" w:fill="CFF0FC"/>
          </w:tcPr>
          <w:p>
            <w:pPr>
              <w:spacing w:after="0"/>
              <w:rPr>
                <w:sz w:val="19"/>
                <w:szCs w:val="19"/>
                <w:color w:val="auto"/>
              </w:rPr>
            </w:pPr>
          </w:p>
        </w:tc>
      </w:tr>
      <w:tr>
        <w:trPr>
          <w:trHeight w:val="227"/>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32,793</w:t>
            </w:r>
          </w:p>
        </w:tc>
        <w:tc>
          <w:tcPr>
            <w:tcW w:w="100" w:type="dxa"/>
            <w:vAlign w:val="bottom"/>
          </w:tcPr>
          <w:p>
            <w:pPr>
              <w:spacing w:after="0"/>
              <w:rPr>
                <w:sz w:val="19"/>
                <w:szCs w:val="19"/>
                <w:color w:val="auto"/>
              </w:rPr>
            </w:pPr>
          </w:p>
        </w:tc>
      </w:tr>
      <w:tr>
        <w:trPr>
          <w:trHeight w:val="227"/>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23,237</w:t>
            </w:r>
          </w:p>
        </w:tc>
        <w:tc>
          <w:tcPr>
            <w:tcW w:w="100" w:type="dxa"/>
            <w:vAlign w:val="bottom"/>
            <w:shd w:val="clear" w:color="auto" w:fill="CFF0FC"/>
          </w:tcPr>
          <w:p>
            <w:pPr>
              <w:spacing w:after="0"/>
              <w:rPr>
                <w:sz w:val="19"/>
                <w:szCs w:val="19"/>
                <w:color w:val="auto"/>
              </w:rPr>
            </w:pPr>
          </w:p>
        </w:tc>
      </w:tr>
      <w:tr>
        <w:trPr>
          <w:trHeight w:val="227"/>
        </w:trPr>
        <w:tc>
          <w:tcPr>
            <w:tcW w:w="9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14,396</w:t>
            </w:r>
          </w:p>
        </w:tc>
        <w:tc>
          <w:tcPr>
            <w:tcW w:w="100" w:type="dxa"/>
            <w:vAlign w:val="bottom"/>
            <w:tcBorders>
              <w:bottom w:val="single" w:sz="8" w:color="CFF0FC"/>
            </w:tcBorders>
          </w:tcPr>
          <w:p>
            <w:pPr>
              <w:spacing w:after="0"/>
              <w:rPr>
                <w:sz w:val="19"/>
                <w:szCs w:val="19"/>
                <w:color w:val="auto"/>
              </w:rPr>
            </w:pPr>
          </w:p>
        </w:tc>
      </w:tr>
      <w:tr>
        <w:trPr>
          <w:trHeight w:val="220"/>
        </w:trPr>
        <w:tc>
          <w:tcPr>
            <w:tcW w:w="92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1">
            <w:col w:w="11240"/>
          </w:cols>
          <w:pgMar w:left="320" w:top="117"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Balance Sheet Components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the components of certain balance sheet amounts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6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4020" w:type="dxa"/>
            <w:vAlign w:val="bottom"/>
            <w:gridSpan w:val="2"/>
            <w:shd w:val="clear" w:color="auto" w:fill="CFF0FC"/>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151,180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cash—short term</w:t>
            </w:r>
          </w:p>
        </w:tc>
        <w:tc>
          <w:tcPr>
            <w:tcW w:w="3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cash—noncurrent</w:t>
            </w:r>
          </w:p>
        </w:tc>
        <w:tc>
          <w:tcPr>
            <w:tcW w:w="30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3060" w:type="dxa"/>
            <w:vAlign w:val="bottom"/>
          </w:tcPr>
          <w:p>
            <w:pPr>
              <w:spacing w:after="0"/>
              <w:rPr>
                <w:sz w:val="19"/>
                <w:szCs w:val="19"/>
                <w:color w:val="auto"/>
              </w:rPr>
            </w:pPr>
          </w:p>
        </w:tc>
        <w:tc>
          <w:tcPr>
            <w:tcW w:w="9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154,060</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 w:type="dxa"/>
            <w:vAlign w:val="bottom"/>
            <w:vMerge w:val="restart"/>
          </w:tcPr>
          <w:p>
            <w:pPr>
              <w:spacing w:after="0"/>
              <w:rPr>
                <w:sz w:val="24"/>
                <w:szCs w:val="24"/>
                <w:color w:val="auto"/>
              </w:rPr>
            </w:pPr>
          </w:p>
        </w:tc>
        <w:tc>
          <w:tcPr>
            <w:tcW w:w="4640" w:type="dxa"/>
            <w:vAlign w:val="bottom"/>
          </w:tcPr>
          <w:p>
            <w:pPr>
              <w:spacing w:after="0"/>
              <w:rPr>
                <w:sz w:val="24"/>
                <w:szCs w:val="24"/>
                <w:color w:val="auto"/>
              </w:rPr>
            </w:pPr>
          </w:p>
        </w:tc>
        <w:tc>
          <w:tcPr>
            <w:tcW w:w="402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020" w:type="dxa"/>
            <w:vAlign w:val="bottom"/>
            <w:gridSpan w:val="2"/>
            <w:shd w:val="clear" w:color="auto" w:fill="CFF0FC"/>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145,380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Due from Factor</w:t>
            </w:r>
          </w:p>
        </w:tc>
        <w:tc>
          <w:tcPr>
            <w:tcW w:w="3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(785)</w:t>
            </w: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235,656</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vMerge w:val="restart"/>
          </w:tcPr>
          <w:p>
            <w:pPr>
              <w:spacing w:after="0"/>
              <w:rPr>
                <w:sz w:val="24"/>
                <w:szCs w:val="24"/>
                <w:color w:val="auto"/>
              </w:rPr>
            </w:pPr>
          </w:p>
        </w:tc>
        <w:tc>
          <w:tcPr>
            <w:tcW w:w="4640" w:type="dxa"/>
            <w:vAlign w:val="bottom"/>
          </w:tcPr>
          <w:p>
            <w:pPr>
              <w:spacing w:after="0"/>
              <w:rPr>
                <w:sz w:val="24"/>
                <w:szCs w:val="24"/>
                <w:color w:val="auto"/>
              </w:rPr>
            </w:pPr>
          </w:p>
        </w:tc>
        <w:tc>
          <w:tcPr>
            <w:tcW w:w="402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020" w:type="dxa"/>
            <w:vAlign w:val="bottom"/>
            <w:gridSpan w:val="2"/>
            <w:shd w:val="clear" w:color="auto" w:fill="CFF0FC"/>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49,926</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0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138,620</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060" w:type="dxa"/>
            <w:vAlign w:val="bottom"/>
          </w:tcPr>
          <w:p>
            <w:pPr>
              <w:spacing w:after="0"/>
              <w:rPr>
                <w:sz w:val="19"/>
                <w:szCs w:val="19"/>
                <w:color w:val="auto"/>
              </w:rPr>
            </w:pPr>
          </w:p>
        </w:tc>
        <w:tc>
          <w:tcPr>
            <w:tcW w:w="9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192,717</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vMerge w:val="restart"/>
          </w:tcPr>
          <w:p>
            <w:pPr>
              <w:spacing w:after="0"/>
              <w:rPr>
                <w:sz w:val="24"/>
                <w:szCs w:val="24"/>
                <w:color w:val="auto"/>
              </w:rPr>
            </w:pPr>
          </w:p>
        </w:tc>
        <w:tc>
          <w:tcPr>
            <w:tcW w:w="4640" w:type="dxa"/>
            <w:vAlign w:val="bottom"/>
          </w:tcPr>
          <w:p>
            <w:pPr>
              <w:spacing w:after="0"/>
              <w:rPr>
                <w:sz w:val="24"/>
                <w:szCs w:val="24"/>
                <w:color w:val="auto"/>
              </w:rPr>
            </w:pPr>
          </w:p>
        </w:tc>
        <w:tc>
          <w:tcPr>
            <w:tcW w:w="402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4020" w:type="dxa"/>
            <w:vAlign w:val="bottom"/>
            <w:gridSpan w:val="2"/>
            <w:shd w:val="clear" w:color="auto" w:fill="CFF0FC"/>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28,993</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software and office equipment</w:t>
            </w:r>
          </w:p>
        </w:tc>
        <w:tc>
          <w:tcPr>
            <w:tcW w:w="3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18,903</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0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0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67,378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(32,451)</w:t>
            </w: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(28,545)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 w:type="dxa"/>
            <w:vAlign w:val="bottom"/>
            <w:vMerge w:val="restart"/>
          </w:tcPr>
          <w:p>
            <w:pPr>
              <w:spacing w:after="0"/>
              <w:rPr>
                <w:sz w:val="24"/>
                <w:szCs w:val="24"/>
                <w:color w:val="auto"/>
              </w:rPr>
            </w:pPr>
          </w:p>
        </w:tc>
        <w:tc>
          <w:tcPr>
            <w:tcW w:w="4640" w:type="dxa"/>
            <w:vAlign w:val="bottom"/>
          </w:tcPr>
          <w:p>
            <w:pPr>
              <w:spacing w:after="0"/>
              <w:rPr>
                <w:sz w:val="24"/>
                <w:szCs w:val="24"/>
                <w:color w:val="auto"/>
              </w:rPr>
            </w:pPr>
          </w:p>
        </w:tc>
        <w:tc>
          <w:tcPr>
            <w:tcW w:w="402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4020" w:type="dxa"/>
            <w:vAlign w:val="bottom"/>
            <w:gridSpan w:val="2"/>
            <w:shd w:val="clear" w:color="auto" w:fill="CFF0FC"/>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3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3060" w:type="dxa"/>
            <w:vAlign w:val="bottom"/>
          </w:tcPr>
          <w:p>
            <w:pPr>
              <w:spacing w:after="0"/>
              <w:rPr>
                <w:sz w:val="19"/>
                <w:szCs w:val="19"/>
                <w:color w:val="auto"/>
              </w:rPr>
            </w:pPr>
          </w:p>
        </w:tc>
        <w:tc>
          <w:tcPr>
            <w:tcW w:w="9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75,290</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vMerge w:val="restart"/>
          </w:tcPr>
          <w:p>
            <w:pPr>
              <w:spacing w:after="0"/>
              <w:rPr>
                <w:sz w:val="24"/>
                <w:szCs w:val="24"/>
                <w:color w:val="auto"/>
              </w:rPr>
            </w:pPr>
          </w:p>
        </w:tc>
        <w:tc>
          <w:tcPr>
            <w:tcW w:w="4640" w:type="dxa"/>
            <w:vAlign w:val="bottom"/>
          </w:tcPr>
          <w:p>
            <w:pPr>
              <w:spacing w:after="0"/>
              <w:rPr>
                <w:sz w:val="24"/>
                <w:szCs w:val="24"/>
                <w:color w:val="auto"/>
              </w:rPr>
            </w:pPr>
          </w:p>
        </w:tc>
        <w:tc>
          <w:tcPr>
            <w:tcW w:w="402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reserves for customer incentive programs</w:t>
            </w:r>
          </w:p>
        </w:tc>
        <w:tc>
          <w:tcPr>
            <w:tcW w:w="4020" w:type="dxa"/>
            <w:vAlign w:val="bottom"/>
            <w:gridSpan w:val="2"/>
            <w:shd w:val="clear" w:color="auto" w:fill="CFF0FC"/>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58,621</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Accrued reserves for sales returns</w:t>
            </w:r>
          </w:p>
        </w:tc>
        <w:tc>
          <w:tcPr>
            <w:tcW w:w="3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freight expenses</w:t>
            </w:r>
          </w:p>
        </w:tc>
        <w:tc>
          <w:tcPr>
            <w:tcW w:w="3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3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3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33,021</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30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164,470</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 w:type="dxa"/>
            <w:vAlign w:val="bottom"/>
            <w:vMerge w:val="restart"/>
          </w:tcPr>
          <w:p>
            <w:pPr>
              <w:spacing w:after="0"/>
              <w:rPr>
                <w:sz w:val="24"/>
                <w:szCs w:val="24"/>
                <w:color w:val="auto"/>
              </w:rPr>
            </w:pPr>
          </w:p>
        </w:tc>
        <w:tc>
          <w:tcPr>
            <w:tcW w:w="4640" w:type="dxa"/>
            <w:vAlign w:val="bottom"/>
          </w:tcPr>
          <w:p>
            <w:pPr>
              <w:spacing w:after="0"/>
              <w:rPr>
                <w:sz w:val="24"/>
                <w:szCs w:val="24"/>
                <w:color w:val="auto"/>
              </w:rPr>
            </w:pPr>
          </w:p>
        </w:tc>
        <w:tc>
          <w:tcPr>
            <w:tcW w:w="402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020" w:type="dxa"/>
            <w:vAlign w:val="bottom"/>
            <w:gridSpan w:val="2"/>
            <w:shd w:val="clear" w:color="auto" w:fill="CFF0FC"/>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45,457</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0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48,589</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060" w:type="dxa"/>
            <w:vAlign w:val="bottom"/>
            <w:vMerge w:val="restart"/>
          </w:tcPr>
          <w:p>
            <w:pPr>
              <w:jc w:val="right"/>
              <w:ind w:right="1911"/>
              <w:spacing w:after="0"/>
              <w:rPr>
                <w:sz w:val="20"/>
                <w:szCs w:val="20"/>
                <w:color w:val="auto"/>
              </w:rPr>
            </w:pPr>
            <w:r>
              <w:rPr>
                <w:rFonts w:ascii="Times New Roman" w:cs="Times New Roman" w:eastAsia="Times New Roman" w:hAnsi="Times New Roman"/>
                <w:sz w:val="18"/>
                <w:szCs w:val="18"/>
                <w:color w:val="auto"/>
              </w:rPr>
              <w:t>74</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64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debt consisted of the following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37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4"/>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r>
      <w:tr>
        <w:trPr>
          <w:trHeight w:val="150"/>
        </w:trPr>
        <w:tc>
          <w:tcPr>
            <w:tcW w:w="3740" w:type="dxa"/>
            <w:vAlign w:val="bottom"/>
          </w:tcPr>
          <w:p>
            <w:pPr>
              <w:spacing w:after="0"/>
              <w:rPr>
                <w:sz w:val="13"/>
                <w:szCs w:val="13"/>
                <w:color w:val="auto"/>
              </w:rPr>
            </w:pPr>
          </w:p>
        </w:tc>
        <w:tc>
          <w:tcPr>
            <w:tcW w:w="4920" w:type="dxa"/>
            <w:vAlign w:val="bottom"/>
            <w:gridSpan w:val="2"/>
          </w:tcPr>
          <w:p>
            <w:pPr>
              <w:jc w:val="right"/>
              <w:ind w:right="4809"/>
              <w:spacing w:after="0"/>
              <w:rPr>
                <w:sz w:val="20"/>
                <w:szCs w:val="20"/>
                <w:color w:val="auto"/>
              </w:rPr>
            </w:pPr>
            <w:r>
              <w:rPr>
                <w:rFonts w:ascii="Times New Roman" w:cs="Times New Roman" w:eastAsia="Times New Roman" w:hAnsi="Times New Roman"/>
                <w:sz w:val="2"/>
                <w:szCs w:val="2"/>
                <w:b w:val="1"/>
                <w:bCs w:val="1"/>
                <w:color w:val="auto"/>
              </w:rPr>
              <w:t>X</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(variable rate) due September 2026</w:t>
            </w:r>
          </w:p>
        </w:tc>
        <w:tc>
          <w:tcPr>
            <w:tcW w:w="4920" w:type="dxa"/>
            <w:vAlign w:val="bottom"/>
            <w:gridSpan w:val="2"/>
            <w:shd w:val="clear" w:color="auto" w:fill="CFF0FC"/>
          </w:tcPr>
          <w:p>
            <w:pPr>
              <w:jc w:val="right"/>
              <w:ind w:right="76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240,000</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248,750</w:t>
            </w:r>
          </w:p>
        </w:tc>
        <w:tc>
          <w:tcPr>
            <w:tcW w:w="120" w:type="dxa"/>
            <w:vAlign w:val="bottom"/>
            <w:shd w:val="clear" w:color="auto" w:fill="CFF0FC"/>
          </w:tcPr>
          <w:p>
            <w:pPr>
              <w:spacing w:after="0"/>
              <w:rPr>
                <w:sz w:val="20"/>
                <w:szCs w:val="20"/>
                <w:color w:val="auto"/>
              </w:rPr>
            </w:pPr>
          </w:p>
        </w:tc>
      </w:tr>
      <w:tr>
        <w:trPr>
          <w:trHeight w:val="22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w w:val="98"/>
              </w:rPr>
              <w:t>Debt discount and issuance cost, net of amortization</w:t>
            </w:r>
          </w:p>
        </w:tc>
        <w:tc>
          <w:tcPr>
            <w:tcW w:w="3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(1,335)</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(1,099)</w:t>
            </w:r>
          </w:p>
        </w:tc>
      </w:tr>
      <w:tr>
        <w:trPr>
          <w:trHeight w:val="220"/>
        </w:trPr>
        <w:tc>
          <w:tcPr>
            <w:tcW w:w="3740" w:type="dxa"/>
            <w:vAlign w:val="bottom"/>
            <w:tcBorders>
              <w:top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39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238,665</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247,651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54"/>
        </w:trPr>
        <w:tc>
          <w:tcPr>
            <w:tcW w:w="37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Less: debt maturing within one year, net</w:t>
            </w:r>
          </w:p>
        </w:tc>
        <w:tc>
          <w:tcPr>
            <w:tcW w:w="398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20" w:type="dxa"/>
            <w:vAlign w:val="bottom"/>
            <w:tcBorders>
              <w:bottom w:val="single" w:sz="8" w:color="CFF0FC"/>
            </w:tcBorders>
          </w:tcPr>
          <w:p>
            <w:pPr>
              <w:spacing w:after="0"/>
              <w:rPr>
                <w:sz w:val="22"/>
                <w:szCs w:val="22"/>
                <w:color w:val="auto"/>
              </w:rPr>
            </w:pPr>
          </w:p>
        </w:tc>
      </w:tr>
      <w:tr>
        <w:trPr>
          <w:trHeight w:val="247"/>
        </w:trPr>
        <w:tc>
          <w:tcPr>
            <w:tcW w:w="3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debt, net</w:t>
            </w:r>
          </w:p>
        </w:tc>
        <w:tc>
          <w:tcPr>
            <w:tcW w:w="4920" w:type="dxa"/>
            <w:vAlign w:val="bottom"/>
            <w:gridSpan w:val="2"/>
            <w:shd w:val="clear" w:color="auto" w:fill="CFF0FC"/>
          </w:tcPr>
          <w:p>
            <w:pPr>
              <w:jc w:val="right"/>
              <w:ind w:right="76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232,170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242,898</w:t>
            </w:r>
          </w:p>
        </w:tc>
        <w:tc>
          <w:tcPr>
            <w:tcW w:w="120" w:type="dxa"/>
            <w:vAlign w:val="bottom"/>
            <w:shd w:val="clear" w:color="auto" w:fill="CFF0FC"/>
          </w:tcPr>
          <w:p>
            <w:pPr>
              <w:spacing w:after="0"/>
              <w:rPr>
                <w:sz w:val="21"/>
                <w:szCs w:val="21"/>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39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and Second Lien Credit and Guaranty Agreement (Extinguished in 2021 and 2020, respectively)</w:t>
      </w:r>
    </w:p>
    <w:p>
      <w:pPr>
        <w:spacing w:after="0" w:line="118" w:lineRule="exact"/>
        <w:rPr>
          <w:sz w:val="20"/>
          <w:szCs w:val="20"/>
          <w:color w:val="auto"/>
        </w:rPr>
      </w:pPr>
    </w:p>
    <w:p>
      <w:pPr>
        <w:ind w:right="240" w:firstLine="510"/>
        <w:spacing w:after="0" w:line="257" w:lineRule="auto"/>
        <w:rPr>
          <w:sz w:val="20"/>
          <w:szCs w:val="20"/>
          <w:color w:val="auto"/>
        </w:rPr>
      </w:pPr>
      <w:r>
        <w:rPr>
          <w:rFonts w:ascii="Times New Roman" w:cs="Times New Roman" w:eastAsia="Times New Roman" w:hAnsi="Times New Roman"/>
          <w:sz w:val="18"/>
          <w:szCs w:val="18"/>
          <w:color w:val="auto"/>
        </w:rPr>
        <w:t>In August 2017, we entered into a syndicated First Lien Credit and Guaranty Agreement (“First Lien”) with various financial institutions, initially providing a $235 million term loan (“First Lien Term Loan”) with a maturity date of August 28, 2024, and a $50 million revolving line-of-credit (“Revolver”) with a maturity date of August 28, 2022. Subsequently, we entered into several amendments to the First Lien and the principal amount of the First Lien was increased by $240 million, in aggregate, primarily to fund various business acquisitions and operational needs.</w:t>
      </w:r>
    </w:p>
    <w:p>
      <w:pPr>
        <w:spacing w:after="0" w:line="75"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According to the repayment schedule, the Consolidated Excess Cash Flow (as defined in the First Lien) and the IPO repayment provisions as set forth in the First Lien, we made required repayments of the First Lien Term Loan of $59.6 million, in aggregate, in 2020 using the net proceeds from our IPO and excess cash on hand. Further we made voluntary prepayments of $80.8 million in 2020 and $78.3 million in 2021 through September 2021, without paying any premium or penalty. The remainder of First Lien Term Loan of $248.5 million was fully prepaid with the proceeds from the Term Loan (defined below) on September 3, 2021, and as a result, all obligations and covenants thereunder were terminated.</w:t>
      </w:r>
    </w:p>
    <w:p>
      <w:pPr>
        <w:spacing w:after="0" w:line="76"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August 2017, we also entered into a syndicated Second Lien Credit and Guaranty Agreement (“Second Lien”) with various financial institutions, initially providing a $65 million term loan (“Second Lien Term Loan”), with a maturity date of August 28, 2025. Subsequently, we entered into an amendment to the Second Lien reducing the principal amount to $50 million. In 2020, with excess cash on hand, we prepaid the entire outstanding balance of $50 million on the Second Lien Term Loan without paying any premium or penalty, and as a result, all obligations and covenants thereunder were terminated.</w:t>
      </w:r>
    </w:p>
    <w:p>
      <w:pPr>
        <w:spacing w:after="0" w:line="76"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The First Lien Term Loan and Revolver carried interest at a rate equal to our election (as defined in the First Lien) plus a margin ranging from 2.75% to 3.25% for base rate loans and ranging from 3.75% to 4.25% for Eurodollar loans, based on our net leverage ratio. The Second Lien Term Loan carried interest at a base rate equal to that of the First Lien, plus a margin of 7.50% for base rate loans and 8.50% for Eurodollar loans. The weighted average effective interest rate inclusive of the debt discount and debt issuance costs for the First Lien and Second Lien, in aggregate, was approximately 5.4% and 6.4% for years ended December 31, 2021 and 2020, respectively.</w:t>
      </w:r>
    </w:p>
    <w:p>
      <w:pPr>
        <w:spacing w:after="0" w:line="76" w:lineRule="exact"/>
        <w:rPr>
          <w:sz w:val="20"/>
          <w:szCs w:val="20"/>
          <w:color w:val="auto"/>
        </w:rPr>
      </w:pPr>
    </w:p>
    <w:p>
      <w:pPr>
        <w:ind w:right="80" w:firstLine="510"/>
        <w:spacing w:after="0" w:line="277" w:lineRule="auto"/>
        <w:rPr>
          <w:sz w:val="20"/>
          <w:szCs w:val="20"/>
          <w:color w:val="auto"/>
        </w:rPr>
      </w:pPr>
      <w:r>
        <w:rPr>
          <w:rFonts w:ascii="Times New Roman" w:cs="Times New Roman" w:eastAsia="Times New Roman" w:hAnsi="Times New Roman"/>
          <w:sz w:val="18"/>
          <w:szCs w:val="18"/>
          <w:color w:val="auto"/>
        </w:rPr>
        <w:t>In connection with the prepayments of the First and Second Lien Term Loan in 2020 and 2021, we have recorded losses on extinguishment of debt of $4.9 million and $4.1 million for the years ended December 31, 2021 and 2020, respectively.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18" w:lineRule="exact"/>
        <w:rPr>
          <w:sz w:val="20"/>
          <w:szCs w:val="20"/>
          <w:color w:val="auto"/>
        </w:rPr>
      </w:pPr>
    </w:p>
    <w:p>
      <w:pPr>
        <w:ind w:right="40" w:firstLine="510"/>
        <w:spacing w:after="0" w:line="257" w:lineRule="auto"/>
        <w:rPr>
          <w:sz w:val="20"/>
          <w:szCs w:val="20"/>
          <w:color w:val="auto"/>
        </w:rPr>
      </w:pPr>
      <w:r>
        <w:rPr>
          <w:rFonts w:ascii="Times New Roman" w:cs="Times New Roman" w:eastAsia="Times New Roman" w:hAnsi="Times New Roman"/>
          <w:sz w:val="18"/>
          <w:szCs w:val="18"/>
          <w:color w:val="auto"/>
        </w:rPr>
        <w:t>On September 3, 2021, we entered into a Credit Agreement (“Credit Agreement”) which provides for a $100.0 million five-year revolving credit facility (“Revolving Facility”) and a $250.0 million five-year term loan facility (“Term Loan”), with each maturing in September 2026. The Credit Agreement also permits, subject to conditions stated therein, additional incremental facilities in a maximum aggregate principal amount not to exceed $250.0 million. We may prepay the Term Loan and the Revolving Facility at any time without premium or penalty.</w:t>
      </w:r>
    </w:p>
    <w:p>
      <w:pPr>
        <w:spacing w:after="0" w:line="75" w:lineRule="exact"/>
        <w:rPr>
          <w:sz w:val="20"/>
          <w:szCs w:val="20"/>
          <w:color w:val="auto"/>
        </w:rPr>
      </w:pPr>
    </w:p>
    <w:p>
      <w:pPr>
        <w:ind w:right="220" w:firstLine="510"/>
        <w:spacing w:after="0" w:line="262" w:lineRule="auto"/>
        <w:rPr>
          <w:sz w:val="20"/>
          <w:szCs w:val="20"/>
          <w:color w:val="auto"/>
        </w:rPr>
      </w:pPr>
      <w:r>
        <w:rPr>
          <w:rFonts w:ascii="Times New Roman" w:cs="Times New Roman" w:eastAsia="Times New Roman" w:hAnsi="Times New Roman"/>
          <w:sz w:val="18"/>
          <w:szCs w:val="18"/>
          <w:color w:val="auto"/>
        </w:rPr>
        <w:t>The credit facilities under the Credit Agreement replaced our senior credit facilities under the First Lien Credit and Guaranty Agreement. The net proceeds from borrowings under the Credit Agreement of $248.5 million (net of $1.5 million of debt discount) were used to repay all amounts outstanding under the First Lien Term Loan on September 3, 2021.</w:t>
      </w:r>
    </w:p>
    <w:p>
      <w:pPr>
        <w:spacing w:after="0" w:line="70" w:lineRule="exact"/>
        <w:rPr>
          <w:sz w:val="20"/>
          <w:szCs w:val="20"/>
          <w:color w:val="auto"/>
        </w:rPr>
      </w:pPr>
    </w:p>
    <w:p>
      <w:pPr>
        <w:ind w:right="400" w:firstLine="510"/>
        <w:spacing w:after="0" w:line="277" w:lineRule="auto"/>
        <w:rPr>
          <w:sz w:val="20"/>
          <w:szCs w:val="20"/>
          <w:color w:val="auto"/>
        </w:rPr>
      </w:pPr>
      <w:r>
        <w:rPr>
          <w:rFonts w:ascii="Times New Roman" w:cs="Times New Roman" w:eastAsia="Times New Roman" w:hAnsi="Times New Roman"/>
          <w:sz w:val="18"/>
          <w:szCs w:val="18"/>
          <w:color w:val="auto"/>
        </w:rPr>
        <w:t>The Term Loan and Revolving Facility under the Credit Agreement initially carried interest at the Company’s election at either (a) LIBOR plus a percentage spread (ranging from 1.25% to 2.0%) based on our total net leverage ratio, or (b) the base rate (described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in the Credit Agreement as the greatest of (i) the prime rate, (ii) the federal funds rate plus 0.50% and (iii) one-month LIBOR plus 1.0%) plus a percentage spread (ranging from 0.25% to 1.0%) based on our net leverage ratio.</w:t>
      </w:r>
    </w:p>
    <w:p>
      <w:pPr>
        <w:spacing w:after="0" w:line="57"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Credit Agreement contains covenants with which we must comply during the term of the agreement, which we believe are ordinary and standard for agreements of this nature, including the maintenance of a maximum Consolidated Total Net Leverage Ratio of 3.0 to 1.0 and a minimum Consolidated Interest Coverage Ratio of 3.0 to 1.0 (as defined in our credit facilities). The Credit Agreement also includes events of default customary for facilities of this nature and upon the occurrence of such events of default, among other things, all outstanding amounts under the Credit Agreement may be accelerated and/or the lenders’ commitments terminated. In addition, upon the occurrence of certain events of default, the interest rate on the Term loan and Revolving Facility can be increased by 2.0%.</w:t>
      </w:r>
    </w:p>
    <w:p>
      <w:pPr>
        <w:spacing w:after="0" w:line="80" w:lineRule="exact"/>
        <w:rPr>
          <w:sz w:val="20"/>
          <w:szCs w:val="20"/>
          <w:color w:val="auto"/>
        </w:rPr>
      </w:pPr>
    </w:p>
    <w:p>
      <w:pPr>
        <w:ind w:right="300" w:firstLine="510"/>
        <w:spacing w:after="0" w:line="262"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70" w:lineRule="exact"/>
        <w:rPr>
          <w:sz w:val="20"/>
          <w:szCs w:val="20"/>
          <w:color w:val="auto"/>
        </w:rPr>
      </w:pPr>
    </w:p>
    <w:p>
      <w:pPr>
        <w:ind w:right="80" w:firstLine="510"/>
        <w:spacing w:after="0" w:line="270" w:lineRule="auto"/>
        <w:rPr>
          <w:sz w:val="20"/>
          <w:szCs w:val="20"/>
          <w:color w:val="auto"/>
        </w:rPr>
      </w:pPr>
      <w:r>
        <w:rPr>
          <w:rFonts w:ascii="Times New Roman" w:cs="Times New Roman" w:eastAsia="Times New Roman" w:hAnsi="Times New Roman"/>
          <w:sz w:val="17"/>
          <w:szCs w:val="17"/>
          <w:color w:val="auto"/>
        </w:rPr>
        <w:t>On June 30, 2022, we entered into a First Amendment of the Credit Agreement (“First Amendment”), which among other changes resulted in the Bloomberg Short-Term Bank Yield Index rate (“BSBY”) being utilized as a replacement rate for LIBOR. Consequently, following the First Amendment, the Term Loan and Revolving Facility will each bear interest at the Company’s election at either (a) BSBY plus a percentage spread (ranging from 1.25% to</w:t>
      </w:r>
    </w:p>
    <w:p>
      <w:pPr>
        <w:ind w:right="20"/>
        <w:spacing w:after="0" w:line="249" w:lineRule="auto"/>
        <w:rPr>
          <w:sz w:val="20"/>
          <w:szCs w:val="20"/>
          <w:color w:val="auto"/>
        </w:rPr>
      </w:pPr>
      <w:r>
        <w:rPr>
          <w:rFonts w:ascii="Times New Roman" w:cs="Times New Roman" w:eastAsia="Times New Roman" w:hAnsi="Times New Roman"/>
          <w:sz w:val="18"/>
          <w:szCs w:val="18"/>
          <w:color w:val="auto"/>
        </w:rPr>
        <w:t>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In addition, pursuant to the First Amendment, the maximum permitted Consolidated Total Net Leverage Ratio (as defined in the Credit Agreement) was also amended to increase to 3.50 to 1.0 between the quarters ending September 30, 2022 through and including March 31, 2023, and such ratio will revert to 3.00 to 1.00 from the quarter ended June 30, 2023 and each quarter thereafter, provided that, upon the occurrence of a Qualified Acquisition (as defined in the Credit Agreement), such ratio can be increased to 3.50 to 1.0 temporarily provided all the requirements set forth in the Credit Agreement are met.</w:t>
      </w:r>
    </w:p>
    <w:p>
      <w:pPr>
        <w:spacing w:after="0" w:line="82" w:lineRule="exact"/>
        <w:rPr>
          <w:sz w:val="20"/>
          <w:szCs w:val="20"/>
          <w:color w:val="auto"/>
        </w:rPr>
      </w:pPr>
    </w:p>
    <w:p>
      <w:pPr>
        <w:ind w:right="260" w:firstLine="510"/>
        <w:spacing w:after="0" w:line="255" w:lineRule="auto"/>
        <w:rPr>
          <w:sz w:val="20"/>
          <w:szCs w:val="20"/>
          <w:color w:val="auto"/>
        </w:rPr>
      </w:pPr>
      <w:r>
        <w:rPr>
          <w:rFonts w:ascii="Times New Roman" w:cs="Times New Roman" w:eastAsia="Times New Roman" w:hAnsi="Times New Roman"/>
          <w:sz w:val="18"/>
          <w:szCs w:val="18"/>
          <w:color w:val="auto"/>
        </w:rPr>
        <w:t>On September 29, 2022, we entered into an accounts receivable Factoring Agreement with a Factor. See Note 7 “Balance Sheet Components – Accounts Receivable, Net” for additional information on the Factoring Agreement. In connection with the Factoring Agreement, we also entered into (i) a Second Amendment (“Second Amendment”) to the Credit Agreement to permit the transactions contemplated by the Factoring Agreement and (ii) an Assignment of Factoring Proceeds and Intercreditor Agreement with the Factor and the administrative agent under the Credit Agreement to establish the respective rights of the Factor and the Credit Agreement Agent in and to the related factoring collateral.</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On November 28, 2022, we entered into a Third Amendment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“Third Amendment”) to the Credit Agreement which provides for, among other things,</w:t>
      </w:r>
    </w:p>
    <w:p>
      <w:pPr>
        <w:spacing w:after="0" w:line="39" w:lineRule="exact"/>
        <w:rPr>
          <w:sz w:val="20"/>
          <w:szCs w:val="20"/>
          <w:color w:val="auto"/>
        </w:rPr>
      </w:pPr>
    </w:p>
    <w:p>
      <w:pPr>
        <w:ind w:right="120" w:firstLine="7"/>
        <w:spacing w:after="0" w:line="249" w:lineRule="auto"/>
        <w:tabs>
          <w:tab w:leader="none" w:pos="21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required minimum Consolidated Interest Coverage Ratio (as defined in the Credit Agreement) to 2.50 to 1.00 for the quarters ending on and after March 31, 2023 through and including December 31, 2023, (ii) an increase in the maximum permitted Consolidated Total Net Leverage Ratio (as defined in the Credit Agreement) to 3.75 to 1.00 for the quarters ending December 31, 2022 and March 31, 2023, stepping down to 3.50 to 1.00 for the quarter ending June 30, 2023, and 3.25 to 1.00 for the quarters ending September 30, 2023 and December 31, 2023, and (iii) a modified pricing grid providing for an increased margin (ranging from (x) 1.50% per annum to 3.25% per annum for loans bearing interest at the Bloomberg Short-Term Bank Yield (“BSBY”) rate, and (y) 0.50% per annum to 2.25% per annum for loans bearing interest at the base rate, in each case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the Company’s Consolidated Total Net Leverage Ratio) for the period of December 31, 2022 through December 31, 2023.</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First, Second and Third Amendment were all accounted for as debt modifications.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we had no outstanding balance under the Revolving Facility.</w:t>
      </w:r>
    </w:p>
    <w:p>
      <w:pPr>
        <w:spacing w:after="0" w:line="114" w:lineRule="exact"/>
        <w:rPr>
          <w:sz w:val="20"/>
          <w:szCs w:val="20"/>
          <w:color w:val="auto"/>
        </w:rPr>
      </w:pPr>
    </w:p>
    <w:p>
      <w:pPr>
        <w:ind w:right="260" w:firstLine="510"/>
        <w:spacing w:after="0" w:line="277" w:lineRule="auto"/>
        <w:rPr>
          <w:sz w:val="20"/>
          <w:szCs w:val="20"/>
          <w:color w:val="auto"/>
        </w:rPr>
      </w:pPr>
      <w:r>
        <w:rPr>
          <w:rFonts w:ascii="Times New Roman" w:cs="Times New Roman" w:eastAsia="Times New Roman" w:hAnsi="Times New Roman"/>
          <w:sz w:val="18"/>
          <w:szCs w:val="18"/>
          <w:color w:val="auto"/>
        </w:rPr>
        <w:t>As of December 31, 2022, the carrying value of our Term Loan was $238.7 million. The estimated fair value of our Term Loan as of December 31, 2022, which we have classified as a Level 2 financial instrument, was approximately $241.5 million.</w:t>
      </w:r>
    </w:p>
    <w:p>
      <w:pPr>
        <w:spacing w:after="0" w:line="57" w:lineRule="exact"/>
        <w:rPr>
          <w:sz w:val="20"/>
          <w:szCs w:val="20"/>
          <w:color w:val="auto"/>
        </w:rPr>
      </w:pPr>
    </w:p>
    <w:p>
      <w:pPr>
        <w:ind w:right="260" w:firstLine="510"/>
        <w:spacing w:after="0" w:line="277" w:lineRule="auto"/>
        <w:rPr>
          <w:sz w:val="20"/>
          <w:szCs w:val="20"/>
          <w:color w:val="auto"/>
        </w:rPr>
      </w:pPr>
      <w:r>
        <w:rPr>
          <w:rFonts w:ascii="Times New Roman" w:cs="Times New Roman" w:eastAsia="Times New Roman" w:hAnsi="Times New Roman"/>
          <w:sz w:val="18"/>
          <w:szCs w:val="18"/>
          <w:color w:val="auto"/>
        </w:rPr>
        <w:t>The effective interest rate inclusive of the debt discount and debt issuance costs for the Term Loan was approximately 3.3% and 1.4% for the years ended December 31, 2022 and 2021, respectively.</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interest expense, net recognized for all periods presented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8"/>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54"/>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33"/>
              <w:spacing w:after="0" w:line="154"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6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and Second Lien Guaranty Agreement: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Contractual interest expense for term loan</w:t>
            </w:r>
          </w:p>
        </w:tc>
        <w:tc>
          <w:tcPr>
            <w:tcW w:w="940" w:type="dxa"/>
            <w:vAlign w:val="bottom"/>
            <w:gridSpan w:val="2"/>
          </w:tcPr>
          <w:p>
            <w:pPr>
              <w:jc w:val="right"/>
              <w:ind w:right="68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Contractual interest expense for revolving facility</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debt discount and issuance cost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Contractual interest expense for term loan</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Contractual interest expense for revolving facility</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debt discount and issuance cost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 w:type="dxa"/>
            <w:vAlign w:val="bottom"/>
          </w:tcPr>
          <w:p>
            <w:pPr>
              <w:spacing w:after="0"/>
              <w:rPr>
                <w:sz w:val="24"/>
                <w:szCs w:val="24"/>
                <w:color w:val="auto"/>
              </w:rPr>
            </w:pPr>
          </w:p>
        </w:tc>
        <w:tc>
          <w:tcPr>
            <w:tcW w:w="9540" w:type="dxa"/>
            <w:vAlign w:val="bottom"/>
            <w:gridSpan w:val="12"/>
          </w:tcPr>
          <w:p>
            <w:pPr>
              <w:ind w:left="500"/>
              <w:spacing w:after="0"/>
              <w:rPr>
                <w:sz w:val="20"/>
                <w:szCs w:val="20"/>
                <w:color w:val="auto"/>
              </w:rPr>
            </w:pPr>
            <w:r>
              <w:rPr>
                <w:rFonts w:ascii="Times New Roman" w:cs="Times New Roman" w:eastAsia="Times New Roman" w:hAnsi="Times New Roman"/>
                <w:sz w:val="18"/>
                <w:szCs w:val="18"/>
                <w:color w:val="auto"/>
                <w:w w:val="98"/>
              </w:rPr>
              <w:t>The estimated future principal payments under our total long-term debt as of December 31, 2022 are as follows (in thousands):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9"/>
              </w:rPr>
              <w:t>Amounts</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6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65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65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Changes in our assurance-type warranty obligations were as follows (in thousands):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34"/>
              <w:spacing w:after="0" w:line="154"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3"/>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Warranty provision related to products shipped</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Deductions for warranty claims processed</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(6,320)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(6,758)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w:t>
      </w:r>
    </w:p>
    <w:p>
      <w:pPr>
        <w:spacing w:after="0" w:line="118" w:lineRule="exact"/>
        <w:rPr>
          <w:sz w:val="20"/>
          <w:szCs w:val="20"/>
          <w:color w:val="auto"/>
        </w:rPr>
      </w:pPr>
    </w:p>
    <w:p>
      <w:pPr>
        <w:ind w:right="100" w:firstLine="510"/>
        <w:spacing w:after="0" w:line="262" w:lineRule="auto"/>
        <w:rPr>
          <w:sz w:val="20"/>
          <w:szCs w:val="20"/>
          <w:color w:val="auto"/>
        </w:rPr>
      </w:pPr>
      <w:r>
        <w:rPr>
          <w:rFonts w:ascii="Times New Roman" w:cs="Times New Roman" w:eastAsia="Times New Roman" w:hAnsi="Times New Roman"/>
          <w:sz w:val="18"/>
          <w:szCs w:val="18"/>
          <w:color w:val="auto"/>
        </w:rPr>
        <w:t>In the normal course of business, we enter into various purchase commitments for goods or services. Our long-term non-cancelable purchase commitments consist primarily of multi-year contractual arrangements relating to subscriptions for cloud computing hosting arrangements for our enterprise resource planning (“ERP”) system and the related support services as well as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sponsorship. The total long-term non-cancelable purchase commitments as of December 31, 2022 was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4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 w:type="dxa"/>
            <w:vAlign w:val="bottom"/>
          </w:tcPr>
          <w:p>
            <w:pPr>
              <w:spacing w:after="0"/>
              <w:rPr>
                <w:sz w:val="14"/>
                <w:szCs w:val="14"/>
                <w:color w:val="auto"/>
              </w:rPr>
            </w:pPr>
          </w:p>
        </w:tc>
      </w:tr>
      <w:tr>
        <w:trPr>
          <w:trHeight w:val="43"/>
        </w:trPr>
        <w:tc>
          <w:tcPr>
            <w:tcW w:w="2640" w:type="dxa"/>
            <w:vAlign w:val="bottom"/>
          </w:tcPr>
          <w:p>
            <w:pPr>
              <w:spacing w:after="0"/>
              <w:rPr>
                <w:sz w:val="3"/>
                <w:szCs w:val="3"/>
                <w:color w:val="auto"/>
              </w:rPr>
            </w:pPr>
          </w:p>
        </w:tc>
        <w:tc>
          <w:tcPr>
            <w:tcW w:w="7000" w:type="dxa"/>
            <w:vAlign w:val="bottom"/>
            <w:gridSpan w:val="2"/>
          </w:tcPr>
          <w:p>
            <w:pPr>
              <w:jc w:val="right"/>
              <w:ind w:right="5011"/>
              <w:spacing w:after="0" w:line="44" w:lineRule="exact"/>
              <w:rPr>
                <w:sz w:val="20"/>
                <w:szCs w:val="20"/>
                <w:color w:val="auto"/>
              </w:rPr>
            </w:pPr>
            <w:r>
              <w:rPr>
                <w:rFonts w:ascii="Times New Roman" w:cs="Times New Roman" w:eastAsia="Times New Roman" w:hAnsi="Times New Roman"/>
                <w:sz w:val="4"/>
                <w:szCs w:val="4"/>
                <w:b w:val="1"/>
                <w:bCs w:val="1"/>
                <w:color w:val="auto"/>
              </w:rPr>
              <w:t>x</w:t>
            </w: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0"/>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7000" w:type="dxa"/>
            <w:vAlign w:val="bottom"/>
            <w:gridSpan w:val="2"/>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FF0FC"/>
          </w:tcPr>
          <w:p>
            <w:pPr>
              <w:spacing w:after="0"/>
              <w:rPr>
                <w:sz w:val="20"/>
                <w:szCs w:val="20"/>
                <w:color w:val="auto"/>
              </w:rPr>
            </w:pPr>
          </w:p>
        </w:tc>
      </w:tr>
      <w:tr>
        <w:trPr>
          <w:trHeight w:val="22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19"/>
                <w:szCs w:val="19"/>
                <w:color w:val="auto"/>
              </w:rPr>
            </w:pPr>
          </w:p>
        </w:tc>
      </w:tr>
      <w:tr>
        <w:trPr>
          <w:trHeight w:val="227"/>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6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FF0FC"/>
          </w:tcPr>
          <w:p>
            <w:pPr>
              <w:spacing w:after="0"/>
              <w:rPr>
                <w:sz w:val="19"/>
                <w:szCs w:val="19"/>
                <w:color w:val="auto"/>
              </w:rPr>
            </w:pPr>
          </w:p>
        </w:tc>
      </w:tr>
      <w:tr>
        <w:trPr>
          <w:trHeight w:val="22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6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264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66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total non-cancelable long-term purchase commitments outstanding as of December 31, 2021 was $7.1 million.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18" w:lineRule="exact"/>
        <w:rPr>
          <w:sz w:val="20"/>
          <w:szCs w:val="20"/>
          <w:color w:val="auto"/>
        </w:rPr>
      </w:pPr>
    </w:p>
    <w:p>
      <w:pPr>
        <w:ind w:right="480" w:firstLine="510"/>
        <w:spacing w:after="0" w:line="277" w:lineRule="auto"/>
        <w:rPr>
          <w:sz w:val="20"/>
          <w:szCs w:val="20"/>
          <w:color w:val="auto"/>
        </w:rPr>
      </w:pPr>
      <w:r>
        <w:rPr>
          <w:rFonts w:ascii="Times New Roman" w:cs="Times New Roman" w:eastAsia="Times New Roman" w:hAnsi="Times New Roman"/>
          <w:sz w:val="18"/>
          <w:szCs w:val="18"/>
          <w:color w:val="auto"/>
        </w:rPr>
        <w:t>The letters of credit outstanding, in aggregate, was nil and $0.5 million as of December 31, 2022 and 2021, respectively. No amounts have been drawn upon the letters of credit for all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18" w:lineRule="exact"/>
        <w:rPr>
          <w:sz w:val="20"/>
          <w:szCs w:val="20"/>
          <w:color w:val="auto"/>
        </w:rPr>
      </w:pPr>
    </w:p>
    <w:p>
      <w:pPr>
        <w:ind w:right="80" w:firstLine="510"/>
        <w:spacing w:after="0" w:line="252" w:lineRule="auto"/>
        <w:rPr>
          <w:sz w:val="20"/>
          <w:szCs w:val="20"/>
          <w:color w:val="auto"/>
        </w:rPr>
      </w:pPr>
      <w:r>
        <w:rPr>
          <w:rFonts w:ascii="Times New Roman" w:cs="Times New Roman" w:eastAsia="Times New Roman" w:hAnsi="Times New Roman"/>
          <w:sz w:val="18"/>
          <w:szCs w:val="18"/>
          <w:color w:val="auto"/>
        </w:rPr>
        <w:t>We may from time to time be involved in various claims and legal proceedings of a character normally incident to the ordinary course of business. Litigation can be expensive and disruptive to normal business operations, and the results of complex legal proceedings are difficult to predict, and our view of these matters may change in the future as the litigation and events related thereto unfold. We expense legal fees as incurred and we record a provision for contingent losses when it is both probable that a liability has been incurred and the amount of the loss can be reasonably estimated. Based on currently available information, we believe there are no existing claims or proceedings that are likely to have a material adverse effect on our financial position, or the outcome of these matters is currently not determinable. An unfavorable outcome to any legal matter, if material, could have an adverse effect on our operations or financial position, liquidity of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18"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consolidated balance sheets, statements of operations, or statements of cash flows. We currently have directors’ and officers’ insurance.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18" w:lineRule="exact"/>
        <w:rPr>
          <w:sz w:val="20"/>
          <w:szCs w:val="20"/>
          <w:color w:val="auto"/>
        </w:rPr>
      </w:pPr>
    </w:p>
    <w:p>
      <w:pPr>
        <w:ind w:right="240" w:firstLine="510"/>
        <w:spacing w:after="0" w:line="262" w:lineRule="auto"/>
        <w:rPr>
          <w:sz w:val="20"/>
          <w:szCs w:val="20"/>
          <w:color w:val="auto"/>
        </w:rPr>
      </w:pPr>
      <w:r>
        <w:rPr>
          <w:rFonts w:ascii="Times New Roman" w:cs="Times New Roman" w:eastAsia="Times New Roman" w:hAnsi="Times New Roman"/>
          <w:sz w:val="18"/>
          <w:szCs w:val="18"/>
          <w:color w:val="auto"/>
        </w:rPr>
        <w:t>On September 25, 2020, in connection with the closing of the IPO, we filed an Amended and Restated Certificate of Incorporation which increased the authorized shares of common stock for issuance to 300,000,000 and authorized 5,000,000 shares of preferred stock, with a par value of $0.0001 per share, for issuance. There were no shares of preferred stock outstanding as of December 31, 2022 and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Shelf-Registration Statement</w:t>
      </w:r>
    </w:p>
    <w:p>
      <w:pPr>
        <w:spacing w:after="0" w:line="118"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On July 22, 2022, we filed a shelf registration statement on Form S-3 with the SEC, which was declared effective August 1, 2022 (the “2022 Shelf Registration Statement”). The 2022 Shelf Registration Statement registered securities to be offered by us, in an amount up to $300.0 million, including common stock, preferred stock and warrants. In addition, the 2022 Shelf Registration Statement registered 54,179,559 shares of common stock held by the selling securityholders named in the 2022 Shelf Registration Statement. We will not receive any of the proceeds from the sale of the shares registered by the selling securityholders.</w:t>
      </w:r>
    </w:p>
    <w:p>
      <w:pPr>
        <w:spacing w:after="0" w:line="76" w:lineRule="exact"/>
        <w:rPr>
          <w:sz w:val="20"/>
          <w:szCs w:val="20"/>
          <w:color w:val="auto"/>
        </w:rPr>
      </w:pPr>
    </w:p>
    <w:p>
      <w:pPr>
        <w:ind w:right="120" w:firstLine="510"/>
        <w:spacing w:after="0" w:line="257" w:lineRule="auto"/>
        <w:rPr>
          <w:sz w:val="20"/>
          <w:szCs w:val="20"/>
          <w:color w:val="auto"/>
        </w:rPr>
      </w:pPr>
      <w:r>
        <w:rPr>
          <w:rFonts w:ascii="Times New Roman" w:cs="Times New Roman" w:eastAsia="Times New Roman" w:hAnsi="Times New Roman"/>
          <w:sz w:val="18"/>
          <w:szCs w:val="18"/>
          <w:color w:val="auto"/>
        </w:rPr>
        <w:t>In November 2022, we issued 4,545,455 shares of common stock at a price of $16.50 per share in a registered underwritten public offering pursuant to the 2022 Shelf Registration Statement. Following the partial exercise in December 2022 by the underwriters of their option to purchase additional shares, we issued an additional 500,000 shares. The total proceeds from the underwritten public offering, net of underwriting discounts, commission and offering expenses, were approximately $81.0 million.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Incentive Plans and Stock-Based Compensation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8" w:lineRule="exact"/>
        <w:rPr>
          <w:sz w:val="20"/>
          <w:szCs w:val="20"/>
          <w:color w:val="auto"/>
        </w:rPr>
      </w:pPr>
    </w:p>
    <w:p>
      <w:pPr>
        <w:ind w:right="140" w:firstLine="510"/>
        <w:spacing w:after="0" w:line="257" w:lineRule="auto"/>
        <w:rPr>
          <w:sz w:val="20"/>
          <w:szCs w:val="20"/>
          <w:color w:val="auto"/>
        </w:rPr>
      </w:pPr>
      <w:r>
        <w:rPr>
          <w:rFonts w:ascii="Times New Roman" w:cs="Times New Roman" w:eastAsia="Times New Roman" w:hAnsi="Times New Roman"/>
          <w:sz w:val="18"/>
          <w:szCs w:val="18"/>
          <w:color w:val="auto"/>
        </w:rPr>
        <w:t>In 2017, we adopted the 2017 Equity Incentive Program (“2017 Plan”). In September 2020, we adopted the 2020 Incentive Award Plan (“2020 Plan”). The 2020 Plan is the successor and continuation to the 2017 Plan. The 2020 Plan provides for the grant of stock options, stock appreciation rights, restricted stock awards, RSUs, performance awards and other forms of awards. Incentive stock options may be granted only to employees. All other awards may be granted to eligible employees, non-employee directors and consultants, at the discretion of our board of directors (“Board”).</w:t>
      </w:r>
    </w:p>
    <w:p>
      <w:pPr>
        <w:spacing w:after="0" w:line="75"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Under the 2020 Plan, 5,125,000 shares of our common stock were initially reserved for issuance. The 2020 Plan reserve also includes any shares under the 2017 Plan and the 2020 Plan that may become available for issuance if the award terminates without the delivery of shares or if shares are tendered to satisfy the exercise price or tax withholding obligation with respect of the award. According to the provisions in the 2020 Plan, in March 2021 and May 2022, our Board approved an annual increase in the shares of common stock reserved for issuance by 3,677,385 shares and 3,780,412 shares, respectively. As of December 31, 2022, there were 8,509,813 shares reserved for future issuance under the 2020 Plan.</w:t>
      </w:r>
    </w:p>
    <w:p>
      <w:pPr>
        <w:spacing w:after="0" w:line="76" w:lineRule="exact"/>
        <w:rPr>
          <w:sz w:val="20"/>
          <w:szCs w:val="20"/>
          <w:color w:val="auto"/>
        </w:rPr>
      </w:pPr>
    </w:p>
    <w:p>
      <w:pPr>
        <w:ind w:right="20" w:firstLine="510"/>
        <w:spacing w:after="0" w:line="262" w:lineRule="auto"/>
        <w:rPr>
          <w:sz w:val="20"/>
          <w:szCs w:val="20"/>
          <w:color w:val="auto"/>
        </w:rPr>
      </w:pPr>
      <w:r>
        <w:rPr>
          <w:rFonts w:ascii="Times New Roman" w:cs="Times New Roman" w:eastAsia="Times New Roman" w:hAnsi="Times New Roman"/>
          <w:sz w:val="18"/>
          <w:szCs w:val="18"/>
          <w:color w:val="auto"/>
        </w:rPr>
        <w:t>All stock options under the 2017 Plan and the 2020 Plan are issued at exercise prices not less than the fair market value on the date of grant. RSUs have no exercise price. Both stock options and RSUs vest over a period of time as determined by the Board, generally four to five years. Stock options expire ten years from date of grant.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1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September 2020, we adopted the 2020 Employee Stock Purchase Plan (“ESPP”). The ESPP is designed to allow eligible employees to purchase shares of our common stock, at semi-annual intervals, with their accumulated payroll deductions. The ESPP initially reserved 1,025,000 shares of our common stock for issuance. According to the provisions in the ESPP, in March 2021 and May 2022, our Board approved an annual increase in the shares of common stock reserved for issuance by 919,346 shares and 945,103 shares, respectively. The ESPP is offered twice a year with periods beginning on January 1st and July 1st. As of December 31, 2022, there were 2,405,734 shares reserved for future issuance under the ESPP.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Activities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activities and related information for the year ended December 31, 2022: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5000" w:type="dxa"/>
            <w:vAlign w:val="bottom"/>
          </w:tcPr>
          <w:p>
            <w:pPr>
              <w:spacing w:after="0"/>
              <w:rPr>
                <w:sz w:val="12"/>
                <w:szCs w:val="12"/>
                <w:color w:val="auto"/>
              </w:rPr>
            </w:pPr>
          </w:p>
        </w:tc>
        <w:tc>
          <w:tcPr>
            <w:tcW w:w="14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54"/>
        </w:trPr>
        <w:tc>
          <w:tcPr>
            <w:tcW w:w="500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00"/>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8,163,609</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463"/>
              <w:spacing w:after="0"/>
              <w:rPr>
                <w:sz w:val="20"/>
                <w:szCs w:val="20"/>
                <w:color w:val="auto"/>
              </w:rPr>
            </w:pPr>
            <w:r>
              <w:rPr>
                <w:rFonts w:ascii="Times New Roman" w:cs="Times New Roman" w:eastAsia="Times New Roman" w:hAnsi="Times New Roman"/>
                <w:sz w:val="18"/>
                <w:szCs w:val="18"/>
                <w:color w:val="auto"/>
              </w:rPr>
              <w:t>6.9</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2,011,237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(700,100)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Forfeited/cancelled</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(264,724)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9,210,022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shd w:val="clear" w:color="auto" w:fill="CFF0FC"/>
          </w:tcPr>
          <w:p>
            <w:pPr>
              <w:jc w:val="right"/>
              <w:ind w:right="463"/>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2022</w:t>
            </w: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60" w:type="dxa"/>
            <w:vAlign w:val="bottom"/>
          </w:tcPr>
          <w:p>
            <w:pPr>
              <w:spacing w:after="0" w:line="20" w:lineRule="exact"/>
              <w:rPr>
                <w:sz w:val="1"/>
                <w:szCs w:val="1"/>
                <w:color w:val="auto"/>
              </w:rPr>
            </w:pPr>
          </w:p>
        </w:tc>
        <w:tc>
          <w:tcPr>
            <w:tcW w:w="1380" w:type="dxa"/>
            <w:vAlign w:val="bottom"/>
            <w:vMerge w:val="restart"/>
          </w:tcPr>
          <w:p>
            <w:pPr>
              <w:jc w:val="right"/>
              <w:ind w:right="463"/>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43,897</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00" w:type="dxa"/>
            <w:vAlign w:val="bottom"/>
            <w:vMerge w:val="continue"/>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5,599,850</w:t>
            </w:r>
          </w:p>
        </w:tc>
        <w:tc>
          <w:tcPr>
            <w:tcW w:w="16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right="60" w:firstLine="510"/>
        <w:spacing w:after="0" w:line="262" w:lineRule="auto"/>
        <w:rPr>
          <w:sz w:val="20"/>
          <w:szCs w:val="20"/>
          <w:color w:val="auto"/>
        </w:rPr>
      </w:pPr>
      <w:r>
        <w:rPr>
          <w:rFonts w:ascii="Times New Roman" w:cs="Times New Roman" w:eastAsia="Times New Roman" w:hAnsi="Times New Roman"/>
          <w:sz w:val="18"/>
          <w:szCs w:val="18"/>
          <w:color w:val="auto"/>
        </w:rPr>
        <w:t>The weighted-average grant date fair value per share for stock options granted in years ended December 31, 2022, 2021 and 2020 was $8.70, $16.77 and $3.68, respectively. The total intrinsic value of options exercised for the years ended December 31, 2022, 2021 and 2020 was $7.7 million, $66.0 million and $1.5 million,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Activities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RSU activities and related information for the year ended December 31, 2022: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2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tcPr>
          <w:p>
            <w:pPr>
              <w:spacing w:after="0"/>
              <w:rPr>
                <w:sz w:val="12"/>
                <w:szCs w:val="12"/>
                <w:color w:val="auto"/>
              </w:rPr>
            </w:pPr>
          </w:p>
        </w:tc>
        <w:tc>
          <w:tcPr>
            <w:tcW w:w="172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704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641,860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1,383,253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(242,375)</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Forfeited/cancelled</w:t>
            </w:r>
          </w:p>
        </w:tc>
        <w:tc>
          <w:tcPr>
            <w:tcW w:w="2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(150,764)</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1,631,974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right="320" w:firstLine="468"/>
        <w:spacing w:after="0" w:line="262" w:lineRule="auto"/>
        <w:rPr>
          <w:sz w:val="20"/>
          <w:szCs w:val="20"/>
          <w:color w:val="auto"/>
        </w:rPr>
      </w:pPr>
      <w:r>
        <w:rPr>
          <w:rFonts w:ascii="Times New Roman" w:cs="Times New Roman" w:eastAsia="Times New Roman" w:hAnsi="Times New Roman"/>
          <w:sz w:val="18"/>
          <w:szCs w:val="18"/>
          <w:color w:val="auto"/>
        </w:rPr>
        <w:t>The weighted-average grant date fair value per share for RSUs granted in years ended December 31, 2022, 2021 and 2020 was $18.63, $34.78 and $28.66 respectively. The total fair value of RSUs vested in the years ended December 31, 2022 and 2021 was $4.5 million, $1.4 million and $0.1 million,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by line item in our consolidated statements of operations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4"/>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4"/>
              <w:spacing w:after="0" w:line="154"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40" w:type="dxa"/>
            <w:vAlign w:val="bottom"/>
            <w:gridSpan w:val="2"/>
            <w:shd w:val="clear" w:color="auto" w:fill="CFF0FC"/>
          </w:tcPr>
          <w:p>
            <w:pPr>
              <w:jc w:val="right"/>
              <w:ind w:right="70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580" w:type="dxa"/>
            <w:vAlign w:val="bottom"/>
            <w:gridSpan w:val="2"/>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4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596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Stock-based compensation expense, net of amounts capitalized </w:t>
            </w:r>
            <w:r>
              <w:rPr>
                <w:rFonts w:ascii="Times New Roman" w:cs="Times New Roman" w:eastAsia="Times New Roman" w:hAnsi="Times New Roman"/>
                <w:sz w:val="15"/>
                <w:szCs w:val="15"/>
                <w:color w:val="auto"/>
              </w:rPr>
              <w:t>(1)</w:t>
            </w:r>
          </w:p>
        </w:tc>
        <w:tc>
          <w:tcPr>
            <w:tcW w:w="48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22,171</w:t>
            </w:r>
          </w:p>
        </w:tc>
        <w:tc>
          <w:tcPr>
            <w:tcW w:w="2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benefits (expense) related to stock-based compensation expense</w:t>
            </w:r>
          </w:p>
        </w:tc>
        <w:tc>
          <w:tcPr>
            <w:tcW w:w="4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701"/>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hanging="373"/>
        <w:spacing w:after="0"/>
        <w:tabs>
          <w:tab w:leader="none" w:pos="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stock-based compensation expense capitalized in assets was not material for each of the periods presented.</w:t>
      </w:r>
    </w:p>
    <w:p>
      <w:pPr>
        <w:spacing w:after="0" w:line="198" w:lineRule="exact"/>
        <w:rPr>
          <w:sz w:val="20"/>
          <w:szCs w:val="20"/>
          <w:color w:val="auto"/>
        </w:rPr>
      </w:pPr>
    </w:p>
    <w:p>
      <w:pPr>
        <w:ind w:firstLine="510"/>
        <w:spacing w:after="0" w:line="277" w:lineRule="auto"/>
        <w:rPr>
          <w:sz w:val="20"/>
          <w:szCs w:val="20"/>
          <w:color w:val="auto"/>
        </w:rPr>
      </w:pPr>
      <w:r>
        <w:rPr>
          <w:rFonts w:ascii="Times New Roman" w:cs="Times New Roman" w:eastAsia="Times New Roman" w:hAnsi="Times New Roman"/>
          <w:sz w:val="18"/>
          <w:szCs w:val="18"/>
          <w:color w:val="auto"/>
        </w:rPr>
        <w:t>The following table summarizes by type of grant, the total unrecognized stock-based compensation expense and the remaining period over which such expense is expected to be recognized (in thousands, except number of years):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20" w:type="dxa"/>
            <w:vAlign w:val="bottom"/>
            <w:gridSpan w:val="4"/>
          </w:tcPr>
          <w:p>
            <w:pPr>
              <w:ind w:left="1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Remaining weighted 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320" w:type="dxa"/>
            <w:vAlign w:val="bottom"/>
          </w:tcPr>
          <w:p>
            <w:pPr>
              <w:spacing w:after="0"/>
              <w:rPr>
                <w:sz w:val="12"/>
                <w:szCs w:val="12"/>
                <w:color w:val="auto"/>
              </w:rPr>
            </w:pPr>
          </w:p>
        </w:tc>
        <w:tc>
          <w:tcPr>
            <w:tcW w:w="198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w:t>
            </w:r>
          </w:p>
        </w:tc>
        <w:tc>
          <w:tcPr>
            <w:tcW w:w="1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29,528</w:t>
            </w:r>
          </w:p>
        </w:tc>
        <w:tc>
          <w:tcPr>
            <w:tcW w:w="2200" w:type="dxa"/>
            <w:vAlign w:val="bottom"/>
            <w:gridSpan w:val="2"/>
            <w:shd w:val="clear" w:color="auto" w:fill="CFF0FC"/>
          </w:tcPr>
          <w:p>
            <w:pPr>
              <w:jc w:val="center"/>
              <w:ind w:left="31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21,608</w:t>
            </w:r>
          </w:p>
        </w:tc>
        <w:tc>
          <w:tcPr>
            <w:tcW w:w="2200" w:type="dxa"/>
            <w:vAlign w:val="bottom"/>
            <w:gridSpan w:val="2"/>
          </w:tcPr>
          <w:p>
            <w:pPr>
              <w:jc w:val="center"/>
              <w:ind w:left="31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51,136</w:t>
            </w: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118" w:lineRule="exact"/>
        <w:rPr>
          <w:sz w:val="20"/>
          <w:szCs w:val="20"/>
          <w:color w:val="auto"/>
        </w:rPr>
      </w:pPr>
    </w:p>
    <w:p>
      <w:pPr>
        <w:ind w:right="580" w:firstLine="468"/>
        <w:spacing w:after="0" w:line="277" w:lineRule="auto"/>
        <w:rPr>
          <w:sz w:val="20"/>
          <w:szCs w:val="20"/>
          <w:color w:val="auto"/>
        </w:rPr>
      </w:pPr>
      <w:r>
        <w:rPr>
          <w:rFonts w:ascii="Times New Roman" w:cs="Times New Roman" w:eastAsia="Times New Roman" w:hAnsi="Times New Roman"/>
          <w:sz w:val="18"/>
          <w:szCs w:val="18"/>
          <w:color w:val="auto"/>
        </w:rPr>
        <w:t>We estimate the fair value of the stock options at the date of grant using the Black-Scholes-Merton pricing model, with the following valuation assumptions and values: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360" w:type="dxa"/>
            <w:vAlign w:val="bottom"/>
            <w:tcBorders>
              <w:bottom w:val="single" w:sz="8" w:color="auto"/>
            </w:tcBorders>
          </w:tcPr>
          <w:p>
            <w:pPr>
              <w:jc w:val="right"/>
              <w:ind w:right="500"/>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1840" w:type="dxa"/>
            <w:vAlign w:val="bottom"/>
            <w:tcBorders>
              <w:bottom w:val="single" w:sz="8" w:color="auto"/>
            </w:tcBorders>
          </w:tcPr>
          <w:p>
            <w:pPr>
              <w:jc w:val="right"/>
              <w:ind w:right="757"/>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1260" w:type="dxa"/>
            <w:vAlign w:val="bottom"/>
            <w:tcBorders>
              <w:bottom w:val="single" w:sz="8" w:color="auto"/>
            </w:tcBorders>
          </w:tcPr>
          <w:p>
            <w:pPr>
              <w:jc w:val="right"/>
              <w:ind w:right="455"/>
              <w:spacing w:after="0" w:line="154"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354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4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40" w:type="dxa"/>
            <w:vAlign w:val="bottom"/>
            <w:shd w:val="clear" w:color="auto" w:fill="CFF0FC"/>
          </w:tcPr>
          <w:p>
            <w:pPr>
              <w:jc w:val="right"/>
              <w:ind w:right="257"/>
              <w:spacing w:after="0"/>
              <w:rPr>
                <w:sz w:val="20"/>
                <w:szCs w:val="20"/>
                <w:color w:val="auto"/>
              </w:rPr>
            </w:pPr>
            <w:r>
              <w:rPr>
                <w:rFonts w:ascii="Times New Roman" w:cs="Times New Roman" w:eastAsia="Times New Roman" w:hAnsi="Times New Roman"/>
                <w:sz w:val="18"/>
                <w:szCs w:val="18"/>
                <w:color w:val="auto"/>
              </w:rPr>
              <w:t>6.01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 - 48.1%</w:t>
            </w:r>
          </w:p>
        </w:tc>
        <w:tc>
          <w:tcPr>
            <w:tcW w:w="18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43.1% - 47.0%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 - 44.0%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 - 2.93%</w:t>
            </w:r>
          </w:p>
        </w:tc>
        <w:tc>
          <w:tcPr>
            <w:tcW w:w="18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0.05% - 1.34%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 - 1.80%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120" w:type="dxa"/>
            <w:vAlign w:val="bottom"/>
          </w:tcPr>
          <w:p>
            <w:pPr>
              <w:jc w:val="right"/>
              <w:ind w:right="871"/>
              <w:spacing w:after="0"/>
              <w:rPr>
                <w:sz w:val="20"/>
                <w:szCs w:val="20"/>
                <w:color w:val="auto"/>
              </w:rPr>
            </w:pPr>
            <w:r>
              <w:rPr>
                <w:rFonts w:ascii="Times New Roman" w:cs="Times New Roman" w:eastAsia="Times New Roman" w:hAnsi="Times New Roman"/>
                <w:sz w:val="18"/>
                <w:szCs w:val="18"/>
                <w:color w:val="auto"/>
              </w:rPr>
              <w:t>80</w:t>
            </w: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40" w:firstLine="468"/>
        <w:spacing w:after="0" w:line="267" w:lineRule="auto"/>
        <w:rPr>
          <w:sz w:val="20"/>
          <w:szCs w:val="20"/>
          <w:color w:val="auto"/>
        </w:rPr>
      </w:pPr>
      <w:r>
        <w:rPr>
          <w:rFonts w:ascii="Times New Roman" w:cs="Times New Roman" w:eastAsia="Times New Roman" w:hAnsi="Times New Roman"/>
          <w:sz w:val="18"/>
          <w:szCs w:val="18"/>
          <w:color w:val="auto"/>
        </w:rPr>
        <w:t>We estimate the fair value of the shares under the ESPP at the date of grant using the Black-Scholes-Merton pricing model, with the following valuation assumptions and inputs: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35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1560" w:type="dxa"/>
            <w:vAlign w:val="bottom"/>
            <w:tcBorders>
              <w:bottom w:val="single" w:sz="8" w:color="auto"/>
            </w:tcBorders>
          </w:tcPr>
          <w:p>
            <w:pPr>
              <w:jc w:val="right"/>
              <w:ind w:right="557"/>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ind w:right="555"/>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77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 - 54.5%</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- 45.1%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 - 2.52%</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- 0.09%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480" w:firstLine="468"/>
        <w:spacing w:after="0" w:line="277" w:lineRule="auto"/>
        <w:rPr>
          <w:sz w:val="20"/>
          <w:szCs w:val="20"/>
          <w:color w:val="auto"/>
        </w:rPr>
      </w:pPr>
      <w:r>
        <w:rPr>
          <w:rFonts w:ascii="Times New Roman" w:cs="Times New Roman" w:eastAsia="Times New Roman" w:hAnsi="Times New Roman"/>
          <w:sz w:val="18"/>
          <w:szCs w:val="18"/>
          <w:color w:val="auto"/>
        </w:rPr>
        <w:t>Each of the inputs to the Black-Scholes-Merton pricing model, as discussed below, is subjective and generally requires significant judgment and estimation by management.</w:t>
      </w:r>
    </w:p>
    <w:p>
      <w:pPr>
        <w:spacing w:after="0" w:line="55" w:lineRule="exact"/>
        <w:rPr>
          <w:sz w:val="20"/>
          <w:szCs w:val="20"/>
          <w:color w:val="auto"/>
        </w:rPr>
      </w:pPr>
    </w:p>
    <w:p>
      <w:pPr>
        <w:ind w:right="140" w:firstLine="464"/>
        <w:spacing w:after="0" w:line="258"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stock options are expected to be outstanding. Since we do not have sufficient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data to provide a reasonable basis upon which to estimate expected term due to the limited period of time our common stock has been publicly traded, the simplified method is used to estimate the expected term of our stock options. The simplified method calculates the expected term as the average of the time-to-vesting and the contractual life of the stock option.</w:t>
      </w:r>
    </w:p>
    <w:p>
      <w:pPr>
        <w:spacing w:after="0" w:line="219" w:lineRule="exact"/>
        <w:rPr>
          <w:sz w:val="20"/>
          <w:szCs w:val="20"/>
          <w:color w:val="auto"/>
        </w:rPr>
      </w:pPr>
    </w:p>
    <w:p>
      <w:pPr>
        <w:ind w:right="380" w:firstLine="464"/>
        <w:spacing w:after="0" w:line="263"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—Since we do not have a trading history for our common stock, the expected volatility was derived from the historical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volatilities of comparable peer public companies within our industry that are considered to be comparable to our business over a period equivalent to the expected term of the stock-based awards.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curve in effect at the date of grant for zero-coupon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notes with maturities approximately equal to the expected term of the stock-based awards.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Expected Dividend Rate</w:t>
      </w:r>
      <w:r>
        <w:rPr>
          <w:rFonts w:ascii="Times New Roman" w:cs="Times New Roman" w:eastAsia="Times New Roman" w:hAnsi="Times New Roman"/>
          <w:sz w:val="17"/>
          <w:szCs w:val="17"/>
          <w:color w:val="auto"/>
        </w:rPr>
        <w:t>—The expected dividend is zero as we do not anticipate paying any dividends on our common stock in the foreseeable future.</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expense is recognized over the requisite service period.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(Loss) Per Share</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net income (loss) per share (in thousands, except per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4"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(53,946)</w:t>
            </w:r>
          </w:p>
        </w:tc>
        <w:tc>
          <w:tcPr>
            <w:tcW w:w="46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100,960</w:t>
            </w:r>
          </w:p>
        </w:tc>
        <w:tc>
          <w:tcPr>
            <w:tcW w:w="200" w:type="dxa"/>
            <w:vAlign w:val="bottom"/>
          </w:tcPr>
          <w:p>
            <w:pPr>
              <w:spacing w:after="0"/>
              <w:rPr>
                <w:sz w:val="19"/>
                <w:szCs w:val="19"/>
                <w:color w:val="auto"/>
              </w:rPr>
            </w:pPr>
          </w:p>
        </w:tc>
        <w:tc>
          <w:tcPr>
            <w:tcW w:w="36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100,960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(6,536)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4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common stockholders of Corsair Gaming, Inc.</w:t>
            </w: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(60,924)</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100,960</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103,217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diluted weighted-average shares outstanding</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of Corsair Gaming, inc.</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(0.63)</w:t>
            </w:r>
          </w:p>
        </w:tc>
        <w:tc>
          <w:tcPr>
            <w:tcW w:w="46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23"/>
                <w:szCs w:val="23"/>
                <w:color w:val="auto"/>
              </w:rPr>
            </w:pPr>
          </w:p>
        </w:tc>
        <w:tc>
          <w:tcPr>
            <w:tcW w:w="36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48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Anti-dilutive potential common shares </w:t>
            </w:r>
            <w:r>
              <w:rPr>
                <w:rFonts w:ascii="Times New Roman" w:cs="Times New Roman" w:eastAsia="Times New Roman" w:hAnsi="Times New Roman"/>
                <w:sz w:val="15"/>
                <w:szCs w:val="15"/>
                <w:color w:val="auto"/>
              </w:rPr>
              <w:t>(1)</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500" w:type="dxa"/>
            <w:vAlign w:val="bottom"/>
            <w:gridSpan w:val="2"/>
          </w:tcPr>
          <w:p>
            <w:pPr>
              <w:jc w:val="right"/>
              <w:ind w:right="691"/>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4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90" w:lineRule="exact"/>
        <w:rPr>
          <w:sz w:val="20"/>
          <w:szCs w:val="20"/>
          <w:color w:val="auto"/>
        </w:rPr>
      </w:pPr>
    </w:p>
    <w:p>
      <w:pPr>
        <w:ind w:left="380" w:hanging="373"/>
        <w:spacing w:after="0"/>
        <w:tabs>
          <w:tab w:leader="none" w:pos="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common share equivalents were not included in the calculation of diluted net income (loss) per share as the effect would have been anti-dilutive.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(loss) before income tax consists of the following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4"/>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54"/>
              <w:spacing w:after="0" w:line="154"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4"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(28,195)</w:t>
            </w:r>
          </w:p>
        </w:tc>
        <w:tc>
          <w:tcPr>
            <w:tcW w:w="460" w:type="dxa"/>
            <w:vAlign w:val="bottom"/>
            <w:gridSpan w:val="3"/>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26,889</w:t>
            </w: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(35,571)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2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87"/>
              </w:rPr>
              <w:t>(63,766)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114,560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Income tax benefit (expense) consists of the following (in thousands):</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4"/>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14"/>
              <w:spacing w:after="0" w:line="154"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4"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 federal taxes:</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(5,528)</w:t>
            </w:r>
          </w:p>
        </w:tc>
        <w:tc>
          <w:tcPr>
            <w:tcW w:w="46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(3,723)</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taxes:</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(5,596)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(20,871)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(24,625)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0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income tax benefit (expense) differs from the amount which would result by applying the applicable statutory deferral rate to income (loss)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income taxes as follows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4"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at federal statutory rate</w:t>
            </w:r>
          </w:p>
        </w:tc>
        <w:tc>
          <w:tcPr>
            <w:tcW w:w="2680" w:type="dxa"/>
            <w:vAlign w:val="bottom"/>
            <w:gridSpan w:val="2"/>
            <w:shd w:val="clear" w:color="auto" w:fill="CFF0FC"/>
          </w:tcPr>
          <w:p>
            <w:pPr>
              <w:jc w:val="right"/>
              <w:ind w:right="64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13,391</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(24,058)</w:t>
            </w:r>
          </w:p>
        </w:tc>
        <w:tc>
          <w:tcPr>
            <w:tcW w:w="3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(25,629)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(5,363)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8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Taxes on foreign operations</w:t>
            </w: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8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Tax impact from entity dissolution</w:t>
            </w: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rate on deferred tax assets</w:t>
            </w: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(3,658)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(3,503)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4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The major drivers for the change in tax benefit (expense) in 2022 were the decrease in excess tax benefits from stock-based compensation because of a lower volume of options exercised by employees due to the decline in our stock price in 2022, and the change in the mix of income and losses in the various tax jurisdictions in which we operate. The disclosure for foreign rate differential reflects the impact of the effective tax rate tax in jurisdictions where the applicable foreign tax rate is lower than the U.S. statutory rate. We were not subject to any tax holidays or tax holiday terminations subject to disclosure during these periods that impacted earnings per share.</w:t>
      </w:r>
    </w:p>
    <w:p>
      <w:pPr>
        <w:spacing w:after="0" w:line="76" w:lineRule="exact"/>
        <w:rPr>
          <w:sz w:val="20"/>
          <w:szCs w:val="20"/>
          <w:color w:val="auto"/>
        </w:rPr>
      </w:pPr>
    </w:p>
    <w:p>
      <w:pPr>
        <w:ind w:right="60" w:firstLine="510"/>
        <w:spacing w:after="0" w:line="257" w:lineRule="auto"/>
        <w:rPr>
          <w:sz w:val="20"/>
          <w:szCs w:val="20"/>
          <w:color w:val="auto"/>
        </w:rPr>
      </w:pPr>
      <w:r>
        <w:rPr>
          <w:rFonts w:ascii="Times New Roman" w:cs="Times New Roman" w:eastAsia="Times New Roman" w:hAnsi="Times New Roman"/>
          <w:sz w:val="18"/>
          <w:szCs w:val="18"/>
          <w:color w:val="auto"/>
        </w:rPr>
        <w:t>The major drivers for the change in tax (expense) benefit in 2021 were the excess tax benefits from stock-based compensation and a decrease in valuation allowance in 2021 as a result of the release of our California valuation allowance due to increased U.S. profitability. The disclosure for foreign rate differential reflects the impact of the effective tax rate benefit from operations in jurisdictions where the applicable foreign tax rate is lower than the U.S. statutory rate.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tax assets and liabilities comprise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3"/>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reserves</w:t>
            </w: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16,842</w:t>
            </w:r>
          </w:p>
        </w:tc>
        <w:tc>
          <w:tcPr>
            <w:tcW w:w="280" w:type="dxa"/>
            <w:vAlign w:val="bottom"/>
          </w:tcPr>
          <w:p>
            <w:pPr>
              <w:spacing w:after="0"/>
              <w:rPr>
                <w:sz w:val="19"/>
                <w:szCs w:val="19"/>
                <w:color w:val="auto"/>
              </w:rPr>
            </w:pPr>
          </w:p>
        </w:tc>
        <w:tc>
          <w:tcPr>
            <w:tcW w:w="460" w:type="dxa"/>
            <w:vAlign w:val="bottom"/>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NOL and capital losses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credits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(1,327)</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(39,314)</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(42,738)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960" w:type="dxa"/>
            <w:vAlign w:val="bottom"/>
            <w:tcBorders>
              <w:top w:val="single" w:sz="8" w:color="auto"/>
              <w:bottom w:val="single" w:sz="8" w:color="auto"/>
            </w:tcBorders>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We have established a valuation allowance of $1.3 million and $4.0 million as of December 31, 2022 and 2021, respectively, against our net deferred tax assets. We determine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Due to the anticipated future taxable income under the GILTI regime, we have released most of our valuation allowance except on $1.3 million of foreign tax credit carryovers for U.S. federal purposes.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we had net operating loss carry forwards for federal, state and foreign tax purposes of $2.3 million, $28.2 million,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$33.0 million, respectively. The federal, state and foreign net operating losses will begin to expire starting in 2037, 2030, and 2027, respectively. As defined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Internal Revenue Code Section 382, certain tax attributes are subject to an annual limitation as a result of our change in ownership in August 2017.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2017, we acquired the interests of the operating subsidiaries from Corsair Components (Cayman) Ltd. We do not expect our tax attributes to be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materially affected by the annual limitation.</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 in gross unrecognized tax benefits, excluding interest and penalties, as a result of uncertain tax positions are as follows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4"/>
              <w:spacing w:after="0" w:line="154"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940" w:type="dxa"/>
            <w:vAlign w:val="bottom"/>
            <w:gridSpan w:val="2"/>
            <w:shd w:val="clear" w:color="auto" w:fill="CFF0FC"/>
          </w:tcPr>
          <w:p>
            <w:pPr>
              <w:jc w:val="right"/>
              <w:ind w:right="68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Tax position related to current year</w:t>
            </w:r>
          </w:p>
        </w:tc>
        <w:tc>
          <w:tcPr>
            <w:tcW w:w="2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Increase</w:t>
            </w:r>
          </w:p>
        </w:tc>
        <w:tc>
          <w:tcPr>
            <w:tcW w:w="2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Decrease</w:t>
            </w:r>
          </w:p>
        </w:tc>
        <w:tc>
          <w:tcPr>
            <w:tcW w:w="2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position related to prior year</w:t>
            </w:r>
          </w:p>
        </w:tc>
        <w:tc>
          <w:tcPr>
            <w:tcW w:w="2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w:t>
            </w:r>
          </w:p>
        </w:tc>
        <w:tc>
          <w:tcPr>
            <w:tcW w:w="2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Decrease</w:t>
            </w:r>
          </w:p>
        </w:tc>
        <w:tc>
          <w:tcPr>
            <w:tcW w:w="2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940" w:type="dxa"/>
            <w:vAlign w:val="bottom"/>
            <w:gridSpan w:val="2"/>
          </w:tcPr>
          <w:p>
            <w:pPr>
              <w:jc w:val="right"/>
              <w:ind w:right="68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260" w:type="dxa"/>
            <w:vAlign w:val="bottom"/>
          </w:tcPr>
          <w:p>
            <w:pPr>
              <w:spacing w:after="0"/>
              <w:rPr>
                <w:sz w:val="20"/>
                <w:szCs w:val="20"/>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100" w:firstLine="510"/>
        <w:spacing w:after="0" w:line="262" w:lineRule="auto"/>
        <w:rPr>
          <w:sz w:val="20"/>
          <w:szCs w:val="20"/>
          <w:color w:val="auto"/>
        </w:rPr>
      </w:pPr>
      <w:r>
        <w:rPr>
          <w:rFonts w:ascii="Times New Roman" w:cs="Times New Roman" w:eastAsia="Times New Roman" w:hAnsi="Times New Roman"/>
          <w:sz w:val="18"/>
          <w:szCs w:val="18"/>
          <w:color w:val="auto"/>
        </w:rPr>
        <w:t>All of these unrecognized tax benefits will favorably impact our effective tax rate in future periods to the extent benefits are recognized. There are no provisions for which it is reasonably possible that the total amounts of unrecognized tax benefits will significantly increase or decrease within 12 months of the reporting date.</w:t>
      </w:r>
    </w:p>
    <w:p>
      <w:pPr>
        <w:spacing w:after="0" w:line="70" w:lineRule="exact"/>
        <w:rPr>
          <w:sz w:val="20"/>
          <w:szCs w:val="20"/>
          <w:color w:val="auto"/>
        </w:rPr>
      </w:pPr>
    </w:p>
    <w:p>
      <w:pPr>
        <w:ind w:right="40" w:firstLine="510"/>
        <w:spacing w:after="0" w:line="257" w:lineRule="auto"/>
        <w:rPr>
          <w:sz w:val="20"/>
          <w:szCs w:val="20"/>
          <w:color w:val="auto"/>
        </w:rPr>
      </w:pPr>
      <w:r>
        <w:rPr>
          <w:rFonts w:ascii="Times New Roman" w:cs="Times New Roman" w:eastAsia="Times New Roman" w:hAnsi="Times New Roman"/>
          <w:sz w:val="18"/>
          <w:szCs w:val="18"/>
          <w:color w:val="auto"/>
        </w:rPr>
        <w:t>We did not recognize significant expense for interest and penalties related to uncertain tax positions for the years ended December 31, 2022, 2021 and 2020. We file income tax returns with the U.S. federal government, various U.S. states and foreign jurisdictions including Canada, China, France, Germany, Hong Kong, Japan, Luxembourg, Netherlands, Singapore, Slovenia, Taiwan, United Kingdom and Vietnam. Our tax returns in the U.S., various U.S. states and foreign jurisdictions remain open to examination from 2013 to 2021.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were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35"/>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4"/>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foreign currency translation gain (loss), net of tax</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(6,445)</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loss from long-term intercompany loans, net of tax</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40" w:type="dxa"/>
            <w:vAlign w:val="bottom"/>
            <w:tcBorders>
              <w:top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Accumulated other comprehensive loss attributable to noncontrolling interest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accumulated other comprehensive loss attributable to Corsair Gaming, Inc.</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63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960" w:type="dxa"/>
            <w:vAlign w:val="bottom"/>
            <w:gridSpan w:val="5"/>
          </w:tcPr>
          <w:p>
            <w:pPr>
              <w:jc w:val="right"/>
              <w:ind w:right="391"/>
              <w:spacing w:after="0"/>
              <w:rPr>
                <w:sz w:val="20"/>
                <w:szCs w:val="20"/>
                <w:color w:val="auto"/>
              </w:rPr>
            </w:pPr>
            <w:r>
              <w:rPr>
                <w:rFonts w:ascii="Times New Roman" w:cs="Times New Roman" w:eastAsia="Times New Roman" w:hAnsi="Times New Roman"/>
                <w:sz w:val="18"/>
                <w:szCs w:val="18"/>
                <w:color w:val="auto"/>
              </w:rPr>
              <w:t>The table below summarizes the financial information for each reportable segment (in thousands):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8"/>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3"/>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75"/>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4"/>
              <w:spacing w:after="0" w:line="154"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Gamer and Creator Peripherals</w:t>
            </w:r>
          </w:p>
        </w:tc>
        <w:tc>
          <w:tcPr>
            <w:tcW w:w="60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437,817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647,202</w:t>
            </w:r>
          </w:p>
        </w:tc>
        <w:tc>
          <w:tcPr>
            <w:tcW w:w="20" w:type="dxa"/>
            <w:vAlign w:val="bottom"/>
          </w:tcPr>
          <w:p>
            <w:pPr>
              <w:spacing w:after="0"/>
              <w:rPr>
                <w:sz w:val="19"/>
                <w:szCs w:val="19"/>
                <w:color w:val="auto"/>
              </w:rPr>
            </w:pPr>
          </w:p>
        </w:tc>
        <w:tc>
          <w:tcPr>
            <w:tcW w:w="480" w:type="dxa"/>
            <w:vAlign w:val="bottom"/>
            <w:gridSpan w:val="3"/>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Gaming Components and Systems</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937,281</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1,256,858</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1,163,001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1,375,098</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1,904,060</w:t>
            </w: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1,702,367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Gamer and Creator Peripherals</w:t>
            </w:r>
          </w:p>
        </w:tc>
        <w:tc>
          <w:tcPr>
            <w:tcW w:w="60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125,079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224,920</w:t>
            </w:r>
          </w:p>
        </w:tc>
        <w:tc>
          <w:tcPr>
            <w:tcW w:w="20" w:type="dxa"/>
            <w:vAlign w:val="bottom"/>
          </w:tcPr>
          <w:p>
            <w:pPr>
              <w:spacing w:after="0"/>
              <w:rPr>
                <w:sz w:val="19"/>
                <w:szCs w:val="19"/>
                <w:color w:val="auto"/>
              </w:rPr>
            </w:pPr>
          </w:p>
        </w:tc>
        <w:tc>
          <w:tcPr>
            <w:tcW w:w="480" w:type="dxa"/>
            <w:vAlign w:val="bottom"/>
            <w:gridSpan w:val="3"/>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Gaming Components and Systems</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171,553</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288,934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275,687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gross profit</w:t>
            </w:r>
          </w:p>
        </w:tc>
        <w:tc>
          <w:tcPr>
            <w:tcW w:w="320" w:type="dxa"/>
            <w:vAlign w:val="bottom"/>
          </w:tcPr>
          <w:p>
            <w:pPr>
              <w:spacing w:after="0"/>
              <w:rPr>
                <w:sz w:val="19"/>
                <w:szCs w:val="19"/>
                <w:color w:val="auto"/>
              </w:rPr>
            </w:pP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296,632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513,854</w:t>
            </w: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200" w:firstLine="510"/>
        <w:spacing w:after="0" w:line="277" w:lineRule="auto"/>
        <w:rPr>
          <w:sz w:val="20"/>
          <w:szCs w:val="20"/>
          <w:color w:val="auto"/>
        </w:rPr>
      </w:pPr>
      <w:r>
        <w:rPr>
          <w:rFonts w:ascii="Times New Roman" w:cs="Times New Roman" w:eastAsia="Times New Roman" w:hAnsi="Times New Roman"/>
          <w:sz w:val="18"/>
          <w:szCs w:val="18"/>
          <w:color w:val="auto"/>
        </w:rPr>
        <w:t>The CODM manages assets on a total company basis, not by operating segments; therefore, asset information and capital expenditures by operating segments are not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net revenue by geographic region based on the location of the customer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5"/>
              <w:spacing w:after="0" w:line="154"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276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724,114</w:t>
            </w:r>
          </w:p>
        </w:tc>
        <w:tc>
          <w:tcPr>
            <w:tcW w:w="56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841,653</w:t>
            </w:r>
          </w:p>
        </w:tc>
        <w:tc>
          <w:tcPr>
            <w:tcW w:w="180" w:type="dxa"/>
            <w:vAlign w:val="bottom"/>
          </w:tcPr>
          <w:p>
            <w:pPr>
              <w:spacing w:after="0"/>
              <w:rPr>
                <w:sz w:val="19"/>
                <w:szCs w:val="19"/>
                <w:color w:val="auto"/>
              </w:rPr>
            </w:pPr>
          </w:p>
        </w:tc>
        <w:tc>
          <w:tcPr>
            <w:tcW w:w="38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and Middle East</w:t>
            </w:r>
          </w:p>
        </w:tc>
        <w:tc>
          <w:tcPr>
            <w:tcW w:w="2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405,642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735,151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4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245,342</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327,256</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24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1,375,098</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1,904,060</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1,702,367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500" w:firstLine="510"/>
        <w:spacing w:after="0" w:line="277" w:lineRule="auto"/>
        <w:rPr>
          <w:sz w:val="20"/>
          <w:szCs w:val="20"/>
          <w:color w:val="auto"/>
        </w:rPr>
      </w:pPr>
      <w:r>
        <w:rPr>
          <w:rFonts w:ascii="Times New Roman" w:cs="Times New Roman" w:eastAsia="Times New Roman" w:hAnsi="Times New Roman"/>
          <w:sz w:val="18"/>
          <w:szCs w:val="18"/>
          <w:color w:val="auto"/>
        </w:rPr>
        <w:t>Revenues from sales to customers in the United States represented 45%, 38% and 38% for the years ended December 31, 2022, 2021 and 2020, respectively. No other single country represented 10% or more of total net revenue during these periods.</w:t>
      </w:r>
    </w:p>
    <w:p>
      <w:pPr>
        <w:spacing w:after="0" w:line="163" w:lineRule="exact"/>
        <w:rPr>
          <w:sz w:val="20"/>
          <w:szCs w:val="20"/>
          <w:color w:val="auto"/>
        </w:rPr>
      </w:pPr>
    </w:p>
    <w:p>
      <w:pPr>
        <w:ind w:right="480" w:firstLine="510"/>
        <w:spacing w:after="0" w:line="277" w:lineRule="auto"/>
        <w:rPr>
          <w:sz w:val="20"/>
          <w:szCs w:val="20"/>
          <w:color w:val="auto"/>
        </w:rPr>
      </w:pPr>
      <w:r>
        <w:rPr>
          <w:rFonts w:ascii="Times New Roman" w:cs="Times New Roman" w:eastAsia="Times New Roman" w:hAnsi="Times New Roman"/>
          <w:sz w:val="18"/>
          <w:szCs w:val="18"/>
          <w:color w:val="auto"/>
        </w:rPr>
        <w:t>Long-lived assets consist primarily of property and equipment, net and right-of-use assets. The following table summarizes long-lived assets by region that represents 10% of more of our total long-lived assets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4"/>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00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58,673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4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40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0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long-lived assets</w:t>
            </w:r>
          </w:p>
        </w:tc>
        <w:tc>
          <w:tcPr>
            <w:tcW w:w="40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80,102</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68,206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20" w:type="dxa"/>
            <w:vAlign w:val="bottom"/>
            <w:vMerge w:val="restart"/>
          </w:tcPr>
          <w:p>
            <w:pPr>
              <w:jc w:val="right"/>
              <w:ind w:right="1911"/>
              <w:spacing w:after="0"/>
              <w:rPr>
                <w:sz w:val="20"/>
                <w:szCs w:val="20"/>
                <w:color w:val="auto"/>
              </w:rPr>
            </w:pPr>
            <w:r>
              <w:rPr>
                <w:rFonts w:ascii="Times New Roman" w:cs="Times New Roman" w:eastAsia="Times New Roman" w:hAnsi="Times New Roman"/>
                <w:sz w:val="18"/>
                <w:szCs w:val="18"/>
                <w:color w:val="auto"/>
              </w:rPr>
              <w:t>84</w:t>
            </w: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lease portfolio consists primarily of real estate facilities for manufacturing, distribution, warehousing and office use purposes under operating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expenses were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40" w:type="dxa"/>
            <w:vAlign w:val="bottom"/>
            <w:tcBorders>
              <w:bottom w:val="single" w:sz="8" w:color="auto"/>
            </w:tcBorders>
            <w:gridSpan w:val="9"/>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7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040" w:type="dxa"/>
            <w:vAlign w:val="bottom"/>
            <w:gridSpan w:val="3"/>
            <w:shd w:val="clear" w:color="auto" w:fill="CFF0FC"/>
          </w:tcPr>
          <w:p>
            <w:pPr>
              <w:jc w:val="right"/>
              <w:ind w:right="74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13,519</w:t>
            </w:r>
          </w:p>
        </w:tc>
        <w:tc>
          <w:tcPr>
            <w:tcW w:w="1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78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8,758</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lease expense</w:t>
            </w:r>
          </w:p>
        </w:tc>
        <w:tc>
          <w:tcPr>
            <w:tcW w:w="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4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22,277</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22,684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 (in thousands):</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9"/>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040" w:type="dxa"/>
            <w:vAlign w:val="bottom"/>
            <w:gridSpan w:val="3"/>
            <w:shd w:val="clear" w:color="auto" w:fill="CFF0FC"/>
          </w:tcPr>
          <w:p>
            <w:pPr>
              <w:jc w:val="right"/>
              <w:ind w:right="82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80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recognized in exchange for operating lease obligations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7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was as follows (in thousands):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9"/>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1040" w:type="dxa"/>
            <w:vAlign w:val="bottom"/>
            <w:tcBorders>
              <w:bottom w:val="single" w:sz="8" w:color="auto"/>
            </w:tcBorders>
            <w:gridSpan w:val="3"/>
          </w:tcPr>
          <w:p>
            <w:pPr>
              <w:jc w:val="right"/>
              <w:ind w:right="45"/>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Borders>
              <w:bottom w:val="single" w:sz="8" w:color="auto"/>
            </w:tcBorders>
            <w:gridSpan w:val="3"/>
          </w:tcPr>
          <w:p>
            <w:pPr>
              <w:jc w:val="right"/>
              <w:ind w:right="23"/>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7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(included in other assets)</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45,175</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84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Lease incentive receivable (included in prepaid expenses and other current assets)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(included in other liabilities and accrued expenses)</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11,051</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 (included in other liabilities, noncurrent)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45,457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7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gridSpan w:val="5"/>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68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w w:val="98"/>
              </w:rPr>
              <w:t>The following table summarizes the maturity of operating lease liabilities as of December 31, 2022 (in thousands):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764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920" w:type="dxa"/>
            <w:vAlign w:val="bottom"/>
            <w:tcBorders>
              <w:bottom w:val="single" w:sz="8" w:color="CFF0FC"/>
            </w:tcBorders>
          </w:tcPr>
          <w:p>
            <w:pPr>
              <w:spacing w:after="0"/>
              <w:rPr>
                <w:sz w:val="24"/>
                <w:szCs w:val="24"/>
                <w:color w:val="auto"/>
              </w:rPr>
            </w:pPr>
          </w:p>
        </w:tc>
        <w:tc>
          <w:tcPr>
            <w:tcW w:w="52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spacing w:after="0"/>
              <w:rPr>
                <w:sz w:val="19"/>
                <w:szCs w:val="19"/>
                <w:color w:val="auto"/>
              </w:rPr>
            </w:pPr>
          </w:p>
        </w:tc>
        <w:tc>
          <w:tcPr>
            <w:tcW w:w="2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67,723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(11,215)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4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56,508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Redeemable Noncontrolling Interest (“RNCI”)</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Shareholders Agreement between Corsair and the iDisplay Seller a put option was provided to the iDisplay Seller to transfer to Corsair</w:t>
      </w:r>
    </w:p>
    <w:p>
      <w:pPr>
        <w:spacing w:after="0" w:line="26" w:lineRule="exact"/>
        <w:rPr>
          <w:sz w:val="20"/>
          <w:szCs w:val="20"/>
          <w:color w:val="auto"/>
        </w:rPr>
      </w:pPr>
    </w:p>
    <w:p>
      <w:pPr>
        <w:ind w:right="160" w:firstLine="7"/>
        <w:spacing w:after="0" w:line="247" w:lineRule="auto"/>
        <w:tabs>
          <w:tab w:leader="none" w:pos="21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of their ownership interest in iDisplay upon the first anniversary of the Closing Date of the iDisplay Acquisition, and (ii) an additional 15% of their ownership interest in iDisplay upon the second anniversary of the Closing Date. The put option will expire after January 1, 2025. The exercise price of the put option is based on multiples of iDisplay’s historical TTM EBITDA less any debt. The put option makes this portion of the</w:t>
      </w:r>
    </w:p>
    <w:p>
      <w:pPr>
        <w:spacing w:after="0" w:line="2"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noncontrolling interest redeemable and therefore, the RNCI are classified as temporary equity on our consolidated balance sheets and carried at the greater of the initial carrying amount, increased or decreased, for the RNCI share of comprehensive income (loss), contributions and distributions, or the redemption value. The change in redemption value is recognized through retained earnings.</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Closing Date of the iDisplay Acquisition, the fair value of the total 49% noncontrolling interest in iDisplay was estimated to be</w:t>
      </w:r>
    </w:p>
    <w:p>
      <w:pPr>
        <w:spacing w:after="0" w:line="26"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$29.6 million, of which $17.5 million is attributable to the 29% RNCI and classified within temporary equity and $12.1 million is attributable to the 20% noncontrolling interest classified within permanent equity on our consolidated balance sheets.</w:t>
      </w:r>
    </w:p>
    <w:p>
      <w:pPr>
        <w:sectPr>
          <w:pgSz w:w="11900" w:h="16838" w:orient="portrait"/>
          <w:cols w:equalWidth="0" w:num="1">
            <w:col w:w="11240"/>
          </w:cols>
          <w:pgMar w:left="320" w:top="117"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changes in RNCI for the period presented (in thousands):</w:t>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42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69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94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Initial carrying amount estimated at iDisplay's Closing Date</w:t>
            </w: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 of net income</w:t>
            </w:r>
          </w:p>
        </w:tc>
        <w:tc>
          <w:tcPr>
            <w:tcW w:w="2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of other comprehensive loss</w:t>
            </w: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Dividend paid</w:t>
            </w:r>
          </w:p>
        </w:tc>
        <w:tc>
          <w:tcPr>
            <w:tcW w:w="2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9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Change in redemption value </w:t>
            </w:r>
            <w:r>
              <w:rPr>
                <w:rFonts w:ascii="Times New Roman" w:cs="Times New Roman" w:eastAsia="Times New Roman" w:hAnsi="Times New Roman"/>
                <w:sz w:val="15"/>
                <w:szCs w:val="15"/>
                <w:color w:val="auto"/>
              </w:rPr>
              <w:t>(1)</w:t>
            </w:r>
          </w:p>
        </w:tc>
        <w:tc>
          <w:tcPr>
            <w:tcW w:w="25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5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right="260" w:hanging="373"/>
        <w:spacing w:after="0" w:line="268" w:lineRule="auto"/>
        <w:tabs>
          <w:tab w:leader="none" w:pos="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represents a $6.5 million increase in redemption value over the carrying value for the year ended December 31, 2022. This amount was recorded as an offset to retained earnings and increased the net loss attributable to common stockholders of Corsair Gaming, Inc. used in the calculation of net loss per share for this period.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8" w:lineRule="exact"/>
        <w:rPr>
          <w:sz w:val="20"/>
          <w:szCs w:val="20"/>
          <w:color w:val="auto"/>
        </w:rPr>
      </w:pPr>
    </w:p>
    <w:p>
      <w:pPr>
        <w:ind w:right="80" w:firstLine="510"/>
        <w:spacing w:after="0" w:line="257"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of, as defined in Rules 13a-15(e) and 15d-15(e) under the Exchange Act, the end of the period covered by this Annual Report on Form 10-K. Based on this evaluation, our chief executive officer and chief financial officer concluded that, as of December 31, 2022, our disclosure controls and procedures were effective at a reasonable assurance level.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18"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under the Exchange Act). Management conducted an assessment of the effectiveness of the Company’s internal control over financial reporting based on criteria established in Internal Control – Integrated Framework (2013) issued by the Committee of Sponsoring Organizations of the Treadway Commission. Based on this assessment, our management concluded that our internal control over financial reporting was effective, at the reasonable assurance level, as of December 31, 2022.</w:t>
      </w:r>
    </w:p>
    <w:p>
      <w:pPr>
        <w:spacing w:after="0" w:line="76" w:lineRule="exact"/>
        <w:rPr>
          <w:sz w:val="20"/>
          <w:szCs w:val="20"/>
          <w:color w:val="auto"/>
        </w:rPr>
      </w:pPr>
    </w:p>
    <w:p>
      <w:pPr>
        <w:ind w:firstLine="510"/>
        <w:spacing w:after="0" w:line="277"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2022 has been audited by KPMG LLP, an independent registered public accounting firm, as stated in their report, which is included in Item 8 of this Annual Report on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8" w:lineRule="exact"/>
        <w:rPr>
          <w:sz w:val="20"/>
          <w:szCs w:val="20"/>
          <w:color w:val="auto"/>
        </w:rPr>
      </w:pPr>
    </w:p>
    <w:p>
      <w:pPr>
        <w:jc w:val="both"/>
        <w:ind w:right="440" w:firstLine="510"/>
        <w:spacing w:after="0" w:line="26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13a-15(d) and 15d-15(d) under the Exchange Act) that occurred during the quarter ended December 31, 2022 that has materially affected, or is reasonably likely to materially affect, our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18"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8" w:lineRule="exact"/>
        <w:rPr>
          <w:sz w:val="20"/>
          <w:szCs w:val="20"/>
          <w:color w:val="auto"/>
        </w:rPr>
      </w:pPr>
    </w:p>
    <w:p>
      <w:pPr>
        <w:ind w:firstLine="510"/>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that is found in our Definitive Proxy Statement to be filed with the SEC in connection with the solicitation of proxies for our 2023 Annual Meeting of Stockholders, or the Proxy Statement, is incorporated herein by reference to our Proxy Statement. The Proxy Statement will be filed with the SEC within 120 days after the end of the fiscal year covered by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4" w:lineRule="exact"/>
        <w:rPr>
          <w:sz w:val="20"/>
          <w:szCs w:val="20"/>
          <w:color w:val="auto"/>
        </w:rPr>
      </w:pPr>
    </w:p>
    <w:p>
      <w:pPr>
        <w:ind w:left="280"/>
        <w:spacing w:after="0"/>
        <w:tabs>
          <w:tab w:leader="none" w:pos="6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The following documents are filed as part of this Annual Report on Form 10-K:</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the “Index to Consolidated Financial Statements” under Part II, Item 8 of this report.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6" w:lineRule="exact"/>
        <w:rPr>
          <w:sz w:val="20"/>
          <w:szCs w:val="20"/>
          <w:color w:val="auto"/>
        </w:rPr>
      </w:pPr>
    </w:p>
    <w:p>
      <w:pPr>
        <w:jc w:val="both"/>
        <w:ind w:left="760" w:right="100"/>
        <w:spacing w:after="0" w:line="251" w:lineRule="auto"/>
        <w:rPr>
          <w:sz w:val="20"/>
          <w:szCs w:val="20"/>
          <w:color w:val="auto"/>
        </w:rPr>
      </w:pPr>
      <w:r>
        <w:rPr>
          <w:rFonts w:ascii="Times New Roman" w:cs="Times New Roman" w:eastAsia="Times New Roman" w:hAnsi="Times New Roman"/>
          <w:sz w:val="18"/>
          <w:szCs w:val="18"/>
          <w:color w:val="auto"/>
        </w:rPr>
        <w:t>All financial schedules have been omitted, since the required information is not applicable or is not present in amounts sufficient to require submission of the schedule, or because the information required information is included in the consolidated financial statements and notes thereto included in this report.</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 Exhibits</w:t>
      </w:r>
    </w:p>
    <w:p>
      <w:pPr>
        <w:spacing w:after="0" w:line="230"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ectPr>
          <w:pgSz w:w="11900" w:h="16838" w:orient="portrait"/>
          <w:cols w:equalWidth="0" w:num="1">
            <w:col w:w="11340"/>
          </w:cols>
          <w:pgMar w:left="320" w:top="117" w:right="239" w:bottom="1440" w:gutter="0" w:footer="0" w:header="0"/>
        </w:sectPr>
      </w:pPr>
    </w:p>
    <w:p>
      <w:pPr>
        <w:spacing w:after="0" w:line="220"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8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8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0" w:type="dxa"/>
            <w:vAlign w:val="bottom"/>
            <w:gridSpan w:val="12"/>
          </w:tcPr>
          <w:p>
            <w:pPr>
              <w:ind w:left="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4"/>
        </w:trPr>
        <w:tc>
          <w:tcPr>
            <w:tcW w:w="8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3.1</w:t>
            </w:r>
          </w:p>
        </w:tc>
        <w:tc>
          <w:tcPr>
            <w:tcW w:w="6480" w:type="dxa"/>
            <w:vAlign w:val="bottom"/>
            <w:gridSpan w:val="18"/>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Second Amended and Restated Certificate of Incorporation.</w:t>
              </w:r>
            </w:hyperlink>
          </w:p>
        </w:tc>
      </w:tr>
      <w:tr>
        <w:trPr>
          <w:trHeight w:val="635"/>
        </w:trPr>
        <w:tc>
          <w:tcPr>
            <w:tcW w:w="8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3.2</w:t>
            </w:r>
          </w:p>
        </w:tc>
        <w:tc>
          <w:tcPr>
            <w:tcW w:w="22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Amended and Restated Bylaws.</w:t>
              </w:r>
            </w:hyperlink>
          </w:p>
        </w:tc>
        <w:tc>
          <w:tcPr>
            <w:tcW w:w="1980" w:type="dxa"/>
            <w:vAlign w:val="bottom"/>
            <w:tcBorders>
              <w:top w:val="single" w:sz="8" w:color="0000EE"/>
            </w:tcBorders>
            <w:gridSpan w:val="5"/>
          </w:tcPr>
          <w:p>
            <w:pPr>
              <w:spacing w:after="0"/>
              <w:rPr>
                <w:sz w:val="24"/>
                <w:szCs w:val="24"/>
                <w:color w:val="auto"/>
              </w:rPr>
            </w:pPr>
          </w:p>
        </w:tc>
        <w:tc>
          <w:tcPr>
            <w:tcW w:w="2220" w:type="dxa"/>
            <w:vAlign w:val="bottom"/>
            <w:gridSpan w:val="7"/>
          </w:tcPr>
          <w:p>
            <w:pPr>
              <w:spacing w:after="0"/>
              <w:rPr>
                <w:sz w:val="24"/>
                <w:szCs w:val="24"/>
                <w:color w:val="auto"/>
              </w:rPr>
            </w:pPr>
          </w:p>
        </w:tc>
      </w:tr>
      <w:tr>
        <w:trPr>
          <w:trHeight w:val="635"/>
        </w:trPr>
        <w:tc>
          <w:tcPr>
            <w:tcW w:w="8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4.1</w:t>
            </w:r>
          </w:p>
        </w:tc>
        <w:tc>
          <w:tcPr>
            <w:tcW w:w="18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Form of Stock Certificate.</w:t>
              </w:r>
            </w:hyperlink>
          </w:p>
        </w:tc>
        <w:tc>
          <w:tcPr>
            <w:tcW w:w="4600" w:type="dxa"/>
            <w:vAlign w:val="bottom"/>
            <w:gridSpan w:val="14"/>
          </w:tcPr>
          <w:p>
            <w:pPr>
              <w:spacing w:after="0"/>
              <w:rPr>
                <w:sz w:val="24"/>
                <w:szCs w:val="24"/>
                <w:color w:val="auto"/>
              </w:rPr>
            </w:pPr>
          </w:p>
        </w:tc>
      </w:tr>
      <w:tr>
        <w:trPr>
          <w:trHeight w:val="635"/>
        </w:trPr>
        <w:tc>
          <w:tcPr>
            <w:tcW w:w="8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4.2</w:t>
            </w:r>
          </w:p>
        </w:tc>
        <w:tc>
          <w:tcPr>
            <w:tcW w:w="6480" w:type="dxa"/>
            <w:vAlign w:val="bottom"/>
            <w:gridSpan w:val="18"/>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Description of Corsair’s Securities Registered Pursuant to Section 12 of the Securities</w:t>
              </w:r>
            </w:hyperlink>
          </w:p>
        </w:tc>
      </w:tr>
      <w:tr>
        <w:trPr>
          <w:trHeight w:val="194"/>
        </w:trPr>
        <w:tc>
          <w:tcPr>
            <w:tcW w:w="880" w:type="dxa"/>
            <w:vAlign w:val="bottom"/>
          </w:tcPr>
          <w:p>
            <w:pPr>
              <w:spacing w:after="0"/>
              <w:rPr>
                <w:sz w:val="16"/>
                <w:szCs w:val="16"/>
                <w:color w:val="auto"/>
              </w:rPr>
            </w:pPr>
          </w:p>
        </w:tc>
        <w:tc>
          <w:tcPr>
            <w:tcW w:w="6120" w:type="dxa"/>
            <w:vAlign w:val="bottom"/>
            <w:tcBorders>
              <w:top w:val="single" w:sz="8" w:color="0000EE"/>
            </w:tcBorders>
            <w:gridSpan w:val="15"/>
          </w:tcPr>
          <w:p>
            <w:pPr>
              <w:spacing w:after="0" w:line="194"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Exchange Act of 1934.</w:t>
              </w:r>
            </w:hyperlink>
          </w:p>
        </w:tc>
        <w:tc>
          <w:tcPr>
            <w:tcW w:w="360" w:type="dxa"/>
            <w:vAlign w:val="bottom"/>
            <w:gridSpan w:val="3"/>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4"/>
        </w:trPr>
        <w:tc>
          <w:tcPr>
            <w:tcW w:w="8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4.3</w:t>
            </w:r>
          </w:p>
        </w:tc>
        <w:tc>
          <w:tcPr>
            <w:tcW w:w="60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Investor Rights Agreement, by and between Corsair Gaming, Inc. and Corsair Group</w:t>
              </w:r>
            </w:hyperlink>
          </w:p>
        </w:tc>
        <w:tc>
          <w:tcPr>
            <w:tcW w:w="420" w:type="dxa"/>
            <w:vAlign w:val="bottom"/>
            <w:gridSpan w:val="5"/>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104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5"/>
              </w:rPr>
            </w:pPr>
            <w:hyperlink r:id="rId125">
              <w:r>
                <w:rPr>
                  <w:rFonts w:ascii="Times New Roman" w:cs="Times New Roman" w:eastAsia="Times New Roman" w:hAnsi="Times New Roman"/>
                  <w:sz w:val="18"/>
                  <w:szCs w:val="18"/>
                  <w:color w:val="0000EE"/>
                  <w:w w:val="95"/>
                </w:rPr>
                <w:t>(Cayman), LP.</w:t>
              </w:r>
            </w:hyperlink>
          </w:p>
        </w:tc>
        <w:tc>
          <w:tcPr>
            <w:tcW w:w="5440" w:type="dxa"/>
            <w:vAlign w:val="bottom"/>
            <w:gridSpan w:val="16"/>
          </w:tcPr>
          <w:p>
            <w:pPr>
              <w:spacing w:after="0"/>
              <w:rPr>
                <w:sz w:val="16"/>
                <w:szCs w:val="16"/>
                <w:color w:val="auto"/>
              </w:rPr>
            </w:pPr>
          </w:p>
        </w:tc>
      </w:tr>
      <w:tr>
        <w:trPr>
          <w:trHeight w:val="434"/>
        </w:trPr>
        <w:tc>
          <w:tcPr>
            <w:tcW w:w="8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4.4</w:t>
            </w:r>
          </w:p>
        </w:tc>
        <w:tc>
          <w:tcPr>
            <w:tcW w:w="6480" w:type="dxa"/>
            <w:vAlign w:val="bottom"/>
            <w:gridSpan w:val="18"/>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Registration Rights Agreement, by and between Corsair Gaming, Inc. and Corsair Group</w:t>
              </w:r>
            </w:hyperlink>
          </w:p>
        </w:tc>
      </w:tr>
      <w:tr>
        <w:trPr>
          <w:trHeight w:val="194"/>
        </w:trPr>
        <w:tc>
          <w:tcPr>
            <w:tcW w:w="880" w:type="dxa"/>
            <w:vAlign w:val="bottom"/>
          </w:tcPr>
          <w:p>
            <w:pPr>
              <w:spacing w:after="0"/>
              <w:rPr>
                <w:sz w:val="16"/>
                <w:szCs w:val="16"/>
                <w:color w:val="auto"/>
              </w:rPr>
            </w:pPr>
          </w:p>
        </w:tc>
        <w:tc>
          <w:tcPr>
            <w:tcW w:w="104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5"/>
              </w:rPr>
            </w:pPr>
            <w:hyperlink r:id="rId126">
              <w:r>
                <w:rPr>
                  <w:rFonts w:ascii="Times New Roman" w:cs="Times New Roman" w:eastAsia="Times New Roman" w:hAnsi="Times New Roman"/>
                  <w:sz w:val="18"/>
                  <w:szCs w:val="18"/>
                  <w:color w:val="0000EE"/>
                  <w:w w:val="95"/>
                </w:rPr>
                <w:t>(Cayman), LP.</w:t>
              </w:r>
            </w:hyperlink>
          </w:p>
        </w:tc>
        <w:tc>
          <w:tcPr>
            <w:tcW w:w="5300" w:type="dxa"/>
            <w:vAlign w:val="bottom"/>
            <w:tcBorders>
              <w:top w:val="single" w:sz="8" w:color="0000EE"/>
            </w:tcBorders>
            <w:gridSpan w:val="14"/>
          </w:tcPr>
          <w:p>
            <w:pPr>
              <w:spacing w:after="0"/>
              <w:rPr>
                <w:sz w:val="16"/>
                <w:szCs w:val="16"/>
                <w:color w:val="auto"/>
              </w:rPr>
            </w:pPr>
          </w:p>
        </w:tc>
        <w:tc>
          <w:tcPr>
            <w:tcW w:w="140" w:type="dxa"/>
            <w:vAlign w:val="bottom"/>
            <w:gridSpan w:val="2"/>
          </w:tcPr>
          <w:p>
            <w:pPr>
              <w:spacing w:after="0"/>
              <w:rPr>
                <w:sz w:val="16"/>
                <w:szCs w:val="16"/>
                <w:color w:val="auto"/>
              </w:rPr>
            </w:pPr>
          </w:p>
        </w:tc>
      </w:tr>
      <w:tr>
        <w:trPr>
          <w:trHeight w:val="434"/>
        </w:trPr>
        <w:tc>
          <w:tcPr>
            <w:tcW w:w="8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8"/>
              </w:rPr>
              <w:t>10.1#</w:t>
            </w:r>
          </w:p>
        </w:tc>
        <w:tc>
          <w:tcPr>
            <w:tcW w:w="6480" w:type="dxa"/>
            <w:vAlign w:val="bottom"/>
            <w:gridSpan w:val="18"/>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of Indemnification Agreement to be entered into between Corsair Gaming, Inc. and</w:t>
              </w:r>
            </w:hyperlink>
          </w:p>
        </w:tc>
      </w:tr>
      <w:tr>
        <w:trPr>
          <w:trHeight w:val="194"/>
        </w:trPr>
        <w:tc>
          <w:tcPr>
            <w:tcW w:w="880" w:type="dxa"/>
            <w:vAlign w:val="bottom"/>
          </w:tcPr>
          <w:p>
            <w:pPr>
              <w:spacing w:after="0"/>
              <w:rPr>
                <w:sz w:val="16"/>
                <w:szCs w:val="16"/>
                <w:color w:val="auto"/>
              </w:rPr>
            </w:pPr>
          </w:p>
        </w:tc>
        <w:tc>
          <w:tcPr>
            <w:tcW w:w="3060" w:type="dxa"/>
            <w:vAlign w:val="bottom"/>
            <w:tcBorders>
              <w:top w:val="single" w:sz="8" w:color="0000EE"/>
              <w:bottom w:val="single" w:sz="8" w:color="0000EE"/>
            </w:tcBorders>
            <w:gridSpan w:val="9"/>
          </w:tcPr>
          <w:p>
            <w:pPr>
              <w:spacing w:after="0" w:line="194" w:lineRule="exact"/>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each of its directors and executive officers.</w:t>
              </w:r>
            </w:hyperlink>
          </w:p>
        </w:tc>
        <w:tc>
          <w:tcPr>
            <w:tcW w:w="3300" w:type="dxa"/>
            <w:vAlign w:val="bottom"/>
            <w:tcBorders>
              <w:top w:val="single" w:sz="8" w:color="0000EE"/>
            </w:tcBorders>
            <w:gridSpan w:val="8"/>
          </w:tcPr>
          <w:p>
            <w:pPr>
              <w:spacing w:after="0"/>
              <w:rPr>
                <w:sz w:val="16"/>
                <w:szCs w:val="16"/>
                <w:color w:val="auto"/>
              </w:rPr>
            </w:pPr>
          </w:p>
        </w:tc>
        <w:tc>
          <w:tcPr>
            <w:tcW w:w="120" w:type="dxa"/>
            <w:vAlign w:val="bottom"/>
          </w:tcPr>
          <w:p>
            <w:pPr>
              <w:spacing w:after="0"/>
              <w:rPr>
                <w:sz w:val="16"/>
                <w:szCs w:val="16"/>
                <w:color w:val="auto"/>
              </w:rPr>
            </w:pPr>
          </w:p>
        </w:tc>
      </w:tr>
      <w:tr>
        <w:trPr>
          <w:trHeight w:val="434"/>
        </w:trPr>
        <w:tc>
          <w:tcPr>
            <w:tcW w:w="8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8"/>
              </w:rPr>
              <w:t>10.2#</w:t>
            </w:r>
          </w:p>
        </w:tc>
        <w:tc>
          <w:tcPr>
            <w:tcW w:w="6480" w:type="dxa"/>
            <w:vAlign w:val="bottom"/>
            <w:gridSpan w:val="18"/>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Corsair Gaming, Inc. Equity Incentive Program</w:t>
              </w:r>
            </w:hyperlink>
          </w:p>
        </w:tc>
      </w:tr>
      <w:tr>
        <w:trPr>
          <w:trHeight w:val="20"/>
        </w:trPr>
        <w:tc>
          <w:tcPr>
            <w:tcW w:w="8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635"/>
        </w:trPr>
        <w:tc>
          <w:tcPr>
            <w:tcW w:w="8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10.2(a)#</w:t>
            </w:r>
          </w:p>
        </w:tc>
        <w:tc>
          <w:tcPr>
            <w:tcW w:w="5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Form of Unit Award Agreement (U.S. Form) under EagleTree-Carbide Holdings</w:t>
              </w:r>
            </w:hyperlink>
          </w:p>
        </w:tc>
        <w:tc>
          <w:tcPr>
            <w:tcW w:w="740" w:type="dxa"/>
            <w:vAlign w:val="bottom"/>
            <w:gridSpan w:val="6"/>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292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(Cayman), LP Equity Incentive Program</w:t>
              </w:r>
            </w:hyperlink>
          </w:p>
        </w:tc>
        <w:tc>
          <w:tcPr>
            <w:tcW w:w="3560" w:type="dxa"/>
            <w:vAlign w:val="bottom"/>
            <w:gridSpan w:val="10"/>
          </w:tcPr>
          <w:p>
            <w:pPr>
              <w:spacing w:after="0"/>
              <w:rPr>
                <w:sz w:val="16"/>
                <w:szCs w:val="16"/>
                <w:color w:val="auto"/>
              </w:rPr>
            </w:pPr>
          </w:p>
        </w:tc>
      </w:tr>
      <w:tr>
        <w:trPr>
          <w:trHeight w:val="434"/>
        </w:trPr>
        <w:tc>
          <w:tcPr>
            <w:tcW w:w="8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10.2(b)#</w:t>
            </w:r>
          </w:p>
        </w:tc>
        <w:tc>
          <w:tcPr>
            <w:tcW w:w="6480" w:type="dxa"/>
            <w:vAlign w:val="bottom"/>
            <w:gridSpan w:val="18"/>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Unit Award Agreement (Non-U.S. Form) under EagleTree-Carbide Holdings</w:t>
              </w:r>
            </w:hyperlink>
          </w:p>
        </w:tc>
      </w:tr>
      <w:tr>
        <w:trPr>
          <w:trHeight w:val="194"/>
        </w:trPr>
        <w:tc>
          <w:tcPr>
            <w:tcW w:w="880" w:type="dxa"/>
            <w:vAlign w:val="bottom"/>
          </w:tcPr>
          <w:p>
            <w:pPr>
              <w:spacing w:after="0"/>
              <w:rPr>
                <w:sz w:val="16"/>
                <w:szCs w:val="16"/>
                <w:color w:val="auto"/>
              </w:rPr>
            </w:pPr>
          </w:p>
        </w:tc>
        <w:tc>
          <w:tcPr>
            <w:tcW w:w="2900" w:type="dxa"/>
            <w:vAlign w:val="bottom"/>
            <w:tcBorders>
              <w:top w:val="single" w:sz="8" w:color="0000EE"/>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(Cayman), LP Equity Incentive Program</w:t>
              </w:r>
            </w:hyperlink>
          </w:p>
        </w:tc>
        <w:tc>
          <w:tcPr>
            <w:tcW w:w="3200" w:type="dxa"/>
            <w:vAlign w:val="bottom"/>
            <w:tcBorders>
              <w:top w:val="single" w:sz="8" w:color="0000EE"/>
            </w:tcBorders>
            <w:gridSpan w:val="7"/>
          </w:tcPr>
          <w:p>
            <w:pPr>
              <w:spacing w:after="0"/>
              <w:rPr>
                <w:sz w:val="16"/>
                <w:szCs w:val="16"/>
                <w:color w:val="auto"/>
              </w:rPr>
            </w:pPr>
          </w:p>
        </w:tc>
        <w:tc>
          <w:tcPr>
            <w:tcW w:w="380" w:type="dxa"/>
            <w:vAlign w:val="bottom"/>
            <w:gridSpan w:val="4"/>
          </w:tcPr>
          <w:p>
            <w:pPr>
              <w:spacing w:after="0"/>
              <w:rPr>
                <w:sz w:val="16"/>
                <w:szCs w:val="16"/>
                <w:color w:val="auto"/>
              </w:rPr>
            </w:pPr>
          </w:p>
        </w:tc>
      </w:tr>
      <w:tr>
        <w:trPr>
          <w:trHeight w:val="434"/>
        </w:trPr>
        <w:tc>
          <w:tcPr>
            <w:tcW w:w="8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8"/>
              </w:rPr>
              <w:t>10.3#</w:t>
            </w:r>
          </w:p>
        </w:tc>
        <w:tc>
          <w:tcPr>
            <w:tcW w:w="19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r:id="rId131">
              <w:r>
                <w:rPr>
                  <w:rFonts w:ascii="Times New Roman" w:cs="Times New Roman" w:eastAsia="Times New Roman" w:hAnsi="Times New Roman"/>
                  <w:sz w:val="18"/>
                  <w:szCs w:val="18"/>
                  <w:color w:val="0000EE"/>
                  <w:w w:val="97"/>
                </w:rPr>
                <w:t>2020 Incentive Award Plan</w:t>
              </w:r>
            </w:hyperlink>
          </w:p>
        </w:tc>
        <w:tc>
          <w:tcPr>
            <w:tcW w:w="4540" w:type="dxa"/>
            <w:vAlign w:val="bottom"/>
            <w:gridSpan w:val="13"/>
          </w:tcPr>
          <w:p>
            <w:pPr>
              <w:spacing w:after="0"/>
              <w:rPr>
                <w:sz w:val="24"/>
                <w:szCs w:val="24"/>
                <w:color w:val="auto"/>
              </w:rPr>
            </w:pPr>
          </w:p>
        </w:tc>
      </w:tr>
      <w:tr>
        <w:trPr>
          <w:trHeight w:val="635"/>
        </w:trPr>
        <w:tc>
          <w:tcPr>
            <w:tcW w:w="8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10.3(a)#</w:t>
            </w:r>
          </w:p>
        </w:tc>
        <w:tc>
          <w:tcPr>
            <w:tcW w:w="64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Form of Stock Option Grant Notice and Stock Option Agreement under the 2020 Incentive</w:t>
              </w:r>
            </w:hyperlink>
          </w:p>
        </w:tc>
      </w:tr>
      <w:tr>
        <w:trPr>
          <w:trHeight w:val="194"/>
        </w:trPr>
        <w:tc>
          <w:tcPr>
            <w:tcW w:w="880" w:type="dxa"/>
            <w:vAlign w:val="bottom"/>
          </w:tcPr>
          <w:p>
            <w:pPr>
              <w:spacing w:after="0"/>
              <w:rPr>
                <w:sz w:val="16"/>
                <w:szCs w:val="16"/>
                <w:color w:val="auto"/>
              </w:rPr>
            </w:pPr>
          </w:p>
        </w:tc>
        <w:tc>
          <w:tcPr>
            <w:tcW w:w="88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5"/>
              </w:rPr>
            </w:pPr>
            <w:hyperlink r:id="rId132">
              <w:r>
                <w:rPr>
                  <w:rFonts w:ascii="Times New Roman" w:cs="Times New Roman" w:eastAsia="Times New Roman" w:hAnsi="Times New Roman"/>
                  <w:sz w:val="18"/>
                  <w:szCs w:val="18"/>
                  <w:color w:val="0000EE"/>
                  <w:w w:val="95"/>
                </w:rPr>
                <w:t>Award Plan.</w:t>
              </w:r>
            </w:hyperlink>
          </w:p>
        </w:tc>
        <w:tc>
          <w:tcPr>
            <w:tcW w:w="5600" w:type="dxa"/>
            <w:vAlign w:val="bottom"/>
            <w:gridSpan w:val="17"/>
          </w:tcPr>
          <w:p>
            <w:pPr>
              <w:spacing w:after="0"/>
              <w:rPr>
                <w:sz w:val="16"/>
                <w:szCs w:val="16"/>
                <w:color w:val="auto"/>
              </w:rPr>
            </w:pPr>
          </w:p>
        </w:tc>
      </w:tr>
      <w:tr>
        <w:trPr>
          <w:trHeight w:val="448"/>
        </w:trPr>
        <w:tc>
          <w:tcPr>
            <w:tcW w:w="880" w:type="dxa"/>
            <w:vAlign w:val="bottom"/>
          </w:tcPr>
          <w:p>
            <w:pPr>
              <w:spacing w:after="0"/>
              <w:rPr>
                <w:sz w:val="24"/>
                <w:szCs w:val="24"/>
                <w:color w:val="auto"/>
              </w:rPr>
            </w:pPr>
          </w:p>
        </w:tc>
        <w:tc>
          <w:tcPr>
            <w:tcW w:w="5740" w:type="dxa"/>
            <w:vAlign w:val="bottom"/>
            <w:gridSpan w:val="12"/>
          </w:tcPr>
          <w:p>
            <w:pPr>
              <w:ind w:left="4520"/>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44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Filed</w:t>
            </w:r>
          </w:p>
        </w:tc>
      </w:tr>
      <w:tr>
        <w:trPr>
          <w:trHeight w:val="214"/>
        </w:trPr>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Here</w:t>
            </w:r>
          </w:p>
        </w:tc>
      </w:tr>
      <w:tr>
        <w:trPr>
          <w:trHeight w:val="237"/>
        </w:trPr>
        <w:tc>
          <w:tcPr>
            <w:tcW w:w="800" w:type="dxa"/>
            <w:vAlign w:val="bottom"/>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with</w:t>
            </w:r>
          </w:p>
        </w:tc>
      </w:tr>
      <w:tr>
        <w:trPr>
          <w:trHeight w:val="422"/>
        </w:trPr>
        <w:tc>
          <w:tcPr>
            <w:tcW w:w="8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2"/>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25,</w:t>
            </w:r>
          </w:p>
        </w:tc>
        <w:tc>
          <w:tcPr>
            <w:tcW w:w="10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7"/>
              </w:rPr>
              <w:t>3.1</w:t>
            </w:r>
          </w:p>
        </w:tc>
        <w:tc>
          <w:tcPr>
            <w:tcW w:w="440" w:type="dxa"/>
            <w:vAlign w:val="bottom"/>
          </w:tcPr>
          <w:p>
            <w:pPr>
              <w:spacing w:after="0"/>
              <w:rPr>
                <w:sz w:val="24"/>
                <w:szCs w:val="24"/>
                <w:color w:val="auto"/>
              </w:rPr>
            </w:pPr>
          </w:p>
        </w:tc>
      </w:tr>
      <w:tr>
        <w:trPr>
          <w:trHeight w:val="233"/>
        </w:trPr>
        <w:tc>
          <w:tcPr>
            <w:tcW w:w="8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22"/>
        </w:trPr>
        <w:tc>
          <w:tcPr>
            <w:tcW w:w="8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2"/>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25,</w:t>
            </w:r>
          </w:p>
        </w:tc>
        <w:tc>
          <w:tcPr>
            <w:tcW w:w="10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7"/>
              </w:rPr>
              <w:t>3.2</w:t>
            </w:r>
          </w:p>
        </w:tc>
        <w:tc>
          <w:tcPr>
            <w:tcW w:w="440" w:type="dxa"/>
            <w:vAlign w:val="bottom"/>
          </w:tcPr>
          <w:p>
            <w:pPr>
              <w:spacing w:after="0"/>
              <w:rPr>
                <w:sz w:val="24"/>
                <w:szCs w:val="24"/>
                <w:color w:val="auto"/>
              </w:rPr>
            </w:pPr>
          </w:p>
        </w:tc>
      </w:tr>
      <w:tr>
        <w:trPr>
          <w:trHeight w:val="233"/>
        </w:trPr>
        <w:tc>
          <w:tcPr>
            <w:tcW w:w="8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22"/>
        </w:trPr>
        <w:tc>
          <w:tcPr>
            <w:tcW w:w="8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18,</w:t>
            </w:r>
          </w:p>
        </w:tc>
        <w:tc>
          <w:tcPr>
            <w:tcW w:w="10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7"/>
              </w:rPr>
              <w:t>4.2</w:t>
            </w:r>
          </w:p>
        </w:tc>
        <w:tc>
          <w:tcPr>
            <w:tcW w:w="440" w:type="dxa"/>
            <w:vAlign w:val="bottom"/>
          </w:tcPr>
          <w:p>
            <w:pPr>
              <w:spacing w:after="0"/>
              <w:rPr>
                <w:sz w:val="24"/>
                <w:szCs w:val="24"/>
                <w:color w:val="auto"/>
              </w:rPr>
            </w:pPr>
          </w:p>
        </w:tc>
      </w:tr>
      <w:tr>
        <w:trPr>
          <w:trHeight w:val="233"/>
        </w:trPr>
        <w:tc>
          <w:tcPr>
            <w:tcW w:w="8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41"/>
        </w:trPr>
        <w:tc>
          <w:tcPr>
            <w:tcW w:w="8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11, 2021</w:t>
            </w:r>
          </w:p>
        </w:tc>
        <w:tc>
          <w:tcPr>
            <w:tcW w:w="10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7"/>
              </w:rPr>
              <w:t>4.3</w:t>
            </w:r>
          </w:p>
        </w:tc>
        <w:tc>
          <w:tcPr>
            <w:tcW w:w="440" w:type="dxa"/>
            <w:vAlign w:val="bottom"/>
          </w:tcPr>
          <w:p>
            <w:pPr>
              <w:spacing w:after="0"/>
              <w:rPr>
                <w:sz w:val="24"/>
                <w:szCs w:val="24"/>
                <w:color w:val="auto"/>
              </w:rPr>
            </w:pPr>
          </w:p>
        </w:tc>
      </w:tr>
      <w:tr>
        <w:trPr>
          <w:trHeight w:val="649"/>
        </w:trPr>
        <w:tc>
          <w:tcPr>
            <w:tcW w:w="8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18,</w:t>
            </w:r>
          </w:p>
        </w:tc>
        <w:tc>
          <w:tcPr>
            <w:tcW w:w="10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7"/>
              </w:rPr>
              <w:t>4.3</w:t>
            </w:r>
          </w:p>
        </w:tc>
        <w:tc>
          <w:tcPr>
            <w:tcW w:w="440" w:type="dxa"/>
            <w:vAlign w:val="bottom"/>
          </w:tcPr>
          <w:p>
            <w:pPr>
              <w:spacing w:after="0"/>
              <w:rPr>
                <w:sz w:val="24"/>
                <w:szCs w:val="24"/>
                <w:color w:val="auto"/>
              </w:rPr>
            </w:pPr>
          </w:p>
        </w:tc>
      </w:tr>
      <w:tr>
        <w:trPr>
          <w:trHeight w:val="233"/>
        </w:trPr>
        <w:tc>
          <w:tcPr>
            <w:tcW w:w="8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5"/>
        </w:trPr>
        <w:tc>
          <w:tcPr>
            <w:tcW w:w="8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w:t>
            </w:r>
          </w:p>
        </w:tc>
        <w:tc>
          <w:tcPr>
            <w:tcW w:w="10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7"/>
              </w:rPr>
              <w:t>4.4</w:t>
            </w:r>
          </w:p>
        </w:tc>
        <w:tc>
          <w:tcPr>
            <w:tcW w:w="440" w:type="dxa"/>
            <w:vAlign w:val="bottom"/>
          </w:tcPr>
          <w:p>
            <w:pPr>
              <w:spacing w:after="0"/>
              <w:rPr>
                <w:sz w:val="24"/>
                <w:szCs w:val="24"/>
                <w:color w:val="auto"/>
              </w:rPr>
            </w:pPr>
          </w:p>
        </w:tc>
      </w:tr>
      <w:tr>
        <w:trPr>
          <w:trHeight w:val="233"/>
        </w:trPr>
        <w:tc>
          <w:tcPr>
            <w:tcW w:w="8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54"/>
        </w:trPr>
        <w:tc>
          <w:tcPr>
            <w:tcW w:w="8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S-1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2020</w:t>
            </w:r>
          </w:p>
        </w:tc>
        <w:tc>
          <w:tcPr>
            <w:tcW w:w="10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5"/>
              </w:rPr>
              <w:t>10.1</w:t>
            </w:r>
          </w:p>
        </w:tc>
        <w:tc>
          <w:tcPr>
            <w:tcW w:w="440" w:type="dxa"/>
            <w:vAlign w:val="bottom"/>
          </w:tcPr>
          <w:p>
            <w:pPr>
              <w:spacing w:after="0"/>
              <w:rPr>
                <w:sz w:val="24"/>
                <w:szCs w:val="24"/>
                <w:color w:val="auto"/>
              </w:rPr>
            </w:pPr>
          </w:p>
        </w:tc>
      </w:tr>
      <w:tr>
        <w:trPr>
          <w:trHeight w:val="649"/>
        </w:trPr>
        <w:tc>
          <w:tcPr>
            <w:tcW w:w="8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18,</w:t>
            </w:r>
          </w:p>
        </w:tc>
        <w:tc>
          <w:tcPr>
            <w:tcW w:w="10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5"/>
              </w:rPr>
              <w:t>10.2</w:t>
            </w:r>
          </w:p>
        </w:tc>
        <w:tc>
          <w:tcPr>
            <w:tcW w:w="440" w:type="dxa"/>
            <w:vAlign w:val="bottom"/>
          </w:tcPr>
          <w:p>
            <w:pPr>
              <w:spacing w:after="0"/>
              <w:rPr>
                <w:sz w:val="24"/>
                <w:szCs w:val="24"/>
                <w:color w:val="auto"/>
              </w:rPr>
            </w:pPr>
          </w:p>
        </w:tc>
      </w:tr>
      <w:tr>
        <w:trPr>
          <w:trHeight w:val="233"/>
        </w:trPr>
        <w:tc>
          <w:tcPr>
            <w:tcW w:w="8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41"/>
        </w:trPr>
        <w:tc>
          <w:tcPr>
            <w:tcW w:w="8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S-1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2020</w:t>
            </w:r>
          </w:p>
        </w:tc>
        <w:tc>
          <w:tcPr>
            <w:tcW w:w="10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7"/>
              </w:rPr>
              <w:t>10.2(a)</w:t>
            </w:r>
          </w:p>
        </w:tc>
        <w:tc>
          <w:tcPr>
            <w:tcW w:w="440" w:type="dxa"/>
            <w:vAlign w:val="bottom"/>
          </w:tcPr>
          <w:p>
            <w:pPr>
              <w:spacing w:after="0"/>
              <w:rPr>
                <w:sz w:val="24"/>
                <w:szCs w:val="24"/>
                <w:color w:val="auto"/>
              </w:rPr>
            </w:pPr>
          </w:p>
        </w:tc>
      </w:tr>
      <w:tr>
        <w:trPr>
          <w:trHeight w:val="668"/>
        </w:trPr>
        <w:tc>
          <w:tcPr>
            <w:tcW w:w="8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S-1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2020</w:t>
            </w:r>
          </w:p>
        </w:tc>
        <w:tc>
          <w:tcPr>
            <w:tcW w:w="10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10.2(b)</w:t>
            </w:r>
          </w:p>
        </w:tc>
        <w:tc>
          <w:tcPr>
            <w:tcW w:w="440" w:type="dxa"/>
            <w:vAlign w:val="bottom"/>
          </w:tcPr>
          <w:p>
            <w:pPr>
              <w:spacing w:after="0"/>
              <w:rPr>
                <w:sz w:val="24"/>
                <w:szCs w:val="24"/>
                <w:color w:val="auto"/>
              </w:rPr>
            </w:pPr>
          </w:p>
        </w:tc>
      </w:tr>
      <w:tr>
        <w:trPr>
          <w:trHeight w:val="649"/>
        </w:trPr>
        <w:tc>
          <w:tcPr>
            <w:tcW w:w="8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w:t>
            </w:r>
          </w:p>
        </w:tc>
        <w:tc>
          <w:tcPr>
            <w:tcW w:w="10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5"/>
              </w:rPr>
              <w:t>10.3</w:t>
            </w:r>
          </w:p>
        </w:tc>
        <w:tc>
          <w:tcPr>
            <w:tcW w:w="440" w:type="dxa"/>
            <w:vAlign w:val="bottom"/>
          </w:tcPr>
          <w:p>
            <w:pPr>
              <w:spacing w:after="0"/>
              <w:rPr>
                <w:sz w:val="24"/>
                <w:szCs w:val="24"/>
                <w:color w:val="auto"/>
              </w:rPr>
            </w:pPr>
          </w:p>
        </w:tc>
      </w:tr>
      <w:tr>
        <w:trPr>
          <w:trHeight w:val="233"/>
        </w:trPr>
        <w:tc>
          <w:tcPr>
            <w:tcW w:w="8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22"/>
        </w:trPr>
        <w:tc>
          <w:tcPr>
            <w:tcW w:w="8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w:t>
            </w:r>
          </w:p>
        </w:tc>
        <w:tc>
          <w:tcPr>
            <w:tcW w:w="10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7"/>
              </w:rPr>
              <w:t>10.3(a)</w:t>
            </w:r>
          </w:p>
        </w:tc>
        <w:tc>
          <w:tcPr>
            <w:tcW w:w="440" w:type="dxa"/>
            <w:vAlign w:val="bottom"/>
          </w:tcPr>
          <w:p>
            <w:pPr>
              <w:spacing w:after="0"/>
              <w:rPr>
                <w:sz w:val="24"/>
                <w:szCs w:val="24"/>
                <w:color w:val="auto"/>
              </w:rPr>
            </w:pPr>
          </w:p>
        </w:tc>
      </w:tr>
      <w:tr>
        <w:trPr>
          <w:trHeight w:val="233"/>
        </w:trPr>
        <w:tc>
          <w:tcPr>
            <w:tcW w:w="8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ectPr>
          <w:pgSz w:w="11900" w:h="16838" w:orient="portrait"/>
          <w:cols w:equalWidth="0" w:num="2">
            <w:col w:w="7500" w:space="60"/>
            <w:col w:w="3780"/>
          </w:cols>
          <w:pgMar w:left="320" w:top="117" w:right="2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5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88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rPr>
              <w:t>10.3(b)#</w:t>
            </w:r>
          </w:p>
        </w:tc>
        <w:tc>
          <w:tcPr>
            <w:tcW w:w="60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Form of Restricted Stock Award Grant Notice under the 2020 Incentive Award Plan.</w:t>
              </w:r>
            </w:hyperlink>
          </w:p>
        </w:tc>
        <w:tc>
          <w:tcPr>
            <w:tcW w:w="380" w:type="dxa"/>
            <w:vAlign w:val="bottom"/>
            <w:gridSpan w:val="5"/>
          </w:tcPr>
          <w:p>
            <w:pPr>
              <w:spacing w:after="0"/>
              <w:rPr>
                <w:sz w:val="17"/>
                <w:szCs w:val="17"/>
                <w:color w:val="auto"/>
              </w:rPr>
            </w:pPr>
          </w:p>
        </w:tc>
      </w:tr>
      <w:tr>
        <w:trPr>
          <w:trHeight w:val="635"/>
        </w:trPr>
        <w:tc>
          <w:tcPr>
            <w:tcW w:w="8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10.3(c)#</w:t>
            </w:r>
          </w:p>
        </w:tc>
        <w:tc>
          <w:tcPr>
            <w:tcW w:w="63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Form of Restricted Stock Unit Award Grant Notice under the 2020 Incentive Award Plan.</w:t>
              </w:r>
            </w:hyperlink>
          </w:p>
        </w:tc>
        <w:tc>
          <w:tcPr>
            <w:tcW w:w="20" w:type="dxa"/>
            <w:vAlign w:val="bottom"/>
          </w:tcPr>
          <w:p>
            <w:pPr>
              <w:spacing w:after="0"/>
              <w:rPr>
                <w:sz w:val="24"/>
                <w:szCs w:val="24"/>
                <w:color w:val="auto"/>
              </w:rPr>
            </w:pPr>
          </w:p>
        </w:tc>
      </w:tr>
      <w:tr>
        <w:trPr>
          <w:trHeight w:val="635"/>
        </w:trPr>
        <w:tc>
          <w:tcPr>
            <w:tcW w:w="8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10.4#</w:t>
            </w:r>
          </w:p>
        </w:tc>
        <w:tc>
          <w:tcPr>
            <w:tcW w:w="6400" w:type="dxa"/>
            <w:vAlign w:val="bottom"/>
            <w:gridSpan w:val="9"/>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2020 Employee Stock Purchase Plan.</w:t>
              </w:r>
            </w:hyperlink>
          </w:p>
        </w:tc>
      </w:tr>
      <w:tr>
        <w:trPr>
          <w:trHeight w:val="20"/>
        </w:trPr>
        <w:tc>
          <w:tcPr>
            <w:tcW w:w="8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635"/>
        </w:trPr>
        <w:tc>
          <w:tcPr>
            <w:tcW w:w="88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7"/>
              </w:rPr>
              <w:t>10.5(a)</w:t>
            </w:r>
          </w:p>
        </w:tc>
        <w:tc>
          <w:tcPr>
            <w:tcW w:w="6400" w:type="dxa"/>
            <w:vAlign w:val="bottom"/>
            <w:gridSpan w:val="9"/>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First Lien Credit and Guaranty Agreement, dated as of August 28, 2017, by and among</w:t>
              </w:r>
            </w:hyperlink>
          </w:p>
        </w:tc>
      </w:tr>
      <w:tr>
        <w:trPr>
          <w:trHeight w:val="194"/>
        </w:trPr>
        <w:tc>
          <w:tcPr>
            <w:tcW w:w="880" w:type="dxa"/>
            <w:vAlign w:val="bottom"/>
          </w:tcPr>
          <w:p>
            <w:pPr>
              <w:spacing w:after="0"/>
              <w:rPr>
                <w:sz w:val="16"/>
                <w:szCs w:val="16"/>
                <w:color w:val="auto"/>
              </w:rPr>
            </w:pPr>
          </w:p>
        </w:tc>
        <w:tc>
          <w:tcPr>
            <w:tcW w:w="600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Corsair Group (Cayman), LP and certain of its subsidiaries including the Registrant,</w:t>
              </w:r>
            </w:hyperlink>
          </w:p>
        </w:tc>
        <w:tc>
          <w:tcPr>
            <w:tcW w:w="200" w:type="dxa"/>
            <w:vAlign w:val="bottom"/>
            <w:tcBorders>
              <w:top w:val="single" w:sz="8" w:color="0000EE"/>
            </w:tcBorders>
            <w:gridSpan w:val="3"/>
          </w:tcPr>
          <w:p>
            <w:pPr>
              <w:spacing w:after="0"/>
              <w:rPr>
                <w:sz w:val="16"/>
                <w:szCs w:val="16"/>
                <w:color w:val="auto"/>
              </w:rPr>
            </w:pPr>
          </w:p>
        </w:tc>
        <w:tc>
          <w:tcPr>
            <w:tcW w:w="200" w:type="dxa"/>
            <w:vAlign w:val="bottom"/>
            <w:gridSpan w:val="3"/>
          </w:tcPr>
          <w:p>
            <w:pPr>
              <w:spacing w:after="0"/>
              <w:rPr>
                <w:sz w:val="16"/>
                <w:szCs w:val="16"/>
                <w:color w:val="auto"/>
              </w:rPr>
            </w:pPr>
          </w:p>
        </w:tc>
      </w:tr>
      <w:tr>
        <w:trPr>
          <w:trHeight w:val="194"/>
        </w:trPr>
        <w:tc>
          <w:tcPr>
            <w:tcW w:w="880" w:type="dxa"/>
            <w:vAlign w:val="bottom"/>
          </w:tcPr>
          <w:p>
            <w:pPr>
              <w:spacing w:after="0"/>
              <w:rPr>
                <w:sz w:val="16"/>
                <w:szCs w:val="16"/>
                <w:color w:val="auto"/>
              </w:rPr>
            </w:pPr>
          </w:p>
        </w:tc>
        <w:tc>
          <w:tcPr>
            <w:tcW w:w="6400" w:type="dxa"/>
            <w:vAlign w:val="bottom"/>
            <w:gridSpan w:val="9"/>
          </w:tcPr>
          <w:p>
            <w:pPr>
              <w:spacing w:after="0" w:line="194"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Macquarie Capital Funding LLC, as administrative agent, and the other parties thereto.</w:t>
              </w:r>
            </w:hyperlink>
          </w:p>
        </w:tc>
      </w:tr>
      <w:tr>
        <w:trPr>
          <w:trHeight w:val="20"/>
        </w:trPr>
        <w:tc>
          <w:tcPr>
            <w:tcW w:w="8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12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34"/>
        </w:trPr>
        <w:tc>
          <w:tcPr>
            <w:tcW w:w="8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10.5(b)</w:t>
            </w:r>
          </w:p>
        </w:tc>
        <w:tc>
          <w:tcPr>
            <w:tcW w:w="62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Amendment No. 1 to First Lien Credit and Guaranty Agreement, dated as of October 3,</w:t>
              </w:r>
            </w:hyperlink>
          </w:p>
        </w:tc>
        <w:tc>
          <w:tcPr>
            <w:tcW w:w="160" w:type="dxa"/>
            <w:vAlign w:val="bottom"/>
            <w:gridSpan w:val="2"/>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640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2017, by and among Corsair Group (Cayman), LP and certain of its subsidiaries including</w:t>
              </w:r>
            </w:hyperlink>
          </w:p>
        </w:tc>
      </w:tr>
      <w:tr>
        <w:trPr>
          <w:trHeight w:val="194"/>
        </w:trPr>
        <w:tc>
          <w:tcPr>
            <w:tcW w:w="880" w:type="dxa"/>
            <w:vAlign w:val="bottom"/>
          </w:tcPr>
          <w:p>
            <w:pPr>
              <w:spacing w:after="0"/>
              <w:rPr>
                <w:sz w:val="16"/>
                <w:szCs w:val="16"/>
                <w:color w:val="auto"/>
              </w:rPr>
            </w:pPr>
          </w:p>
        </w:tc>
        <w:tc>
          <w:tcPr>
            <w:tcW w:w="6400" w:type="dxa"/>
            <w:vAlign w:val="bottom"/>
            <w:gridSpan w:val="9"/>
          </w:tcPr>
          <w:p>
            <w:pPr>
              <w:spacing w:after="0" w:line="194"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the Registrant, Macquarie Capital Funding LLC, as administrative agent, and the other</w:t>
              </w:r>
            </w:hyperlink>
          </w:p>
        </w:tc>
      </w:tr>
      <w:tr>
        <w:trPr>
          <w:trHeight w:val="194"/>
        </w:trPr>
        <w:tc>
          <w:tcPr>
            <w:tcW w:w="880" w:type="dxa"/>
            <w:vAlign w:val="bottom"/>
          </w:tcPr>
          <w:p>
            <w:pPr>
              <w:spacing w:after="0"/>
              <w:rPr>
                <w:sz w:val="16"/>
                <w:szCs w:val="16"/>
                <w:color w:val="auto"/>
              </w:rPr>
            </w:pPr>
          </w:p>
        </w:tc>
        <w:tc>
          <w:tcPr>
            <w:tcW w:w="1060" w:type="dxa"/>
            <w:vAlign w:val="bottom"/>
            <w:tcBorders>
              <w:top w:val="single" w:sz="8" w:color="0000EE"/>
              <w:bottom w:val="single" w:sz="8" w:color="0000EE"/>
            </w:tcBorders>
          </w:tcPr>
          <w:p>
            <w:pPr>
              <w:spacing w:after="0" w:line="194" w:lineRule="exact"/>
              <w:rPr>
                <w:rFonts w:ascii="Times New Roman" w:cs="Times New Roman" w:eastAsia="Times New Roman" w:hAnsi="Times New Roman"/>
                <w:sz w:val="18"/>
                <w:szCs w:val="18"/>
                <w:color w:val="0000EE"/>
                <w:w w:val="97"/>
              </w:rPr>
            </w:pPr>
            <w:hyperlink r:id="rId138">
              <w:r>
                <w:rPr>
                  <w:rFonts w:ascii="Times New Roman" w:cs="Times New Roman" w:eastAsia="Times New Roman" w:hAnsi="Times New Roman"/>
                  <w:sz w:val="18"/>
                  <w:szCs w:val="18"/>
                  <w:color w:val="0000EE"/>
                  <w:w w:val="97"/>
                </w:rPr>
                <w:t>parties thereto.</w:t>
              </w:r>
            </w:hyperlink>
          </w:p>
        </w:tc>
        <w:tc>
          <w:tcPr>
            <w:tcW w:w="5120" w:type="dxa"/>
            <w:vAlign w:val="bottom"/>
            <w:tcBorders>
              <w:top w:val="single" w:sz="8" w:color="0000EE"/>
            </w:tcBorders>
            <w:gridSpan w:val="4"/>
          </w:tcPr>
          <w:p>
            <w:pPr>
              <w:spacing w:after="0"/>
              <w:rPr>
                <w:sz w:val="16"/>
                <w:szCs w:val="16"/>
                <w:color w:val="auto"/>
              </w:rPr>
            </w:pPr>
          </w:p>
        </w:tc>
        <w:tc>
          <w:tcPr>
            <w:tcW w:w="220" w:type="dxa"/>
            <w:vAlign w:val="bottom"/>
            <w:gridSpan w:val="4"/>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5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14,</w:t>
            </w:r>
          </w:p>
        </w:tc>
        <w:tc>
          <w:tcPr>
            <w:tcW w:w="7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10.3(b)</w:t>
            </w:r>
          </w:p>
        </w:tc>
      </w:tr>
      <w:tr>
        <w:trPr>
          <w:trHeight w:val="233"/>
        </w:trPr>
        <w:tc>
          <w:tcPr>
            <w:tcW w:w="5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c>
          <w:tcPr>
            <w:tcW w:w="700" w:type="dxa"/>
            <w:vAlign w:val="bottom"/>
          </w:tcPr>
          <w:p>
            <w:pPr>
              <w:spacing w:after="0"/>
              <w:rPr>
                <w:sz w:val="20"/>
                <w:szCs w:val="20"/>
                <w:color w:val="auto"/>
              </w:rPr>
            </w:pPr>
          </w:p>
        </w:tc>
      </w:tr>
      <w:tr>
        <w:trPr>
          <w:trHeight w:val="422"/>
        </w:trPr>
        <w:tc>
          <w:tcPr>
            <w:tcW w:w="5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14,</w:t>
            </w:r>
          </w:p>
        </w:tc>
        <w:tc>
          <w:tcPr>
            <w:tcW w:w="70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7"/>
              </w:rPr>
              <w:t>10.3(c)</w:t>
            </w:r>
          </w:p>
        </w:tc>
      </w:tr>
      <w:tr>
        <w:trPr>
          <w:trHeight w:val="233"/>
        </w:trPr>
        <w:tc>
          <w:tcPr>
            <w:tcW w:w="5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c>
          <w:tcPr>
            <w:tcW w:w="700" w:type="dxa"/>
            <w:vAlign w:val="bottom"/>
          </w:tcPr>
          <w:p>
            <w:pPr>
              <w:spacing w:after="0"/>
              <w:rPr>
                <w:sz w:val="20"/>
                <w:szCs w:val="20"/>
                <w:color w:val="auto"/>
              </w:rPr>
            </w:pPr>
          </w:p>
        </w:tc>
      </w:tr>
      <w:tr>
        <w:trPr>
          <w:trHeight w:val="422"/>
        </w:trPr>
        <w:tc>
          <w:tcPr>
            <w:tcW w:w="5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14,</w:t>
            </w:r>
          </w:p>
        </w:tc>
        <w:tc>
          <w:tcPr>
            <w:tcW w:w="70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5"/>
              </w:rPr>
              <w:t>10.4</w:t>
            </w:r>
          </w:p>
        </w:tc>
      </w:tr>
      <w:tr>
        <w:trPr>
          <w:trHeight w:val="233"/>
        </w:trPr>
        <w:tc>
          <w:tcPr>
            <w:tcW w:w="5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c>
          <w:tcPr>
            <w:tcW w:w="700" w:type="dxa"/>
            <w:vAlign w:val="bottom"/>
          </w:tcPr>
          <w:p>
            <w:pPr>
              <w:spacing w:after="0"/>
              <w:rPr>
                <w:sz w:val="20"/>
                <w:szCs w:val="20"/>
                <w:color w:val="auto"/>
              </w:rPr>
            </w:pPr>
          </w:p>
        </w:tc>
      </w:tr>
      <w:tr>
        <w:trPr>
          <w:trHeight w:val="441"/>
        </w:trPr>
        <w:tc>
          <w:tcPr>
            <w:tcW w:w="5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2020</w:t>
            </w:r>
          </w:p>
        </w:tc>
        <w:tc>
          <w:tcPr>
            <w:tcW w:w="70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7"/>
              </w:rPr>
              <w:t>10.5(a)</w:t>
            </w:r>
          </w:p>
        </w:tc>
      </w:tr>
      <w:tr>
        <w:trPr>
          <w:trHeight w:val="882"/>
        </w:trPr>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2020</w:t>
            </w:r>
          </w:p>
        </w:tc>
        <w:tc>
          <w:tcPr>
            <w:tcW w:w="7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10.5(b)</w:t>
            </w:r>
          </w:p>
        </w:tc>
      </w:tr>
    </w:tbl>
    <w:p>
      <w:pPr>
        <w:spacing w:after="0" w:line="827" w:lineRule="exact"/>
        <w:rPr>
          <w:sz w:val="20"/>
          <w:szCs w:val="20"/>
          <w:color w:val="auto"/>
        </w:rPr>
      </w:pPr>
    </w:p>
    <w:p>
      <w:pPr>
        <w:sectPr>
          <w:pgSz w:w="11900" w:h="16838" w:orient="portrait"/>
          <w:cols w:equalWidth="0" w:num="2">
            <w:col w:w="7440" w:space="360"/>
            <w:col w:w="2760"/>
          </w:cols>
          <w:pgMar w:left="320" w:top="117" w:right="1019" w:bottom="1440" w:gutter="0" w:footer="0" w:header="0"/>
        </w:sectPr>
      </w:pPr>
    </w:p>
    <w:p>
      <w:pPr>
        <w:spacing w:after="0" w:line="35" w:lineRule="exact"/>
        <w:rPr>
          <w:sz w:val="20"/>
          <w:szCs w:val="20"/>
          <w:color w:val="auto"/>
        </w:rPr>
      </w:pPr>
    </w:p>
    <w:p>
      <w:pPr>
        <w:ind w:left="220"/>
        <w:spacing w:after="0"/>
        <w:tabs>
          <w:tab w:leader="none" w:pos="1020" w:val="left"/>
          <w:tab w:leader="none" w:pos="7880" w:val="left"/>
          <w:tab w:leader="none" w:pos="8480" w:val="left"/>
          <w:tab w:leader="none" w:pos="10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10.5(c)</w:t>
      </w:r>
      <w:r>
        <w:rPr>
          <w:sz w:val="20"/>
          <w:szCs w:val="20"/>
          <w:color w:val="auto"/>
        </w:rPr>
        <w:tab/>
      </w:r>
      <w:hyperlink r:id="rId139">
        <w:r>
          <w:rPr>
            <w:rFonts w:ascii="Times New Roman" w:cs="Times New Roman" w:eastAsia="Times New Roman" w:hAnsi="Times New Roman"/>
            <w:sz w:val="18"/>
            <w:szCs w:val="18"/>
            <w:u w:val="single" w:color="auto"/>
            <w:color w:val="0000EE"/>
          </w:rPr>
          <w:t>Amendment No. 2 to First Lien Credit and Guaranty Agreement, dated as of March 29,</w:t>
        </w:r>
      </w:hyperlink>
      <w:r>
        <w:rPr>
          <w:rFonts w:ascii="Times New Roman" w:cs="Times New Roman" w:eastAsia="Times New Roman" w:hAnsi="Times New Roman"/>
          <w:sz w:val="18"/>
          <w:szCs w:val="18"/>
          <w:u w:val="single" w:color="auto"/>
          <w:color w:val="0000EE"/>
        </w:rPr>
        <w:tab/>
        <w:t>S-1</w:t>
        <w:tab/>
        <w:t>August 21, 2020</w:t>
        <w:tab/>
      </w:r>
      <w:r>
        <w:rPr>
          <w:rFonts w:ascii="Times New Roman" w:cs="Times New Roman" w:eastAsia="Times New Roman" w:hAnsi="Times New Roman"/>
          <w:sz w:val="17"/>
          <w:szCs w:val="17"/>
          <w:u w:val="single" w:color="auto"/>
          <w:color w:val="0000EE"/>
        </w:rPr>
        <w:t>10.5(c)</w:t>
      </w:r>
    </w:p>
    <w:p>
      <w:pPr>
        <w:spacing w:after="0" w:line="39" w:lineRule="exact"/>
        <w:rPr>
          <w:sz w:val="20"/>
          <w:szCs w:val="20"/>
          <w:color w:val="auto"/>
        </w:rPr>
      </w:pPr>
    </w:p>
    <w:p>
      <w:pPr>
        <w:ind w:left="1040"/>
        <w:spacing w:after="0"/>
        <w:rPr>
          <w:rFonts w:ascii="Times New Roman" w:cs="Times New Roman" w:eastAsia="Times New Roman" w:hAnsi="Times New Roman"/>
          <w:sz w:val="18"/>
          <w:szCs w:val="18"/>
          <w:u w:val="single" w:color="auto"/>
          <w:color w:val="0000EE"/>
        </w:rPr>
      </w:pPr>
      <w:hyperlink r:id="rId139">
        <w:r>
          <w:rPr>
            <w:rFonts w:ascii="Times New Roman" w:cs="Times New Roman" w:eastAsia="Times New Roman" w:hAnsi="Times New Roman"/>
            <w:sz w:val="18"/>
            <w:szCs w:val="18"/>
            <w:u w:val="single" w:color="auto"/>
            <w:color w:val="0000EE"/>
          </w:rPr>
          <w:t>2018, by and among Corsair Group (Cayman), LP and certain of its subsidiaries including</w:t>
        </w:r>
      </w:hyperlink>
    </w:p>
    <w:p>
      <w:pPr>
        <w:spacing w:after="0" w:line="7" w:lineRule="exact"/>
        <w:rPr>
          <w:sz w:val="20"/>
          <w:szCs w:val="20"/>
          <w:color w:val="auto"/>
        </w:rPr>
      </w:pPr>
    </w:p>
    <w:p>
      <w:pPr>
        <w:ind w:left="1040" w:right="3360"/>
        <w:spacing w:after="0" w:line="255" w:lineRule="auto"/>
        <w:rPr>
          <w:rFonts w:ascii="Times New Roman" w:cs="Times New Roman" w:eastAsia="Times New Roman" w:hAnsi="Times New Roman"/>
          <w:sz w:val="18"/>
          <w:szCs w:val="18"/>
          <w:u w:val="single" w:color="auto"/>
          <w:color w:val="0000EE"/>
        </w:rPr>
      </w:pPr>
      <w:hyperlink r:id="rId139">
        <w:r>
          <w:rPr>
            <w:rFonts w:ascii="Times New Roman" w:cs="Times New Roman" w:eastAsia="Times New Roman" w:hAnsi="Times New Roman"/>
            <w:sz w:val="18"/>
            <w:szCs w:val="18"/>
            <w:u w:val="single" w:color="auto"/>
            <w:color w:val="0000EE"/>
          </w:rPr>
          <w:t>the Registrant, Macquarie Capital Funding LLC, as administrative agent, and the other</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parties thereto.</w:t>
        </w:r>
      </w:hyperlink>
    </w:p>
    <w:p>
      <w:pPr>
        <w:sectPr>
          <w:pgSz w:w="11900" w:h="16838" w:orient="portrait"/>
          <w:cols w:equalWidth="0" w:num="1">
            <w:col w:w="10560"/>
          </w:cols>
          <w:pgMar w:left="320" w:top="117" w:right="1019" w:bottom="1440" w:gutter="0" w:footer="0" w:header="0"/>
          <w:type w:val="continuous"/>
        </w:sectPr>
      </w:pP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88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7"/>
              </w:rPr>
              <w:t>10.6(a)</w:t>
            </w:r>
          </w:p>
        </w:tc>
        <w:tc>
          <w:tcPr>
            <w:tcW w:w="6520" w:type="dxa"/>
            <w:vAlign w:val="bottom"/>
            <w:gridSpan w:val="18"/>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Second Lien Credit and Guaranty Agreement, dated as of August 28, 2017, by and among</w:t>
              </w:r>
            </w:hyperlink>
          </w:p>
        </w:tc>
      </w:tr>
      <w:tr>
        <w:trPr>
          <w:trHeight w:val="194"/>
        </w:trPr>
        <w:tc>
          <w:tcPr>
            <w:tcW w:w="880" w:type="dxa"/>
            <w:vAlign w:val="bottom"/>
          </w:tcPr>
          <w:p>
            <w:pPr>
              <w:spacing w:after="0"/>
              <w:rPr>
                <w:sz w:val="16"/>
                <w:szCs w:val="16"/>
                <w:color w:val="auto"/>
              </w:rPr>
            </w:pPr>
          </w:p>
        </w:tc>
        <w:tc>
          <w:tcPr>
            <w:tcW w:w="6000" w:type="dxa"/>
            <w:vAlign w:val="bottom"/>
            <w:tcBorders>
              <w:top w:val="single" w:sz="8" w:color="0000EE"/>
              <w:bottom w:val="single" w:sz="8" w:color="0000EE"/>
            </w:tcBorders>
            <w:gridSpan w:val="9"/>
          </w:tcPr>
          <w:p>
            <w:pPr>
              <w:spacing w:after="0" w:line="194"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Corsair Group (Cayman), LP and certain of its subsidiaries including the Registrant,</w:t>
              </w:r>
            </w:hyperlink>
          </w:p>
        </w:tc>
        <w:tc>
          <w:tcPr>
            <w:tcW w:w="400" w:type="dxa"/>
            <w:vAlign w:val="bottom"/>
            <w:tcBorders>
              <w:top w:val="single" w:sz="8" w:color="0000EE"/>
            </w:tcBorders>
            <w:gridSpan w:val="7"/>
          </w:tcPr>
          <w:p>
            <w:pPr>
              <w:spacing w:after="0"/>
              <w:rPr>
                <w:sz w:val="16"/>
                <w:szCs w:val="16"/>
                <w:color w:val="auto"/>
              </w:rPr>
            </w:pPr>
          </w:p>
        </w:tc>
        <w:tc>
          <w:tcPr>
            <w:tcW w:w="120" w:type="dxa"/>
            <w:vAlign w:val="bottom"/>
            <w:gridSpan w:val="2"/>
          </w:tcPr>
          <w:p>
            <w:pPr>
              <w:spacing w:after="0"/>
              <w:rPr>
                <w:sz w:val="16"/>
                <w:szCs w:val="16"/>
                <w:color w:val="auto"/>
              </w:rPr>
            </w:pPr>
          </w:p>
        </w:tc>
      </w:tr>
      <w:tr>
        <w:trPr>
          <w:trHeight w:val="194"/>
        </w:trPr>
        <w:tc>
          <w:tcPr>
            <w:tcW w:w="880" w:type="dxa"/>
            <w:vAlign w:val="bottom"/>
          </w:tcPr>
          <w:p>
            <w:pPr>
              <w:spacing w:after="0"/>
              <w:rPr>
                <w:sz w:val="16"/>
                <w:szCs w:val="16"/>
                <w:color w:val="auto"/>
              </w:rPr>
            </w:pPr>
          </w:p>
        </w:tc>
        <w:tc>
          <w:tcPr>
            <w:tcW w:w="6520" w:type="dxa"/>
            <w:vAlign w:val="bottom"/>
            <w:gridSpan w:val="18"/>
          </w:tcPr>
          <w:p>
            <w:pPr>
              <w:spacing w:after="0" w:line="194"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Macquarie Capital Funding LLC, as administrative agent, and the other parties thereto.</w:t>
              </w:r>
            </w:hyperlink>
          </w:p>
        </w:tc>
      </w:tr>
      <w:tr>
        <w:trPr>
          <w:trHeight w:val="20"/>
        </w:trPr>
        <w:tc>
          <w:tcPr>
            <w:tcW w:w="8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4"/>
        </w:trPr>
        <w:tc>
          <w:tcPr>
            <w:tcW w:w="8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10.6(b)</w:t>
            </w:r>
          </w:p>
        </w:tc>
        <w:tc>
          <w:tcPr>
            <w:tcW w:w="6520" w:type="dxa"/>
            <w:vAlign w:val="bottom"/>
            <w:gridSpan w:val="18"/>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Amendment No. 1 to Second Lien Credit and Guaranty, dated as of October 3, 2017, by</w:t>
              </w:r>
            </w:hyperlink>
          </w:p>
        </w:tc>
      </w:tr>
      <w:tr>
        <w:trPr>
          <w:trHeight w:val="194"/>
        </w:trPr>
        <w:tc>
          <w:tcPr>
            <w:tcW w:w="880" w:type="dxa"/>
            <w:vAlign w:val="bottom"/>
          </w:tcPr>
          <w:p>
            <w:pPr>
              <w:spacing w:after="0"/>
              <w:rPr>
                <w:sz w:val="16"/>
                <w:szCs w:val="16"/>
                <w:color w:val="auto"/>
              </w:rPr>
            </w:pPr>
          </w:p>
        </w:tc>
        <w:tc>
          <w:tcPr>
            <w:tcW w:w="6240" w:type="dxa"/>
            <w:vAlign w:val="bottom"/>
            <w:tcBorders>
              <w:top w:val="single" w:sz="8" w:color="0000EE"/>
            </w:tcBorders>
            <w:gridSpan w:val="12"/>
          </w:tcPr>
          <w:p>
            <w:pPr>
              <w:spacing w:after="0" w:line="194"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and among Corsair Group (Cayman), LP, Macquarie Capital Funding LLC, as</w:t>
              </w:r>
            </w:hyperlink>
          </w:p>
        </w:tc>
        <w:tc>
          <w:tcPr>
            <w:tcW w:w="280" w:type="dxa"/>
            <w:vAlign w:val="bottom"/>
            <w:gridSpan w:val="6"/>
          </w:tcPr>
          <w:p>
            <w:pPr>
              <w:spacing w:after="0"/>
              <w:rPr>
                <w:sz w:val="16"/>
                <w:szCs w:val="16"/>
                <w:color w:val="auto"/>
              </w:rPr>
            </w:pPr>
          </w:p>
        </w:tc>
      </w:tr>
      <w:tr>
        <w:trPr>
          <w:trHeight w:val="194"/>
        </w:trPr>
        <w:tc>
          <w:tcPr>
            <w:tcW w:w="880" w:type="dxa"/>
            <w:vAlign w:val="bottom"/>
          </w:tcPr>
          <w:p>
            <w:pPr>
              <w:spacing w:after="0"/>
              <w:rPr>
                <w:sz w:val="16"/>
                <w:szCs w:val="16"/>
                <w:color w:val="auto"/>
              </w:rPr>
            </w:pPr>
          </w:p>
        </w:tc>
        <w:tc>
          <w:tcPr>
            <w:tcW w:w="5540" w:type="dxa"/>
            <w:vAlign w:val="bottom"/>
            <w:tcBorders>
              <w:top w:val="single" w:sz="8" w:color="0000EE"/>
            </w:tcBorders>
            <w:gridSpan w:val="8"/>
          </w:tcPr>
          <w:p>
            <w:pPr>
              <w:spacing w:after="0" w:line="194"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administrative agent, and the other parties thereto.</w:t>
              </w:r>
            </w:hyperlink>
          </w:p>
        </w:tc>
        <w:tc>
          <w:tcPr>
            <w:tcW w:w="980" w:type="dxa"/>
            <w:vAlign w:val="bottom"/>
            <w:gridSpan w:val="10"/>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4"/>
        </w:trPr>
        <w:tc>
          <w:tcPr>
            <w:tcW w:w="88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5"/>
              </w:rPr>
              <w:t>10.7</w:t>
            </w:r>
          </w:p>
        </w:tc>
        <w:tc>
          <w:tcPr>
            <w:tcW w:w="6520" w:type="dxa"/>
            <w:vAlign w:val="bottom"/>
            <w:gridSpan w:val="18"/>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Industrial Space Lease, dated as of August 18, 2014, by and among Corsair Memory, Inc.</w:t>
              </w:r>
            </w:hyperlink>
          </w:p>
        </w:tc>
      </w:tr>
      <w:tr>
        <w:trPr>
          <w:trHeight w:val="194"/>
        </w:trPr>
        <w:tc>
          <w:tcPr>
            <w:tcW w:w="880" w:type="dxa"/>
            <w:vAlign w:val="bottom"/>
          </w:tcPr>
          <w:p>
            <w:pPr>
              <w:spacing w:after="0"/>
              <w:rPr>
                <w:sz w:val="16"/>
                <w:szCs w:val="16"/>
                <w:color w:val="auto"/>
              </w:rPr>
            </w:pPr>
          </w:p>
        </w:tc>
        <w:tc>
          <w:tcPr>
            <w:tcW w:w="6360" w:type="dxa"/>
            <w:vAlign w:val="bottom"/>
            <w:tcBorders>
              <w:top w:val="single" w:sz="8" w:color="0000EE"/>
            </w:tcBorders>
            <w:gridSpan w:val="14"/>
          </w:tcPr>
          <w:p>
            <w:pPr>
              <w:spacing w:after="0" w:line="194"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and Osprey Capital Building 50, LLC.</w:t>
              </w:r>
            </w:hyperlink>
          </w:p>
        </w:tc>
        <w:tc>
          <w:tcPr>
            <w:tcW w:w="160" w:type="dxa"/>
            <w:vAlign w:val="bottom"/>
            <w:gridSpan w:val="4"/>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8"/>
        </w:trPr>
        <w:tc>
          <w:tcPr>
            <w:tcW w:w="8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10.8(a)#</w:t>
            </w:r>
          </w:p>
        </w:tc>
        <w:tc>
          <w:tcPr>
            <w:tcW w:w="63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Severance Letter Agreement, dated as July 1, 2010, by and among Corsair Memory, Inc.</w:t>
              </w:r>
            </w:hyperlink>
          </w:p>
        </w:tc>
        <w:tc>
          <w:tcPr>
            <w:tcW w:w="220" w:type="dxa"/>
            <w:vAlign w:val="bottom"/>
            <w:gridSpan w:val="5"/>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110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6"/>
              </w:rPr>
            </w:pPr>
            <w:hyperlink r:id="rId143">
              <w:r>
                <w:rPr>
                  <w:rFonts w:ascii="Times New Roman" w:cs="Times New Roman" w:eastAsia="Times New Roman" w:hAnsi="Times New Roman"/>
                  <w:sz w:val="18"/>
                  <w:szCs w:val="18"/>
                  <w:color w:val="0000EE"/>
                  <w:w w:val="96"/>
                </w:rPr>
                <w:t>and Andy Paul.</w:t>
              </w:r>
            </w:hyperlink>
          </w:p>
        </w:tc>
        <w:tc>
          <w:tcPr>
            <w:tcW w:w="5420" w:type="dxa"/>
            <w:vAlign w:val="bottom"/>
            <w:gridSpan w:val="15"/>
          </w:tcPr>
          <w:p>
            <w:pPr>
              <w:spacing w:after="0"/>
              <w:rPr>
                <w:sz w:val="16"/>
                <w:szCs w:val="16"/>
                <w:color w:val="auto"/>
              </w:rPr>
            </w:pPr>
          </w:p>
        </w:tc>
      </w:tr>
      <w:tr>
        <w:trPr>
          <w:trHeight w:val="434"/>
        </w:trPr>
        <w:tc>
          <w:tcPr>
            <w:tcW w:w="88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rPr>
              <w:t>10.8(b)#</w:t>
            </w:r>
          </w:p>
        </w:tc>
        <w:tc>
          <w:tcPr>
            <w:tcW w:w="63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144">
              <w:r>
                <w:rPr>
                  <w:rFonts w:ascii="Times New Roman" w:cs="Times New Roman" w:eastAsia="Times New Roman" w:hAnsi="Times New Roman"/>
                  <w:sz w:val="18"/>
                  <w:szCs w:val="18"/>
                  <w:color w:val="0000EE"/>
                  <w:w w:val="98"/>
                </w:rPr>
                <w:t>Severance Letter Agreement, dated as July 1, 2010, by and among Corsair Memory, Inc.</w:t>
              </w:r>
            </w:hyperlink>
          </w:p>
        </w:tc>
        <w:tc>
          <w:tcPr>
            <w:tcW w:w="220" w:type="dxa"/>
            <w:vAlign w:val="bottom"/>
            <w:gridSpan w:val="5"/>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6520" w:type="dxa"/>
            <w:vAlign w:val="bottom"/>
            <w:gridSpan w:val="18"/>
          </w:tcPr>
          <w:p>
            <w:pPr>
              <w:spacing w:after="0" w:line="194"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and Nick Hawkins.</w:t>
              </w:r>
            </w:hyperlink>
          </w:p>
        </w:tc>
      </w:tr>
      <w:tr>
        <w:trPr>
          <w:trHeight w:val="20"/>
        </w:trPr>
        <w:tc>
          <w:tcPr>
            <w:tcW w:w="8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4"/>
        </w:trPr>
        <w:tc>
          <w:tcPr>
            <w:tcW w:w="8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10.9#</w:t>
            </w:r>
          </w:p>
        </w:tc>
        <w:tc>
          <w:tcPr>
            <w:tcW w:w="65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Separation Agreement, dated April 30, 2019, by and among Corsair Memory, Inc. and Nick</w:t>
              </w:r>
            </w:hyperlink>
          </w:p>
        </w:tc>
      </w:tr>
      <w:tr>
        <w:trPr>
          <w:trHeight w:val="194"/>
        </w:trPr>
        <w:tc>
          <w:tcPr>
            <w:tcW w:w="880" w:type="dxa"/>
            <w:vAlign w:val="bottom"/>
          </w:tcPr>
          <w:p>
            <w:pPr>
              <w:spacing w:after="0"/>
              <w:rPr>
                <w:sz w:val="16"/>
                <w:szCs w:val="16"/>
                <w:color w:val="auto"/>
              </w:rPr>
            </w:pPr>
          </w:p>
        </w:tc>
        <w:tc>
          <w:tcPr>
            <w:tcW w:w="68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6"/>
              </w:rPr>
            </w:pPr>
            <w:hyperlink r:id="rId145">
              <w:r>
                <w:rPr>
                  <w:rFonts w:ascii="Times New Roman" w:cs="Times New Roman" w:eastAsia="Times New Roman" w:hAnsi="Times New Roman"/>
                  <w:sz w:val="18"/>
                  <w:szCs w:val="18"/>
                  <w:color w:val="0000EE"/>
                  <w:w w:val="96"/>
                </w:rPr>
                <w:t>Hawkins.</w:t>
              </w:r>
            </w:hyperlink>
          </w:p>
        </w:tc>
        <w:tc>
          <w:tcPr>
            <w:tcW w:w="5840" w:type="dxa"/>
            <w:vAlign w:val="bottom"/>
            <w:gridSpan w:val="17"/>
          </w:tcPr>
          <w:p>
            <w:pPr>
              <w:spacing w:after="0"/>
              <w:rPr>
                <w:sz w:val="16"/>
                <w:szCs w:val="16"/>
                <w:color w:val="auto"/>
              </w:rPr>
            </w:pPr>
          </w:p>
        </w:tc>
      </w:tr>
      <w:tr>
        <w:trPr>
          <w:trHeight w:val="434"/>
        </w:trPr>
        <w:tc>
          <w:tcPr>
            <w:tcW w:w="88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rPr>
              <w:t>10.10#</w:t>
            </w:r>
          </w:p>
        </w:tc>
        <w:tc>
          <w:tcPr>
            <w:tcW w:w="6520" w:type="dxa"/>
            <w:vAlign w:val="bottom"/>
            <w:gridSpan w:val="18"/>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Offer Letter Agreement, dated October 17, 2019, by and among Corsair Gaming Inc., and</w:t>
              </w:r>
            </w:hyperlink>
          </w:p>
        </w:tc>
      </w:tr>
      <w:tr>
        <w:trPr>
          <w:trHeight w:val="194"/>
        </w:trPr>
        <w:tc>
          <w:tcPr>
            <w:tcW w:w="880" w:type="dxa"/>
            <w:vAlign w:val="bottom"/>
          </w:tcPr>
          <w:p>
            <w:pPr>
              <w:spacing w:after="0"/>
              <w:rPr>
                <w:sz w:val="16"/>
                <w:szCs w:val="16"/>
                <w:color w:val="auto"/>
              </w:rPr>
            </w:pPr>
          </w:p>
        </w:tc>
        <w:tc>
          <w:tcPr>
            <w:tcW w:w="6380" w:type="dxa"/>
            <w:vAlign w:val="bottom"/>
            <w:tcBorders>
              <w:top w:val="single" w:sz="8" w:color="0000EE"/>
            </w:tcBorders>
            <w:gridSpan w:val="15"/>
          </w:tcPr>
          <w:p>
            <w:pPr>
              <w:spacing w:after="0" w:line="194"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Michael Potter.</w:t>
              </w:r>
            </w:hyperlink>
          </w:p>
        </w:tc>
        <w:tc>
          <w:tcPr>
            <w:tcW w:w="140" w:type="dxa"/>
            <w:vAlign w:val="bottom"/>
            <w:gridSpan w:val="3"/>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4"/>
        </w:trPr>
        <w:tc>
          <w:tcPr>
            <w:tcW w:w="8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6"/>
              </w:rPr>
              <w:t>10.11#</w:t>
            </w:r>
          </w:p>
        </w:tc>
        <w:tc>
          <w:tcPr>
            <w:tcW w:w="6520" w:type="dxa"/>
            <w:vAlign w:val="bottom"/>
            <w:gridSpan w:val="18"/>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Second Separation Agreement, dated November 7, 2019, by and among Corsair Memory,</w:t>
              </w:r>
            </w:hyperlink>
          </w:p>
        </w:tc>
      </w:tr>
      <w:tr>
        <w:trPr>
          <w:trHeight w:val="194"/>
        </w:trPr>
        <w:tc>
          <w:tcPr>
            <w:tcW w:w="880" w:type="dxa"/>
            <w:vAlign w:val="bottom"/>
          </w:tcPr>
          <w:p>
            <w:pPr>
              <w:spacing w:after="0"/>
              <w:rPr>
                <w:sz w:val="16"/>
                <w:szCs w:val="16"/>
                <w:color w:val="auto"/>
              </w:rPr>
            </w:pPr>
          </w:p>
        </w:tc>
        <w:tc>
          <w:tcPr>
            <w:tcW w:w="6360" w:type="dxa"/>
            <w:vAlign w:val="bottom"/>
            <w:tcBorders>
              <w:top w:val="single" w:sz="8" w:color="0000EE"/>
            </w:tcBorders>
            <w:gridSpan w:val="14"/>
          </w:tcPr>
          <w:p>
            <w:pPr>
              <w:spacing w:after="0" w:line="194"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Inc. and Nick Hawkins.</w:t>
              </w:r>
            </w:hyperlink>
          </w:p>
        </w:tc>
        <w:tc>
          <w:tcPr>
            <w:tcW w:w="160" w:type="dxa"/>
            <w:vAlign w:val="bottom"/>
            <w:gridSpan w:val="4"/>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4"/>
        </w:trPr>
        <w:tc>
          <w:tcPr>
            <w:tcW w:w="8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10.12</w:t>
            </w:r>
          </w:p>
        </w:tc>
        <w:tc>
          <w:tcPr>
            <w:tcW w:w="62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48">
              <w:r>
                <w:rPr>
                  <w:rFonts w:ascii="Times New Roman" w:cs="Times New Roman" w:eastAsia="Times New Roman" w:hAnsi="Times New Roman"/>
                  <w:sz w:val="18"/>
                  <w:szCs w:val="18"/>
                  <w:color w:val="0000EE"/>
                  <w:w w:val="98"/>
                </w:rPr>
                <w:t>Amendment No. 3 to First Lien Credit and Guarantee Agreement, dated as of April 27,</w:t>
              </w:r>
            </w:hyperlink>
          </w:p>
        </w:tc>
        <w:tc>
          <w:tcPr>
            <w:tcW w:w="320" w:type="dxa"/>
            <w:vAlign w:val="bottom"/>
            <w:gridSpan w:val="7"/>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6460" w:type="dxa"/>
            <w:vAlign w:val="bottom"/>
            <w:tcBorders>
              <w:bottom w:val="single" w:sz="8" w:color="0000EE"/>
            </w:tcBorders>
            <w:gridSpan w:val="17"/>
          </w:tcPr>
          <w:p>
            <w:pPr>
              <w:spacing w:after="0" w:line="194" w:lineRule="exact"/>
              <w:rPr>
                <w:rFonts w:ascii="Times New Roman" w:cs="Times New Roman" w:eastAsia="Times New Roman" w:hAnsi="Times New Roman"/>
                <w:sz w:val="18"/>
                <w:szCs w:val="18"/>
                <w:color w:val="0000EE"/>
                <w:w w:val="98"/>
              </w:rPr>
            </w:pPr>
            <w:hyperlink r:id="rId148">
              <w:r>
                <w:rPr>
                  <w:rFonts w:ascii="Times New Roman" w:cs="Times New Roman" w:eastAsia="Times New Roman" w:hAnsi="Times New Roman"/>
                  <w:sz w:val="18"/>
                  <w:szCs w:val="18"/>
                  <w:color w:val="0000EE"/>
                  <w:w w:val="98"/>
                </w:rPr>
                <w:t>2018, by and among Corsair Group (Cayman), LP and certain of its subsidiaries, including</w:t>
              </w:r>
            </w:hyperlink>
          </w:p>
        </w:tc>
        <w:tc>
          <w:tcPr>
            <w:tcW w:w="60" w:type="dxa"/>
            <w:vAlign w:val="bottom"/>
          </w:tcPr>
          <w:p>
            <w:pPr>
              <w:spacing w:after="0"/>
              <w:rPr>
                <w:sz w:val="16"/>
                <w:szCs w:val="16"/>
                <w:color w:val="auto"/>
              </w:rPr>
            </w:pPr>
          </w:p>
        </w:tc>
      </w:tr>
      <w:tr>
        <w:trPr>
          <w:trHeight w:val="194"/>
        </w:trPr>
        <w:tc>
          <w:tcPr>
            <w:tcW w:w="880" w:type="dxa"/>
            <w:vAlign w:val="bottom"/>
          </w:tcPr>
          <w:p>
            <w:pPr>
              <w:spacing w:after="0"/>
              <w:rPr>
                <w:sz w:val="16"/>
                <w:szCs w:val="16"/>
                <w:color w:val="auto"/>
              </w:rPr>
            </w:pPr>
          </w:p>
        </w:tc>
        <w:tc>
          <w:tcPr>
            <w:tcW w:w="6520" w:type="dxa"/>
            <w:vAlign w:val="bottom"/>
            <w:gridSpan w:val="18"/>
          </w:tcPr>
          <w:p>
            <w:pPr>
              <w:spacing w:after="0" w:line="194"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the Registrant, Macquarie Capital Funding LLC, as administrative agent, and the other</w:t>
              </w:r>
            </w:hyperlink>
          </w:p>
        </w:tc>
      </w:tr>
      <w:tr>
        <w:trPr>
          <w:trHeight w:val="194"/>
        </w:trPr>
        <w:tc>
          <w:tcPr>
            <w:tcW w:w="880" w:type="dxa"/>
            <w:vAlign w:val="bottom"/>
          </w:tcPr>
          <w:p>
            <w:pPr>
              <w:spacing w:after="0"/>
              <w:rPr>
                <w:sz w:val="16"/>
                <w:szCs w:val="16"/>
                <w:color w:val="auto"/>
              </w:rPr>
            </w:pPr>
          </w:p>
        </w:tc>
        <w:tc>
          <w:tcPr>
            <w:tcW w:w="108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7"/>
              </w:rPr>
            </w:pPr>
            <w:hyperlink r:id="rId148">
              <w:r>
                <w:rPr>
                  <w:rFonts w:ascii="Times New Roman" w:cs="Times New Roman" w:eastAsia="Times New Roman" w:hAnsi="Times New Roman"/>
                  <w:sz w:val="18"/>
                  <w:szCs w:val="18"/>
                  <w:color w:val="0000EE"/>
                  <w:w w:val="97"/>
                </w:rPr>
                <w:t>parties thereto.</w:t>
              </w:r>
            </w:hyperlink>
          </w:p>
        </w:tc>
        <w:tc>
          <w:tcPr>
            <w:tcW w:w="5100" w:type="dxa"/>
            <w:vAlign w:val="bottom"/>
            <w:tcBorders>
              <w:top w:val="single" w:sz="8" w:color="0000EE"/>
            </w:tcBorders>
            <w:gridSpan w:val="8"/>
          </w:tcPr>
          <w:p>
            <w:pPr>
              <w:spacing w:after="0"/>
              <w:rPr>
                <w:sz w:val="16"/>
                <w:szCs w:val="16"/>
                <w:color w:val="auto"/>
              </w:rPr>
            </w:pPr>
          </w:p>
        </w:tc>
        <w:tc>
          <w:tcPr>
            <w:tcW w:w="340" w:type="dxa"/>
            <w:vAlign w:val="bottom"/>
            <w:gridSpan w:val="8"/>
          </w:tcPr>
          <w:p>
            <w:pPr>
              <w:spacing w:after="0"/>
              <w:rPr>
                <w:sz w:val="16"/>
                <w:szCs w:val="16"/>
                <w:color w:val="auto"/>
              </w:rPr>
            </w:pPr>
          </w:p>
        </w:tc>
      </w:tr>
      <w:tr>
        <w:trPr>
          <w:trHeight w:val="448"/>
        </w:trPr>
        <w:tc>
          <w:tcPr>
            <w:tcW w:w="880" w:type="dxa"/>
            <w:vAlign w:val="bottom"/>
          </w:tcPr>
          <w:p>
            <w:pPr>
              <w:spacing w:after="0"/>
              <w:rPr>
                <w:sz w:val="24"/>
                <w:szCs w:val="24"/>
                <w:color w:val="auto"/>
              </w:rPr>
            </w:pPr>
          </w:p>
        </w:tc>
        <w:tc>
          <w:tcPr>
            <w:tcW w:w="5540" w:type="dxa"/>
            <w:vAlign w:val="bottom"/>
            <w:gridSpan w:val="8"/>
          </w:tcPr>
          <w:p>
            <w:pPr>
              <w:ind w:left="4500"/>
              <w:spacing w:after="0"/>
              <w:rPr>
                <w:sz w:val="20"/>
                <w:szCs w:val="20"/>
                <w:color w:val="auto"/>
              </w:rPr>
            </w:pPr>
            <w:r>
              <w:rPr>
                <w:rFonts w:ascii="Times New Roman" w:cs="Times New Roman" w:eastAsia="Times New Roman" w:hAnsi="Times New Roman"/>
                <w:sz w:val="18"/>
                <w:szCs w:val="18"/>
                <w:color w:val="auto"/>
              </w:rPr>
              <w:t>90</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2020</w:t>
            </w:r>
          </w:p>
        </w:tc>
        <w:tc>
          <w:tcPr>
            <w:tcW w:w="70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7"/>
              </w:rPr>
              <w:t>10.6(a)</w:t>
            </w:r>
          </w:p>
        </w:tc>
      </w:tr>
      <w:tr>
        <w:trPr>
          <w:trHeight w:val="882"/>
        </w:trPr>
        <w:tc>
          <w:tcPr>
            <w:tcW w:w="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2020</w:t>
            </w:r>
          </w:p>
        </w:tc>
        <w:tc>
          <w:tcPr>
            <w:tcW w:w="7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10.6(b)</w:t>
            </w:r>
          </w:p>
        </w:tc>
      </w:tr>
      <w:tr>
        <w:trPr>
          <w:trHeight w:val="882"/>
        </w:trPr>
        <w:tc>
          <w:tcPr>
            <w:tcW w:w="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2020</w:t>
            </w:r>
          </w:p>
        </w:tc>
        <w:tc>
          <w:tcPr>
            <w:tcW w:w="70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5"/>
              </w:rPr>
              <w:t>10.7</w:t>
            </w:r>
          </w:p>
        </w:tc>
      </w:tr>
      <w:tr>
        <w:trPr>
          <w:trHeight w:val="721"/>
        </w:trPr>
        <w:tc>
          <w:tcPr>
            <w:tcW w:w="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2020</w:t>
            </w:r>
          </w:p>
        </w:tc>
        <w:tc>
          <w:tcPr>
            <w:tcW w:w="70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7"/>
              </w:rPr>
              <w:t>10.8(a)</w:t>
            </w:r>
          </w:p>
        </w:tc>
      </w:tr>
      <w:tr>
        <w:trPr>
          <w:trHeight w:val="668"/>
        </w:trPr>
        <w:tc>
          <w:tcPr>
            <w:tcW w:w="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2020</w:t>
            </w:r>
          </w:p>
        </w:tc>
        <w:tc>
          <w:tcPr>
            <w:tcW w:w="7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10.8(b)</w:t>
            </w:r>
          </w:p>
        </w:tc>
      </w:tr>
      <w:tr>
        <w:trPr>
          <w:trHeight w:val="668"/>
        </w:trPr>
        <w:tc>
          <w:tcPr>
            <w:tcW w:w="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2020</w:t>
            </w:r>
          </w:p>
        </w:tc>
        <w:tc>
          <w:tcPr>
            <w:tcW w:w="70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5"/>
              </w:rPr>
              <w:t>10.9</w:t>
            </w:r>
          </w:p>
        </w:tc>
      </w:tr>
      <w:tr>
        <w:trPr>
          <w:trHeight w:val="668"/>
        </w:trPr>
        <w:tc>
          <w:tcPr>
            <w:tcW w:w="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2020</w:t>
            </w:r>
          </w:p>
        </w:tc>
        <w:tc>
          <w:tcPr>
            <w:tcW w:w="7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10.10</w:t>
            </w:r>
          </w:p>
        </w:tc>
      </w:tr>
      <w:tr>
        <w:trPr>
          <w:trHeight w:val="668"/>
        </w:trPr>
        <w:tc>
          <w:tcPr>
            <w:tcW w:w="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2020</w:t>
            </w:r>
          </w:p>
        </w:tc>
        <w:tc>
          <w:tcPr>
            <w:tcW w:w="7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10.11</w:t>
            </w:r>
          </w:p>
        </w:tc>
      </w:tr>
      <w:tr>
        <w:trPr>
          <w:trHeight w:val="649"/>
        </w:trPr>
        <w:tc>
          <w:tcPr>
            <w:tcW w:w="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S-1/A</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21,</w:t>
            </w:r>
          </w:p>
        </w:tc>
        <w:tc>
          <w:tcPr>
            <w:tcW w:w="7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10.12</w:t>
            </w:r>
          </w:p>
        </w:tc>
      </w:tr>
      <w:tr>
        <w:trPr>
          <w:trHeight w:val="233"/>
        </w:trPr>
        <w:tc>
          <w:tcPr>
            <w:tcW w:w="5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c>
          <w:tcPr>
            <w:tcW w:w="700" w:type="dxa"/>
            <w:vAlign w:val="bottom"/>
          </w:tcPr>
          <w:p>
            <w:pPr>
              <w:spacing w:after="0"/>
              <w:rPr>
                <w:sz w:val="20"/>
                <w:szCs w:val="20"/>
                <w:color w:val="auto"/>
              </w:rPr>
            </w:pPr>
          </w:p>
        </w:tc>
      </w:tr>
    </w:tbl>
    <w:p>
      <w:pPr>
        <w:sectPr>
          <w:pgSz w:w="11900" w:h="16838" w:orient="portrait"/>
          <w:cols w:equalWidth="0" w:num="2">
            <w:col w:w="7560" w:space="240"/>
            <w:col w:w="2760"/>
          </w:cols>
          <w:pgMar w:left="320" w:top="117" w:right="1019" w:bottom="1440" w:gutter="0" w:footer="0" w:header="0"/>
          <w:type w:val="continuous"/>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September 21,</w:t>
            </w:r>
          </w:p>
        </w:tc>
        <w:tc>
          <w:tcPr>
            <w:tcW w:w="620" w:type="dxa"/>
            <w:vAlign w:val="bottom"/>
            <w:vMerge w:val="restart"/>
          </w:tcPr>
          <w:p>
            <w:pPr>
              <w:jc w:val="center"/>
              <w:ind w:left="131"/>
              <w:spacing w:after="0"/>
              <w:rPr>
                <w:sz w:val="20"/>
                <w:szCs w:val="20"/>
                <w:color w:val="auto"/>
              </w:rPr>
            </w:pPr>
            <w:r>
              <w:rPr>
                <w:rFonts w:ascii="Times New Roman" w:cs="Times New Roman" w:eastAsia="Times New Roman" w:hAnsi="Times New Roman"/>
                <w:sz w:val="18"/>
                <w:szCs w:val="18"/>
                <w:color w:val="auto"/>
                <w:w w:val="98"/>
              </w:rPr>
              <w:t>10.13</w:t>
            </w:r>
          </w:p>
        </w:tc>
        <w:tc>
          <w:tcPr>
            <w:tcW w:w="0" w:type="dxa"/>
            <w:vAlign w:val="bottom"/>
          </w:tcPr>
          <w:p>
            <w:pPr>
              <w:spacing w:after="0" w:line="20" w:lineRule="exact"/>
              <w:rPr>
                <w:sz w:val="1"/>
                <w:szCs w:val="1"/>
                <w:color w:val="auto"/>
              </w:rPr>
            </w:pPr>
          </w:p>
        </w:tc>
      </w:tr>
      <w:tr>
        <w:trPr>
          <w:trHeight w:val="648"/>
        </w:trPr>
        <w:tc>
          <w:tcPr>
            <w:tcW w:w="10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10.13</w:t>
            </w:r>
          </w:p>
        </w:tc>
        <w:tc>
          <w:tcPr>
            <w:tcW w:w="6620" w:type="dxa"/>
            <w:vAlign w:val="bottom"/>
            <w:gridSpan w:val="11"/>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Amendment No. 4 to First Lien Credit and Guarantee Agreement, dated as of October 11,</w:t>
              </w:r>
            </w:hyperlink>
          </w:p>
        </w:tc>
        <w:tc>
          <w:tcPr>
            <w:tcW w:w="72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646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2018, by and among Corsair Group (Cayman), LP and certain of its subsidiaries, including</w:t>
              </w:r>
            </w:hyperlink>
          </w:p>
        </w:tc>
        <w:tc>
          <w:tcPr>
            <w:tcW w:w="16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6620" w:type="dxa"/>
            <w:vAlign w:val="bottom"/>
            <w:gridSpan w:val="11"/>
          </w:tcPr>
          <w:p>
            <w:pPr>
              <w:spacing w:after="0" w:line="194"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the Registrant, Macquarie Capital Funding LLC, as administrative agent, and the other</w:t>
              </w:r>
            </w:hyperlink>
          </w:p>
        </w:tc>
        <w:tc>
          <w:tcPr>
            <w:tcW w:w="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106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7"/>
              </w:rPr>
            </w:pPr>
            <w:hyperlink r:id="rId150">
              <w:r>
                <w:rPr>
                  <w:rFonts w:ascii="Times New Roman" w:cs="Times New Roman" w:eastAsia="Times New Roman" w:hAnsi="Times New Roman"/>
                  <w:sz w:val="18"/>
                  <w:szCs w:val="18"/>
                  <w:color w:val="0000EE"/>
                  <w:w w:val="97"/>
                </w:rPr>
                <w:t>parties thereto.</w:t>
              </w:r>
            </w:hyperlink>
          </w:p>
        </w:tc>
        <w:tc>
          <w:tcPr>
            <w:tcW w:w="5100" w:type="dxa"/>
            <w:vAlign w:val="bottom"/>
            <w:tcBorders>
              <w:top w:val="single" w:sz="8" w:color="0000EE"/>
            </w:tcBorders>
            <w:gridSpan w:val="3"/>
          </w:tcPr>
          <w:p>
            <w:pPr>
              <w:spacing w:after="0"/>
              <w:rPr>
                <w:sz w:val="16"/>
                <w:szCs w:val="16"/>
                <w:color w:val="auto"/>
              </w:rPr>
            </w:pPr>
          </w:p>
        </w:tc>
        <w:tc>
          <w:tcPr>
            <w:tcW w:w="460" w:type="dxa"/>
            <w:vAlign w:val="bottom"/>
            <w:gridSpan w:val="6"/>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10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10.14</w:t>
            </w:r>
          </w:p>
        </w:tc>
        <w:tc>
          <w:tcPr>
            <w:tcW w:w="62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Amendment No. 5 to First Lien Credit and Guarantee Agreement, dated as of December</w:t>
              </w:r>
            </w:hyperlink>
          </w:p>
        </w:tc>
        <w:tc>
          <w:tcPr>
            <w:tcW w:w="340" w:type="dxa"/>
            <w:vAlign w:val="bottom"/>
            <w:gridSpan w:val="5"/>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21,</w:t>
            </w:r>
          </w:p>
        </w:tc>
        <w:tc>
          <w:tcPr>
            <w:tcW w:w="6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8"/>
              </w:rPr>
              <w:t>10.14</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6620" w:type="dxa"/>
            <w:vAlign w:val="bottom"/>
            <w:gridSpan w:val="11"/>
          </w:tcPr>
          <w:p>
            <w:pPr>
              <w:spacing w:after="0" w:line="194"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19, 2019, by and among Corsair Group (Cayman), LP and certain of its subsidiaries,</w:t>
              </w:r>
            </w:hyperlink>
          </w:p>
        </w:tc>
        <w:tc>
          <w:tcPr>
            <w:tcW w:w="720" w:type="dxa"/>
            <w:vAlign w:val="bottom"/>
          </w:tcPr>
          <w:p>
            <w:pPr>
              <w:spacing w:after="0"/>
              <w:rPr>
                <w:sz w:val="16"/>
                <w:szCs w:val="16"/>
                <w:color w:val="auto"/>
              </w:rPr>
            </w:pPr>
          </w:p>
        </w:tc>
        <w:tc>
          <w:tcPr>
            <w:tcW w:w="15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4"/>
              </w:rPr>
              <w:t>2020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6480" w:type="dxa"/>
            <w:vAlign w:val="bottom"/>
            <w:tcBorders>
              <w:bottom w:val="single" w:sz="8" w:color="0000EE"/>
            </w:tcBorders>
            <w:gridSpan w:val="10"/>
          </w:tcPr>
          <w:p>
            <w:pPr>
              <w:spacing w:after="0" w:line="194" w:lineRule="exact"/>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including the Registrant, Macquarie Capital Funding LLC, as administrative agent, and the</w:t>
              </w:r>
            </w:hyperlink>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6620" w:type="dxa"/>
            <w:vAlign w:val="bottom"/>
            <w:gridSpan w:val="11"/>
          </w:tcPr>
          <w:p>
            <w:pPr>
              <w:spacing w:after="0" w:line="194"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other parties thereto.</w:t>
              </w:r>
            </w:hyperlink>
          </w:p>
        </w:tc>
        <w:tc>
          <w:tcPr>
            <w:tcW w:w="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October 1, 2020</w:t>
            </w:r>
          </w:p>
        </w:tc>
        <w:tc>
          <w:tcPr>
            <w:tcW w:w="620" w:type="dxa"/>
            <w:vAlign w:val="bottom"/>
            <w:vMerge w:val="restart"/>
          </w:tcPr>
          <w:p>
            <w:pPr>
              <w:jc w:val="center"/>
              <w:ind w:left="151"/>
              <w:spacing w:after="0"/>
              <w:rPr>
                <w:sz w:val="20"/>
                <w:szCs w:val="20"/>
                <w:color w:val="auto"/>
              </w:rPr>
            </w:pPr>
            <w:r>
              <w:rPr>
                <w:rFonts w:ascii="Times New Roman" w:cs="Times New Roman" w:eastAsia="Times New Roman" w:hAnsi="Times New Roman"/>
                <w:sz w:val="18"/>
                <w:szCs w:val="18"/>
                <w:color w:val="auto"/>
                <w:w w:val="95"/>
              </w:rPr>
              <w:t>10.1</w:t>
            </w:r>
          </w:p>
        </w:tc>
        <w:tc>
          <w:tcPr>
            <w:tcW w:w="0" w:type="dxa"/>
            <w:vAlign w:val="bottom"/>
          </w:tcPr>
          <w:p>
            <w:pPr>
              <w:spacing w:after="0" w:line="20" w:lineRule="exact"/>
              <w:rPr>
                <w:sz w:val="1"/>
                <w:szCs w:val="1"/>
                <w:color w:val="auto"/>
              </w:rPr>
            </w:pPr>
          </w:p>
        </w:tc>
      </w:tr>
      <w:tr>
        <w:trPr>
          <w:trHeight w:val="434"/>
        </w:trPr>
        <w:tc>
          <w:tcPr>
            <w:tcW w:w="10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10.15</w:t>
            </w:r>
          </w:p>
        </w:tc>
        <w:tc>
          <w:tcPr>
            <w:tcW w:w="6620" w:type="dxa"/>
            <w:vAlign w:val="bottom"/>
            <w:gridSpan w:val="11"/>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Amendment No. 6 to First Lien Credit and Guarantee Agreement, dated as of September</w:t>
              </w:r>
            </w:hyperlink>
          </w:p>
        </w:tc>
        <w:tc>
          <w:tcPr>
            <w:tcW w:w="72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6300" w:type="dxa"/>
            <w:vAlign w:val="bottom"/>
            <w:tcBorders>
              <w:top w:val="single" w:sz="8" w:color="0000EE"/>
            </w:tcBorders>
            <w:gridSpan w:val="7"/>
          </w:tcPr>
          <w:p>
            <w:pPr>
              <w:spacing w:after="0" w:line="194"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25, 2020, by and among Corsair Group (Cayman), LP and certain of its subsidiaries,</w:t>
              </w:r>
            </w:hyperlink>
          </w:p>
        </w:tc>
        <w:tc>
          <w:tcPr>
            <w:tcW w:w="320" w:type="dxa"/>
            <w:vAlign w:val="bottom"/>
            <w:gridSpan w:val="4"/>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0" w:type="dxa"/>
            <w:vAlign w:val="bottom"/>
            <w:gridSpan w:val="4"/>
            <w:shd w:val="clear" w:color="auto" w:fill="0000EE"/>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6480" w:type="dxa"/>
            <w:vAlign w:val="bottom"/>
            <w:tcBorders>
              <w:bottom w:val="single" w:sz="8" w:color="0000EE"/>
            </w:tcBorders>
            <w:gridSpan w:val="10"/>
          </w:tcPr>
          <w:p>
            <w:pPr>
              <w:spacing w:after="0" w:line="194"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including the Registrant, Macquarie Capital Funding LLC, as administrative agent, and the</w:t>
              </w:r>
            </w:hyperlink>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6620" w:type="dxa"/>
            <w:vAlign w:val="bottom"/>
            <w:gridSpan w:val="11"/>
          </w:tcPr>
          <w:p>
            <w:pPr>
              <w:spacing w:after="0" w:line="194"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other parties thereto.</w:t>
              </w:r>
            </w:hyperlink>
          </w:p>
        </w:tc>
        <w:tc>
          <w:tcPr>
            <w:tcW w:w="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6" w:right="339" w:bottom="1440" w:gutter="0" w:footer="0" w:header="0"/>
        </w:sectPr>
      </w:pPr>
    </w:p>
    <w:p>
      <w:pPr>
        <w:spacing w:after="0" w:line="49" w:lineRule="exact"/>
        <w:rPr>
          <w:sz w:val="20"/>
          <w:szCs w:val="20"/>
          <w:color w:val="auto"/>
        </w:rPr>
      </w:pPr>
    </w:p>
    <w:p>
      <w:pPr>
        <w:jc w:val="both"/>
        <w:ind w:left="1040" w:right="20" w:hanging="767"/>
        <w:spacing w:after="0" w:line="262"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53">
        <w:r>
          <w:rPr>
            <w:rFonts w:ascii="Times New Roman" w:cs="Times New Roman" w:eastAsia="Times New Roman" w:hAnsi="Times New Roman"/>
            <w:sz w:val="18"/>
            <w:szCs w:val="18"/>
            <w:u w:val="single" w:color="auto"/>
            <w:color w:val="0000EE"/>
          </w:rPr>
          <w:t>Credit Agreement, dated as of September 3, 2021, by and among Corsair Gaming, Inc. and</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certain of its subsidiaries, Bank of America, N.A. as administrative agent, swingline lender</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and L/C issuer, and the other parties thereto.</w:t>
        </w:r>
      </w:hyperlink>
    </w:p>
    <w:p>
      <w:pPr>
        <w:spacing w:after="0" w:line="204" w:lineRule="exact"/>
        <w:rPr>
          <w:rFonts w:ascii="Times New Roman" w:cs="Times New Roman" w:eastAsia="Times New Roman" w:hAnsi="Times New Roman"/>
          <w:sz w:val="18"/>
          <w:szCs w:val="18"/>
          <w:u w:val="single" w:color="auto"/>
          <w:color w:val="0000EE"/>
        </w:rPr>
      </w:pPr>
    </w:p>
    <w:p>
      <w:pPr>
        <w:ind w:left="1040" w:right="360" w:hanging="767"/>
        <w:spacing w:after="0" w:line="277"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54">
        <w:r>
          <w:rPr>
            <w:rFonts w:ascii="Times New Roman" w:cs="Times New Roman" w:eastAsia="Times New Roman" w:hAnsi="Times New Roman"/>
            <w:sz w:val="18"/>
            <w:szCs w:val="18"/>
            <w:u w:val="single" w:color="auto"/>
            <w:color w:val="0000EE"/>
          </w:rPr>
          <w:t>Lease Agreement, dated as of April 27, 2021, by and among Corsair Gaming, Inc. and</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Campus 237 Owner LLC.</w:t>
        </w:r>
      </w:hyperlink>
    </w:p>
    <w:p>
      <w:pPr>
        <w:spacing w:after="0" w:line="190" w:lineRule="exact"/>
        <w:rPr>
          <w:sz w:val="20"/>
          <w:szCs w:val="20"/>
          <w:color w:val="auto"/>
        </w:rPr>
      </w:pPr>
    </w:p>
    <w:p>
      <w:pPr>
        <w:ind w:left="1040" w:right="220" w:hanging="767"/>
        <w:spacing w:after="0" w:line="277"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55">
        <w:r>
          <w:rPr>
            <w:rFonts w:ascii="Times New Roman" w:cs="Times New Roman" w:eastAsia="Times New Roman" w:hAnsi="Times New Roman"/>
            <w:sz w:val="18"/>
            <w:szCs w:val="18"/>
            <w:u w:val="single" w:color="auto"/>
            <w:color w:val="0000EE"/>
          </w:rPr>
          <w:t>First Amendment to Industrial Space Lease, dated as of August 16, 2017, by and among</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Corsair Memory, Inc. and Osprey Capital Building 50, LLC.</w:t>
        </w:r>
      </w:hyperlink>
    </w:p>
    <w:p>
      <w:pPr>
        <w:spacing w:after="0" w:line="190" w:lineRule="exact"/>
        <w:rPr>
          <w:sz w:val="20"/>
          <w:szCs w:val="20"/>
          <w:color w:val="auto"/>
        </w:rPr>
      </w:pPr>
    </w:p>
    <w:p>
      <w:pPr>
        <w:ind w:left="1040" w:hanging="767"/>
        <w:spacing w:after="0" w:line="277"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56">
        <w:r>
          <w:rPr>
            <w:rFonts w:ascii="Times New Roman" w:cs="Times New Roman" w:eastAsia="Times New Roman" w:hAnsi="Times New Roman"/>
            <w:sz w:val="18"/>
            <w:szCs w:val="18"/>
            <w:u w:val="single" w:color="auto"/>
            <w:color w:val="0000EE"/>
          </w:rPr>
          <w:t>Second Amendment to Industrial Space Lease, dated as of February 2, 2022, by and among</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Corsair Memory, Inc. and 47100 Bayside Parkway Owner, LLC.</w:t>
        </w:r>
      </w:hyperlink>
    </w:p>
    <w:p>
      <w:pPr>
        <w:spacing w:after="0" w:line="190" w:lineRule="exact"/>
        <w:rPr>
          <w:sz w:val="20"/>
          <w:szCs w:val="20"/>
          <w:color w:val="auto"/>
        </w:rPr>
      </w:pPr>
    </w:p>
    <w:p>
      <w:pPr>
        <w:ind w:left="220"/>
        <w:spacing w:after="0"/>
        <w:tabs>
          <w:tab w:leader="none" w:pos="10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57">
        <w:r>
          <w:rPr>
            <w:rFonts w:ascii="Times New Roman" w:cs="Times New Roman" w:eastAsia="Times New Roman" w:hAnsi="Times New Roman"/>
            <w:sz w:val="17"/>
            <w:szCs w:val="17"/>
            <w:u w:val="single" w:color="auto"/>
            <w:color w:val="0000EE"/>
          </w:rPr>
          <w:t>Form of Change in Control and Severance Agreement.</w:t>
        </w:r>
      </w:hyperlink>
    </w:p>
    <w:p>
      <w:pPr>
        <w:spacing w:after="0" w:line="247" w:lineRule="exact"/>
        <w:rPr>
          <w:sz w:val="20"/>
          <w:szCs w:val="20"/>
          <w:color w:val="auto"/>
        </w:rPr>
      </w:pPr>
    </w:p>
    <w:p>
      <w:pPr>
        <w:ind w:left="220"/>
        <w:spacing w:after="0"/>
        <w:tabs>
          <w:tab w:leader="none" w:pos="10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58">
        <w:r>
          <w:rPr>
            <w:rFonts w:ascii="Times New Roman" w:cs="Times New Roman" w:eastAsia="Times New Roman" w:hAnsi="Times New Roman"/>
            <w:sz w:val="17"/>
            <w:szCs w:val="17"/>
            <w:u w:val="single" w:color="auto"/>
            <w:color w:val="0000EE"/>
          </w:rPr>
          <w:t>Non-Employee Director Compensation Policy.</w:t>
        </w:r>
      </w:hyperlink>
    </w:p>
    <w:p>
      <w:pPr>
        <w:spacing w:after="0" w:line="247" w:lineRule="exact"/>
        <w:rPr>
          <w:sz w:val="20"/>
          <w:szCs w:val="20"/>
          <w:color w:val="auto"/>
        </w:rPr>
      </w:pPr>
    </w:p>
    <w:p>
      <w:pPr>
        <w:ind w:left="1040" w:right="80" w:hanging="767"/>
        <w:spacing w:after="0" w:line="257"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59">
        <w:r>
          <w:rPr>
            <w:rFonts w:ascii="Times New Roman" w:cs="Times New Roman" w:eastAsia="Times New Roman" w:hAnsi="Times New Roman"/>
            <w:sz w:val="18"/>
            <w:szCs w:val="18"/>
            <w:u w:val="single" w:color="auto"/>
            <w:color w:val="0000EE"/>
          </w:rPr>
          <w:t>First Amendment, dated as of June 30, 2022, to Credit Agreement, dated as of September</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3, 2021, by and among Corsair Gaming, Inc., as borrower, certain of its subsidiaries, as</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guarantors, the lender parties named therein, and Bank of America, N.A. as administrative</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agent.</w:t>
        </w:r>
      </w:hyperlink>
    </w:p>
    <w:p>
      <w:pPr>
        <w:spacing w:after="0" w:line="209" w:lineRule="exact"/>
        <w:rPr>
          <w:rFonts w:ascii="Times New Roman" w:cs="Times New Roman" w:eastAsia="Times New Roman" w:hAnsi="Times New Roman"/>
          <w:sz w:val="18"/>
          <w:szCs w:val="18"/>
          <w:u w:val="single" w:color="auto"/>
          <w:color w:val="0000EE"/>
        </w:rPr>
      </w:pPr>
    </w:p>
    <w:p>
      <w:pPr>
        <w:ind w:left="1040" w:right="20" w:hanging="767"/>
        <w:spacing w:after="0" w:line="257"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60">
        <w:r>
          <w:rPr>
            <w:rFonts w:ascii="Times New Roman" w:cs="Times New Roman" w:eastAsia="Times New Roman" w:hAnsi="Times New Roman"/>
            <w:sz w:val="18"/>
            <w:szCs w:val="18"/>
            <w:u w:val="single" w:color="auto"/>
            <w:color w:val="0000EE"/>
          </w:rPr>
          <w:t>Second Amendment, dated as of September 29, 2022, to Credit Agreement, dated as of</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September 3, 2021, by and among Corsair Gaming, Inc., as borrower, and certain of its</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subsidiaries, as guarantors, the lender parties named therein, and Bank of America, N.A. as</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administrative agent.</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15"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w:t>
            </w:r>
          </w:p>
        </w:tc>
        <w:tc>
          <w:tcPr>
            <w:tcW w:w="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5"/>
              </w:rPr>
              <w:t>10.1</w:t>
            </w:r>
          </w:p>
        </w:tc>
      </w:tr>
      <w:tr>
        <w:trPr>
          <w:trHeight w:val="233"/>
        </w:trPr>
        <w:tc>
          <w:tcPr>
            <w:tcW w:w="5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2021</w:t>
            </w:r>
          </w:p>
        </w:tc>
        <w:tc>
          <w:tcPr>
            <w:tcW w:w="720" w:type="dxa"/>
            <w:vAlign w:val="bottom"/>
          </w:tcPr>
          <w:p>
            <w:pPr>
              <w:spacing w:after="0"/>
              <w:rPr>
                <w:sz w:val="20"/>
                <w:szCs w:val="20"/>
                <w:color w:val="auto"/>
              </w:rPr>
            </w:pPr>
          </w:p>
        </w:tc>
      </w:tr>
      <w:tr>
        <w:trPr>
          <w:trHeight w:val="66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2022</w:t>
            </w:r>
          </w:p>
        </w:tc>
        <w:tc>
          <w:tcPr>
            <w:tcW w:w="7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8"/>
              </w:rPr>
              <w:t>10.17</w:t>
            </w:r>
          </w:p>
        </w:tc>
      </w:tr>
      <w:tr>
        <w:trPr>
          <w:trHeight w:val="66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2022</w:t>
            </w:r>
          </w:p>
        </w:tc>
        <w:tc>
          <w:tcPr>
            <w:tcW w:w="7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8"/>
              </w:rPr>
              <w:t>10.18</w:t>
            </w:r>
          </w:p>
        </w:tc>
      </w:tr>
      <w:tr>
        <w:trPr>
          <w:trHeight w:val="66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2022</w:t>
            </w:r>
          </w:p>
        </w:tc>
        <w:tc>
          <w:tcPr>
            <w:tcW w:w="7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8"/>
              </w:rPr>
              <w:t>10.19</w:t>
            </w:r>
          </w:p>
        </w:tc>
      </w:tr>
      <w:tr>
        <w:trPr>
          <w:trHeight w:val="66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2022</w:t>
            </w:r>
          </w:p>
        </w:tc>
        <w:tc>
          <w:tcPr>
            <w:tcW w:w="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rPr>
              <w:t>10.20#</w:t>
            </w:r>
          </w:p>
        </w:tc>
      </w:tr>
      <w:tr>
        <w:trPr>
          <w:trHeight w:val="45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2022</w:t>
            </w:r>
          </w:p>
        </w:tc>
        <w:tc>
          <w:tcPr>
            <w:tcW w:w="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5"/>
              </w:rPr>
              <w:t>10.2</w:t>
            </w:r>
          </w:p>
        </w:tc>
      </w:tr>
      <w:tr>
        <w:trPr>
          <w:trHeight w:val="45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2022</w:t>
            </w:r>
          </w:p>
        </w:tc>
        <w:tc>
          <w:tcPr>
            <w:tcW w:w="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5"/>
              </w:rPr>
              <w:t>10.1</w:t>
            </w:r>
          </w:p>
        </w:tc>
      </w:tr>
    </w:tbl>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63" w:lineRule="exact"/>
        <w:rPr>
          <w:rFonts w:ascii="Times New Roman" w:cs="Times New Roman" w:eastAsia="Times New Roman" w:hAnsi="Times New Roman"/>
          <w:sz w:val="18"/>
          <w:szCs w:val="18"/>
          <w:u w:val="single" w:color="auto"/>
          <w:color w:val="0000EE"/>
        </w:rPr>
      </w:pPr>
    </w:p>
    <w:tbl>
      <w:tblPr>
        <w:tblLayout w:type="fixed"/>
        <w:tblInd w:w="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November 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3"/>
        </w:trPr>
        <w:tc>
          <w:tcPr>
            <w:tcW w:w="580" w:type="dxa"/>
            <w:vAlign w:val="bottom"/>
          </w:tcPr>
          <w:p>
            <w:pPr>
              <w:spacing w:after="0"/>
              <w:rPr>
                <w:sz w:val="20"/>
                <w:szCs w:val="20"/>
                <w:color w:val="auto"/>
              </w:rPr>
            </w:pPr>
          </w:p>
        </w:tc>
        <w:tc>
          <w:tcPr>
            <w:tcW w:w="14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Pr>
          <w:p>
            <w:pPr>
              <w:spacing w:after="0"/>
              <w:rPr>
                <w:sz w:val="20"/>
                <w:szCs w:val="20"/>
                <w:color w:val="auto"/>
              </w:rPr>
            </w:pPr>
          </w:p>
        </w:tc>
      </w:tr>
    </w:tbl>
    <w:p>
      <w:pPr>
        <w:spacing w:after="0" w:line="647"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540" w:space="300"/>
            <w:col w:w="3400"/>
          </w:cols>
          <w:pgMar w:left="320" w:top="106" w:right="339" w:bottom="1440" w:gutter="0" w:footer="0" w:header="0"/>
          <w:type w:val="continuous"/>
        </w:sectPr>
      </w:pPr>
    </w:p>
    <w:tbl>
      <w:tblPr>
        <w:tblLayout w:type="fixed"/>
        <w:tblInd w:w="260" w:type="dxa"/>
        <w:tblCellMar>
          <w:top w:w="0" w:type="dxa"/>
          <w:left w:w="0" w:type="dxa"/>
          <w:bottom w:w="0" w:type="dxa"/>
          <w:right w:w="0" w:type="dxa"/>
        </w:tblCellMar>
      </w:tblPr>
      <w:tr>
        <w:trPr>
          <w:trHeight w:val="207"/>
        </w:trPr>
        <w:tc>
          <w:tcPr>
            <w:tcW w:w="780" w:type="dxa"/>
            <w:vAlign w:val="bottom"/>
          </w:tcPr>
          <w:p>
            <w:pPr>
              <w:jc w:val="center"/>
              <w:ind w:right="291"/>
              <w:spacing w:after="0"/>
              <w:rPr>
                <w:sz w:val="20"/>
                <w:szCs w:val="20"/>
                <w:color w:val="auto"/>
              </w:rPr>
            </w:pPr>
            <w:r>
              <w:rPr>
                <w:rFonts w:ascii="Times New Roman" w:cs="Times New Roman" w:eastAsia="Times New Roman" w:hAnsi="Times New Roman"/>
                <w:sz w:val="18"/>
                <w:szCs w:val="18"/>
                <w:color w:val="auto"/>
                <w:w w:val="98"/>
              </w:rPr>
              <w:t>10.24</w:t>
            </w:r>
          </w:p>
        </w:tc>
        <w:tc>
          <w:tcPr>
            <w:tcW w:w="60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161">
              <w:r>
                <w:rPr>
                  <w:rFonts w:ascii="Times New Roman" w:cs="Times New Roman" w:eastAsia="Times New Roman" w:hAnsi="Times New Roman"/>
                  <w:sz w:val="18"/>
                  <w:szCs w:val="18"/>
                  <w:color w:val="0000EE"/>
                  <w:w w:val="98"/>
                </w:rPr>
                <w:t>Third Amendment, dated as of November 28, 2022, to Credit Agreement, dated as of</w:t>
              </w:r>
            </w:hyperlink>
          </w:p>
        </w:tc>
        <w:tc>
          <w:tcPr>
            <w:tcW w:w="560" w:type="dxa"/>
            <w:vAlign w:val="bottom"/>
            <w:gridSpan w:val="3"/>
          </w:tcPr>
          <w:p>
            <w:pPr>
              <w:spacing w:after="0"/>
              <w:rPr>
                <w:sz w:val="18"/>
                <w:szCs w:val="18"/>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8-K/A</w:t>
            </w:r>
          </w:p>
        </w:tc>
        <w:tc>
          <w:tcPr>
            <w:tcW w:w="14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December 9,</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94"/>
        </w:trPr>
        <w:tc>
          <w:tcPr>
            <w:tcW w:w="780" w:type="dxa"/>
            <w:vAlign w:val="bottom"/>
          </w:tcPr>
          <w:p>
            <w:pPr>
              <w:spacing w:after="0"/>
              <w:rPr>
                <w:sz w:val="16"/>
                <w:szCs w:val="16"/>
                <w:color w:val="auto"/>
              </w:rPr>
            </w:pPr>
          </w:p>
        </w:tc>
        <w:tc>
          <w:tcPr>
            <w:tcW w:w="6620" w:type="dxa"/>
            <w:vAlign w:val="bottom"/>
            <w:gridSpan w:val="7"/>
          </w:tcPr>
          <w:p>
            <w:pPr>
              <w:spacing w:after="0" w:line="194"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September 3, 2021, by and among Corsair Gaming, Inc., as borrower, and certain of its</w:t>
              </w:r>
            </w:hyperlink>
          </w:p>
        </w:tc>
        <w:tc>
          <w:tcPr>
            <w:tcW w:w="780" w:type="dxa"/>
            <w:vAlign w:val="bottom"/>
          </w:tcPr>
          <w:p>
            <w:pPr>
              <w:spacing w:after="0"/>
              <w:rPr>
                <w:sz w:val="16"/>
                <w:szCs w:val="16"/>
                <w:color w:val="auto"/>
              </w:rPr>
            </w:pPr>
          </w:p>
        </w:tc>
        <w:tc>
          <w:tcPr>
            <w:tcW w:w="1400" w:type="dxa"/>
            <w:vAlign w:val="bottom"/>
          </w:tcPr>
          <w:p>
            <w:pPr>
              <w:jc w:val="right"/>
              <w:ind w:right="491"/>
              <w:spacing w:after="0" w:line="194" w:lineRule="exact"/>
              <w:rPr>
                <w:sz w:val="20"/>
                <w:szCs w:val="20"/>
                <w:color w:val="auto"/>
              </w:rPr>
            </w:pPr>
            <w:r>
              <w:rPr>
                <w:rFonts w:ascii="Times New Roman" w:cs="Times New Roman" w:eastAsia="Times New Roman" w:hAnsi="Times New Roman"/>
                <w:sz w:val="18"/>
                <w:szCs w:val="18"/>
                <w:color w:val="auto"/>
              </w:rPr>
              <w:t>2022</w:t>
            </w:r>
          </w:p>
        </w:tc>
        <w:tc>
          <w:tcPr>
            <w:tcW w:w="62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4"/>
        </w:trPr>
        <w:tc>
          <w:tcPr>
            <w:tcW w:w="780" w:type="dxa"/>
            <w:vAlign w:val="bottom"/>
          </w:tcPr>
          <w:p>
            <w:pPr>
              <w:spacing w:after="0"/>
              <w:rPr>
                <w:sz w:val="16"/>
                <w:szCs w:val="16"/>
                <w:color w:val="auto"/>
              </w:rPr>
            </w:pPr>
          </w:p>
        </w:tc>
        <w:tc>
          <w:tcPr>
            <w:tcW w:w="6620" w:type="dxa"/>
            <w:vAlign w:val="bottom"/>
            <w:gridSpan w:val="7"/>
          </w:tcPr>
          <w:p>
            <w:pPr>
              <w:spacing w:after="0" w:line="194"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subsidiaries, as guarantors, the lender parties named therein, and Bank of America, N.A. as</w:t>
              </w:r>
            </w:hyperlink>
          </w:p>
        </w:tc>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4"/>
        </w:trPr>
        <w:tc>
          <w:tcPr>
            <w:tcW w:w="780" w:type="dxa"/>
            <w:vAlign w:val="bottom"/>
          </w:tcPr>
          <w:p>
            <w:pPr>
              <w:spacing w:after="0"/>
              <w:rPr>
                <w:sz w:val="16"/>
                <w:szCs w:val="16"/>
                <w:color w:val="auto"/>
              </w:rPr>
            </w:pPr>
          </w:p>
        </w:tc>
        <w:tc>
          <w:tcPr>
            <w:tcW w:w="6480" w:type="dxa"/>
            <w:vAlign w:val="bottom"/>
            <w:tcBorders>
              <w:top w:val="single" w:sz="8" w:color="0000EE"/>
            </w:tcBorders>
            <w:gridSpan w:val="6"/>
          </w:tcPr>
          <w:p>
            <w:pPr>
              <w:spacing w:after="0" w:line="194"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administrative agent.</w:t>
              </w:r>
            </w:hyperlink>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34"/>
        </w:trPr>
        <w:tc>
          <w:tcPr>
            <w:tcW w:w="78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w w:val="95"/>
              </w:rPr>
              <w:t>21.1</w:t>
            </w:r>
          </w:p>
        </w:tc>
        <w:tc>
          <w:tcPr>
            <w:tcW w:w="66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List of the Registrant’s Significant Subsidiaries.</w:t>
            </w: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34"/>
        </w:trPr>
        <w:tc>
          <w:tcPr>
            <w:tcW w:w="78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w w:val="95"/>
              </w:rPr>
              <w:t>23.1</w:t>
            </w:r>
          </w:p>
        </w:tc>
        <w:tc>
          <w:tcPr>
            <w:tcW w:w="4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Consent of Independent Registered Public Accounting Firm.</w:t>
            </w:r>
          </w:p>
        </w:tc>
        <w:tc>
          <w:tcPr>
            <w:tcW w:w="230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75"/>
        </w:trPr>
        <w:tc>
          <w:tcPr>
            <w:tcW w:w="780" w:type="dxa"/>
            <w:vAlign w:val="bottom"/>
          </w:tcPr>
          <w:p>
            <w:pPr>
              <w:spacing w:after="0"/>
              <w:rPr>
                <w:sz w:val="24"/>
                <w:szCs w:val="24"/>
                <w:color w:val="auto"/>
              </w:rPr>
            </w:pPr>
          </w:p>
        </w:tc>
        <w:tc>
          <w:tcPr>
            <w:tcW w:w="6060" w:type="dxa"/>
            <w:vAlign w:val="bottom"/>
            <w:gridSpan w:val="4"/>
          </w:tcPr>
          <w:p>
            <w:pPr>
              <w:ind w:left="450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ectPr>
          <w:pgSz w:w="11900" w:h="16838" w:orient="portrait"/>
          <w:cols w:equalWidth="0" w:num="2">
            <w:col w:w="10460" w:space="660"/>
            <w:col w:w="120"/>
          </w:cols>
          <w:pgMar w:left="320" w:top="106"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3"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9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5"/>
              </w:rPr>
              <w:t>24.1</w:t>
            </w: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 to this Annual Report on Form 10-K).</w:t>
            </w:r>
          </w:p>
        </w:tc>
      </w:tr>
      <w:tr>
        <w:trPr>
          <w:trHeight w:val="20"/>
        </w:trPr>
        <w:tc>
          <w:tcPr>
            <w:tcW w:w="90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4"/>
        </w:trPr>
        <w:tc>
          <w:tcPr>
            <w:tcW w:w="9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5"/>
              </w:rPr>
              <w:t>31.1</w:t>
            </w: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Required under Securities Exchange Act Rule</w:t>
            </w:r>
          </w:p>
        </w:tc>
      </w:tr>
      <w:tr>
        <w:trPr>
          <w:trHeight w:val="194"/>
        </w:trPr>
        <w:tc>
          <w:tcPr>
            <w:tcW w:w="900" w:type="dxa"/>
            <w:vAlign w:val="bottom"/>
          </w:tcPr>
          <w:p>
            <w:pPr>
              <w:spacing w:after="0"/>
              <w:rPr>
                <w:sz w:val="16"/>
                <w:szCs w:val="16"/>
                <w:color w:val="auto"/>
              </w:rPr>
            </w:pPr>
          </w:p>
        </w:tc>
        <w:tc>
          <w:tcPr>
            <w:tcW w:w="1780" w:type="dxa"/>
            <w:vAlign w:val="bottom"/>
            <w:tcBorders>
              <w:top w:val="single" w:sz="8" w:color="0000EE"/>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7"/>
              </w:rPr>
              <w:t>13a-14(a) and 15d-14(a).</w:t>
            </w:r>
          </w:p>
        </w:tc>
        <w:tc>
          <w:tcPr>
            <w:tcW w:w="4620" w:type="dxa"/>
            <w:vAlign w:val="bottom"/>
            <w:tcBorders>
              <w:top w:val="single" w:sz="8" w:color="0000EE"/>
            </w:tcBorders>
            <w:gridSpan w:val="4"/>
          </w:tcPr>
          <w:p>
            <w:pPr>
              <w:spacing w:after="0"/>
              <w:rPr>
                <w:sz w:val="16"/>
                <w:szCs w:val="16"/>
                <w:color w:val="auto"/>
              </w:rPr>
            </w:pPr>
          </w:p>
        </w:tc>
        <w:tc>
          <w:tcPr>
            <w:tcW w:w="80" w:type="dxa"/>
            <w:vAlign w:val="bottom"/>
          </w:tcPr>
          <w:p>
            <w:pPr>
              <w:spacing w:after="0"/>
              <w:rPr>
                <w:sz w:val="16"/>
                <w:szCs w:val="16"/>
                <w:color w:val="auto"/>
              </w:rPr>
            </w:pPr>
          </w:p>
        </w:tc>
      </w:tr>
      <w:tr>
        <w:trPr>
          <w:trHeight w:val="434"/>
        </w:trPr>
        <w:tc>
          <w:tcPr>
            <w:tcW w:w="9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5"/>
              </w:rPr>
              <w:t>31.2</w:t>
            </w:r>
          </w:p>
        </w:tc>
        <w:tc>
          <w:tcPr>
            <w:tcW w:w="6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Certification of Principal Financial Officer Required under Securities Exchange Act Rule</w:t>
            </w:r>
          </w:p>
        </w:tc>
        <w:tc>
          <w:tcPr>
            <w:tcW w:w="120" w:type="dxa"/>
            <w:vAlign w:val="bottom"/>
            <w:gridSpan w:val="2"/>
          </w:tcPr>
          <w:p>
            <w:pPr>
              <w:spacing w:after="0"/>
              <w:rPr>
                <w:sz w:val="24"/>
                <w:szCs w:val="24"/>
                <w:color w:val="auto"/>
              </w:rPr>
            </w:pPr>
          </w:p>
        </w:tc>
      </w:tr>
      <w:tr>
        <w:trPr>
          <w:trHeight w:val="194"/>
        </w:trPr>
        <w:tc>
          <w:tcPr>
            <w:tcW w:w="900" w:type="dxa"/>
            <w:vAlign w:val="bottom"/>
          </w:tcPr>
          <w:p>
            <w:pPr>
              <w:spacing w:after="0"/>
              <w:rPr>
                <w:sz w:val="16"/>
                <w:szCs w:val="16"/>
                <w:color w:val="auto"/>
              </w:rPr>
            </w:pPr>
          </w:p>
        </w:tc>
        <w:tc>
          <w:tcPr>
            <w:tcW w:w="178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7"/>
              </w:rPr>
              <w:t>13a-14(a) and 15d-14(a).</w:t>
            </w:r>
          </w:p>
        </w:tc>
        <w:tc>
          <w:tcPr>
            <w:tcW w:w="4700" w:type="dxa"/>
            <w:vAlign w:val="bottom"/>
            <w:gridSpan w:val="5"/>
          </w:tcPr>
          <w:p>
            <w:pPr>
              <w:spacing w:after="0"/>
              <w:rPr>
                <w:sz w:val="16"/>
                <w:szCs w:val="16"/>
                <w:color w:val="auto"/>
              </w:rPr>
            </w:pPr>
          </w:p>
        </w:tc>
      </w:tr>
      <w:tr>
        <w:trPr>
          <w:trHeight w:val="434"/>
        </w:trPr>
        <w:tc>
          <w:tcPr>
            <w:tcW w:w="90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8"/>
              </w:rPr>
              <w:t>32.1*</w:t>
            </w:r>
          </w:p>
        </w:tc>
        <w:tc>
          <w:tcPr>
            <w:tcW w:w="64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Certifications of Principal Executive Officer and Principal Financial Officer pursuant to 18</w:t>
            </w:r>
          </w:p>
        </w:tc>
      </w:tr>
      <w:tr>
        <w:trPr>
          <w:trHeight w:val="194"/>
        </w:trPr>
        <w:tc>
          <w:tcPr>
            <w:tcW w:w="900" w:type="dxa"/>
            <w:vAlign w:val="bottom"/>
          </w:tcPr>
          <w:p>
            <w:pPr>
              <w:spacing w:after="0"/>
              <w:rPr>
                <w:sz w:val="16"/>
                <w:szCs w:val="16"/>
                <w:color w:val="auto"/>
              </w:rPr>
            </w:pPr>
          </w:p>
        </w:tc>
        <w:tc>
          <w:tcPr>
            <w:tcW w:w="64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rPr>
              <w:t>U.S.C. Section 1350 and Securities Exchange Act Rule 13a-14(b),</w:t>
            </w:r>
          </w:p>
        </w:tc>
      </w:tr>
      <w:tr>
        <w:trPr>
          <w:trHeight w:val="20"/>
        </w:trPr>
        <w:tc>
          <w:tcPr>
            <w:tcW w:w="900" w:type="dxa"/>
            <w:vAlign w:val="bottom"/>
          </w:tcPr>
          <w:p>
            <w:pPr>
              <w:spacing w:after="0" w:line="20" w:lineRule="exact"/>
              <w:rPr>
                <w:sz w:val="1"/>
                <w:szCs w:val="1"/>
                <w:color w:val="auto"/>
              </w:rPr>
            </w:pPr>
          </w:p>
        </w:tc>
        <w:tc>
          <w:tcPr>
            <w:tcW w:w="4720" w:type="dxa"/>
            <w:vAlign w:val="bottom"/>
            <w:gridSpan w:val="2"/>
            <w:shd w:val="clear" w:color="auto" w:fill="0000EE"/>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r>
      <w:tr>
        <w:trPr>
          <w:trHeight w:val="456"/>
        </w:trPr>
        <w:tc>
          <w:tcPr>
            <w:tcW w:w="90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9"/>
              </w:rPr>
              <w:t>101.INS</w:t>
            </w: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r>
      <w:tr>
        <w:trPr>
          <w:trHeight w:val="233"/>
        </w:trPr>
        <w:tc>
          <w:tcPr>
            <w:tcW w:w="900" w:type="dxa"/>
            <w:vAlign w:val="bottom"/>
          </w:tcPr>
          <w:p>
            <w:pPr>
              <w:spacing w:after="0"/>
              <w:rPr>
                <w:sz w:val="20"/>
                <w:szCs w:val="20"/>
                <w:color w:val="auto"/>
              </w:rPr>
            </w:pP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Interactive Data File because XBRL tags are embedded within the Inline XBRL document.</w:t>
            </w:r>
          </w:p>
        </w:tc>
      </w:tr>
      <w:tr>
        <w:trPr>
          <w:trHeight w:val="454"/>
        </w:trPr>
        <w:tc>
          <w:tcPr>
            <w:tcW w:w="9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101.SCH</w:t>
            </w: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4"/>
        </w:trPr>
        <w:tc>
          <w:tcPr>
            <w:tcW w:w="9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101.CAL</w:t>
            </w: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54"/>
        </w:trPr>
        <w:tc>
          <w:tcPr>
            <w:tcW w:w="9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101.DEF</w:t>
            </w: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54"/>
        </w:trPr>
        <w:tc>
          <w:tcPr>
            <w:tcW w:w="9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101.LAB</w:t>
            </w: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54"/>
        </w:trPr>
        <w:tc>
          <w:tcPr>
            <w:tcW w:w="90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9"/>
              </w:rPr>
              <w:t>101.PRE</w:t>
            </w: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22" w:lineRule="exact"/>
        <w:rPr>
          <w:sz w:val="20"/>
          <w:szCs w:val="20"/>
          <w:color w:val="auto"/>
        </w:rPr>
      </w:pPr>
    </w:p>
    <w:p>
      <w:pPr>
        <w:ind w:left="1040" w:hanging="706"/>
        <w:spacing w:after="0"/>
        <w:tabs>
          <w:tab w:leader="none" w:pos="10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336" w:lineRule="exact"/>
        <w:rPr>
          <w:rFonts w:ascii="Times New Roman" w:cs="Times New Roman" w:eastAsia="Times New Roman" w:hAnsi="Times New Roman"/>
          <w:sz w:val="18"/>
          <w:szCs w:val="18"/>
          <w:color w:val="auto"/>
        </w:rPr>
      </w:pPr>
    </w:p>
    <w:p>
      <w:pPr>
        <w:ind w:left="380" w:hanging="374"/>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6"/>
          <w:szCs w:val="16"/>
          <w:color w:val="auto"/>
        </w:rPr>
        <w:t>The certification attached as Exhibit 32.1 that accompanies this Annual Report on Form 10-K is not deemed filed with the SEC and is not to be incorporated by reference into any filing of Corsair Gaming,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-516890</wp:posOffset>
            </wp:positionV>
            <wp:extent cx="9499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80" w:lineRule="exact"/>
        <w:rPr>
          <w:sz w:val="20"/>
          <w:szCs w:val="20"/>
          <w:color w:val="auto"/>
        </w:rPr>
      </w:pPr>
    </w:p>
    <w:p>
      <w:pPr>
        <w:ind w:left="380" w:hanging="373"/>
        <w:spacing w:after="0"/>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ectPr>
          <w:pgSz w:w="11900" w:h="16838" w:orient="portrait"/>
          <w:cols w:equalWidth="0" w:num="2">
            <w:col w:w="10860" w:space="260"/>
            <w:col w:w="12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100" w:firstLine="51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20" w:type="dxa"/>
            <w:vAlign w:val="bottom"/>
          </w:tcPr>
          <w:p>
            <w:pPr>
              <w:spacing w:after="0"/>
              <w:rPr>
                <w:sz w:val="20"/>
                <w:szCs w:val="20"/>
                <w:color w:val="auto"/>
              </w:rPr>
            </w:pPr>
          </w:p>
        </w:tc>
        <w:tc>
          <w:tcPr>
            <w:tcW w:w="35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w w:val="98"/>
              </w:rPr>
              <w:t>Corsair Gaming, Inc.</w:t>
            </w:r>
          </w:p>
        </w:tc>
        <w:tc>
          <w:tcPr>
            <w:tcW w:w="3840" w:type="dxa"/>
            <w:vAlign w:val="bottom"/>
          </w:tcPr>
          <w:p>
            <w:pPr>
              <w:spacing w:after="0"/>
              <w:rPr>
                <w:sz w:val="20"/>
                <w:szCs w:val="20"/>
                <w:color w:val="auto"/>
              </w:rPr>
            </w:pPr>
          </w:p>
        </w:tc>
      </w:tr>
      <w:tr>
        <w:trPr>
          <w:trHeight w:val="45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2023</w:t>
            </w:r>
          </w:p>
        </w:tc>
        <w:tc>
          <w:tcPr>
            <w:tcW w:w="35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jc w:val="center"/>
              <w:ind w:right="1051"/>
              <w:spacing w:after="0"/>
              <w:rPr>
                <w:sz w:val="20"/>
                <w:szCs w:val="20"/>
                <w:color w:val="auto"/>
              </w:rPr>
            </w:pPr>
            <w:r>
              <w:rPr>
                <w:rFonts w:ascii="Times New Roman" w:cs="Times New Roman" w:eastAsia="Times New Roman" w:hAnsi="Times New Roman"/>
                <w:sz w:val="18"/>
                <w:szCs w:val="18"/>
                <w:color w:val="auto"/>
                <w:w w:val="98"/>
              </w:rPr>
              <w:t>/s/ Andrew J. Paul</w:t>
            </w:r>
          </w:p>
        </w:tc>
      </w:tr>
      <w:tr>
        <w:trPr>
          <w:trHeight w:val="215"/>
        </w:trPr>
        <w:tc>
          <w:tcPr>
            <w:tcW w:w="3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jc w:val="center"/>
              <w:ind w:right="1071"/>
              <w:spacing w:after="0"/>
              <w:rPr>
                <w:sz w:val="20"/>
                <w:szCs w:val="20"/>
                <w:color w:val="auto"/>
              </w:rPr>
            </w:pPr>
            <w:r>
              <w:rPr>
                <w:rFonts w:ascii="Times New Roman" w:cs="Times New Roman" w:eastAsia="Times New Roman" w:hAnsi="Times New Roman"/>
                <w:sz w:val="18"/>
                <w:szCs w:val="18"/>
                <w:color w:val="auto"/>
                <w:w w:val="97"/>
              </w:rPr>
              <w:t>Andrew J. Paul</w:t>
            </w:r>
          </w:p>
        </w:tc>
      </w:tr>
      <w:tr>
        <w:trPr>
          <w:trHeight w:val="225"/>
        </w:trPr>
        <w:tc>
          <w:tcPr>
            <w:tcW w:w="3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Pr>
          <w:p>
            <w:pPr>
              <w:jc w:val="center"/>
              <w:ind w:right="1071"/>
              <w:spacing w:after="0"/>
              <w:rPr>
                <w:sz w:val="20"/>
                <w:szCs w:val="20"/>
                <w:color w:val="auto"/>
              </w:rPr>
            </w:pPr>
            <w:r>
              <w:rPr>
                <w:rFonts w:ascii="Times New Roman" w:cs="Times New Roman" w:eastAsia="Times New Roman" w:hAnsi="Times New Roman"/>
                <w:sz w:val="18"/>
                <w:szCs w:val="18"/>
                <w:color w:val="auto"/>
                <w:w w:val="98"/>
              </w:rPr>
              <w:t>Chief Executive Officer and Director</w:t>
            </w:r>
          </w:p>
        </w:tc>
      </w:tr>
      <w:tr>
        <w:trPr>
          <w:trHeight w:val="235"/>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40" w:type="dxa"/>
            <w:vAlign w:val="bottom"/>
          </w:tcPr>
          <w:p>
            <w:pPr>
              <w:jc w:val="center"/>
              <w:ind w:right="1071"/>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32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2023</w:t>
            </w:r>
          </w:p>
        </w:tc>
        <w:tc>
          <w:tcPr>
            <w:tcW w:w="35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jc w:val="center"/>
              <w:ind w:right="1071"/>
              <w:spacing w:after="0"/>
              <w:rPr>
                <w:sz w:val="20"/>
                <w:szCs w:val="20"/>
                <w:color w:val="auto"/>
              </w:rPr>
            </w:pPr>
            <w:r>
              <w:rPr>
                <w:rFonts w:ascii="Times New Roman" w:cs="Times New Roman" w:eastAsia="Times New Roman" w:hAnsi="Times New Roman"/>
                <w:sz w:val="18"/>
                <w:szCs w:val="18"/>
                <w:color w:val="auto"/>
                <w:w w:val="98"/>
              </w:rPr>
              <w:t>/s/ Michael G. Potter</w:t>
            </w:r>
          </w:p>
        </w:tc>
      </w:tr>
      <w:tr>
        <w:trPr>
          <w:trHeight w:val="226"/>
        </w:trPr>
        <w:tc>
          <w:tcPr>
            <w:tcW w:w="3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840" w:type="dxa"/>
            <w:vAlign w:val="bottom"/>
            <w:tcBorders>
              <w:top w:val="single" w:sz="8" w:color="auto"/>
            </w:tcBorders>
          </w:tcPr>
          <w:p>
            <w:pPr>
              <w:jc w:val="center"/>
              <w:ind w:right="1071"/>
              <w:spacing w:after="0"/>
              <w:rPr>
                <w:sz w:val="20"/>
                <w:szCs w:val="20"/>
                <w:color w:val="auto"/>
              </w:rPr>
            </w:pPr>
            <w:r>
              <w:rPr>
                <w:rFonts w:ascii="Times New Roman" w:cs="Times New Roman" w:eastAsia="Times New Roman" w:hAnsi="Times New Roman"/>
                <w:sz w:val="18"/>
                <w:szCs w:val="18"/>
                <w:color w:val="auto"/>
                <w:w w:val="99"/>
              </w:rPr>
              <w:t>Michael G. Potter</w:t>
            </w:r>
          </w:p>
        </w:tc>
      </w:tr>
    </w:tbl>
    <w:p>
      <w:pPr>
        <w:jc w:val="center"/>
        <w:ind w:left="6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5"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51" w:lineRule="exact"/>
        <w:rPr>
          <w:sz w:val="20"/>
          <w:szCs w:val="20"/>
          <w:color w:val="auto"/>
        </w:rPr>
      </w:pPr>
    </w:p>
    <w:p>
      <w:pPr>
        <w:ind w:right="260" w:firstLine="51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Andrew J. Paul and Michael G. Potter, and each or any one of them, his or her lawful attorneys-in-fact and agents, for such person in any and all capacities, to sign any and all amendments to this report and to file the same, with all exhibits thereto and other documents in connection therewith, with the Securities and Exchange Commission, hereby ratifying and confirming all that either of said attorneys-in-fact and agent, or substitute or substitutes, may do or cause to be done by virtue hereof.</w:t>
      </w:r>
    </w:p>
    <w:p>
      <w:pPr>
        <w:spacing w:after="0" w:line="129" w:lineRule="exact"/>
        <w:rPr>
          <w:sz w:val="20"/>
          <w:szCs w:val="20"/>
          <w:color w:val="auto"/>
        </w:rPr>
      </w:pPr>
    </w:p>
    <w:p>
      <w:pPr>
        <w:ind w:right="440" w:firstLine="51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4"/>
                <w:szCs w:val="14"/>
                <w:color w:val="auto"/>
              </w:rPr>
            </w:pPr>
          </w:p>
        </w:tc>
        <w:tc>
          <w:tcPr>
            <w:tcW w:w="5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8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1"/>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Andrew J. Paul</w:t>
            </w:r>
          </w:p>
        </w:tc>
        <w:tc>
          <w:tcPr>
            <w:tcW w:w="120" w:type="dxa"/>
            <w:vAlign w:val="bottom"/>
          </w:tcPr>
          <w:p>
            <w:pPr>
              <w:spacing w:after="0"/>
              <w:rPr>
                <w:sz w:val="24"/>
                <w:szCs w:val="24"/>
                <w:color w:val="auto"/>
              </w:rPr>
            </w:pPr>
          </w:p>
        </w:tc>
        <w:tc>
          <w:tcPr>
            <w:tcW w:w="6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0"/>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Andrew J. Paul</w:t>
            </w:r>
          </w:p>
        </w:tc>
        <w:tc>
          <w:tcPr>
            <w:tcW w:w="120" w:type="dxa"/>
            <w:vAlign w:val="bottom"/>
          </w:tcPr>
          <w:p>
            <w:pPr>
              <w:spacing w:after="0"/>
              <w:rPr>
                <w:sz w:val="20"/>
                <w:szCs w:val="20"/>
                <w:color w:val="auto"/>
              </w:rPr>
            </w:pPr>
          </w:p>
        </w:tc>
        <w:tc>
          <w:tcPr>
            <w:tcW w:w="6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640" w:type="dxa"/>
            <w:vAlign w:val="bottom"/>
          </w:tcPr>
          <w:p>
            <w:pPr>
              <w:spacing w:after="0"/>
              <w:rPr>
                <w:sz w:val="20"/>
                <w:szCs w:val="20"/>
                <w:color w:val="auto"/>
              </w:rPr>
            </w:pPr>
          </w:p>
        </w:tc>
      </w:tr>
      <w:tr>
        <w:trPr>
          <w:trHeight w:val="298"/>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Thi L. La</w:t>
            </w:r>
          </w:p>
        </w:tc>
        <w:tc>
          <w:tcPr>
            <w:tcW w:w="120" w:type="dxa"/>
            <w:vAlign w:val="bottom"/>
          </w:tcPr>
          <w:p>
            <w:pPr>
              <w:spacing w:after="0"/>
              <w:rPr>
                <w:sz w:val="24"/>
                <w:szCs w:val="24"/>
                <w:color w:val="auto"/>
              </w:rPr>
            </w:pPr>
          </w:p>
        </w:tc>
        <w:tc>
          <w:tcPr>
            <w:tcW w:w="6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President and Chief Operating Officer and 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0"/>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Thi L. La</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98"/>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 Potter</w:t>
            </w:r>
          </w:p>
        </w:tc>
        <w:tc>
          <w:tcPr>
            <w:tcW w:w="120" w:type="dxa"/>
            <w:vAlign w:val="bottom"/>
          </w:tcPr>
          <w:p>
            <w:pPr>
              <w:spacing w:after="0"/>
              <w:rPr>
                <w:sz w:val="24"/>
                <w:szCs w:val="24"/>
                <w:color w:val="auto"/>
              </w:rPr>
            </w:pPr>
          </w:p>
        </w:tc>
        <w:tc>
          <w:tcPr>
            <w:tcW w:w="6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0"/>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Michael G. Potter</w:t>
            </w:r>
          </w:p>
        </w:tc>
        <w:tc>
          <w:tcPr>
            <w:tcW w:w="120" w:type="dxa"/>
            <w:vAlign w:val="bottom"/>
          </w:tcPr>
          <w:p>
            <w:pPr>
              <w:spacing w:after="0"/>
              <w:rPr>
                <w:sz w:val="20"/>
                <w:szCs w:val="20"/>
                <w:color w:val="auto"/>
              </w:rPr>
            </w:pPr>
          </w:p>
        </w:tc>
        <w:tc>
          <w:tcPr>
            <w:tcW w:w="6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(Principal Financial Officer and Principal Accounting Officer)</w:t>
            </w:r>
          </w:p>
        </w:tc>
        <w:tc>
          <w:tcPr>
            <w:tcW w:w="1640" w:type="dxa"/>
            <w:vAlign w:val="bottom"/>
          </w:tcPr>
          <w:p>
            <w:pPr>
              <w:spacing w:after="0"/>
              <w:rPr>
                <w:sz w:val="20"/>
                <w:szCs w:val="20"/>
                <w:color w:val="auto"/>
              </w:rPr>
            </w:pPr>
          </w:p>
        </w:tc>
      </w:tr>
      <w:tr>
        <w:trPr>
          <w:trHeight w:val="298"/>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Anup Bagaria</w:t>
            </w:r>
          </w:p>
        </w:tc>
        <w:tc>
          <w:tcPr>
            <w:tcW w:w="120" w:type="dxa"/>
            <w:vAlign w:val="bottom"/>
          </w:tcPr>
          <w:p>
            <w:pPr>
              <w:spacing w:after="0"/>
              <w:rPr>
                <w:sz w:val="24"/>
                <w:szCs w:val="24"/>
                <w:color w:val="auto"/>
              </w:rPr>
            </w:pPr>
          </w:p>
        </w:tc>
        <w:tc>
          <w:tcPr>
            <w:tcW w:w="6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0"/>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Anup Bagaria</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98"/>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Diana Bell</w:t>
            </w:r>
          </w:p>
        </w:tc>
        <w:tc>
          <w:tcPr>
            <w:tcW w:w="120" w:type="dxa"/>
            <w:vAlign w:val="bottom"/>
          </w:tcPr>
          <w:p>
            <w:pPr>
              <w:spacing w:after="0"/>
              <w:rPr>
                <w:sz w:val="24"/>
                <w:szCs w:val="24"/>
                <w:color w:val="auto"/>
              </w:rPr>
            </w:pPr>
          </w:p>
        </w:tc>
        <w:tc>
          <w:tcPr>
            <w:tcW w:w="6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0"/>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Diana Bell</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98"/>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Cahilly</w:t>
            </w:r>
          </w:p>
        </w:tc>
        <w:tc>
          <w:tcPr>
            <w:tcW w:w="120" w:type="dxa"/>
            <w:vAlign w:val="bottom"/>
          </w:tcPr>
          <w:p>
            <w:pPr>
              <w:spacing w:after="0"/>
              <w:rPr>
                <w:sz w:val="24"/>
                <w:szCs w:val="24"/>
                <w:color w:val="auto"/>
              </w:rPr>
            </w:pPr>
          </w:p>
        </w:tc>
        <w:tc>
          <w:tcPr>
            <w:tcW w:w="6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0"/>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Jason Cahilly</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98"/>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George L. Majoros, Jr.</w:t>
            </w:r>
          </w:p>
        </w:tc>
        <w:tc>
          <w:tcPr>
            <w:tcW w:w="120" w:type="dxa"/>
            <w:vAlign w:val="bottom"/>
          </w:tcPr>
          <w:p>
            <w:pPr>
              <w:spacing w:after="0"/>
              <w:rPr>
                <w:sz w:val="24"/>
                <w:szCs w:val="24"/>
                <w:color w:val="auto"/>
              </w:rPr>
            </w:pPr>
          </w:p>
        </w:tc>
        <w:tc>
          <w:tcPr>
            <w:tcW w:w="6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0"/>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George L. Majoros, Jr.</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98"/>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Sarah M. Kim</w:t>
            </w:r>
          </w:p>
        </w:tc>
        <w:tc>
          <w:tcPr>
            <w:tcW w:w="120" w:type="dxa"/>
            <w:vAlign w:val="bottom"/>
          </w:tcPr>
          <w:p>
            <w:pPr>
              <w:spacing w:after="0"/>
              <w:rPr>
                <w:sz w:val="24"/>
                <w:szCs w:val="24"/>
                <w:color w:val="auto"/>
              </w:rPr>
            </w:pPr>
          </w:p>
        </w:tc>
        <w:tc>
          <w:tcPr>
            <w:tcW w:w="6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0"/>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Sarah M. Kim</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98"/>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Stuart A. Martin</w:t>
            </w:r>
          </w:p>
        </w:tc>
        <w:tc>
          <w:tcPr>
            <w:tcW w:w="120" w:type="dxa"/>
            <w:vAlign w:val="bottom"/>
          </w:tcPr>
          <w:p>
            <w:pPr>
              <w:spacing w:after="0"/>
              <w:rPr>
                <w:sz w:val="24"/>
                <w:szCs w:val="24"/>
                <w:color w:val="auto"/>
              </w:rPr>
            </w:pPr>
          </w:p>
        </w:tc>
        <w:tc>
          <w:tcPr>
            <w:tcW w:w="6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0"/>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Stuart A. Martin</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98"/>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Samuel R. Szteinbaum</w:t>
            </w:r>
          </w:p>
        </w:tc>
        <w:tc>
          <w:tcPr>
            <w:tcW w:w="120" w:type="dxa"/>
            <w:vAlign w:val="bottom"/>
          </w:tcPr>
          <w:p>
            <w:pPr>
              <w:spacing w:after="0"/>
              <w:rPr>
                <w:sz w:val="24"/>
                <w:szCs w:val="24"/>
                <w:color w:val="auto"/>
              </w:rPr>
            </w:pPr>
          </w:p>
        </w:tc>
        <w:tc>
          <w:tcPr>
            <w:tcW w:w="6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0"/>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Samuel R. Szteinbaum</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98"/>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Randall J. Weisenburger</w:t>
            </w:r>
          </w:p>
        </w:tc>
        <w:tc>
          <w:tcPr>
            <w:tcW w:w="120" w:type="dxa"/>
            <w:vAlign w:val="bottom"/>
          </w:tcPr>
          <w:p>
            <w:pPr>
              <w:spacing w:after="0"/>
              <w:rPr>
                <w:sz w:val="24"/>
                <w:szCs w:val="24"/>
                <w:color w:val="auto"/>
              </w:rPr>
            </w:pPr>
          </w:p>
        </w:tc>
        <w:tc>
          <w:tcPr>
            <w:tcW w:w="6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2023</w:t>
            </w:r>
          </w:p>
        </w:tc>
      </w:tr>
      <w:tr>
        <w:trPr>
          <w:trHeight w:val="230"/>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Randall J. Weisenburger</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632"/>
        </w:trPr>
        <w:tc>
          <w:tcPr>
            <w:tcW w:w="3460" w:type="dxa"/>
            <w:vAlign w:val="bottom"/>
          </w:tcPr>
          <w:p>
            <w:pPr>
              <w:spacing w:after="0"/>
              <w:rPr>
                <w:sz w:val="24"/>
                <w:szCs w:val="24"/>
                <w:color w:val="auto"/>
              </w:rPr>
            </w:pPr>
          </w:p>
        </w:tc>
        <w:tc>
          <w:tcPr>
            <w:tcW w:w="6080" w:type="dxa"/>
            <w:vAlign w:val="bottom"/>
            <w:gridSpan w:val="2"/>
          </w:tcPr>
          <w:p>
            <w:pPr>
              <w:jc w:val="right"/>
              <w:ind w:right="3732"/>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260"/>
          </w:cols>
          <w:pgMar w:left="320" w:top="117" w:right="3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Subsidiary (as of December 31, 2022)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Memory,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Canada Limited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Elgato iDisplay Holding Ltd.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Corsair (Shenzhen) Trading Company Ltd.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Gaming S.A.S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GmbH</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Holdings (Hong Kong) Limited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(Hong Kong) Ltd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Elgato iDisplay Limited (Hong Kong)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Japan GK</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Memory B.V.</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Singapore Pte. Ltd.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Engineering d.o.o.</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Memory Co., Ltd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Components Co., Ltd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Elgato iDisplay Ltd. Taiwan Branch</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Components Limited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Ironmonger Initiatives Limited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Ironburg Inventions Limited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Scuf Gaming Europe Limited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BoxFX Ltd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Design System Company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State or Jurisdiction of Incorporation or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United States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Slovenia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Vietnam</w:t>
      </w:r>
    </w:p>
    <w:p>
      <w:pPr>
        <w:sectPr>
          <w:pgSz w:w="11900" w:h="16838" w:orient="portrait"/>
          <w:cols w:equalWidth="0" w:num="2">
            <w:col w:w="6640" w:space="720"/>
            <w:col w:w="3880"/>
          </w:cols>
          <w:pgMar w:left="320" w:top="117" w:right="339" w:bottom="1440" w:gutter="0" w:footer="0" w:header="0"/>
          <w:type w:val="continuous"/>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7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333-254142 and 333-249065) on Form S-8 and (No. 333-266289) on Form S-3 of our reports dated February 27, 2023, with respect to the consolidated financial statements of Corsair Gaming, Inc. and the effectiveness of internal control over financial reporting.</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2023</w:t>
      </w:r>
    </w:p>
    <w:p>
      <w:pPr>
        <w:sectPr>
          <w:pgSz w:w="11900" w:h="16838" w:orient="portrait"/>
          <w:cols w:equalWidth="0" w:num="1">
            <w:col w:w="11240"/>
          </w:cols>
          <w:pgMar w:left="320" w:top="344"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Paul, certify that:</w:t>
      </w:r>
    </w:p>
    <w:p>
      <w:pPr>
        <w:spacing w:after="0" w:line="180" w:lineRule="exact"/>
        <w:rPr>
          <w:sz w:val="20"/>
          <w:szCs w:val="20"/>
          <w:color w:val="auto"/>
        </w:rPr>
      </w:pPr>
    </w:p>
    <w:p>
      <w:pPr>
        <w:ind w:left="600" w:hanging="593"/>
        <w:spacing w:after="0"/>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Corsair Gaming Inc.;</w:t>
      </w:r>
    </w:p>
    <w:p>
      <w:pPr>
        <w:spacing w:after="0" w:line="180" w:lineRule="exact"/>
        <w:rPr>
          <w:rFonts w:ascii="Times New Roman" w:cs="Times New Roman" w:eastAsia="Times New Roman" w:hAnsi="Times New Roman"/>
          <w:sz w:val="18"/>
          <w:szCs w:val="18"/>
          <w:color w:val="auto"/>
        </w:rPr>
      </w:pPr>
    </w:p>
    <w:p>
      <w:pPr>
        <w:jc w:val="both"/>
        <w:ind w:left="600" w:right="280" w:hanging="593"/>
        <w:spacing w:after="0" w:line="262" w:lineRule="auto"/>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8"/>
          <w:szCs w:val="18"/>
          <w:color w:val="auto"/>
        </w:rPr>
      </w:pPr>
    </w:p>
    <w:p>
      <w:pPr>
        <w:ind w:left="600" w:right="240" w:hanging="593"/>
        <w:spacing w:after="0" w:line="277" w:lineRule="auto"/>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left="560" w:right="320" w:hanging="553"/>
        <w:spacing w:after="0" w:line="262" w:lineRule="auto"/>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8"/>
          <w:szCs w:val="18"/>
          <w:color w:val="auto"/>
        </w:rPr>
      </w:pPr>
    </w:p>
    <w:p>
      <w:pPr>
        <w:ind w:left="1200" w:right="120" w:hanging="592"/>
        <w:spacing w:after="0" w:line="262" w:lineRule="auto"/>
        <w:tabs>
          <w:tab w:leader="none" w:pos="12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8"/>
          <w:szCs w:val="18"/>
          <w:color w:val="auto"/>
        </w:rPr>
      </w:pPr>
    </w:p>
    <w:p>
      <w:pPr>
        <w:ind w:left="1200" w:right="240" w:hanging="592"/>
        <w:spacing w:after="0" w:line="262" w:lineRule="auto"/>
        <w:tabs>
          <w:tab w:leader="none" w:pos="12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8"/>
          <w:szCs w:val="18"/>
          <w:color w:val="auto"/>
        </w:rPr>
      </w:pPr>
    </w:p>
    <w:p>
      <w:pPr>
        <w:jc w:val="both"/>
        <w:ind w:left="1200" w:right="400" w:hanging="592"/>
        <w:spacing w:after="0" w:line="308" w:lineRule="auto"/>
        <w:tabs>
          <w:tab w:leader="none" w:pos="120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200" w:right="120" w:hanging="592"/>
        <w:spacing w:after="0" w:line="262" w:lineRule="auto"/>
        <w:tabs>
          <w:tab w:leader="none" w:pos="12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600" w:right="180" w:hanging="593"/>
        <w:spacing w:after="0" w:line="277" w:lineRule="auto"/>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8"/>
          <w:szCs w:val="18"/>
          <w:color w:val="auto"/>
        </w:rPr>
      </w:pPr>
    </w:p>
    <w:p>
      <w:pPr>
        <w:ind w:left="1200" w:right="640" w:hanging="592"/>
        <w:spacing w:after="0" w:line="277" w:lineRule="auto"/>
        <w:tabs>
          <w:tab w:leader="none" w:pos="12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8"/>
          <w:szCs w:val="18"/>
          <w:color w:val="auto"/>
        </w:rPr>
      </w:pPr>
    </w:p>
    <w:p>
      <w:pPr>
        <w:ind w:left="1200" w:right="360" w:hanging="592"/>
        <w:spacing w:after="0" w:line="277" w:lineRule="auto"/>
        <w:tabs>
          <w:tab w:leader="none" w:pos="12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2023</w:t>
            </w:r>
          </w:p>
        </w:tc>
        <w:tc>
          <w:tcPr>
            <w:tcW w:w="23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Andrew J. Paul</w:t>
            </w:r>
          </w:p>
        </w:tc>
      </w:tr>
      <w:tr>
        <w:trPr>
          <w:trHeight w:val="215"/>
        </w:trPr>
        <w:tc>
          <w:tcPr>
            <w:tcW w:w="37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J. Paul</w:t>
            </w:r>
          </w:p>
        </w:tc>
      </w:tr>
      <w:tr>
        <w:trPr>
          <w:trHeight w:val="212"/>
        </w:trPr>
        <w:tc>
          <w:tcPr>
            <w:tcW w:w="37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Officer</w:t>
            </w:r>
          </w:p>
        </w:tc>
      </w:tr>
      <w:tr>
        <w:trPr>
          <w:trHeight w:val="235"/>
        </w:trPr>
        <w:tc>
          <w:tcPr>
            <w:tcW w:w="37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Executive Officer)</w:t>
            </w:r>
          </w:p>
        </w:tc>
      </w:tr>
    </w:tbl>
    <w:p>
      <w:pPr>
        <w:sectPr>
          <w:pgSz w:w="11900" w:h="16838" w:orient="portrait"/>
          <w:cols w:equalWidth="0" w:num="1">
            <w:col w:w="11240"/>
          </w:cols>
          <w:pgMar w:left="320" w:top="11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 Potter, certify that:</w:t>
      </w:r>
    </w:p>
    <w:p>
      <w:pPr>
        <w:spacing w:after="0" w:line="180" w:lineRule="exact"/>
        <w:rPr>
          <w:sz w:val="20"/>
          <w:szCs w:val="20"/>
          <w:color w:val="auto"/>
        </w:rPr>
      </w:pPr>
    </w:p>
    <w:p>
      <w:pPr>
        <w:ind w:left="600" w:hanging="593"/>
        <w:spacing w:after="0"/>
        <w:tabs>
          <w:tab w:leader="none" w:pos="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Corsair Gaming Inc.;</w:t>
      </w:r>
    </w:p>
    <w:p>
      <w:pPr>
        <w:spacing w:after="0" w:line="180" w:lineRule="exact"/>
        <w:rPr>
          <w:rFonts w:ascii="Times New Roman" w:cs="Times New Roman" w:eastAsia="Times New Roman" w:hAnsi="Times New Roman"/>
          <w:sz w:val="18"/>
          <w:szCs w:val="18"/>
          <w:color w:val="auto"/>
        </w:rPr>
      </w:pPr>
    </w:p>
    <w:p>
      <w:pPr>
        <w:jc w:val="both"/>
        <w:ind w:left="600" w:right="280" w:hanging="593"/>
        <w:spacing w:after="0" w:line="262" w:lineRule="auto"/>
        <w:tabs>
          <w:tab w:leader="none" w:pos="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8"/>
          <w:szCs w:val="18"/>
          <w:color w:val="auto"/>
        </w:rPr>
      </w:pPr>
    </w:p>
    <w:p>
      <w:pPr>
        <w:ind w:left="600" w:right="240" w:hanging="593"/>
        <w:spacing w:after="0" w:line="277" w:lineRule="auto"/>
        <w:tabs>
          <w:tab w:leader="none" w:pos="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ind w:left="600" w:right="260" w:hanging="593"/>
        <w:spacing w:after="0" w:line="262" w:lineRule="auto"/>
        <w:tabs>
          <w:tab w:leader="none" w:pos="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8"/>
          <w:szCs w:val="18"/>
          <w:color w:val="auto"/>
        </w:rPr>
      </w:pPr>
    </w:p>
    <w:p>
      <w:pPr>
        <w:ind w:left="1200" w:right="120" w:hanging="592"/>
        <w:spacing w:after="0" w:line="262" w:lineRule="auto"/>
        <w:tabs>
          <w:tab w:leader="none" w:pos="12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8"/>
          <w:szCs w:val="18"/>
          <w:color w:val="auto"/>
        </w:rPr>
      </w:pPr>
    </w:p>
    <w:p>
      <w:pPr>
        <w:ind w:left="1200" w:right="240" w:hanging="592"/>
        <w:spacing w:after="0" w:line="262" w:lineRule="auto"/>
        <w:tabs>
          <w:tab w:leader="none" w:pos="12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8"/>
          <w:szCs w:val="18"/>
          <w:color w:val="auto"/>
        </w:rPr>
      </w:pPr>
    </w:p>
    <w:p>
      <w:pPr>
        <w:jc w:val="both"/>
        <w:ind w:left="1200" w:right="400" w:hanging="592"/>
        <w:spacing w:after="0" w:line="308" w:lineRule="auto"/>
        <w:tabs>
          <w:tab w:leader="none" w:pos="120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200" w:right="120" w:hanging="592"/>
        <w:spacing w:after="0" w:line="262" w:lineRule="auto"/>
        <w:tabs>
          <w:tab w:leader="none" w:pos="12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600" w:right="180" w:hanging="593"/>
        <w:spacing w:after="0" w:line="277" w:lineRule="auto"/>
        <w:tabs>
          <w:tab w:leader="none" w:pos="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8"/>
          <w:szCs w:val="18"/>
          <w:color w:val="auto"/>
        </w:rPr>
      </w:pPr>
    </w:p>
    <w:p>
      <w:pPr>
        <w:ind w:left="1200" w:right="640" w:hanging="592"/>
        <w:spacing w:after="0" w:line="277" w:lineRule="auto"/>
        <w:tabs>
          <w:tab w:leader="none" w:pos="12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8"/>
          <w:szCs w:val="18"/>
          <w:color w:val="auto"/>
        </w:rPr>
      </w:pPr>
    </w:p>
    <w:p>
      <w:pPr>
        <w:ind w:left="1200" w:right="360" w:hanging="592"/>
        <w:spacing w:after="0" w:line="277" w:lineRule="auto"/>
        <w:tabs>
          <w:tab w:leader="none" w:pos="12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2023</w:t>
            </w:r>
          </w:p>
        </w:tc>
        <w:tc>
          <w:tcPr>
            <w:tcW w:w="23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 Potter</w:t>
            </w:r>
          </w:p>
        </w:tc>
      </w:tr>
      <w:tr>
        <w:trPr>
          <w:trHeight w:val="215"/>
        </w:trPr>
        <w:tc>
          <w:tcPr>
            <w:tcW w:w="37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G. Potter</w:t>
            </w:r>
          </w:p>
        </w:tc>
      </w:tr>
      <w:tr>
        <w:trPr>
          <w:trHeight w:val="212"/>
        </w:trPr>
        <w:tc>
          <w:tcPr>
            <w:tcW w:w="37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5"/>
        </w:trPr>
        <w:tc>
          <w:tcPr>
            <w:tcW w:w="37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 and Principal Accounting Officer)</w:t>
            </w:r>
          </w:p>
        </w:tc>
      </w:tr>
    </w:tbl>
    <w:p>
      <w:pPr>
        <w:sectPr>
          <w:pgSz w:w="11900" w:h="16838" w:orient="portrait"/>
          <w:cols w:equalWidth="0" w:num="1">
            <w:col w:w="11240"/>
          </w:cols>
          <w:pgMar w:left="320" w:top="11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OF CHIEF EXECUTIVE OFFICER AND CHIEF FINANCIAL OFFICER</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241" w:lineRule="exact"/>
        <w:rPr>
          <w:sz w:val="20"/>
          <w:szCs w:val="20"/>
          <w:color w:val="auto"/>
        </w:rPr>
      </w:pPr>
    </w:p>
    <w:p>
      <w:pPr>
        <w:ind w:right="120" w:firstLine="56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Corsair Gaming, Inc. (the “Company”) on Form 10-K for the year ended December 31, 2022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spacing w:after="0" w:line="177" w:lineRule="exact"/>
        <w:rPr>
          <w:sz w:val="20"/>
          <w:szCs w:val="20"/>
          <w:color w:val="auto"/>
        </w:rPr>
      </w:pPr>
    </w:p>
    <w:p>
      <w:pPr>
        <w:ind w:left="1200" w:hanging="592"/>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8"/>
          <w:szCs w:val="18"/>
          <w:color w:val="auto"/>
        </w:rPr>
      </w:pPr>
    </w:p>
    <w:p>
      <w:pPr>
        <w:ind w:left="1200" w:right="540" w:hanging="592"/>
        <w:spacing w:after="0" w:line="277" w:lineRule="auto"/>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2023</w:t>
            </w:r>
          </w:p>
        </w:tc>
        <w:tc>
          <w:tcPr>
            <w:tcW w:w="220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9"/>
              </w:rPr>
              <w:t>By:</w:t>
            </w: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Andrew J. Paul</w:t>
            </w:r>
          </w:p>
        </w:tc>
      </w:tr>
      <w:tr>
        <w:trPr>
          <w:trHeight w:val="215"/>
        </w:trPr>
        <w:tc>
          <w:tcPr>
            <w:tcW w:w="3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Andrew J. Paul</w:t>
            </w:r>
          </w:p>
        </w:tc>
      </w:tr>
      <w:tr>
        <w:trPr>
          <w:trHeight w:val="212"/>
        </w:trPr>
        <w:tc>
          <w:tcPr>
            <w:tcW w:w="3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5"/>
        </w:trPr>
        <w:tc>
          <w:tcPr>
            <w:tcW w:w="36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5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2023</w:t>
            </w:r>
          </w:p>
        </w:tc>
        <w:tc>
          <w:tcPr>
            <w:tcW w:w="220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9"/>
              </w:rPr>
              <w:t>By:</w:t>
            </w: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Michael G. Potter</w:t>
            </w:r>
          </w:p>
        </w:tc>
      </w:tr>
      <w:tr>
        <w:trPr>
          <w:trHeight w:val="215"/>
        </w:trPr>
        <w:tc>
          <w:tcPr>
            <w:tcW w:w="3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G. Potter</w:t>
            </w:r>
          </w:p>
        </w:tc>
      </w:tr>
      <w:tr>
        <w:trPr>
          <w:trHeight w:val="212"/>
        </w:trPr>
        <w:tc>
          <w:tcPr>
            <w:tcW w:w="3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5"/>
        </w:trPr>
        <w:tc>
          <w:tcPr>
            <w:tcW w:w="36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lowerRoman"/>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lowerLetter"/>
      <w:start w:val="2"/>
    </w:lvl>
    <w:lvl w:ilvl="1">
      <w:lvlJc w:val="left"/>
      <w:lvlText w:val="•"/>
      <w:numFmt w:val="bullet"/>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lowerRoman"/>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lowerRoman"/>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
      <w:numFmt w:val="bullet"/>
      <w:start w:val="1"/>
    </w:lvl>
    <w:lvl w:ilvl="1">
      <w:lvlJc w:val="left"/>
      <w:lvlText w:val="%2"/>
      <w:numFmt w:val="decimal"/>
      <w:start w:val="104"/>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33" Type="http://schemas.openxmlformats.org/officeDocument/2006/relationships/image" Target="media/image113.png"/><Relationship Id="rId149"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63" Type="http://schemas.openxmlformats.org/officeDocument/2006/relationships/hyperlink" Target="https://www.sec.gov/ix?doc=/Archives/edgar/data/1743759/000156459022007822/crsr-10k_20211231.htm#ITEM_7_MANAGEMENTS_DISCUSSION_ANALYSIS_F" TargetMode="External"/><Relationship Id="rId121" Type="http://schemas.openxmlformats.org/officeDocument/2006/relationships/hyperlink" Target="http://www.sec.gov/Archives/edgar/data/1743759/000119312520254569/d65933dex31.htm" TargetMode="External"/><Relationship Id="rId122" Type="http://schemas.openxmlformats.org/officeDocument/2006/relationships/hyperlink" Target="http://www.sec.gov/Archives/edgar/data/1743759/000119312520254569/d65933dex32.htm" TargetMode="External"/><Relationship Id="rId123" Type="http://schemas.openxmlformats.org/officeDocument/2006/relationships/hyperlink" Target="http://www.sec.gov/Archives/edgar/data/1743759/000119312520248527/d507744dex42.htm" TargetMode="External"/><Relationship Id="rId124" Type="http://schemas.openxmlformats.org/officeDocument/2006/relationships/hyperlink" Target="http://www.sec.gov/Archives/edgar/data/0001743759/000156459021012507/crsr-ex43_1280.htm" TargetMode="External"/><Relationship Id="rId125" Type="http://schemas.openxmlformats.org/officeDocument/2006/relationships/hyperlink" Target="http://www.sec.gov/Archives/edgar/data/0001743759/000119312520248527/d507744dex43.htm" TargetMode="External"/><Relationship Id="rId126" Type="http://schemas.openxmlformats.org/officeDocument/2006/relationships/hyperlink" Target="http://www.sec.gov/Archives/edgar/data/0001743759/000119312520244634/d507744dex44.htm" TargetMode="External"/><Relationship Id="rId127" Type="http://schemas.openxmlformats.org/officeDocument/2006/relationships/hyperlink" Target="http://www.sec.gov/Archives/edgar/data/1743759/000119312520227100/d507744dex101.htm" TargetMode="External"/><Relationship Id="rId128" Type="http://schemas.openxmlformats.org/officeDocument/2006/relationships/hyperlink" Target="http://www.sec.gov/Archives/edgar/data/1743759/000119312520248527/d507744dex102.htm" TargetMode="External"/><Relationship Id="rId129" Type="http://schemas.openxmlformats.org/officeDocument/2006/relationships/hyperlink" Target="http://www.sec.gov/Archives/edgar/data/1743759/000119312520227100/d507744dex102a.htm" TargetMode="External"/><Relationship Id="rId130" Type="http://schemas.openxmlformats.org/officeDocument/2006/relationships/hyperlink" Target="http://www.sec.gov/Archives/edgar/data/1743759/000119312520227100/d507744dex102b.htm" TargetMode="External"/><Relationship Id="rId131" Type="http://schemas.openxmlformats.org/officeDocument/2006/relationships/hyperlink" Target="http://www.sec.gov/Archives/edgar/data/0001743759/000119312520244634/d507744dex103.htm" TargetMode="External"/><Relationship Id="rId132" Type="http://schemas.openxmlformats.org/officeDocument/2006/relationships/hyperlink" Target="http://www.sec.gov/Archives/edgar/data/0001743759/000119312520244634/d507744dex103a.htm" TargetMode="External"/><Relationship Id="rId134" Type="http://schemas.openxmlformats.org/officeDocument/2006/relationships/hyperlink" Target="http://www.sec.gov/Archives/edgar/data/0001743759/000119312520244634/d507744dex103b.htm" TargetMode="External"/><Relationship Id="rId135" Type="http://schemas.openxmlformats.org/officeDocument/2006/relationships/hyperlink" Target="http://www.sec.gov/Archives/edgar/data/0001743759/000119312520244634/d507744dex103c.htm" TargetMode="External"/><Relationship Id="rId136" Type="http://schemas.openxmlformats.org/officeDocument/2006/relationships/hyperlink" Target="http://www.sec.gov/Archives/edgar/data/0001743759/000119312520244634/d507744dex104.htm" TargetMode="External"/><Relationship Id="rId137" Type="http://schemas.openxmlformats.org/officeDocument/2006/relationships/hyperlink" Target="http://www.sec.gov/Archives/edgar/data/1743759/000119312520227100/d507744dex105a.htm" TargetMode="External"/><Relationship Id="rId138" Type="http://schemas.openxmlformats.org/officeDocument/2006/relationships/hyperlink" Target="http://www.sec.gov/Archives/edgar/data/1743759/000119312520227100/d507744dex105b.htm" TargetMode="External"/><Relationship Id="rId139" Type="http://schemas.openxmlformats.org/officeDocument/2006/relationships/hyperlink" Target="http://www.sec.gov/Archives/edgar/data/1743759/000119312520227100/d507744dex105c.htm" TargetMode="External"/><Relationship Id="rId140" Type="http://schemas.openxmlformats.org/officeDocument/2006/relationships/hyperlink" Target="http://www.sec.gov/Archives/edgar/data/1743759/000119312520227100/d507744dex106a.htm" TargetMode="External"/><Relationship Id="rId141" Type="http://schemas.openxmlformats.org/officeDocument/2006/relationships/hyperlink" Target="http://www.sec.gov/Archives/edgar/data/1743759/000119312520227100/d507744dex106b.htm" TargetMode="External"/><Relationship Id="rId142" Type="http://schemas.openxmlformats.org/officeDocument/2006/relationships/hyperlink" Target="http://www.sec.gov/Archives/edgar/data/1743759/000119312520227100/d507744dex107.htm" TargetMode="External"/><Relationship Id="rId143" Type="http://schemas.openxmlformats.org/officeDocument/2006/relationships/hyperlink" Target="http://www.sec.gov/Archives/edgar/data/1743759/000119312520227100/d507744dex108a.htm" TargetMode="External"/><Relationship Id="rId144" Type="http://schemas.openxmlformats.org/officeDocument/2006/relationships/hyperlink" Target="http://www.sec.gov/Archives/edgar/data/1743759/000119312520227100/d507744dex108b.htm" TargetMode="External"/><Relationship Id="rId145" Type="http://schemas.openxmlformats.org/officeDocument/2006/relationships/hyperlink" Target="http://www.sec.gov/Archives/edgar/data/1743759/000119312520227100/d507744dex109.htm" TargetMode="External"/><Relationship Id="rId146" Type="http://schemas.openxmlformats.org/officeDocument/2006/relationships/hyperlink" Target="http://www.sec.gov/Archives/edgar/data/1743759/000119312520227100/d507744dex1010.htm" TargetMode="External"/><Relationship Id="rId147" Type="http://schemas.openxmlformats.org/officeDocument/2006/relationships/hyperlink" Target="http://www.sec.gov/Archives/edgar/data/1743759/000119312520227100/d507744dex1011.htm" TargetMode="External"/><Relationship Id="rId148" Type="http://schemas.openxmlformats.org/officeDocument/2006/relationships/hyperlink" Target="http://www.sec.gov/Archives/edgar/data/1743759/000119312520249552/d507744dex1012.htm" TargetMode="External"/><Relationship Id="rId150" Type="http://schemas.openxmlformats.org/officeDocument/2006/relationships/hyperlink" Target="http://www.sec.gov/Archives/edgar/data/1743759/000119312520249552/d507744dex1013.htm" TargetMode="External"/><Relationship Id="rId151" Type="http://schemas.openxmlformats.org/officeDocument/2006/relationships/hyperlink" Target="http://www.sec.gov/Archives/edgar/data/1743759/000119312520249552/d507744dex1014.htm" TargetMode="External"/><Relationship Id="rId152" Type="http://schemas.openxmlformats.org/officeDocument/2006/relationships/hyperlink" Target="http://www.sec.gov/Archives/edgar/data/1743759/000119312520261460/d153834dex101.htm" TargetMode="External"/><Relationship Id="rId153" Type="http://schemas.openxmlformats.org/officeDocument/2006/relationships/hyperlink" Target="http://www.sec.gov/Archives/edgar/data/0001743759/000156459021053537/crsr-ex101_13.htm" TargetMode="External"/><Relationship Id="rId154" Type="http://schemas.openxmlformats.org/officeDocument/2006/relationships/hyperlink" Target="http://www.sec.gov/Archives/edgar/data/1743759/000156459022007822/crsr-ex1017_964.htm" TargetMode="External"/><Relationship Id="rId155" Type="http://schemas.openxmlformats.org/officeDocument/2006/relationships/hyperlink" Target="http://www.sec.gov/Archives/edgar/data/1743759/000156459022007822/crsr-ex1018_641.htm" TargetMode="External"/><Relationship Id="rId156" Type="http://schemas.openxmlformats.org/officeDocument/2006/relationships/hyperlink" Target="http://www.sec.gov/Archives/edgar/data/1743759/000156459022007822/crsr-ex1019_963.htm" TargetMode="External"/><Relationship Id="rId157" Type="http://schemas.openxmlformats.org/officeDocument/2006/relationships/hyperlink" Target="http://www.sec.gov/Archives/edgar/data/1743759/000156459022007822/crsr-ex1020_639.htm" TargetMode="External"/><Relationship Id="rId158" Type="http://schemas.openxmlformats.org/officeDocument/2006/relationships/hyperlink" Target="http://www.sec.gov/Archives/edgar/data/1743759/000156459022028032/crsr-ex102_201.htm" TargetMode="External"/><Relationship Id="rId159" Type="http://schemas.openxmlformats.org/officeDocument/2006/relationships/hyperlink" Target="http://www.sec.gov/Archives/edgar/data/1743759/000156459022028032/crsr-ex101_203.htm" TargetMode="External"/><Relationship Id="rId160" Type="http://schemas.openxmlformats.org/officeDocument/2006/relationships/hyperlink" Target="http://www.sec.gov/Archives/edgar/data/1743759/000156459022036639/crsr-ex101_45.htm" TargetMode="External"/><Relationship Id="rId161" Type="http://schemas.openxmlformats.org/officeDocument/2006/relationships/hyperlink" Target="http://www.sec.gov/Archives/edgar/data/1743759/000156459022039197/crsr-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2023-03-02T13:04:50Z</dcterms:created>
  <dcterms:modified xsi:type="dcterms:W3CDTF">2023-03-02T13:04:50Z</dcterms:modified>
</cp:coreProperties>
</file>