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4"/>
          <w:szCs w:val="24"/>
          <w:color w:val="auto"/>
        </w:rPr>
      </w:pPr>
    </w:p>
    <w:p>
      <w:pPr>
        <w:ind w:left="3860" w:right="2540" w:hanging="3852"/>
        <w:spacing w:after="0" w:line="423" w:lineRule="auto"/>
        <w:tabs>
          <w:tab w:leader="none" w:pos="47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2022</w:t>
      </w:r>
    </w:p>
    <w:p>
      <w:pPr>
        <w:spacing w:after="0" w:line="255" w:lineRule="exact"/>
        <w:rPr>
          <w:sz w:val="24"/>
          <w:szCs w:val="24"/>
          <w:color w:val="auto"/>
        </w:rPr>
      </w:pPr>
    </w:p>
    <w:p>
      <w:pPr>
        <w:ind w:left="3720" w:right="2520" w:hanging="3712"/>
        <w:spacing w:after="0" w:line="405" w:lineRule="auto"/>
        <w:tabs>
          <w:tab w:leader="none" w:pos="467"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 to 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477"/>
        </w:trPr>
        <w:tc>
          <w:tcPr>
            <w:tcW w:w="3700" w:type="dxa"/>
            <w:vAlign w:val="bottom"/>
          </w:tcPr>
          <w:p>
            <w:pPr>
              <w:spacing w:after="0"/>
              <w:rPr>
                <w:sz w:val="24"/>
                <w:szCs w:val="24"/>
                <w:color w:val="auto"/>
              </w:rPr>
            </w:pPr>
          </w:p>
        </w:tc>
        <w:tc>
          <w:tcPr>
            <w:tcW w:w="4000" w:type="dxa"/>
            <w:vAlign w:val="bottom"/>
            <w:gridSpan w:val="7"/>
          </w:tcPr>
          <w:p>
            <w:pPr>
              <w:jc w:val="center"/>
              <w:ind w:right="160"/>
              <w:spacing w:after="0"/>
              <w:rPr>
                <w:sz w:val="20"/>
                <w:szCs w:val="20"/>
                <w:color w:val="auto"/>
              </w:rPr>
            </w:pPr>
            <w:r>
              <w:rPr>
                <w:rFonts w:ascii="Times New Roman" w:cs="Times New Roman" w:eastAsia="Times New Roman" w:hAnsi="Times New Roman"/>
                <w:sz w:val="40"/>
                <w:szCs w:val="40"/>
                <w:b w:val="1"/>
                <w:bCs w:val="1"/>
                <w:color w:val="auto"/>
                <w:w w:val="98"/>
              </w:rPr>
              <w:t>Corsair Gaming, Inc.</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700" w:type="dxa"/>
            <w:vAlign w:val="bottom"/>
            <w:vMerge w:val="restart"/>
          </w:tcPr>
          <w:p>
            <w:pPr>
              <w:jc w:val="center"/>
              <w:ind w:left="186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540" w:type="dxa"/>
            <w:vAlign w:val="bottom"/>
            <w:vMerge w:val="restart"/>
          </w:tcPr>
          <w:p>
            <w:pPr>
              <w:jc w:val="center"/>
              <w:ind w:right="2008"/>
              <w:spacing w:after="0"/>
              <w:rPr>
                <w:sz w:val="20"/>
                <w:szCs w:val="20"/>
                <w:color w:val="auto"/>
              </w:rPr>
            </w:pPr>
            <w:r>
              <w:rPr>
                <w:rFonts w:ascii="Times New Roman" w:cs="Times New Roman" w:eastAsia="Times New Roman" w:hAnsi="Times New Roman"/>
                <w:sz w:val="18"/>
                <w:szCs w:val="18"/>
                <w:b w:val="1"/>
                <w:bCs w:val="1"/>
                <w:color w:val="auto"/>
                <w:w w:val="98"/>
              </w:rPr>
              <w:t>82-2335306</w:t>
            </w:r>
          </w:p>
        </w:tc>
        <w:tc>
          <w:tcPr>
            <w:tcW w:w="0" w:type="dxa"/>
            <w:vAlign w:val="bottom"/>
          </w:tcPr>
          <w:p>
            <w:pPr>
              <w:spacing w:after="0"/>
              <w:rPr>
                <w:sz w:val="1"/>
                <w:szCs w:val="1"/>
                <w:color w:val="auto"/>
              </w:rPr>
            </w:pPr>
          </w:p>
        </w:tc>
      </w:tr>
      <w:tr>
        <w:trPr>
          <w:trHeight w:val="313"/>
        </w:trPr>
        <w:tc>
          <w:tcPr>
            <w:tcW w:w="3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00" w:type="dxa"/>
            <w:vAlign w:val="bottom"/>
          </w:tcPr>
          <w:p>
            <w:pPr>
              <w:jc w:val="center"/>
              <w:ind w:left="184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540" w:type="dxa"/>
            <w:vAlign w:val="bottom"/>
          </w:tcPr>
          <w:p>
            <w:pPr>
              <w:jc w:val="center"/>
              <w:ind w:right="2008"/>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64"/>
        </w:trPr>
        <w:tc>
          <w:tcPr>
            <w:tcW w:w="3700" w:type="dxa"/>
            <w:vAlign w:val="bottom"/>
          </w:tcPr>
          <w:p>
            <w:pPr>
              <w:jc w:val="center"/>
              <w:ind w:left="186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tcPr>
          <w:p>
            <w:pPr>
              <w:jc w:val="center"/>
              <w:ind w:right="2008"/>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304"/>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115 N. McCarthy Boulevard</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Milpitas, CA 95035</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gridSpan w:val="5"/>
          </w:tcPr>
          <w:p>
            <w:pPr>
              <w:jc w:val="center"/>
              <w:ind w:right="520"/>
              <w:spacing w:after="0"/>
              <w:rPr>
                <w:sz w:val="20"/>
                <w:szCs w:val="20"/>
                <w:color w:val="auto"/>
              </w:rPr>
            </w:pPr>
            <w:r>
              <w:rPr>
                <w:rFonts w:ascii="Times New Roman" w:cs="Times New Roman" w:eastAsia="Times New Roman" w:hAnsi="Times New Roman"/>
                <w:sz w:val="13"/>
                <w:szCs w:val="13"/>
                <w:color w:val="auto"/>
                <w:w w:val="96"/>
              </w:rPr>
              <w:t>(Address of principal executive offices and zip code)</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700" w:type="dxa"/>
            <w:vAlign w:val="bottom"/>
          </w:tcPr>
          <w:p>
            <w:pPr>
              <w:spacing w:after="0"/>
              <w:rPr>
                <w:sz w:val="22"/>
                <w:szCs w:val="22"/>
                <w:color w:val="auto"/>
              </w:rPr>
            </w:pPr>
          </w:p>
        </w:tc>
        <w:tc>
          <w:tcPr>
            <w:tcW w:w="3040" w:type="dxa"/>
            <w:vAlign w:val="bottom"/>
            <w:gridSpan w:val="4"/>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(510) 657-8747</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gridSpan w:val="5"/>
          </w:tcPr>
          <w:p>
            <w:pPr>
              <w:jc w:val="center"/>
              <w:ind w:right="52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3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0"/>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20" w:type="dxa"/>
            <w:vAlign w:val="bottom"/>
            <w:gridSpan w:val="5"/>
          </w:tcPr>
          <w:p>
            <w:pPr>
              <w:jc w:val="center"/>
              <w:ind w:right="520"/>
              <w:spacing w:after="0" w:line="135" w:lineRule="exact"/>
              <w:rPr>
                <w:sz w:val="20"/>
                <w:szCs w:val="20"/>
                <w:color w:val="auto"/>
              </w:rPr>
            </w:pPr>
            <w:r>
              <w:rPr>
                <w:rFonts w:ascii="Times New Roman" w:cs="Times New Roman" w:eastAsia="Times New Roman" w:hAnsi="Times New Roman"/>
                <w:sz w:val="13"/>
                <w:szCs w:val="13"/>
                <w:color w:val="auto"/>
                <w:w w:val="96"/>
              </w:rPr>
              <w:t>(Former name, former address and former fiscal year,</w:t>
            </w: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gridSpan w:val="4"/>
          </w:tcPr>
          <w:p>
            <w:pPr>
              <w:jc w:val="center"/>
              <w:ind w:right="960"/>
              <w:spacing w:after="0"/>
              <w:rPr>
                <w:sz w:val="20"/>
                <w:szCs w:val="20"/>
                <w:color w:val="auto"/>
              </w:rPr>
            </w:pPr>
            <w:r>
              <w:rPr>
                <w:rFonts w:ascii="Times New Roman" w:cs="Times New Roman" w:eastAsia="Times New Roman" w:hAnsi="Times New Roman"/>
                <w:sz w:val="13"/>
                <w:szCs w:val="13"/>
                <w:color w:val="auto"/>
                <w:w w:val="96"/>
              </w:rPr>
              <w:t>if changed since last report)</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9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7700" w:type="dxa"/>
            <w:vAlign w:val="bottom"/>
            <w:gridSpan w:val="8"/>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700" w:type="dxa"/>
            <w:vAlign w:val="bottom"/>
          </w:tcPr>
          <w:p>
            <w:pPr>
              <w:ind w:left="15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gridSpan w:val="4"/>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540" w:type="dxa"/>
            <w:vAlign w:val="bottom"/>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04"/>
        </w:trPr>
        <w:tc>
          <w:tcPr>
            <w:tcW w:w="37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CRSR</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308"/>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24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jc w:val="both"/>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1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25, 2022, the registrant had 95,988,656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80" w:type="dxa"/>
            <w:vAlign w:val="bottom"/>
            <w:gridSpan w:val="10"/>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21"/>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 Three and Nine Months Ended September 30, 2022 and September 30,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 Three and Nine Months Ended September 30, 2022 and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September 30, 2021</w:t>
            </w:r>
          </w:p>
        </w:tc>
        <w:tc>
          <w:tcPr>
            <w:tcW w:w="7800" w:type="dxa"/>
            <w:vAlign w:val="bottom"/>
            <w:tcBorders>
              <w:top w:val="single" w:sz="8" w:color="0000EE"/>
            </w:tcBorders>
            <w:gridSpan w:val="14"/>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 As of September 30, 2022 and December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Shareholder’s Equity - Three and Nine Months Ended September 30, 2022 and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September 30, 2021</w:t>
            </w:r>
          </w:p>
        </w:tc>
        <w:tc>
          <w:tcPr>
            <w:tcW w:w="7100" w:type="dxa"/>
            <w:vAlign w:val="bottom"/>
            <w:tcBorders>
              <w:top w:val="single" w:sz="8" w:color="0000EE"/>
            </w:tcBorders>
            <w:gridSpan w:val="11"/>
          </w:tcPr>
          <w:p>
            <w:pPr>
              <w:spacing w:after="0"/>
              <w:rPr>
                <w:sz w:val="17"/>
                <w:szCs w:val="17"/>
                <w:color w:val="auto"/>
              </w:rPr>
            </w:pPr>
          </w:p>
        </w:tc>
        <w:tc>
          <w:tcPr>
            <w:tcW w:w="7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 Nine Months Ended September 30, 2022 and September 30,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6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4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8"/>
                <w:szCs w:val="18"/>
                <w:color w:val="auto"/>
              </w:rPr>
            </w:pPr>
          </w:p>
        </w:tc>
        <w:tc>
          <w:tcPr>
            <w:tcW w:w="496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43" w:lineRule="exact"/>
        <w:rPr>
          <w:sz w:val="20"/>
          <w:szCs w:val="20"/>
          <w:color w:val="auto"/>
        </w:rPr>
      </w:pPr>
    </w:p>
    <w:p>
      <w:pPr>
        <w:ind w:right="360" w:firstLine="51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22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II, Item 1A, “Risk Factors” in this Quarterly Report on Form 10-Q.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311,769</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391,121</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976,368</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289,759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777,593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(16,656)</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(15,854)</w:t>
            </w: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Calculation of net income (loss) per share attributable to common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of Corsair Gaming,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(6,211)</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(61,097)</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620" w:type="dxa"/>
            <w:vAlign w:val="bottom"/>
            <w:tcBorders>
              <w:top w:val="single" w:sz="8" w:color="CFF0FC"/>
            </w:tcBorders>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of Corsair</w:t>
            </w: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Gaming, Inc.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(8,901)</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(73,427)</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of Corsair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Gaming,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(0.77)</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9"/>
                <w:szCs w:val="19"/>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19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9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(5,945)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(61,064)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2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 benefit</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of $520 and $0 for the three months ended September 30, 2022 and 2021,</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respectively, and $507 and $0 for the nine months ended</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September 30, 2022 and 2021, respectively</w:t>
            </w: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(1,943)</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(13,173)</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r>
      <w:tr>
        <w:trPr>
          <w:trHeight w:val="211"/>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foreign exchange (loss) from long-term intercompany loans,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of tax benefit of $53 and $24 for the three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September 30, 2022 and 2021, respectively, and $127 and $56 for the nine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months ended September 30, 2022 and 2021, respectively</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Corsair Gaming,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(73,920</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862"/>
        </w:trPr>
        <w:tc>
          <w:tcPr>
            <w:tcW w:w="1360" w:type="dxa"/>
            <w:vAlign w:val="bottom"/>
            <w:tcBorders>
              <w:top w:val="single" w:sz="8" w:color="0000EE"/>
            </w:tcBorders>
          </w:tcPr>
          <w:p>
            <w:pPr>
              <w:spacing w:after="0"/>
              <w:rPr>
                <w:sz w:val="24"/>
                <w:szCs w:val="24"/>
                <w:color w:val="auto"/>
              </w:rPr>
            </w:pPr>
          </w:p>
        </w:tc>
        <w:tc>
          <w:tcPr>
            <w:tcW w:w="63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Corsair Gaming,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638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63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amounts)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3"/>
        </w:trPr>
        <w:tc>
          <w:tcPr>
            <w:tcW w:w="13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3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r>
      <w:tr>
        <w:trPr>
          <w:trHeight w:val="223"/>
        </w:trPr>
        <w:tc>
          <w:tcPr>
            <w:tcW w:w="13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57,275</w:t>
            </w: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291,287</w:t>
            </w:r>
          </w:p>
        </w:tc>
        <w:tc>
          <w:tcPr>
            <w:tcW w:w="12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298,315</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705,775</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317,054</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225,709</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20" w:type="dxa"/>
            <w:vAlign w:val="bottom"/>
            <w:shd w:val="clear" w:color="auto" w:fill="CFF0FC"/>
          </w:tcPr>
          <w:p>
            <w:pPr>
              <w:spacing w:after="0"/>
              <w:rPr>
                <w:sz w:val="19"/>
                <w:szCs w:val="19"/>
                <w:color w:val="auto"/>
              </w:rPr>
            </w:pPr>
          </w:p>
        </w:tc>
      </w:tr>
      <w:tr>
        <w:trPr>
          <w:trHeight w:val="263"/>
        </w:trPr>
        <w:tc>
          <w:tcPr>
            <w:tcW w:w="7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1,183,268</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1,337,396</w:t>
            </w:r>
          </w:p>
        </w:tc>
        <w:tc>
          <w:tcPr>
            <w:tcW w:w="120" w:type="dxa"/>
            <w:vAlign w:val="bottom"/>
            <w:tcBorders>
              <w:bottom w:val="single" w:sz="8" w:color="CFF0FC"/>
            </w:tcBorders>
          </w:tcPr>
          <w:p>
            <w:pPr>
              <w:spacing w:after="0"/>
              <w:rPr>
                <w:sz w:val="22"/>
                <w:szCs w:val="22"/>
                <w:color w:val="auto"/>
              </w:rPr>
            </w:pPr>
          </w:p>
        </w:tc>
      </w:tr>
      <w:tr>
        <w:trPr>
          <w:trHeight w:val="21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 maturing within one year</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236,120</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205,874</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446,747</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628,299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769,216</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Corsair Gaming, Inc. stockholders’ equity:</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nil and nil shares issued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 outstanding as of September 30, 2022 and December 31, 2021,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300,000 shares authorized, 95,950 and 94,510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as of September 30, 2022 and December 31, 2021,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0"/>
                <w:szCs w:val="20"/>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470,364</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98,147</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7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Corsair Gaming, Inc.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516,200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Nonredeemable noncontrolling interests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permanent equity</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526,992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temporary equity and permanent equity</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1,183,268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1,337,396</w:t>
            </w:r>
          </w:p>
        </w:tc>
        <w:tc>
          <w:tcPr>
            <w:tcW w:w="12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1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Gaming, Inc.</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6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86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2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95,780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498,741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33,621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(7,660)</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524,712</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10,900</w:t>
            </w:r>
          </w:p>
        </w:tc>
        <w:tc>
          <w:tcPr>
            <w:tcW w:w="120" w:type="dxa"/>
            <w:vAlign w:val="bottom"/>
            <w:shd w:val="clear" w:color="auto" w:fill="CFF0FC"/>
          </w:tcPr>
          <w:p>
            <w:pPr>
              <w:spacing w:after="0"/>
              <w:rPr>
                <w:sz w:val="18"/>
                <w:szCs w:val="18"/>
                <w:color w:val="auto"/>
              </w:rPr>
            </w:pPr>
          </w:p>
        </w:tc>
        <w:tc>
          <w:tcPr>
            <w:tcW w:w="2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535,612</w:t>
            </w:r>
          </w:p>
        </w:tc>
        <w:tc>
          <w:tcPr>
            <w:tcW w:w="60" w:type="dxa"/>
            <w:vAlign w:val="bottom"/>
            <w:shd w:val="clear" w:color="auto" w:fill="CFF0FC"/>
          </w:tcPr>
          <w:p>
            <w:pPr>
              <w:spacing w:after="0"/>
              <w:rPr>
                <w:sz w:val="18"/>
                <w:szCs w:val="18"/>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(6,211)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(6,102)</w:t>
            </w:r>
          </w:p>
        </w:tc>
      </w:tr>
      <w:tr>
        <w:trPr>
          <w:trHeight w:val="219"/>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(5,503)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(5,503)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(5,720)</w:t>
            </w: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redemption value of</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(2,690)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(2,690)</w:t>
            </w:r>
          </w:p>
        </w:tc>
      </w:tr>
      <w:tr>
        <w:trPr>
          <w:trHeight w:val="205"/>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connection with employee equity</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624</w:t>
            </w:r>
          </w:p>
        </w:tc>
        <w:tc>
          <w:tcPr>
            <w:tcW w:w="60" w:type="dxa"/>
            <w:vAlign w:val="bottom"/>
            <w:shd w:val="clear" w:color="auto" w:fill="CFF0FC"/>
          </w:tcPr>
          <w:p>
            <w:pPr>
              <w:spacing w:after="0"/>
              <w:rPr>
                <w:sz w:val="18"/>
                <w:szCs w:val="18"/>
                <w:color w:val="auto"/>
              </w:rPr>
            </w:pP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(402)</w:t>
            </w:r>
          </w:p>
        </w:tc>
      </w:tr>
      <w:tr>
        <w:trPr>
          <w:trHeight w:val="219"/>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5,670</w:t>
            </w:r>
          </w:p>
        </w:tc>
        <w:tc>
          <w:tcPr>
            <w:tcW w:w="60" w:type="dxa"/>
            <w:vAlign w:val="bottom"/>
            <w:shd w:val="clear" w:color="auto" w:fill="CFF0FC"/>
          </w:tcPr>
          <w:p>
            <w:pPr>
              <w:spacing w:after="0"/>
              <w:rPr>
                <w:sz w:val="19"/>
                <w:szCs w:val="19"/>
                <w:color w:val="auto"/>
              </w:rPr>
            </w:pPr>
          </w:p>
        </w:tc>
      </w:tr>
      <w:tr>
        <w:trPr>
          <w:trHeight w:val="207"/>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95,950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504,633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516,200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526,992</w:t>
            </w:r>
          </w:p>
        </w:tc>
        <w:tc>
          <w:tcPr>
            <w:tcW w:w="6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0" w:type="dxa"/>
            <w:vAlign w:val="bottom"/>
          </w:tcPr>
          <w:p>
            <w:pPr>
              <w:spacing w:after="0"/>
              <w:rPr>
                <w:sz w:val="17"/>
                <w:szCs w:val="17"/>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Gaming, Inc.</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6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9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11"/>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93,790</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456,010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71,655</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529,686</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529,686</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(2,064)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(2,064)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(2,064)</w:t>
            </w: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 employee equity incentive plans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settlement</w:t>
            </w:r>
          </w:p>
        </w:tc>
        <w:tc>
          <w:tcPr>
            <w:tcW w:w="8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(208)</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(208)</w:t>
            </w: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September 30, 2021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94,186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463,626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73,432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537,015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537,015</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6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86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2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470,364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98,147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568,180</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568,180</w:t>
            </w:r>
          </w:p>
        </w:tc>
        <w:tc>
          <w:tcPr>
            <w:tcW w:w="60" w:type="dxa"/>
            <w:vAlign w:val="bottom"/>
            <w:shd w:val="clear" w:color="auto" w:fill="CFF0FC"/>
          </w:tcPr>
          <w:p>
            <w:pPr>
              <w:spacing w:after="0"/>
              <w:rPr>
                <w:sz w:val="18"/>
                <w:szCs w:val="18"/>
                <w:color w:val="auto"/>
              </w:rPr>
            </w:pP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relation to</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acquisition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14,505</w:t>
            </w:r>
          </w:p>
        </w:tc>
        <w:tc>
          <w:tcPr>
            <w:tcW w:w="60" w:type="dxa"/>
            <w:vAlign w:val="bottom"/>
          </w:tcPr>
          <w:p>
            <w:pPr>
              <w:spacing w:after="0"/>
              <w:rPr>
                <w:sz w:val="18"/>
                <w:szCs w:val="18"/>
                <w:color w:val="auto"/>
              </w:rPr>
            </w:pPr>
          </w:p>
        </w:tc>
      </w:tr>
      <w:tr>
        <w:trPr>
          <w:trHeight w:val="205"/>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interests from business</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combination</w:t>
            </w:r>
          </w:p>
        </w:tc>
        <w:tc>
          <w:tcPr>
            <w:tcW w:w="10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12,084</w:t>
            </w:r>
          </w:p>
        </w:tc>
        <w:tc>
          <w:tcPr>
            <w:tcW w:w="60" w:type="dxa"/>
            <w:vAlign w:val="bottom"/>
            <w:shd w:val="clear" w:color="auto" w:fill="CFF0FC"/>
          </w:tcPr>
          <w:p>
            <w:pPr>
              <w:spacing w:after="0"/>
              <w:rPr>
                <w:sz w:val="18"/>
                <w:szCs w:val="18"/>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(61,097)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(61,097)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(61,083)</w:t>
            </w:r>
          </w:p>
        </w:tc>
      </w:tr>
      <w:tr>
        <w:trPr>
          <w:trHeight w:val="219"/>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(12,823)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(12,823)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(406)</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(13,229)</w:t>
            </w: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redemption value of</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(12,330)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(12,330)</w:t>
            </w:r>
          </w:p>
        </w:tc>
      </w:tr>
      <w:tr>
        <w:trPr>
          <w:trHeight w:val="205"/>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Dividend paid to nonredeemable</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(900)</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(900)</w:t>
            </w: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connection with employee equity</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4,132</w:t>
            </w:r>
          </w:p>
        </w:tc>
        <w:tc>
          <w:tcPr>
            <w:tcW w:w="60" w:type="dxa"/>
            <w:vAlign w:val="bottom"/>
          </w:tcPr>
          <w:p>
            <w:pPr>
              <w:spacing w:after="0"/>
              <w:rPr>
                <w:sz w:val="18"/>
                <w:szCs w:val="18"/>
                <w:color w:val="auto"/>
              </w:rPr>
            </w:pPr>
          </w:p>
        </w:tc>
      </w:tr>
      <w:tr>
        <w:trPr>
          <w:trHeight w:val="205"/>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settlement</w:t>
            </w: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(1,379)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(1,379)</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(1,379)</w:t>
            </w: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17,012</w:t>
            </w:r>
          </w:p>
        </w:tc>
        <w:tc>
          <w:tcPr>
            <w:tcW w:w="60" w:type="dxa"/>
            <w:vAlign w:val="bottom"/>
          </w:tcPr>
          <w:p>
            <w:pPr>
              <w:spacing w:after="0"/>
              <w:rPr>
                <w:sz w:val="18"/>
                <w:szCs w:val="18"/>
                <w:color w:val="auto"/>
              </w:rPr>
            </w:pPr>
          </w:p>
        </w:tc>
      </w:tr>
      <w:tr>
        <w:trPr>
          <w:trHeight w:val="209"/>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95,950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504,633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516,200</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526,992</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96"/>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7"/>
                <w:szCs w:val="17"/>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6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6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9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80" w:type="dxa"/>
            <w:vAlign w:val="bottom"/>
          </w:tcPr>
          <w:p>
            <w:pPr>
              <w:spacing w:after="0"/>
              <w:rPr>
                <w:sz w:val="18"/>
                <w:szCs w:val="18"/>
                <w:color w:val="auto"/>
              </w:rPr>
            </w:pP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11"/>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91,935</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438,667</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(2,813)</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437,390</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437,390</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76,245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76,245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(1,579)</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(1,579)</w:t>
            </w: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 employee equity incentive plans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11,493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settlement</w:t>
            </w:r>
          </w:p>
        </w:tc>
        <w:tc>
          <w:tcPr>
            <w:tcW w:w="8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(215)</w:t>
            </w: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September 30, 2021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94,186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463,626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73,432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537,015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537,015</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jc w:val="center"/>
              <w:ind w:left="3711"/>
              <w:spacing w:after="0"/>
              <w:rPr>
                <w:sz w:val="20"/>
                <w:szCs w:val="20"/>
                <w:color w:val="auto"/>
              </w:rPr>
            </w:pPr>
            <w:r>
              <w:rPr>
                <w:rFonts w:ascii="Times New Roman" w:cs="Times New Roman" w:eastAsia="Times New Roman" w:hAnsi="Times New Roman"/>
                <w:sz w:val="16"/>
                <w:szCs w:val="16"/>
                <w:b w:val="1"/>
                <w:bCs w:val="1"/>
                <w:color w:val="auto"/>
              </w:rPr>
              <w:t>Corsair Gaming, Inc.</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jc w:val="center"/>
              <w:ind w:left="373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40" w:type="dxa"/>
            <w:vAlign w:val="bottom"/>
          </w:tcPr>
          <w:p>
            <w:pPr>
              <w:jc w:val="center"/>
              <w:ind w:left="3711"/>
              <w:spacing w:after="0"/>
              <w:rPr>
                <w:sz w:val="20"/>
                <w:szCs w:val="20"/>
                <w:color w:val="auto"/>
              </w:rPr>
            </w:pPr>
            <w:r>
              <w:rPr>
                <w:rFonts w:ascii="Times New Roman" w:cs="Times New Roman" w:eastAsia="Times New Roman" w:hAnsi="Times New Roman"/>
                <w:sz w:val="16"/>
                <w:szCs w:val="16"/>
                <w:b w:val="1"/>
                <w:bCs w:val="1"/>
                <w:color w:val="auto"/>
              </w:rPr>
              <w:t>(Unaudited, in thousands)</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(61,064)</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33,924</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issuance costs amortization</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(19,552)</w:t>
            </w: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(6,556)</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133,362</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(102,896)</w:t>
            </w:r>
          </w:p>
        </w:tc>
        <w:tc>
          <w:tcPr>
            <w:tcW w:w="0" w:type="dxa"/>
            <w:vAlign w:val="bottom"/>
          </w:tcPr>
          <w:p>
            <w:pPr>
              <w:spacing w:after="0"/>
              <w:rPr>
                <w:sz w:val="1"/>
                <w:szCs w:val="1"/>
                <w:color w:val="auto"/>
              </w:rPr>
            </w:pPr>
          </w:p>
        </w:tc>
      </w:tr>
      <w:tr>
        <w:trPr>
          <w:trHeight w:val="22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(7,132)</w:t>
            </w:r>
          </w:p>
        </w:tc>
        <w:tc>
          <w:tcPr>
            <w:tcW w:w="6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(7,790)</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(74,091)</w:t>
            </w: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(51,842)</w:t>
            </w:r>
          </w:p>
        </w:tc>
        <w:tc>
          <w:tcPr>
            <w:tcW w:w="0" w:type="dxa"/>
            <w:vAlign w:val="bottom"/>
          </w:tcPr>
          <w:p>
            <w:pPr>
              <w:spacing w:after="0"/>
              <w:rPr>
                <w:sz w:val="1"/>
                <w:szCs w:val="1"/>
                <w:color w:val="auto"/>
              </w:rPr>
            </w:pPr>
          </w:p>
        </w:tc>
      </w:tr>
      <w:tr>
        <w:trPr>
          <w:trHeight w:val="22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(41,243)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45,142</w:t>
            </w:r>
          </w:p>
        </w:tc>
        <w:tc>
          <w:tcPr>
            <w:tcW w:w="3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(19,534)</w:t>
            </w: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contingent consideration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6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(19,850)</w:t>
            </w: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available-for-sale convertible note</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6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(40,479)</w:t>
            </w:r>
          </w:p>
        </w:tc>
        <w:tc>
          <w:tcPr>
            <w:tcW w:w="3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 net</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debt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w:t>
            </w:r>
          </w:p>
        </w:tc>
        <w:tc>
          <w:tcPr>
            <w:tcW w:w="6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(326,974)</w:t>
            </w: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 from line of credit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626,000</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(626,000)</w:t>
            </w: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6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shares through employee equity incentive plans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taxes related to net share settlement of equity awards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(1,399)</w:t>
            </w:r>
          </w:p>
        </w:tc>
        <w:tc>
          <w:tcPr>
            <w:tcW w:w="6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(2,205)</w:t>
            </w: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300" w:type="dxa"/>
            <w:vAlign w:val="bottom"/>
            <w:tcBorders>
              <w:bottom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restricted cash at the beginning of the period</w:t>
            </w:r>
          </w:p>
        </w:tc>
        <w:tc>
          <w:tcPr>
            <w:tcW w:w="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65,380</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restricted cash at the end of the period</w:t>
            </w:r>
          </w:p>
        </w:tc>
        <w:tc>
          <w:tcPr>
            <w:tcW w:w="4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61,682</w:t>
            </w:r>
          </w:p>
        </w:tc>
        <w:tc>
          <w:tcPr>
            <w:tcW w:w="3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300" w:type="dxa"/>
            <w:vAlign w:val="bottom"/>
          </w:tcPr>
          <w:p>
            <w:pPr>
              <w:spacing w:after="0"/>
              <w:rPr>
                <w:sz w:val="19"/>
                <w:szCs w:val="19"/>
                <w:color w:val="auto"/>
              </w:rPr>
            </w:pP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Equipment purchased and unpaid at period end</w:t>
            </w:r>
          </w:p>
        </w:tc>
        <w:tc>
          <w:tcPr>
            <w:tcW w:w="1040" w:type="dxa"/>
            <w:vAlign w:val="bottom"/>
            <w:gridSpan w:val="2"/>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common stock relating to business acquisition</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 unpaid at period end</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19" w:lineRule="exact"/>
        <w:rPr>
          <w:sz w:val="20"/>
          <w:szCs w:val="20"/>
          <w:color w:val="auto"/>
        </w:rPr>
      </w:pPr>
    </w:p>
    <w:p>
      <w:pPr>
        <w:ind w:right="360" w:firstLine="382"/>
        <w:spacing w:after="0" w:line="267" w:lineRule="auto"/>
        <w:rPr>
          <w:sz w:val="20"/>
          <w:szCs w:val="20"/>
          <w:color w:val="auto"/>
        </w:rPr>
      </w:pPr>
      <w:r>
        <w:rPr>
          <w:rFonts w:ascii="Times New Roman" w:cs="Times New Roman" w:eastAsia="Times New Roman" w:hAnsi="Times New Roman"/>
          <w:sz w:val="18"/>
          <w:szCs w:val="18"/>
          <w:color w:val="auto"/>
        </w:rPr>
        <w:t xml:space="preserve">Corsair Gaming, Inc., a Delaware corporation, together with its subsidiaries </w:t>
      </w:r>
      <w:r>
        <w:rPr>
          <w:rFonts w:ascii="Times New Roman" w:cs="Times New Roman" w:eastAsia="Times New Roman" w:hAnsi="Times New Roman"/>
          <w:sz w:val="18"/>
          <w:szCs w:val="18"/>
          <w:i w:val="1"/>
          <w:iCs w:val="1"/>
          <w:color w:val="auto"/>
        </w:rPr>
        <w:t>(collectively, “Corsair” the “Company”, “we”, “us”, or “our”)</w:t>
      </w:r>
      <w:r>
        <w:rPr>
          <w:rFonts w:ascii="Times New Roman" w:cs="Times New Roman" w:eastAsia="Times New Roman" w:hAnsi="Times New Roman"/>
          <w:sz w:val="18"/>
          <w:szCs w:val="18"/>
          <w:color w:val="auto"/>
        </w:rPr>
        <w:t>, is a global provider and innovator of high-performance gear for gamers, streamers and content creators, many of which build their own PCs using our components.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Corsair is organized into two reportable segments:</w:t>
      </w:r>
    </w:p>
    <w:p>
      <w:pPr>
        <w:spacing w:after="0" w:line="113" w:lineRule="exact"/>
        <w:rPr>
          <w:sz w:val="20"/>
          <w:szCs w:val="20"/>
          <w:color w:val="auto"/>
        </w:rPr>
      </w:pPr>
    </w:p>
    <w:p>
      <w:pPr>
        <w:jc w:val="both"/>
        <w:ind w:left="760" w:right="120" w:hanging="374"/>
        <w:spacing w:after="0" w:line="268"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our streaming gear,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224" w:lineRule="exact"/>
        <w:rPr>
          <w:rFonts w:ascii="Times New Roman" w:cs="Times New Roman" w:eastAsia="Times New Roman" w:hAnsi="Times New Roman"/>
          <w:sz w:val="18"/>
          <w:szCs w:val="18"/>
          <w:color w:val="auto"/>
        </w:rPr>
      </w:pPr>
    </w:p>
    <w:p>
      <w:pPr>
        <w:ind w:left="760" w:right="360" w:hanging="374"/>
        <w:spacing w:after="0" w:line="286"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laptops, and gaming monitor, among others.</w:t>
      </w:r>
    </w:p>
    <w:p>
      <w:pPr>
        <w:spacing w:after="0" w:line="26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 xml:space="preserve">Our interim condensed consolidated financial statements have been prepared in accordance with U.S. generally accepted accounting principles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and applicable rules and regulations of the U.S. Securities and Exchange Commission</w:t>
      </w:r>
      <w:r>
        <w:rPr>
          <w:rFonts w:ascii="Times New Roman" w:cs="Times New Roman" w:eastAsia="Times New Roman" w:hAnsi="Times New Roman"/>
          <w:sz w:val="18"/>
          <w:szCs w:val="18"/>
          <w:i w:val="1"/>
          <w:iCs w:val="1"/>
          <w:color w:val="auto"/>
        </w:rPr>
        <w:t xml:space="preserve"> (“SEC”) </w:t>
      </w:r>
      <w:r>
        <w:rPr>
          <w:rFonts w:ascii="Times New Roman" w:cs="Times New Roman" w:eastAsia="Times New Roman" w:hAnsi="Times New Roman"/>
          <w:sz w:val="18"/>
          <w:szCs w:val="18"/>
          <w:color w:val="auto"/>
        </w:rPr>
        <w:t>regarding interim financial reporting.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we follow are set forth in Part II, Item 8, Note 2, “Significant Accounting Policies”, of the Notes to the Consolidated Financial Statements included in our Annual Report on Form 10K for the year ended December 31, 2021 which was filed with the SEC on March 1, 2022.</w:t>
      </w:r>
    </w:p>
    <w:p>
      <w:pPr>
        <w:spacing w:after="0" w:line="182"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2021, included in our Annual Report on Form 10-K.</w:t>
      </w:r>
    </w:p>
    <w:p>
      <w:pPr>
        <w:spacing w:after="0" w:line="183"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September 30, 2022 and our results of operations for the three and nine months ended September 30, 2022 and 2021. The results for the three and nine months ended September 30, 2022 are not necessarily indicative of the results expected for the current fiscal year or any other future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40" w:firstLine="427"/>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Corsair and its wholly 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interests.</w:t>
      </w:r>
    </w:p>
    <w:p>
      <w:pPr>
        <w:spacing w:after="0" w:line="176"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8"/>
          <w:szCs w:val="18"/>
          <w:color w:val="auto"/>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72" w:lineRule="exact"/>
        <w:rPr>
          <w:sz w:val="20"/>
          <w:szCs w:val="20"/>
          <w:color w:val="auto"/>
        </w:rPr>
      </w:pPr>
    </w:p>
    <w:p>
      <w:pPr>
        <w:jc w:val="both"/>
        <w:ind w:firstLine="421"/>
        <w:spacing w:after="0" w:line="266" w:lineRule="auto"/>
        <w:rPr>
          <w:sz w:val="20"/>
          <w:szCs w:val="20"/>
          <w:color w:val="auto"/>
        </w:rPr>
      </w:pPr>
      <w:r>
        <w:rPr>
          <w:rFonts w:ascii="Times New Roman" w:cs="Times New Roman" w:eastAsia="Times New Roman" w:hAnsi="Times New Roman"/>
          <w:sz w:val="18"/>
          <w:szCs w:val="18"/>
          <w:color w:val="auto"/>
        </w:rPr>
        <w:t>On January 1, 2022 (the “Closing” or “Closing Date”), we completed the acquisition of a 51% ownership stake in Elgato iDisplay Holdings LTD. and its related companies (together “iDisplay”). (See Note 5, “Business Combination - iDisplay Acquisition” for more details on the iDisplay Acquisition). We have determined that iDisplay does not qualify as a VIE and Corsair has a controlling financial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 iDisplay under the VOE model and therefore, iDisplay’s results of operations are fully consolidated with Corsair with effect from January 1, 2022. As a result, we recorded net income of $0.3 million and $33 thousand attributable to noncontrolling interests in our condensed consolidated statement of operations for the three and nine months ended September 30, 2022, respectively, equal to the 49% of the ownership interest retained in iDisplay by the noncontrolling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260" w:firstLine="382"/>
        <w:spacing w:after="0" w:line="282" w:lineRule="auto"/>
        <w:rPr>
          <w:sz w:val="20"/>
          <w:szCs w:val="20"/>
          <w:color w:val="auto"/>
        </w:rPr>
      </w:pPr>
      <w:r>
        <w:rPr>
          <w:rFonts w:ascii="Times New Roman" w:cs="Times New Roman" w:eastAsia="Times New Roman" w:hAnsi="Times New Roman"/>
          <w:sz w:val="18"/>
          <w:szCs w:val="18"/>
          <w:color w:val="auto"/>
        </w:rPr>
        <w:t>We have included both redeemable noncontrolling interests and noncontrolling interests in our condensed consolidated balance sheet in connection with our consolidation of the 51% ownership of iDisplay.</w:t>
      </w:r>
    </w:p>
    <w:p>
      <w:pPr>
        <w:spacing w:after="0" w:line="54"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Redeemable noncontrolling interests that are redeemable and not solely within our control are classified within temporary equity in the condensed consolidated balance sheets. Redeemable noncontrolling interests are measured at the greater of the redemption value (calculated based on the formula stipulated in the Shareholders Agreement between the iDisplay seller and Corsair and, including the amounts for dividends not currently declared or paid, for which the payment is not solely within our control), or the carrying value before giving effect to the redemption feature. The redeemable noncontrolling interests are recorded at their maximum redemption value at each reporting date. The redemption value is remeasured each quarter and changes in the value are recognized immediately. Any resulting change in the value of the redeemable noncontrolling interests is recognized through retained earnings and this adjustment also impacts the net income or loss attributable to common stockholders of Corsair Gaming, Inc used in the net income (loss) per share calculation. (See Note 15 for more information regarding the redeemable noncontrolling interests).</w:t>
      </w:r>
    </w:p>
    <w:p>
      <w:pPr>
        <w:spacing w:after="0" w:line="84" w:lineRule="exact"/>
        <w:rPr>
          <w:sz w:val="20"/>
          <w:szCs w:val="20"/>
          <w:color w:val="auto"/>
        </w:rPr>
      </w:pPr>
    </w:p>
    <w:p>
      <w:pPr>
        <w:ind w:right="260" w:firstLine="382"/>
        <w:spacing w:after="0" w:line="282" w:lineRule="auto"/>
        <w:rPr>
          <w:sz w:val="20"/>
          <w:szCs w:val="20"/>
          <w:color w:val="auto"/>
        </w:rPr>
      </w:pPr>
      <w:r>
        <w:rPr>
          <w:rFonts w:ascii="Times New Roman" w:cs="Times New Roman" w:eastAsia="Times New Roman" w:hAnsi="Times New Roman"/>
          <w:sz w:val="18"/>
          <w:szCs w:val="18"/>
          <w:color w:val="auto"/>
        </w:rPr>
        <w:t>In addition, we have noncontrolling interests recorded at carrying value which do not have redemption features and are classified within permanent equity in our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tax.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Actual results could differ materially from those estimates due to risks and uncertainties, including uncertainty in the current economic environment.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8"/>
          <w:szCs w:val="18"/>
          <w:color w:val="auto"/>
        </w:rPr>
        <w:t>In February 2022, Russia invaded Ukraine resulting in, among other things, broad economic sanctions being imposed on Russia, and Russia’s drastic reduction in supply of natural gas to Europe in response, which has further increased existing global supply chain, logistics, and inflationary challenges and energy costs. Although our business in Russia and Ukraine was not material to our results, we believe the war has degraded the consumer sentiment in Europe and coupled with the unexpected worldwide inflationary pressures and the negative impacts from the strengthening of the U.S. dollar, has dampened consumer spending, which led to the 20.3% and 29.9% decrease in our net revenue in the three and nine months ended September 30, 2022, respectively, compared to the same periods last year.</w:t>
      </w:r>
    </w:p>
    <w:p>
      <w:pPr>
        <w:spacing w:after="0" w:line="79" w:lineRule="exact"/>
        <w:rPr>
          <w:sz w:val="20"/>
          <w:szCs w:val="20"/>
          <w:color w:val="auto"/>
        </w:rPr>
      </w:pPr>
    </w:p>
    <w:p>
      <w:pPr>
        <w:jc w:val="both"/>
        <w:ind w:firstLine="348"/>
        <w:spacing w:after="0" w:line="256" w:lineRule="auto"/>
        <w:rPr>
          <w:sz w:val="20"/>
          <w:szCs w:val="20"/>
          <w:color w:val="auto"/>
        </w:rPr>
      </w:pPr>
      <w:r>
        <w:rPr>
          <w:rFonts w:ascii="Times New Roman" w:cs="Times New Roman" w:eastAsia="Times New Roman" w:hAnsi="Times New Roman"/>
          <w:sz w:val="18"/>
          <w:szCs w:val="18"/>
          <w:color w:val="auto"/>
        </w:rPr>
        <w:t>Due to the COVID-19 pandemic, there has been and will continue to be uncertainty and disruption in the global economy and financial markets. Since early 2020 through the first half of 2021, we have experienced an increase in demand for our gear as more people were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resulted in shelter-in-place and other similar restrictions being eased. Such easing of restrictions has resulted in consumers returning to other alternative forms of entertainment and interaction. This in turn has resulted in a decline in demand for our products since the second half of 2021.</w:t>
      </w:r>
    </w:p>
    <w:p>
      <w:pPr>
        <w:spacing w:after="0" w:line="79" w:lineRule="exact"/>
        <w:rPr>
          <w:sz w:val="20"/>
          <w:szCs w:val="20"/>
          <w:color w:val="auto"/>
        </w:rPr>
      </w:pPr>
    </w:p>
    <w:p>
      <w:pPr>
        <w:jc w:val="both"/>
        <w:ind w:firstLine="348"/>
        <w:spacing w:after="0" w:line="266" w:lineRule="auto"/>
        <w:rPr>
          <w:sz w:val="20"/>
          <w:szCs w:val="20"/>
          <w:color w:val="auto"/>
        </w:rPr>
      </w:pPr>
      <w:r>
        <w:rPr>
          <w:rFonts w:ascii="Times New Roman" w:cs="Times New Roman" w:eastAsia="Times New Roman" w:hAnsi="Times New Roman"/>
          <w:sz w:val="18"/>
          <w:szCs w:val="18"/>
          <w:color w:val="auto"/>
        </w:rPr>
        <w:t>In addition, we have experienced and may in the future continue to experience supply chain challenges, including longer production and shipping times, and increased shipping and logistics costs, each of which has negatively impacted our gross margins, as well as the need to purchase long-lead time items ahead of demand due to supply constraints.</w:t>
      </w:r>
    </w:p>
    <w:p>
      <w:pPr>
        <w:spacing w:after="0" w:line="6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extent of the impact of macroeconomic conditions, the COVID-19 pandemic and geopolitical tensions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During the second fiscal quarter of 2022, as part of the plan to rationalize inventory level to align with our updated revenue outlook for 2022, we increased our inventory impairment and related charges by approximately $22.7 million, as compared to the same period last year. In the third fiscal quarter of 2022, we have seen the excess inventory situation in the distribution channels begin to ease in the United States. Inventory impairment and related charges, of a routine nature, were recognized in the three months ended September 30, 2022, and the amount was immaterial.</w:t>
      </w:r>
    </w:p>
    <w:p>
      <w:pPr>
        <w:spacing w:after="0" w:line="72" w:lineRule="exact"/>
        <w:rPr>
          <w:sz w:val="20"/>
          <w:szCs w:val="20"/>
          <w:color w:val="auto"/>
        </w:rPr>
      </w:pPr>
    </w:p>
    <w:p>
      <w:pPr>
        <w:jc w:val="both"/>
        <w:ind w:right="40" w:firstLine="382"/>
        <w:spacing w:after="0" w:line="266" w:lineRule="auto"/>
        <w:rPr>
          <w:sz w:val="20"/>
          <w:szCs w:val="20"/>
          <w:color w:val="auto"/>
        </w:rPr>
      </w:pPr>
      <w:r>
        <w:rPr>
          <w:rFonts w:ascii="Times New Roman" w:cs="Times New Roman" w:eastAsia="Times New Roman" w:hAnsi="Times New Roman"/>
          <w:sz w:val="18"/>
          <w:szCs w:val="18"/>
          <w:color w:val="auto"/>
        </w:rPr>
        <w:t>In order to align our expenses with the expected revenue level, we implemented a restructuring plan in 2022 and terminated 94 employees worldwide, resulting in approximately $1.6 million of restructuring costs, primarily consisting of severance and benefits. Our restructuring plan has been completed as of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right="140" w:firstLine="427"/>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to provide optional expedients and exceptions for applying generally accepted accounting principles to contracts, hedging relationships, and other transactions affected by reference rate reform if certain criteria are met. We adopted this standard effective January 1, 2022. The adoption of this new standard did not have a material impact on our condensed consolidated financial statements.</w:t>
      </w:r>
    </w:p>
    <w:p>
      <w:pPr>
        <w:spacing w:after="0" w:line="72" w:lineRule="exact"/>
        <w:rPr>
          <w:sz w:val="20"/>
          <w:szCs w:val="20"/>
          <w:color w:val="auto"/>
        </w:rPr>
      </w:pPr>
    </w:p>
    <w:p>
      <w:pPr>
        <w:ind w:right="40" w:firstLine="382"/>
        <w:spacing w:after="0" w:line="277" w:lineRule="auto"/>
        <w:rPr>
          <w:sz w:val="20"/>
          <w:szCs w:val="20"/>
          <w:color w:val="auto"/>
        </w:rPr>
      </w:pPr>
      <w:r>
        <w:rPr>
          <w:rFonts w:ascii="Times New Roman" w:cs="Times New Roman" w:eastAsia="Times New Roman" w:hAnsi="Times New Roman"/>
          <w:sz w:val="17"/>
          <w:szCs w:val="17"/>
          <w:color w:val="auto"/>
        </w:rPr>
        <w:t xml:space="preserve">In October 2021, the FASB issued ASU No. 2021-08, </w:t>
      </w:r>
      <w:r>
        <w:rPr>
          <w:rFonts w:ascii="Times New Roman" w:cs="Times New Roman" w:eastAsia="Times New Roman" w:hAnsi="Times New Roman"/>
          <w:sz w:val="17"/>
          <w:szCs w:val="17"/>
          <w:i w:val="1"/>
          <w:iCs w:val="1"/>
          <w:color w:val="auto"/>
        </w:rPr>
        <w:t>Business Combinations (Topic 805),</w:t>
      </w:r>
      <w:r>
        <w:rPr>
          <w:rFonts w:ascii="Times New Roman" w:cs="Times New Roman" w:eastAsia="Times New Roman" w:hAnsi="Times New Roman"/>
          <w:sz w:val="17"/>
          <w:szCs w:val="17"/>
          <w:color w:val="auto"/>
        </w:rPr>
        <w:t xml:space="preserve"> which requires contract assets and contract liabilities (i.e., deferred revenue) acquired in a business combination to be recognized and measured by the acquirer on the acquisition date in accordance with ASC 606, Revenue from Contracts with Customers. Generally, this new guidance will result in the acquirer recognizing contract assets and contract liabilities at the same amounts recorded by the acquiree. Historically, such amounts were recognized by the acquirer at fair value in acquisition accounting. We adopted this standard effective January 1, 2022. The adoption of this new standard did not have a material impact on our condensed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ind w:right="40" w:firstLine="382"/>
        <w:spacing w:after="0" w:line="282" w:lineRule="auto"/>
        <w:rPr>
          <w:sz w:val="20"/>
          <w:szCs w:val="20"/>
          <w:color w:val="auto"/>
        </w:rPr>
      </w:pPr>
      <w:r>
        <w:rPr>
          <w:rFonts w:ascii="Times New Roman" w:cs="Times New Roman" w:eastAsia="Times New Roman" w:hAnsi="Times New Roman"/>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are available in active markets for identical assets or liabilities as of the measurement date.</w:t>
      </w:r>
    </w:p>
    <w:p>
      <w:pPr>
        <w:spacing w:after="0" w:line="225" w:lineRule="exact"/>
        <w:rPr>
          <w:sz w:val="20"/>
          <w:szCs w:val="20"/>
          <w:color w:val="auto"/>
        </w:rPr>
      </w:pPr>
    </w:p>
    <w:p>
      <w:pPr>
        <w:ind w:right="28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—Pricing inputs are other than quoted prices in active market, which are either directly or indirectly observable as of the report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173"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—Securities that have little to no pricing observability as of the report date. These securities are measured using management’s best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where the inputs into the determination of fair value are not observable and require significant management judgment or estimation.</w:t>
      </w:r>
    </w:p>
    <w:p>
      <w:pPr>
        <w:spacing w:after="0" w:line="160" w:lineRule="exact"/>
        <w:rPr>
          <w:sz w:val="20"/>
          <w:szCs w:val="20"/>
          <w:color w:val="auto"/>
        </w:rPr>
      </w:pPr>
    </w:p>
    <w:p>
      <w:pPr>
        <w:ind w:right="40" w:firstLine="382"/>
        <w:spacing w:after="0" w:line="266" w:lineRule="auto"/>
        <w:rPr>
          <w:sz w:val="20"/>
          <w:szCs w:val="20"/>
          <w:color w:val="auto"/>
        </w:rPr>
      </w:pPr>
      <w:r>
        <w:rPr>
          <w:rFonts w:ascii="Times New Roman" w:cs="Times New Roman" w:eastAsia="Times New Roman" w:hAnsi="Times New Roman"/>
          <w:sz w:val="18"/>
          <w:szCs w:val="18"/>
          <w:color w:val="auto"/>
        </w:rPr>
        <w:t>The carrying values of certain of our financial instruments, including accounts receivable and accounts payable, approximate their fair values due to their short maturities. The following tables summarize our financial assets and financial liabilities that were measured at fair value on a recurring basis, and indicate the fair value hierarchy of the valuation inputs utilized to determine such fair value (in thousands):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0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48"/>
        </w:trPr>
        <w:tc>
          <w:tcPr>
            <w:tcW w:w="5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(1)</w:t>
            </w:r>
          </w:p>
        </w:tc>
        <w:tc>
          <w:tcPr>
            <w:tcW w:w="104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3"/>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Available-for-sale debt securities </w:t>
            </w:r>
            <w:r>
              <w:rPr>
                <w:rFonts w:ascii="Times New Roman" w:cs="Times New Roman" w:eastAsia="Times New Roman" w:hAnsi="Times New Roman"/>
                <w:sz w:val="15"/>
                <w:szCs w:val="15"/>
                <w:color w:val="auto"/>
              </w:rPr>
              <w:t>(2)</w:t>
            </w:r>
          </w:p>
        </w:tc>
        <w:tc>
          <w:tcPr>
            <w:tcW w:w="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r>
      <w:tr>
        <w:trPr>
          <w:trHeight w:val="223"/>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Borders>
              <w:bottom w:val="single" w:sz="8" w:color="auto"/>
            </w:tcBorders>
            <w:gridSpan w:val="2"/>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cash consideration in connection with a</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acquisition—SCUF</w:t>
            </w:r>
            <w:r>
              <w:rPr>
                <w:rFonts w:ascii="Times New Roman" w:cs="Times New Roman" w:eastAsia="Times New Roman" w:hAnsi="Times New Roman"/>
                <w:sz w:val="15"/>
                <w:szCs w:val="15"/>
                <w:color w:val="auto"/>
              </w:rPr>
              <w:t>(3)</w:t>
            </w:r>
          </w:p>
        </w:tc>
        <w:tc>
          <w:tcPr>
            <w:tcW w:w="104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3"/>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0"/>
                <w:szCs w:val="20"/>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(1)</w:t>
            </w:r>
          </w:p>
        </w:tc>
        <w:tc>
          <w:tcPr>
            <w:tcW w:w="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Borders>
              <w:bottom w:val="single" w:sz="8" w:color="auto"/>
            </w:tcBorders>
            <w:gridSpan w:val="2"/>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48"/>
        </w:trPr>
        <w:tc>
          <w:tcPr>
            <w:tcW w:w="5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(1)</w:t>
            </w:r>
          </w:p>
        </w:tc>
        <w:tc>
          <w:tcPr>
            <w:tcW w:w="104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3"/>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cash consideration in connection with a</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acquisition—SCUF</w:t>
            </w:r>
            <w:r>
              <w:rPr>
                <w:rFonts w:ascii="Times New Roman" w:cs="Times New Roman" w:eastAsia="Times New Roman" w:hAnsi="Times New Roman"/>
                <w:sz w:val="15"/>
                <w:szCs w:val="15"/>
                <w:color w:val="auto"/>
              </w:rPr>
              <w:t>(3)</w:t>
            </w:r>
          </w:p>
        </w:tc>
        <w:tc>
          <w:tcPr>
            <w:tcW w:w="104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3"/>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20"/>
                <w:szCs w:val="20"/>
                <w:color w:val="auto"/>
              </w:rPr>
            </w:pPr>
          </w:p>
        </w:tc>
        <w:tc>
          <w:tcPr>
            <w:tcW w:w="5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0"/>
                <w:szCs w:val="20"/>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(1)</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r>
      <w:tr>
        <w:trPr>
          <w:trHeight w:val="223"/>
        </w:trPr>
        <w:tc>
          <w:tcPr>
            <w:tcW w:w="5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of the forward contracts were based on similar exchange traded derivatives and the related asset or liability is included within Level 2 of the fair value hierarchy.</w:t>
      </w:r>
    </w:p>
    <w:p>
      <w:pPr>
        <w:spacing w:after="0" w:line="68" w:lineRule="exact"/>
        <w:rPr>
          <w:rFonts w:ascii="Times New Roman" w:cs="Times New Roman" w:eastAsia="Times New Roman" w:hAnsi="Times New Roman"/>
          <w:sz w:val="14"/>
          <w:szCs w:val="14"/>
          <w:color w:val="auto"/>
        </w:rPr>
      </w:pPr>
    </w:p>
    <w:p>
      <w:pPr>
        <w:ind w:left="380" w:right="60" w:hanging="372"/>
        <w:spacing w:after="0" w:line="236"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2022, we invested in a convertible promissory note issued by a private company (the “Note”) for $1.0 million. The Note is interest bearing and matures in April 2023. The Note is classified as an available-for-sale security and is included in prepaid expenses and other assets in our condensed consolidated balance sheets. We included the Note as Level 3 in the fair value hierarchy due to the absence of quoted market prices or other observable data. The fair value of the Note is estimated based on a qualitative analysis using the most recent observable transaction price and other significant unobservable inputs requiring management judgement.</w:t>
      </w:r>
    </w:p>
    <w:p>
      <w:pPr>
        <w:spacing w:after="0" w:line="41" w:lineRule="exact"/>
        <w:rPr>
          <w:rFonts w:ascii="Times New Roman" w:cs="Times New Roman" w:eastAsia="Times New Roman" w:hAnsi="Times New Roman"/>
          <w:sz w:val="14"/>
          <w:szCs w:val="14"/>
          <w:color w:val="auto"/>
        </w:rPr>
      </w:pPr>
    </w:p>
    <w:p>
      <w:pPr>
        <w:ind w:left="380" w:right="100" w:hanging="372"/>
        <w:spacing w:after="0" w:line="233"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2019, one of our subsidiaries entered into an Agreement and Plan of Merger with Scuf Holdings, Inc. and its subsidiaries (collectively “SCUF”) and acquired 100% of their equity interests (the “SCUF Acquisition”). The fair value of the SCUF contingent consideration was determined based on the estimates of acquired tax benefits owed to SCUF’s sellers according to the merger agreement, and these estimates represent a level 3 fair value measurement. The $1.3 million liability as of December 31, 2021 consisted of $0.3 million based on a contractual amount and the remaining $1.0 million is subject to update upon filing our tax return for tax year 2021. In March 2022, we paid the $0.3 million contractual amount, and the contingency around the remaining $1.0 million liability is expected to be resolved in the fourth quarter of 2022 and this amount is expected to be paid by the end of 2022.</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Financial Instruments</w:t>
      </w:r>
    </w:p>
    <w:p>
      <w:pPr>
        <w:spacing w:after="0" w:line="121" w:lineRule="exact"/>
        <w:rPr>
          <w:sz w:val="20"/>
          <w:szCs w:val="20"/>
          <w:color w:val="auto"/>
        </w:rPr>
      </w:pPr>
    </w:p>
    <w:p>
      <w:pPr>
        <w:ind w:right="60" w:firstLine="382"/>
        <w:spacing w:after="0" w:line="256" w:lineRule="auto"/>
        <w:rPr>
          <w:sz w:val="20"/>
          <w:szCs w:val="20"/>
          <w:color w:val="auto"/>
        </w:rPr>
      </w:pPr>
      <w:r>
        <w:rPr>
          <w:rFonts w:ascii="Times New Roman" w:cs="Times New Roman" w:eastAsia="Times New Roman" w:hAnsi="Times New Roman"/>
          <w:sz w:val="18"/>
          <w:szCs w:val="18"/>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The foreign currency forward contracts generally mature within two to four months. The notional principal amount of outstanding foreign exchange forward contracts was $32.4 million and $48.6 million as of September 30, 2022 and December 31, 2021, respectively, none of which have been designated as hedging instruments during the periods presented. Total fair value gains (losses) recognized in other (expense) income, net in relation to these derivative instruments was $1.5 million and $0.4 million for the three months ended September 30, 2022 and 2021, respectively, and was $4.1 million and $0.5 million for the nine months ended September 30, 2022 and 2021,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iDisplay Acquisition</w:t>
      </w:r>
    </w:p>
    <w:p>
      <w:pPr>
        <w:spacing w:after="0" w:line="119" w:lineRule="exact"/>
        <w:rPr>
          <w:sz w:val="20"/>
          <w:szCs w:val="20"/>
          <w:color w:val="auto"/>
        </w:rPr>
      </w:pPr>
    </w:p>
    <w:p>
      <w:pPr>
        <w:ind w:right="840" w:firstLine="382"/>
        <w:spacing w:after="0" w:line="284" w:lineRule="auto"/>
        <w:rPr>
          <w:sz w:val="20"/>
          <w:szCs w:val="20"/>
          <w:color w:val="auto"/>
        </w:rPr>
      </w:pPr>
      <w:r>
        <w:rPr>
          <w:rFonts w:ascii="Times New Roman" w:cs="Times New Roman" w:eastAsia="Times New Roman" w:hAnsi="Times New Roman"/>
          <w:sz w:val="18"/>
          <w:szCs w:val="18"/>
          <w:color w:val="auto"/>
        </w:rPr>
        <w:t>On January 1, 2022, we completed the acquisition of a 51% ownership stake in iDisplay (the “</w:t>
      </w:r>
      <w:r>
        <w:rPr>
          <w:rFonts w:ascii="Times New Roman" w:cs="Times New Roman" w:eastAsia="Times New Roman" w:hAnsi="Times New Roman"/>
          <w:sz w:val="18"/>
          <w:szCs w:val="18"/>
          <w:i w:val="1"/>
          <w:iCs w:val="1"/>
          <w:color w:val="auto"/>
        </w:rPr>
        <w:t>iDisplay Acquisition</w:t>
      </w:r>
      <w:r>
        <w:rPr>
          <w:rFonts w:ascii="Times New Roman" w:cs="Times New Roman" w:eastAsia="Times New Roman" w:hAnsi="Times New Roman"/>
          <w:sz w:val="18"/>
          <w:szCs w:val="18"/>
          <w:color w:val="auto"/>
        </w:rPr>
        <w:t>”), a leader in electronic development and design specializing in display technology, headquartered in Taiwan.</w:t>
      </w:r>
    </w:p>
    <w:p>
      <w:pPr>
        <w:spacing w:after="0" w:line="52"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color w:val="auto"/>
        </w:rPr>
        <w:t>The fair value consideration for iDisplay was $36.4 million, including $21.9 million in cash and the issuance of 690,333 shares of our common stock with a fair value of $14.5 million at Closing Date. The consideration was reduced for the effective 51% settlement of a pre-existing contractual accounts payable balance owed to iDisplay of $3.5 million. The iDisplay Acquisition will allow us to direct the development and integration of iDisplay’s display-based touch-screen technologies into our products for creators, gamers and streamers. iDisplay’s results of operations are fully consolidated with Corsair with effect from January 1, 2022.</w:t>
      </w:r>
    </w:p>
    <w:p>
      <w:pPr>
        <w:spacing w:after="0" w:line="75"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The seller of iDisplay (the “iDisplay Seller”) has retained 49% noncontrolling interests in iDisplay. Under the Shareholders Agreement between Corsair and the iDisplay Seller, a put option was provided to the iDisplay Seller and a call option was provided to Corsair for the option to transfer (i) 14% ownership interest in iDisplay to Corsair upon the first anniversary of the Closing and (ii) an additional 15% of ownership interest in iDisplay to Corsair upon the second anniversary of the Closing. Both put and call options expire on January 1, 2025. The exercise price of the put option and the call option is based on multiples of iDisplay’s trailing twelve-month earnings before interest, income tax, depreciation and amortization (“TTM EBITDA”) less any debt. The 29% noncontrolling interests entitled to the put option is considered a redeemable noncontrolling interests. See Note 2, “Summary of Significant Accounting Policies – Noncontrolling Interests” and Note 15, “Redeemable Noncontrolling Interests” for more information regarding the redeemable noncontrolling interests.</w:t>
      </w:r>
    </w:p>
    <w:p>
      <w:pPr>
        <w:spacing w:after="0" w:line="84" w:lineRule="exact"/>
        <w:rPr>
          <w:sz w:val="20"/>
          <w:szCs w:val="20"/>
          <w:color w:val="auto"/>
        </w:rPr>
      </w:pPr>
    </w:p>
    <w:p>
      <w:pPr>
        <w:jc w:val="both"/>
        <w:ind w:right="400" w:firstLine="382"/>
        <w:spacing w:after="0" w:line="266" w:lineRule="auto"/>
        <w:rPr>
          <w:sz w:val="20"/>
          <w:szCs w:val="20"/>
          <w:color w:val="auto"/>
        </w:rPr>
      </w:pPr>
      <w:r>
        <w:rPr>
          <w:rFonts w:ascii="Times New Roman" w:cs="Times New Roman" w:eastAsia="Times New Roman" w:hAnsi="Times New Roman"/>
          <w:sz w:val="18"/>
          <w:szCs w:val="18"/>
          <w:color w:val="auto"/>
        </w:rPr>
        <w:t>The fair value of the 49% noncontrolling interests was estimated to be $29.6 million. The control premium assigned to Corsair’s 51% controlling financial interest was 15%, which resulted in an implied minority discount of 13%. The control premium was based on an analysis considering similar market transactions involving control premiums, as well as factors specific to iDisplay, including its significant customer concentration.</w:t>
      </w:r>
    </w:p>
    <w:p>
      <w:pPr>
        <w:spacing w:after="0" w:line="176" w:lineRule="exact"/>
        <w:rPr>
          <w:sz w:val="20"/>
          <w:szCs w:val="20"/>
          <w:color w:val="auto"/>
        </w:rPr>
      </w:pPr>
    </w:p>
    <w:p>
      <w:pPr>
        <w:ind w:right="300" w:firstLine="382"/>
        <w:spacing w:after="0" w:line="261" w:lineRule="auto"/>
        <w:rPr>
          <w:sz w:val="20"/>
          <w:szCs w:val="20"/>
          <w:color w:val="auto"/>
        </w:rPr>
      </w:pPr>
      <w:r>
        <w:rPr>
          <w:rFonts w:ascii="Times New Roman" w:cs="Times New Roman" w:eastAsia="Times New Roman" w:hAnsi="Times New Roman"/>
          <w:sz w:val="18"/>
          <w:szCs w:val="18"/>
          <w:color w:val="auto"/>
        </w:rPr>
        <w:t>Subsequent to the iDisplay Acquisition Closing Date, we recorded measurement period adjustments which increased goodwill by $1.0 million and decreased identifiable intangible assets and deferred liabilities by $1.1 million and $0.1 million, respectively. The final allocation of the iDisplay Acquisition purchase consideration to the estimated fair value of the assets acquired and liabilities assumed at the acquisition date is as follows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48"/>
        </w:trPr>
        <w:tc>
          <w:tcPr>
            <w:tcW w:w="90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assets</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(29,606)</w:t>
            </w:r>
          </w:p>
        </w:tc>
        <w:tc>
          <w:tcPr>
            <w:tcW w:w="0" w:type="dxa"/>
            <w:vAlign w:val="bottom"/>
          </w:tcPr>
          <w:p>
            <w:pPr>
              <w:spacing w:after="0"/>
              <w:rPr>
                <w:sz w:val="1"/>
                <w:szCs w:val="1"/>
                <w:color w:val="auto"/>
              </w:rPr>
            </w:pPr>
          </w:p>
        </w:tc>
      </w:tr>
      <w:tr>
        <w:trPr>
          <w:trHeight w:val="223"/>
        </w:trPr>
        <w:tc>
          <w:tcPr>
            <w:tcW w:w="90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44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 consideration:</w:t>
            </w: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0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Corsair common stock</w:t>
            </w: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17"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firstLine="382"/>
        <w:spacing w:after="0" w:line="258" w:lineRule="auto"/>
        <w:rPr>
          <w:sz w:val="20"/>
          <w:szCs w:val="20"/>
          <w:color w:val="auto"/>
        </w:rPr>
      </w:pPr>
      <w:r>
        <w:rPr>
          <w:rFonts w:ascii="Times New Roman" w:cs="Times New Roman" w:eastAsia="Times New Roman" w:hAnsi="Times New Roman"/>
          <w:sz w:val="18"/>
          <w:szCs w:val="18"/>
          <w:color w:val="auto"/>
        </w:rPr>
        <w:t>The fair value of certain working capital related items, including accounts receivable, prepaid and other assets, accounts payable and accrued liabilities, as well as the fair value of property and equipment approximated their book values at the date of the iDisplay Acquisition. The fair value of the inventories was estimated by major category, at net realizable value, which we believe approximates the price a market participant could achieve in a current sale. The difference between the fair value of the inventories and the book value recorded by iDisplay on the acquisition date was $0.3 million, which was recognized in cost of revenue in the consolidated statements of operations upon the sale of the acquired inventory.</w:t>
      </w:r>
    </w:p>
    <w:p>
      <w:pPr>
        <w:spacing w:after="0" w:line="75"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8"/>
          <w:szCs w:val="18"/>
          <w:color w:val="auto"/>
        </w:rPr>
        <w:t>The excess of the purchase consideration over the fair value of the identifiable intangible assets and the net tangible assets and liabilities acquired has been estimated to be $33.0 million, of which $29.3 million and $3.7 million are assigned to our gamer and creator peripherals reporting unit and gaming component and systems reporting unit, respectively. We believe goodwill represents the strengthening of our supply chain with display-based touch-screen technologies into our products for creators, gamers and streamers, and the ability to design and generate new technologies to enhance the features of our products.</w:t>
      </w:r>
    </w:p>
    <w:p>
      <w:pPr>
        <w:spacing w:after="0" w:line="75" w:lineRule="exact"/>
        <w:rPr>
          <w:sz w:val="20"/>
          <w:szCs w:val="20"/>
          <w:color w:val="auto"/>
        </w:rPr>
      </w:pPr>
    </w:p>
    <w:p>
      <w:pPr>
        <w:ind w:right="100" w:firstLine="382"/>
        <w:spacing w:after="0" w:line="282" w:lineRule="auto"/>
        <w:rPr>
          <w:sz w:val="20"/>
          <w:szCs w:val="20"/>
          <w:color w:val="auto"/>
        </w:rPr>
      </w:pPr>
      <w:r>
        <w:rPr>
          <w:rFonts w:ascii="Times New Roman" w:cs="Times New Roman" w:eastAsia="Times New Roman" w:hAnsi="Times New Roman"/>
          <w:sz w:val="18"/>
          <w:szCs w:val="18"/>
          <w:color w:val="auto"/>
        </w:rPr>
        <w:t>A portion of the identifiable intangible assets are not deductible for tax purposes of which $4.6 million deferred tax liability has been estimated at the date of acquisition for the difference between the book and tax bases of these assets. The goodwill is not deductible for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identified intangible assets</w:t>
      </w:r>
    </w:p>
    <w:p>
      <w:pPr>
        <w:spacing w:after="0" w:line="119" w:lineRule="exact"/>
        <w:rPr>
          <w:sz w:val="20"/>
          <w:szCs w:val="20"/>
          <w:color w:val="auto"/>
        </w:rPr>
      </w:pPr>
    </w:p>
    <w:p>
      <w:pPr>
        <w:ind w:right="560" w:firstLine="382"/>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valuation of the identifiable intangible assets acquired in the iDisplay Acquisition and the estimate of their respective useful lives as of Closing Date, including subsequent measurement period adjustments:</w:t>
      </w:r>
    </w:p>
    <w:tbl>
      <w:tblPr>
        <w:tblLayout w:type="fixed"/>
        <w:tblInd w:w="0" w:type="dxa"/>
        <w:tblCellMar>
          <w:top w:w="0" w:type="dxa"/>
          <w:left w:w="0" w:type="dxa"/>
          <w:bottom w:w="0" w:type="dxa"/>
          <w:right w:w="0" w:type="dxa"/>
        </w:tblCellMar>
      </w:tblPr>
      <w:tr>
        <w:trPr>
          <w:trHeight w:val="137"/>
        </w:trPr>
        <w:tc>
          <w:tcPr>
            <w:tcW w:w="7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80" w:type="dxa"/>
            <w:vAlign w:val="bottom"/>
          </w:tcPr>
          <w:p>
            <w:pPr>
              <w:spacing w:after="0"/>
              <w:rPr>
                <w:sz w:val="11"/>
                <w:szCs w:val="11"/>
                <w:color w:val="auto"/>
              </w:rPr>
            </w:pPr>
          </w:p>
        </w:tc>
        <w:tc>
          <w:tcPr>
            <w:tcW w:w="18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portfolio</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20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The fair value of patent portfolio was estimated using the relief from royalty approach and the economic useful life was determined based on the average product life cycle of the products manufactured by iDisplay. The supplier relationships intangible asset represents the value assigned to the relationship iDisplay had established over the years with a broad network of suppliers and OEMs that have been crucial to the quality and magnitude of iDisplay manufacturing capability. The fair value of supplier relationships was estimated using the multi-period excess earnings approach and the economic useful life was determined to be aligned with the estimated useful life of the developed technology acquired from iDisplay. The developed technology intangible asset represents unpatented propriety technologies, such as hardware designs and architectures and process technologies used in the on-going research and design of the products manufactured by iDisplay. The fair value of developed technology was estimated using the income approach and the economic useful life was based on the technology cycle of the products manufactured, as well as the cash flows anticipated over the forecasted periods. The valuations of the intangible assets were calculated with the assistance of a third-party valuation firm. The fair values of these intangibles were valued based on long-term cash flow projections, which we consider to be Level 3 inputs.</w:t>
      </w:r>
    </w:p>
    <w:p>
      <w:pPr>
        <w:spacing w:after="0" w:line="86"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These intangibles are being amortized over their estimated useful lives using the straight-line method of amortization, which reflects the pattern in which the economic benefits of the intangible asset are consumed. Amortization of patent portfolio and supplier relationships is included in cost of revenue and amortization of developed technology is included in product development expense in our condensed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19" w:lineRule="exact"/>
        <w:rPr>
          <w:sz w:val="20"/>
          <w:szCs w:val="20"/>
          <w:color w:val="auto"/>
        </w:rPr>
      </w:pPr>
    </w:p>
    <w:p>
      <w:pPr>
        <w:ind w:right="580" w:firstLine="382"/>
        <w:spacing w:after="0" w:line="266" w:lineRule="auto"/>
        <w:rPr>
          <w:sz w:val="20"/>
          <w:szCs w:val="20"/>
          <w:color w:val="auto"/>
        </w:rPr>
      </w:pPr>
      <w:r>
        <w:rPr>
          <w:rFonts w:ascii="Times New Roman" w:cs="Times New Roman" w:eastAsia="Times New Roman" w:hAnsi="Times New Roman"/>
          <w:sz w:val="18"/>
          <w:szCs w:val="18"/>
          <w:color w:val="auto"/>
        </w:rPr>
        <w:t>We incurred acquisition-related costs of approximately $0.1 million and $0.7 million for the three and nine months ended September 30, 2022, respectively, and $0.6 million for the year ended December 31, 2021. These costs are recorded in sales, general and administrative expenses in the consolidated statement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Pro-forma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120" w:firstLine="382"/>
        <w:spacing w:after="0" w:line="282" w:lineRule="auto"/>
        <w:rPr>
          <w:sz w:val="20"/>
          <w:szCs w:val="20"/>
          <w:color w:val="auto"/>
        </w:rPr>
      </w:pPr>
      <w:r>
        <w:rPr>
          <w:rFonts w:ascii="Times New Roman" w:cs="Times New Roman" w:eastAsia="Times New Roman" w:hAnsi="Times New Roman"/>
          <w:sz w:val="18"/>
          <w:szCs w:val="18"/>
          <w:color w:val="auto"/>
        </w:rPr>
        <w:t>Pro forma financial information is not included because the effects of the acquisition are not material to our consolidated statements of operations for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by reportable segment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Gaming</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Gamer and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Creator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86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145,310</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171,744</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 from iDisplay Acquisition</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32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is a summary of intangible assets, net (in thousands):</w:t>
      </w:r>
    </w:p>
    <w:p>
      <w:pPr>
        <w:sectPr>
          <w:pgSz w:w="11900" w:h="16838" w:orient="portrait"/>
          <w:cols w:equalWidth="0" w:num="1">
            <w:col w:w="11240"/>
          </w:cols>
          <w:pgMar w:left="320" w:top="117" w:right="339" w:bottom="1440" w:gutter="0" w:footer="0" w:header="0"/>
        </w:sectPr>
      </w:pPr>
    </w:p>
    <w:p>
      <w:pPr>
        <w:spacing w:after="0" w:line="3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2" w:lineRule="exact"/>
        <w:rPr>
          <w:sz w:val="20"/>
          <w:szCs w:val="20"/>
          <w:color w:val="auto"/>
        </w:rPr>
      </w:pPr>
    </w:p>
    <w:tbl>
      <w:tblPr>
        <w:tblLayout w:type="fixed"/>
        <w:tblInd w:w="3660" w:type="dxa"/>
        <w:tblCellMar>
          <w:top w:w="0" w:type="dxa"/>
          <w:left w:w="0" w:type="dxa"/>
          <w:bottom w:w="0" w:type="dxa"/>
          <w:right w:w="0" w:type="dxa"/>
        </w:tblCellMar>
      </w:tblPr>
      <w:tr>
        <w:trPr>
          <w:trHeight w:val="131"/>
        </w:trPr>
        <w:tc>
          <w:tcPr>
            <w:tcW w:w="10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tcBorders>
              <w:top w:val="single" w:sz="8" w:color="auto"/>
            </w:tcBorders>
          </w:tcPr>
          <w:p>
            <w:pPr>
              <w:jc w:val="center"/>
              <w:ind w:left="2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0" w:type="dxa"/>
            <w:vAlign w:val="bottom"/>
            <w:vMerge w:val="continue"/>
          </w:tcPr>
          <w:p>
            <w:pPr>
              <w:spacing w:after="0"/>
              <w:rPr>
                <w:sz w:val="12"/>
                <w:szCs w:val="12"/>
                <w:color w:val="auto"/>
              </w:rPr>
            </w:pPr>
          </w:p>
        </w:tc>
        <w:tc>
          <w:tcPr>
            <w:tcW w:w="10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2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54" w:lineRule="exact"/>
        <w:rPr>
          <w:sz w:val="20"/>
          <w:szCs w:val="20"/>
          <w:color w:val="auto"/>
        </w:rPr>
      </w:pPr>
    </w:p>
    <w:p>
      <w:pPr>
        <w:sectPr>
          <w:pgSz w:w="11900" w:h="16838" w:orient="portrait"/>
          <w:cols w:equalWidth="0" w:num="2">
            <w:col w:w="7200" w:space="280"/>
            <w:col w:w="37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5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32,086</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0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218,527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107,122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218,566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123,656</w:t>
            </w:r>
          </w:p>
        </w:tc>
        <w:tc>
          <w:tcPr>
            <w:tcW w:w="10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Patent portfolio</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10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338,816</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150,103</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188,713</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315,319</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Indefinite life trade name</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r>
      <w:tr>
        <w:trPr>
          <w:trHeight w:val="223"/>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374,359</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224,256</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350,872</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225,709</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In the year after an identified intangible asset becomes fully amortized, we remove the fully amortized balances from the gross asset and accumulated amortization amounts from the table above.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September 30, 2022 is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41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7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940" w:type="dxa"/>
            <w:vAlign w:val="bottom"/>
            <w:gridSpan w:val="2"/>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1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2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18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4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components of certain balance sheet amounts (in thousands):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13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5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57,275</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cash—short term</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cash—noncurrent</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13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360" w:type="dxa"/>
            <w:vAlign w:val="bottom"/>
          </w:tcPr>
          <w:p>
            <w:pPr>
              <w:spacing w:after="0"/>
              <w:rPr>
                <w:sz w:val="5"/>
                <w:szCs w:val="5"/>
                <w:color w:val="auto"/>
              </w:rPr>
            </w:pPr>
          </w:p>
        </w:tc>
        <w:tc>
          <w:tcPr>
            <w:tcW w:w="5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from customers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131,340</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factor</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156,311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40" w:firstLine="382"/>
        <w:spacing w:after="0" w:line="255" w:lineRule="auto"/>
        <w:rPr>
          <w:sz w:val="20"/>
          <w:szCs w:val="20"/>
          <w:color w:val="auto"/>
        </w:rPr>
      </w:pPr>
      <w:r>
        <w:rPr>
          <w:rFonts w:ascii="Times New Roman" w:cs="Times New Roman" w:eastAsia="Times New Roman" w:hAnsi="Times New Roman"/>
          <w:sz w:val="18"/>
          <w:szCs w:val="18"/>
          <w:color w:val="auto"/>
        </w:rPr>
        <w:t>On September 29, 2022, one of our fully consolidated subsidiaries entered into an accounts receivable factoring agreement (“</w:t>
      </w:r>
      <w:r>
        <w:rPr>
          <w:rFonts w:ascii="Times New Roman" w:cs="Times New Roman" w:eastAsia="Times New Roman" w:hAnsi="Times New Roman"/>
          <w:sz w:val="18"/>
          <w:szCs w:val="18"/>
          <w:i w:val="1"/>
          <w:iCs w:val="1"/>
          <w:color w:val="auto"/>
        </w:rPr>
        <w:t>Factoring Agreement”</w:t>
      </w:r>
      <w:r>
        <w:rPr>
          <w:rFonts w:ascii="Times New Roman" w:cs="Times New Roman" w:eastAsia="Times New Roman" w:hAnsi="Times New Roman"/>
          <w:sz w:val="18"/>
          <w:szCs w:val="18"/>
          <w:color w:val="auto"/>
        </w:rPr>
        <w:t>) with a third-party financial institution (“</w:t>
      </w:r>
      <w:r>
        <w:rPr>
          <w:rFonts w:ascii="Times New Roman" w:cs="Times New Roman" w:eastAsia="Times New Roman" w:hAnsi="Times New Roman"/>
          <w:sz w:val="18"/>
          <w:szCs w:val="18"/>
          <w:i w:val="1"/>
          <w:iCs w:val="1"/>
          <w:color w:val="auto"/>
        </w:rPr>
        <w:t>Factor”</w:t>
      </w:r>
      <w:r>
        <w:rPr>
          <w:rFonts w:ascii="Times New Roman" w:cs="Times New Roman" w:eastAsia="Times New Roman" w:hAnsi="Times New Roman"/>
          <w:sz w:val="18"/>
          <w:szCs w:val="18"/>
          <w:color w:val="auto"/>
        </w:rPr>
        <w:t>). Pursuant to the terms of the arrangement, we sell certain of our customer receivables on a non-recourse basis to the Factor. Proceeds from factoring the accounts receivable are due upon collection of payments from the customers, but upon our request, the Factor may, at their sole discretion, remit a portion of the proceeds to us prior to their collection of payments from the customers. Our obligations to the Factor arising from the Factoring Agreement are secured by certain assets of our subsidiary. In the three months ended September 30, 2022, we sold receivables and received cash proceeds of $66.3 million and $40.6 million, respectively. The cost of factoring is included in selling, general and administrative expenses in our condensed consolidated statements of operations and the amount incurred in the three months ended September 30, 2022, was immaterial.</w:t>
      </w:r>
    </w:p>
    <w:p>
      <w:pPr>
        <w:spacing w:after="0" w:line="187" w:lineRule="exact"/>
        <w:rPr>
          <w:sz w:val="20"/>
          <w:szCs w:val="20"/>
          <w:color w:val="auto"/>
        </w:rPr>
      </w:pPr>
    </w:p>
    <w:p>
      <w:pPr>
        <w:ind w:right="140" w:firstLine="382"/>
        <w:spacing w:after="0" w:line="266" w:lineRule="auto"/>
        <w:rPr>
          <w:sz w:val="20"/>
          <w:szCs w:val="20"/>
          <w:color w:val="auto"/>
        </w:rPr>
      </w:pPr>
      <w:r>
        <w:rPr>
          <w:rFonts w:ascii="Times New Roman" w:cs="Times New Roman" w:eastAsia="Times New Roman" w:hAnsi="Times New Roman"/>
          <w:sz w:val="18"/>
          <w:szCs w:val="18"/>
          <w:color w:val="auto"/>
        </w:rPr>
        <w:t>As of September 30, 2022, the amount due from the Factor was $25.6 million, or 16.4% of our accounts receivable, net balance, with one other customer with more than 10% of our accounts receivable, net balance. Two customers represented 10% or more of our accounts receivable, net balance as of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8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3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27,342</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software and office equipment</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(28,545)</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2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3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4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3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36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43,095</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9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and Accrued Expenses</w:t>
            </w: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8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13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36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reserves for customer incentive programs</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52,151</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reserves for sales return</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freight expenses</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158,170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13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36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44,574</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Nonmonetary Transactions</w:t>
      </w:r>
    </w:p>
    <w:p>
      <w:pPr>
        <w:spacing w:after="0" w:line="121" w:lineRule="exact"/>
        <w:rPr>
          <w:sz w:val="20"/>
          <w:szCs w:val="20"/>
          <w:color w:val="auto"/>
        </w:rPr>
      </w:pPr>
    </w:p>
    <w:p>
      <w:pPr>
        <w:ind w:right="60" w:firstLine="382"/>
        <w:spacing w:after="0" w:line="254" w:lineRule="auto"/>
        <w:rPr>
          <w:sz w:val="20"/>
          <w:szCs w:val="20"/>
          <w:color w:val="auto"/>
        </w:rPr>
      </w:pPr>
      <w:r>
        <w:rPr>
          <w:rFonts w:ascii="Times New Roman" w:cs="Times New Roman" w:eastAsia="Times New Roman" w:hAnsi="Times New Roman"/>
          <w:sz w:val="18"/>
          <w:szCs w:val="18"/>
          <w:color w:val="auto"/>
        </w:rPr>
        <w:t>The sales and purchases of inventory with our manufacturers are accounted for as nonmonetary transactions. Upon sale of raw materials to the manufacturer, for the inventories on-hand with the manufacturer where there is an anticipated reciprocal purchase by us, we will record this nonmonetary transaction as prepaid inventories and accrued liabilities. When we transact the reciprocal purchase of inventory from the manufacturer, we will record a payable to the manufacturer at the purchase price, which replaces the initial nonmonetary transaction and inventory will be reflected at carrying value, which includes the costs for the raw materials and the incremental costs charged by the manufacturer for additional work performed on the inventory. In connection with such nonmonetary transactions with our manufacturers, as of September 30, 2022, we recognized $0.5 million prepaid inventory and $0.6 million accrued liabilities and as of December 31, 2021, we recognized $5.0 million prepaid inventory and $5.4 million accrued liabilities in the condensed consolidated balance sheet.</w:t>
      </w:r>
    </w:p>
    <w:p>
      <w:pPr>
        <w:spacing w:after="0" w:line="84" w:lineRule="exact"/>
        <w:rPr>
          <w:sz w:val="20"/>
          <w:szCs w:val="20"/>
          <w:color w:val="auto"/>
        </w:rPr>
      </w:pPr>
    </w:p>
    <w:p>
      <w:pPr>
        <w:ind w:right="100" w:firstLine="382"/>
        <w:spacing w:after="0" w:line="282" w:lineRule="auto"/>
        <w:rPr>
          <w:sz w:val="20"/>
          <w:szCs w:val="20"/>
          <w:color w:val="auto"/>
        </w:rPr>
      </w:pPr>
      <w:r>
        <w:rPr>
          <w:rFonts w:ascii="Times New Roman" w:cs="Times New Roman" w:eastAsia="Times New Roman" w:hAnsi="Times New Roman"/>
          <w:sz w:val="18"/>
          <w:szCs w:val="18"/>
          <w:color w:val="auto"/>
        </w:rPr>
        <w:t xml:space="preserve">Because the transactions are nonmonetary, they have not been included in the condensed consolidated statements of cash flows pursuant to ASC 230, </w:t>
      </w:r>
      <w:r>
        <w:rPr>
          <w:rFonts w:ascii="Times New Roman" w:cs="Times New Roman" w:eastAsia="Times New Roman" w:hAnsi="Times New Roman"/>
          <w:sz w:val="18"/>
          <w:szCs w:val="18"/>
          <w:i w:val="1"/>
          <w:iCs w:val="1"/>
          <w:color w:val="auto"/>
        </w:rPr>
        <w:t>Statement of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debt consisted of the following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6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(variable rate) due September 2026</w:t>
            </w:r>
          </w:p>
        </w:tc>
        <w:tc>
          <w:tcPr>
            <w:tcW w:w="2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and issuance cost, net of amortization</w:t>
            </w: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26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Less: debt maturing within one year</w:t>
            </w:r>
          </w:p>
        </w:tc>
        <w:tc>
          <w:tcPr>
            <w:tcW w:w="26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2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239,052</w:t>
            </w:r>
          </w:p>
        </w:tc>
        <w:tc>
          <w:tcPr>
            <w:tcW w:w="2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2640" w:type="dxa"/>
            <w:vAlign w:val="bottom"/>
            <w:tcBorders>
              <w:top w:val="single" w:sz="8" w:color="CFF0FC"/>
              <w:bottom w:val="single" w:sz="8" w:color="CFF0FC"/>
            </w:tcBorders>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and Guaranty Agreement (Extinguished in September 2021)</w:t>
      </w:r>
    </w:p>
    <w:p>
      <w:pPr>
        <w:spacing w:after="0" w:line="119"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In August 2017, we entered into a syndicated First Lien Credit and Guaranty Agreement (</w:t>
      </w:r>
      <w:r>
        <w:rPr>
          <w:rFonts w:ascii="Times New Roman" w:cs="Times New Roman" w:eastAsia="Times New Roman" w:hAnsi="Times New Roman"/>
          <w:sz w:val="18"/>
          <w:szCs w:val="18"/>
          <w:i w:val="1"/>
          <w:iCs w:val="1"/>
          <w:color w:val="auto"/>
        </w:rPr>
        <w:t>“First Lien”</w:t>
      </w:r>
      <w:r>
        <w:rPr>
          <w:rFonts w:ascii="Times New Roman" w:cs="Times New Roman" w:eastAsia="Times New Roman" w:hAnsi="Times New Roman"/>
          <w:sz w:val="18"/>
          <w:szCs w:val="18"/>
          <w:color w:val="auto"/>
        </w:rPr>
        <w:t>) with various financial institutions. The First Lien originally provided a $235 million term loan (</w:t>
      </w: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for a business acquisition and to repay existing indebtedness of the acquired company and a $50 million revolving line-of-credit (</w:t>
      </w:r>
      <w:r>
        <w:rPr>
          <w:rFonts w:ascii="Times New Roman" w:cs="Times New Roman" w:eastAsia="Times New Roman" w:hAnsi="Times New Roman"/>
          <w:sz w:val="18"/>
          <w:szCs w:val="18"/>
          <w:i w:val="1"/>
          <w:iCs w:val="1"/>
          <w:color w:val="auto"/>
        </w:rPr>
        <w:t>“Revolver”</w:t>
      </w:r>
      <w:r>
        <w:rPr>
          <w:rFonts w:ascii="Times New Roman" w:cs="Times New Roman" w:eastAsia="Times New Roman" w:hAnsi="Times New Roman"/>
          <w:sz w:val="18"/>
          <w:szCs w:val="18"/>
          <w:color w:val="auto"/>
        </w:rPr>
        <w:t>). The First Lien and the Revolver was to mature on August 28, 2024 and August 28, 2022, respectively. 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First Lien Term Loan initially carried interest at a rate equal to, at our election, either the (a) greatest of (i) the prime rate, (ii) sum of the Federal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Effective Rate plus 0.5%, (iii) one month LIBOR plus 1.0% and (iv) 2%, plus a margin of 3.5%, or (b) the greater of (i) LIBOR and (ii) 1.0%, plus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of 4.5%. The Revolver initially bore interest at a rate equal to, at our election, either the (a) greatest of (i) the prime rate, (ii) sum of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Effective Rate plus 0.5%, (iii) one month LIBOR plus 1.0% and (iv) 2%, plus 3.5%, or (b) the greater of (i) LIBOR and (ii) 1.0%, plus a margin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As a result of the First Lien amendment in October 2018, the First Lien term loan and Revolver margin were both changed to range from 2.75%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for base rate loans and to range from 3.75% to 4.25% for Eurodollar loans, based on our net leverage ratio.</w:t>
      </w:r>
    </w:p>
    <w:p>
      <w:pPr>
        <w:spacing w:after="0" w:line="247"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color w:val="auto"/>
        </w:rPr>
        <w:t>We may prepay the First Lien Term Loan and the Revolver at any time without premium or penalty other than customary LIBOR breakage. In the nine months ended September 30, 2021, with the excess cash on hand, we made voluntary prepayments of $78.3 million. The remaining $248.5 million of the First Lien Term Loan was fully prepaid with the proceeds from the Term Loan (defined below) on September 3, 2021, and as a result, all obligations and covenants thereunder were terminated. Accordingly, we recorded losses on extinguishment of debt of $4.9 million for the nine months ended September 30, 2021.</w:t>
      </w:r>
    </w:p>
    <w:p>
      <w:pPr>
        <w:spacing w:after="0" w:line="210"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The effective interest rate inclusive of the debt discount and debt issuance costs for the First Lien was approximately 5.7% and 5.4% for the three and nine months ended September 30, 2021, respectively.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19"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8"/>
          <w:szCs w:val="18"/>
          <w:color w:val="auto"/>
        </w:rPr>
        <w:t>On September 3, 2021, we entered into a new Credit Agreement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which provides for a $100.0 million five-year revolving credit facility (“</w:t>
      </w:r>
      <w:r>
        <w:rPr>
          <w:rFonts w:ascii="Times New Roman" w:cs="Times New Roman" w:eastAsia="Times New Roman" w:hAnsi="Times New Roman"/>
          <w:sz w:val="18"/>
          <w:szCs w:val="18"/>
          <w:i w:val="1"/>
          <w:iCs w:val="1"/>
          <w:color w:val="auto"/>
        </w:rPr>
        <w:t>Revolving Facility</w:t>
      </w:r>
      <w:r>
        <w:rPr>
          <w:rFonts w:ascii="Times New Roman" w:cs="Times New Roman" w:eastAsia="Times New Roman" w:hAnsi="Times New Roman"/>
          <w:sz w:val="18"/>
          <w:szCs w:val="18"/>
          <w:color w:val="auto"/>
        </w:rPr>
        <w:t>”) and a $250.0 million five-year term loan facility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w:t>
      </w:r>
    </w:p>
    <w:p>
      <w:pPr>
        <w:spacing w:after="0" w:line="74" w:lineRule="exact"/>
        <w:rPr>
          <w:sz w:val="20"/>
          <w:szCs w:val="20"/>
          <w:color w:val="auto"/>
        </w:rPr>
      </w:pPr>
    </w:p>
    <w:p>
      <w:pPr>
        <w:ind w:right="100" w:firstLine="382"/>
        <w:spacing w:after="0" w:line="266" w:lineRule="auto"/>
        <w:rPr>
          <w:sz w:val="20"/>
          <w:szCs w:val="20"/>
          <w:color w:val="auto"/>
        </w:rPr>
      </w:pPr>
      <w:r>
        <w:rPr>
          <w:rFonts w:ascii="Times New Roman" w:cs="Times New Roman" w:eastAsia="Times New Roman" w:hAnsi="Times New Roman"/>
          <w:sz w:val="18"/>
          <w:szCs w:val="18"/>
          <w:color w:val="auto"/>
        </w:rPr>
        <w:t>The credit facilities under the Credit Agreement replaced our senior credit facilities under the First Lien Credit and Guaranty Agreement. The net proceeds from borrowings under the Credit Agreement of $248.5 million (net of $1.5 million of debt discount) were used to repay all amounts outstanding under the First Lien Term Loan on September 3, 2021.</w:t>
      </w:r>
    </w:p>
    <w:p>
      <w:pPr>
        <w:spacing w:after="0" w:line="6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The Term Loan and Revolving Facility under the Credit Agreement initially carried interest at the Company’s election at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w:t>
      </w:r>
    </w:p>
    <w:p>
      <w:pPr>
        <w:spacing w:after="0" w:line="72"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The financial covenants include the maintenance of a maximum Consolidated Total Net Leverage Ratio of 3.0 to 1.0 and a minimum Consolidated Interest Coverage Ratio of 3.0 to 1.0 (as defined in the Credit Agreement).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Facility can be increased by 2.0%.</w:t>
      </w:r>
    </w:p>
    <w:p>
      <w:pPr>
        <w:spacing w:after="0" w:line="79"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6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On June 30, 2022, we entered into a First Amendment of the Credit Agreement (“</w:t>
      </w:r>
      <w:r>
        <w:rPr>
          <w:rFonts w:ascii="Times New Roman" w:cs="Times New Roman" w:eastAsia="Times New Roman" w:hAnsi="Times New Roman"/>
          <w:sz w:val="18"/>
          <w:szCs w:val="18"/>
          <w:i w:val="1"/>
          <w:iCs w:val="1"/>
          <w:color w:val="auto"/>
        </w:rPr>
        <w:t>First Amendment</w:t>
      </w:r>
      <w:r>
        <w:rPr>
          <w:rFonts w:ascii="Times New Roman" w:cs="Times New Roman" w:eastAsia="Times New Roman" w:hAnsi="Times New Roman"/>
          <w:sz w:val="18"/>
          <w:szCs w:val="18"/>
          <w:color w:val="auto"/>
        </w:rPr>
        <w:t>”), which among other changes resulted in the Bloomberg Short-Term Bank Yield Index rate (“</w:t>
      </w:r>
      <w:r>
        <w:rPr>
          <w:rFonts w:ascii="Times New Roman" w:cs="Times New Roman" w:eastAsia="Times New Roman" w:hAnsi="Times New Roman"/>
          <w:sz w:val="18"/>
          <w:szCs w:val="18"/>
          <w:i w:val="1"/>
          <w:iCs w:val="1"/>
          <w:color w:val="auto"/>
        </w:rPr>
        <w:t>BSBY</w:t>
      </w:r>
      <w:r>
        <w:rPr>
          <w:rFonts w:ascii="Times New Roman" w:cs="Times New Roman" w:eastAsia="Times New Roman" w:hAnsi="Times New Roman"/>
          <w:sz w:val="18"/>
          <w:szCs w:val="18"/>
          <w:color w:val="auto"/>
        </w:rPr>
        <w:t>”) being utilized as a replacement rate for LIBOR. Consequently, following the First Amendment, the Term Loan and Revolving Facility will each bear interest at the Company’s election at either (a) BSBY plus a percentage spread (ranging from 1.25% to 2.25%) based on our total net leverage ratio, or (b)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(as defined in the Credit Agreement) was also amended to increase to 3.50 to 1.0 between the quarters ending September 30, 2022 through and including March 31, 2023, and such ratio will revert to 3.00 to 1.00 from the quarter ended June 30, 2023 and each quarter thereafter, provided that, upon the occurrence of a Qualified Acquisition (as defined in the Credit Agreement), such ratio can be increased to 3.50 to 1.0 temporarily provided all the requirements set forth in the Credit Agreement are met.</w:t>
      </w:r>
    </w:p>
    <w:p>
      <w:pPr>
        <w:spacing w:after="0" w:line="79" w:lineRule="exact"/>
        <w:rPr>
          <w:sz w:val="20"/>
          <w:szCs w:val="20"/>
          <w:color w:val="auto"/>
        </w:rPr>
      </w:pPr>
    </w:p>
    <w:p>
      <w:pPr>
        <w:ind w:right="140" w:firstLine="382"/>
        <w:spacing w:after="0" w:line="258" w:lineRule="auto"/>
        <w:rPr>
          <w:sz w:val="20"/>
          <w:szCs w:val="20"/>
          <w:color w:val="auto"/>
        </w:rPr>
      </w:pPr>
      <w:r>
        <w:rPr>
          <w:rFonts w:ascii="Times New Roman" w:cs="Times New Roman" w:eastAsia="Times New Roman" w:hAnsi="Times New Roman"/>
          <w:sz w:val="18"/>
          <w:szCs w:val="18"/>
          <w:color w:val="auto"/>
        </w:rPr>
        <w:t xml:space="preserve">On September 29, 2022, we entered into an accounts receivable Factoring Agreement with a Factor. See Note 7 “Balance Sheet Components – Accounts Receivable, Net” for additional information on the Factoring Agreement. In connection with the Factoring Agreement, we also entered into (i) a Second Amendment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Amendment</w:t>
      </w:r>
      <w:r>
        <w:rPr>
          <w:rFonts w:ascii="Times New Roman" w:cs="Times New Roman" w:eastAsia="Times New Roman" w:hAnsi="Times New Roman"/>
          <w:sz w:val="18"/>
          <w:szCs w:val="18"/>
          <w:color w:val="auto"/>
        </w:rPr>
        <w: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First and Second Amendment were both accounted for as debt modifications.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2022, we were not in default under the Credit Agreement.</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2022 and December 31, 2021, we had no outstanding balance under the Revolving Facility.</w:t>
      </w:r>
    </w:p>
    <w:p>
      <w:pPr>
        <w:spacing w:after="0" w:line="117" w:lineRule="exact"/>
        <w:rPr>
          <w:sz w:val="20"/>
          <w:szCs w:val="20"/>
          <w:color w:val="auto"/>
        </w:rPr>
      </w:pPr>
    </w:p>
    <w:p>
      <w:pPr>
        <w:jc w:val="both"/>
        <w:ind w:right="360" w:firstLine="382"/>
        <w:spacing w:after="0" w:line="266" w:lineRule="auto"/>
        <w:rPr>
          <w:sz w:val="20"/>
          <w:szCs w:val="20"/>
          <w:color w:val="auto"/>
        </w:rPr>
      </w:pPr>
      <w:r>
        <w:rPr>
          <w:rFonts w:ascii="Times New Roman" w:cs="Times New Roman" w:eastAsia="Times New Roman" w:hAnsi="Times New Roman"/>
          <w:sz w:val="18"/>
          <w:szCs w:val="18"/>
          <w:color w:val="auto"/>
        </w:rPr>
        <w:t>The carrying value of our Term Loan was $243.7 million and $247.7 million as of September 30, 2022 and December 31, 2021, respectively. The estimated fair value of the Term Loan as of September 30, 2022, which we have classified as a Level 2 financial instrument, was approximately $243.2 million.</w:t>
      </w:r>
    </w:p>
    <w:p>
      <w:pPr>
        <w:spacing w:after="0" w:line="81"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The effective interest rate inclusive of the debt discount and debt issuance costs was approximately 3.8% and 2.5% for the three and nine months ended September 30, 2022, respectively.</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for all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3"/>
                <w:szCs w:val="13"/>
                <w:color w:val="auto"/>
              </w:rPr>
            </w:pPr>
          </w:p>
        </w:tc>
      </w:tr>
      <w:tr>
        <w:trPr>
          <w:trHeight w:val="142"/>
        </w:trPr>
        <w:tc>
          <w:tcPr>
            <w:tcW w:w="4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Guaranty Agreement:</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146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20" w:type="dxa"/>
            <w:vAlign w:val="bottom"/>
          </w:tcPr>
          <w:p>
            <w:pPr>
              <w:spacing w:after="0"/>
              <w:rPr>
                <w:sz w:val="19"/>
                <w:szCs w:val="19"/>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Contractual interest expense for revolving facility</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interest expense recognized</w:t>
            </w:r>
          </w:p>
        </w:tc>
        <w:tc>
          <w:tcPr>
            <w:tcW w:w="62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future principal payments under our total long-term debt as of September 30, 2022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57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61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57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760" w:type="dxa"/>
            <w:vAlign w:val="bottom"/>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46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Changes in our warranty obligations were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Pr>
          <w:p>
            <w:pPr>
              <w:spacing w:after="0"/>
              <w:rPr>
                <w:sz w:val="13"/>
                <w:szCs w:val="13"/>
                <w:color w:val="auto"/>
              </w:rPr>
            </w:pPr>
          </w:p>
        </w:tc>
      </w:tr>
      <w:tr>
        <w:trPr>
          <w:trHeight w:val="47"/>
        </w:trPr>
        <w:tc>
          <w:tcPr>
            <w:tcW w:w="4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Warranty provision related to products shipped</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Deductions for warranty claims processed</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(4,804)</w:t>
            </w: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(5,327)</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long-term non-cancelable purchase commitments consist primarily of multi-year contractual arrangements relating to subscriptions for cloud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computing hosting arrangements for various reporting applications and the related support services. Long-term non-cancelable purchase commitments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were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48"/>
        </w:trPr>
        <w:tc>
          <w:tcPr>
            <w:tcW w:w="53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total long term non-cancelable purchase commitments outstanding as of December 31, 2021 were $7.1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auto"/>
        </w:rPr>
        <w:t>There were no letters of credit outstanding as of September 30, 2022; total letters of credit outstanding were $0.5 million as of December 31, 2021. No amounts have been drawn upon the letters of credit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matters is currently not determinable. An unfavorable outcome to any legal matter, if material, could have an adverse effect on our operations or financial position, liquidity of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ind w:right="260" w:firstLine="382"/>
        <w:spacing w:after="0" w:line="266" w:lineRule="auto"/>
        <w:rPr>
          <w:sz w:val="20"/>
          <w:szCs w:val="20"/>
          <w:color w:val="auto"/>
        </w:rPr>
      </w:pPr>
      <w:r>
        <w:rPr>
          <w:rFonts w:ascii="Times New Roman" w:cs="Times New Roman" w:eastAsia="Times New Roman" w:hAnsi="Times New Roman"/>
          <w:sz w:val="18"/>
          <w:szCs w:val="18"/>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September 30, 2022 and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 and Stock-Based Compensation</w:t>
      </w:r>
    </w:p>
    <w:p>
      <w:pPr>
        <w:spacing w:after="0" w:line="121" w:lineRule="exact"/>
        <w:rPr>
          <w:sz w:val="20"/>
          <w:szCs w:val="20"/>
          <w:color w:val="auto"/>
        </w:rPr>
      </w:pPr>
    </w:p>
    <w:p>
      <w:pPr>
        <w:ind w:right="680" w:firstLine="382"/>
        <w:spacing w:after="0" w:line="282" w:lineRule="auto"/>
        <w:rPr>
          <w:sz w:val="20"/>
          <w:szCs w:val="20"/>
          <w:color w:val="auto"/>
        </w:rPr>
      </w:pPr>
      <w:r>
        <w:rPr>
          <w:rFonts w:ascii="Times New Roman" w:cs="Times New Roman" w:eastAsia="Times New Roman" w:hAnsi="Times New Roman"/>
          <w:sz w:val="18"/>
          <w:szCs w:val="18"/>
          <w:color w:val="auto"/>
        </w:rPr>
        <w:t>As of September 30, 2022, we have two active equity incentive plans: the 2020 Equity Incentive Plan and the Employee Stock Purchase Plan (“</w:t>
      </w:r>
      <w:r>
        <w:rPr>
          <w:rFonts w:ascii="Times New Roman" w:cs="Times New Roman" w:eastAsia="Times New Roman" w:hAnsi="Times New Roman"/>
          <w:sz w:val="18"/>
          <w:szCs w:val="18"/>
          <w:i w:val="1"/>
          <w:iCs w:val="1"/>
          <w:color w:val="auto"/>
        </w:rPr>
        <w:t>ESPP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76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the accompanying condensed consolidated statements of operations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9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48"/>
        </w:trPr>
        <w:tc>
          <w:tcPr>
            <w:tcW w:w="59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20" w:type="dxa"/>
            <w:vAlign w:val="bottom"/>
            <w:gridSpan w:val="2"/>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FF0FC"/>
          </w:tcPr>
          <w:p>
            <w:pPr>
              <w:spacing w:after="0"/>
              <w:rPr>
                <w:sz w:val="19"/>
                <w:szCs w:val="19"/>
                <w:color w:val="auto"/>
              </w:rPr>
            </w:pP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4,505</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shd w:val="clear" w:color="auto" w:fill="CFF0FC"/>
          </w:tcPr>
          <w:p>
            <w:pPr>
              <w:spacing w:after="0"/>
              <w:rPr>
                <w:sz w:val="19"/>
                <w:szCs w:val="19"/>
                <w:color w:val="auto"/>
              </w:rPr>
            </w:pPr>
          </w:p>
        </w:tc>
      </w:tr>
      <w:tr>
        <w:trPr>
          <w:trHeight w:val="223"/>
        </w:trPr>
        <w:tc>
          <w:tcPr>
            <w:tcW w:w="59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Stock-based compensation expense, net of amounts capitalized </w:t>
            </w:r>
            <w:r>
              <w:rPr>
                <w:rFonts w:ascii="Times New Roman" w:cs="Times New Roman" w:eastAsia="Times New Roman" w:hAnsi="Times New Roman"/>
                <w:sz w:val="15"/>
                <w:szCs w:val="15"/>
                <w:color w:val="auto"/>
              </w:rPr>
              <w:t>(1)</w:t>
            </w: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5,643</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5,812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120" w:type="dxa"/>
            <w:vAlign w:val="bottom"/>
            <w:tcBorders>
              <w:bottom w:val="single" w:sz="8" w:color="CFF0FC"/>
            </w:tcBorders>
          </w:tcPr>
          <w:p>
            <w:pPr>
              <w:spacing w:after="0"/>
              <w:rPr>
                <w:sz w:val="19"/>
                <w:szCs w:val="19"/>
                <w:color w:val="auto"/>
              </w:rPr>
            </w:pPr>
          </w:p>
        </w:tc>
      </w:tr>
      <w:tr>
        <w:trPr>
          <w:trHeight w:val="205"/>
        </w:trPr>
        <w:tc>
          <w:tcPr>
            <w:tcW w:w="592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Income tax benefits related to stock-based</w:t>
            </w:r>
          </w:p>
        </w:tc>
        <w:tc>
          <w:tcPr>
            <w:tcW w:w="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9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compensation expense</w:t>
            </w:r>
          </w:p>
        </w:tc>
        <w:tc>
          <w:tcPr>
            <w:tcW w:w="74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20" w:type="dxa"/>
            <w:vAlign w:val="bottom"/>
            <w:gridSpan w:val="2"/>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20" w:type="dxa"/>
            <w:vAlign w:val="bottom"/>
            <w:shd w:val="clear" w:color="auto" w:fill="CFF0FC"/>
          </w:tcPr>
          <w:p>
            <w:pPr>
              <w:spacing w:after="0"/>
              <w:rPr>
                <w:sz w:val="20"/>
                <w:szCs w:val="20"/>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620" w:right="100" w:hanging="275"/>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stock-based compensation expense capitalized in inventory and as cloud computing arrangement implementation costs were not material for each of the periods presented.</w:t>
      </w:r>
    </w:p>
    <w:p>
      <w:pPr>
        <w:spacing w:after="0" w:line="202" w:lineRule="exact"/>
        <w:rPr>
          <w:sz w:val="20"/>
          <w:szCs w:val="20"/>
          <w:color w:val="auto"/>
        </w:rPr>
      </w:pPr>
    </w:p>
    <w:p>
      <w:pPr>
        <w:ind w:right="2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 summarizes by type of grant, the total unrecognized stock-based compensation expense and the remaining period over which such expense is expected to be recognized (in thousands, except number of years):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31"/>
        </w:trPr>
        <w:tc>
          <w:tcPr>
            <w:tcW w:w="7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280" w:type="dxa"/>
            <w:vAlign w:val="bottom"/>
          </w:tcPr>
          <w:p>
            <w:pPr>
              <w:spacing w:after="0"/>
              <w:rPr>
                <w:sz w:val="11"/>
                <w:szCs w:val="11"/>
                <w:color w:val="auto"/>
              </w:rPr>
            </w:pPr>
          </w:p>
        </w:tc>
        <w:tc>
          <w:tcPr>
            <w:tcW w:w="1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 weighted</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period (In years)</w:t>
            </w:r>
          </w:p>
        </w:tc>
        <w:tc>
          <w:tcPr>
            <w:tcW w:w="0" w:type="dxa"/>
            <w:vAlign w:val="bottom"/>
          </w:tcPr>
          <w:p>
            <w:pPr>
              <w:spacing w:after="0"/>
              <w:rPr>
                <w:sz w:val="1"/>
                <w:szCs w:val="1"/>
                <w:color w:val="auto"/>
              </w:rPr>
            </w:pPr>
          </w:p>
        </w:tc>
      </w:tr>
      <w:tr>
        <w:trPr>
          <w:trHeight w:val="48"/>
        </w:trPr>
        <w:tc>
          <w:tcPr>
            <w:tcW w:w="7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204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40" w:type="dxa"/>
            <w:vAlign w:val="bottom"/>
            <w:tcBorders>
              <w:bottom w:val="single" w:sz="8" w:color="CFF0FC"/>
            </w:tcBorders>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5"/>
              </w:rPr>
              <w:t>0.25</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52,775</w:t>
            </w:r>
          </w:p>
        </w:tc>
        <w:tc>
          <w:tcPr>
            <w:tcW w:w="28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The total intrinsic value of options exercised was $0.4 million and $4.4 million for the three and nine months ended September 30, 2022, respectively, and was $8.8 million and $62.4 million for the three and nine months ended September 30, 2021, respectively. The total fair value of RSUs vested was $1.1 million and $4.0 million for the three and nine months ended September 30, 2022, respectively, and was $0.8 million for both the three and nine months ended September 30,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income (loss) per share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(5,945)</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(61,064)</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(12,330)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8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of Corsair Gaming,</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(8,901)</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(73,427)</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Effect of dilutive securities </w:t>
            </w: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diluted weighted-average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 of</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Corsair Gaming, Inc.</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(0.77)</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Anti-dilutive potential common shares </w:t>
            </w:r>
            <w:r>
              <w:rPr>
                <w:rFonts w:ascii="Calibri" w:cs="Calibri" w:eastAsia="Calibri" w:hAnsi="Calibri"/>
                <w:sz w:val="16"/>
                <w:szCs w:val="16"/>
                <w:color w:val="auto"/>
              </w:rPr>
              <w:t>(1)</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80" w:hanging="382"/>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common share equivalents were not included in the calculation of diluted net income (loss) per share as the effect would have been anti-dilutive.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The table below presents our income (loss) before income taxes, income tax benefit (expense) and effective income tax rates for all periods presented (in thousands, except percentages):</w:t>
      </w:r>
    </w:p>
    <w:tbl>
      <w:tblPr>
        <w:tblLayout w:type="fixed"/>
        <w:tblInd w:w="0" w:type="dxa"/>
        <w:tblCellMar>
          <w:top w:w="0" w:type="dxa"/>
          <w:left w:w="0" w:type="dxa"/>
          <w:bottom w:w="0" w:type="dxa"/>
          <w:right w:w="0" w:type="dxa"/>
        </w:tblCellMar>
      </w:tblPr>
      <w:tr>
        <w:trPr>
          <w:trHeight w:val="137"/>
        </w:trPr>
        <w:tc>
          <w:tcPr>
            <w:tcW w:w="5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gridSpan w:val="3"/>
          </w:tcPr>
          <w:p>
            <w:pPr>
              <w:jc w:val="center"/>
              <w:ind w:left="419"/>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gridSpan w:val="3"/>
          </w:tcPr>
          <w:p>
            <w:pPr>
              <w:jc w:val="center"/>
              <w:ind w:left="419"/>
              <w:spacing w:after="0" w:line="13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3"/>
        </w:trPr>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9"/>
                <w:szCs w:val="19"/>
                <w:color w:val="auto"/>
              </w:rPr>
            </w:pPr>
          </w:p>
        </w:tc>
      </w:tr>
      <w:tr>
        <w:trPr>
          <w:trHeight w:val="48"/>
        </w:trPr>
        <w:tc>
          <w:tcPr>
            <w:tcW w:w="5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(12,060)</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(72,326)</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92,099</w:t>
            </w:r>
          </w:p>
        </w:tc>
        <w:tc>
          <w:tcPr>
            <w:tcW w:w="18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(15,854)</w:t>
            </w: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4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79"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315" w:lineRule="exact"/>
        <w:rPr>
          <w:sz w:val="20"/>
          <w:szCs w:val="20"/>
          <w:color w:val="auto"/>
        </w:rPr>
      </w:pPr>
    </w:p>
    <w:p>
      <w:pPr>
        <w:ind w:right="280" w:firstLine="382"/>
        <w:spacing w:after="0" w:line="282" w:lineRule="auto"/>
        <w:rPr>
          <w:sz w:val="20"/>
          <w:szCs w:val="20"/>
          <w:color w:val="auto"/>
        </w:rPr>
      </w:pPr>
      <w:r>
        <w:rPr>
          <w:rFonts w:ascii="Times New Roman" w:cs="Times New Roman" w:eastAsia="Times New Roman" w:hAnsi="Times New Roman"/>
          <w:sz w:val="18"/>
          <w:szCs w:val="18"/>
          <w:color w:val="auto"/>
        </w:rPr>
        <w:t>Our effective tax rates were 50.7% and 17.4% for the three months ended September 30, 2022 and 2021, respectively. The increase in effective tax rates was primarily due to the change in the forecast and the mix of losses between the various jurisdictions.</w:t>
      </w:r>
    </w:p>
    <w:p>
      <w:pPr>
        <w:spacing w:after="0" w:line="270"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Our effective tax rates were 15.6% and 17.2% for the nine months ended September 30, 2022 and 2021, respectively. The decrease in effective tax rates was primarily due to an increase in losses in our foreign subsidiaries, which was partially offset by a decrease in excess tax benefits from stock-based compensation recognized in the nine months ended September 30, 2022, as compared to the same period last year. In addition, in the nine months ended September 30, 2021, we recorded a $1.4 million one-time tax</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expense related to the remeasurement of our United Kingdom deferred tax liabilities as a result of the enactment of the increased corporate tax rate in the United Kingdom.</w:t>
      </w:r>
    </w:p>
    <w:p>
      <w:pPr>
        <w:spacing w:after="0" w:line="54" w:lineRule="exact"/>
        <w:rPr>
          <w:sz w:val="20"/>
          <w:szCs w:val="20"/>
          <w:color w:val="auto"/>
        </w:rPr>
      </w:pPr>
    </w:p>
    <w:p>
      <w:pPr>
        <w:ind w:firstLine="382"/>
        <w:spacing w:after="0" w:line="282" w:lineRule="auto"/>
        <w:rPr>
          <w:sz w:val="20"/>
          <w:szCs w:val="20"/>
          <w:color w:val="auto"/>
        </w:rPr>
      </w:pPr>
      <w:r>
        <w:rPr>
          <w:rFonts w:ascii="Times New Roman" w:cs="Times New Roman" w:eastAsia="Times New Roman" w:hAnsi="Times New Roman"/>
          <w:sz w:val="18"/>
          <w:szCs w:val="18"/>
          <w:color w:val="auto"/>
        </w:rPr>
        <w:t>Unrecognized tax benefits were $3.8 million as of September 30, 2022 and December 31, 2021, and if recognized, would favorably affect the effective income tax rate in future periods.</w:t>
      </w:r>
    </w:p>
    <w:p>
      <w:pPr>
        <w:spacing w:after="0" w:line="200" w:lineRule="exact"/>
        <w:rPr>
          <w:sz w:val="20"/>
          <w:szCs w:val="20"/>
          <w:color w:val="auto"/>
        </w:rPr>
      </w:pPr>
    </w:p>
    <w:p>
      <w:pPr>
        <w:spacing w:after="0" w:line="282" w:lineRule="exact"/>
        <w:rPr>
          <w:sz w:val="20"/>
          <w:szCs w:val="20"/>
          <w:color w:val="auto"/>
        </w:rPr>
      </w:pPr>
    </w:p>
    <w:p>
      <w:pPr>
        <w:ind w:left="380" w:right="8040" w:hanging="372"/>
        <w:spacing w:after="0" w:line="375" w:lineRule="auto"/>
        <w:tabs>
          <w:tab w:leader="none" w:pos="26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and Geographic Information </w:t>
      </w:r>
      <w:r>
        <w:rPr>
          <w:rFonts w:ascii="Times New Roman" w:cs="Times New Roman" w:eastAsia="Times New Roman" w:hAnsi="Times New Roman"/>
          <w:sz w:val="18"/>
          <w:szCs w:val="18"/>
          <w:color w:val="auto"/>
        </w:rPr>
        <w:t>We have two reportable segments:</w:t>
      </w:r>
    </w:p>
    <w:p>
      <w:pPr>
        <w:spacing w:after="0" w:line="1" w:lineRule="exact"/>
        <w:rPr>
          <w:rFonts w:ascii="Times New Roman" w:cs="Times New Roman" w:eastAsia="Times New Roman" w:hAnsi="Times New Roman"/>
          <w:sz w:val="18"/>
          <w:szCs w:val="18"/>
          <w:b w:val="1"/>
          <w:bCs w:val="1"/>
          <w:color w:val="auto"/>
        </w:rPr>
      </w:pPr>
    </w:p>
    <w:p>
      <w:pPr>
        <w:ind w:left="760" w:right="60" w:hanging="374"/>
        <w:spacing w:after="0" w:line="268" w:lineRule="auto"/>
        <w:tabs>
          <w:tab w:leader="none" w:pos="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our streaming gear,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62" w:lineRule="exact"/>
        <w:rPr>
          <w:rFonts w:ascii="Times New Roman" w:cs="Times New Roman" w:eastAsia="Times New Roman" w:hAnsi="Times New Roman"/>
          <w:sz w:val="18"/>
          <w:szCs w:val="18"/>
          <w:color w:val="auto"/>
        </w:rPr>
      </w:pPr>
    </w:p>
    <w:p>
      <w:pPr>
        <w:ind w:left="760" w:right="280" w:hanging="374"/>
        <w:spacing w:after="0" w:line="286" w:lineRule="auto"/>
        <w:tabs>
          <w:tab w:leader="none" w:pos="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laptops, and gaming monitor, among others.</w:t>
      </w:r>
    </w:p>
    <w:p>
      <w:pPr>
        <w:spacing w:after="0" w:line="157"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The segments are defined as those operations our chief operating decision maker (</w:t>
      </w:r>
      <w:r>
        <w:rPr>
          <w:rFonts w:ascii="Times New Roman" w:cs="Times New Roman" w:eastAsia="Times New Roman" w:hAnsi="Times New Roman"/>
          <w:sz w:val="18"/>
          <w:szCs w:val="18"/>
          <w:i w:val="1"/>
          <w:iCs w:val="1"/>
          <w:color w:val="auto"/>
        </w:rPr>
        <w:t>“CODM”</w:t>
      </w:r>
      <w:r>
        <w:rPr>
          <w:rFonts w:ascii="Times New Roman" w:cs="Times New Roman" w:eastAsia="Times New Roman" w:hAnsi="Times New Roman"/>
          <w:sz w:val="18"/>
          <w:szCs w:val="18"/>
          <w:color w:val="auto"/>
        </w:rPr>
        <w:t>)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financial information for each reportable segment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r>
      <w:tr>
        <w:trPr>
          <w:trHeight w:val="48"/>
        </w:trPr>
        <w:tc>
          <w:tcPr>
            <w:tcW w:w="4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96,848</w:t>
            </w:r>
          </w:p>
        </w:tc>
        <w:tc>
          <w:tcPr>
            <w:tcW w:w="260" w:type="dxa"/>
            <w:vAlign w:val="bottom"/>
          </w:tcPr>
          <w:p>
            <w:pPr>
              <w:spacing w:after="0"/>
              <w:rPr>
                <w:sz w:val="19"/>
                <w:szCs w:val="19"/>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139,260</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319,985</w:t>
            </w:r>
          </w:p>
        </w:tc>
        <w:tc>
          <w:tcPr>
            <w:tcW w:w="2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470,329</w:t>
            </w: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214,921</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251,861</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656,383</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923,109</w:t>
            </w:r>
          </w:p>
        </w:tc>
        <w:tc>
          <w:tcPr>
            <w:tcW w:w="120" w:type="dxa"/>
            <w:vAlign w:val="bottom"/>
            <w:shd w:val="clear" w:color="auto" w:fill="CFF0FC"/>
          </w:tcPr>
          <w:p>
            <w:pPr>
              <w:spacing w:after="0"/>
              <w:rPr>
                <w:sz w:val="19"/>
                <w:szCs w:val="19"/>
                <w:color w:val="auto"/>
              </w:rPr>
            </w:pPr>
          </w:p>
        </w:tc>
      </w:tr>
      <w:tr>
        <w:trPr>
          <w:trHeight w:val="263"/>
        </w:trPr>
        <w:tc>
          <w:tcPr>
            <w:tcW w:w="4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311,769</w:t>
            </w:r>
          </w:p>
        </w:tc>
        <w:tc>
          <w:tcPr>
            <w:tcW w:w="2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391,121</w:t>
            </w: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976,368</w:t>
            </w:r>
          </w:p>
        </w:tc>
        <w:tc>
          <w:tcPr>
            <w:tcW w:w="2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1,393,438</w:t>
            </w:r>
          </w:p>
        </w:tc>
        <w:tc>
          <w:tcPr>
            <w:tcW w:w="12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260" w:type="dxa"/>
            <w:vAlign w:val="bottom"/>
          </w:tcPr>
          <w:p>
            <w:pPr>
              <w:spacing w:after="0"/>
              <w:rPr>
                <w:sz w:val="19"/>
                <w:szCs w:val="19"/>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85,405</w:t>
            </w:r>
          </w:p>
        </w:tc>
        <w:tc>
          <w:tcPr>
            <w:tcW w:w="2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172,080</w:t>
            </w: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39,770</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52,782</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113,370</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219,961</w:t>
            </w:r>
          </w:p>
        </w:tc>
        <w:tc>
          <w:tcPr>
            <w:tcW w:w="120" w:type="dxa"/>
            <w:vAlign w:val="bottom"/>
            <w:shd w:val="clear" w:color="auto" w:fill="CFF0FC"/>
          </w:tcPr>
          <w:p>
            <w:pPr>
              <w:spacing w:after="0"/>
              <w:rPr>
                <w:sz w:val="19"/>
                <w:szCs w:val="19"/>
                <w:color w:val="auto"/>
              </w:rPr>
            </w:pPr>
          </w:p>
        </w:tc>
      </w:tr>
      <w:tr>
        <w:trPr>
          <w:trHeight w:val="22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71,560</w:t>
            </w: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101,362</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198,775</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392,041</w:t>
            </w:r>
          </w:p>
        </w:tc>
        <w:tc>
          <w:tcPr>
            <w:tcW w:w="12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20" w:firstLine="382"/>
        <w:spacing w:after="0" w:line="282" w:lineRule="auto"/>
        <w:rPr>
          <w:sz w:val="20"/>
          <w:szCs w:val="20"/>
          <w:color w:val="auto"/>
        </w:rPr>
      </w:pPr>
      <w:r>
        <w:rPr>
          <w:rFonts w:ascii="Times New Roman" w:cs="Times New Roman" w:eastAsia="Times New Roman" w:hAnsi="Times New Roman"/>
          <w:sz w:val="18"/>
          <w:szCs w:val="18"/>
          <w:color w:val="auto"/>
        </w:rPr>
        <w:t>The CODM manages assets on a total company basis, not by operating segments; therefore, asset information and capital expenditures by operating segments are not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net revenue by geographic region based on the location of the customer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r>
      <w:tr>
        <w:trPr>
          <w:trHeight w:val="48"/>
        </w:trPr>
        <w:tc>
          <w:tcPr>
            <w:tcW w:w="4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164,378</w:t>
            </w:r>
          </w:p>
        </w:tc>
        <w:tc>
          <w:tcPr>
            <w:tcW w:w="260" w:type="dxa"/>
            <w:vAlign w:val="bottom"/>
          </w:tcPr>
          <w:p>
            <w:pPr>
              <w:spacing w:after="0"/>
              <w:rPr>
                <w:sz w:val="19"/>
                <w:szCs w:val="19"/>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189,330</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506,835</w:t>
            </w:r>
          </w:p>
        </w:tc>
        <w:tc>
          <w:tcPr>
            <w:tcW w:w="2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606,788</w:t>
            </w: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and Middle East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91,092</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147,703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284,521</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560,905</w:t>
            </w: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56,299</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54,088</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185,012</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225,745</w:t>
            </w:r>
          </w:p>
        </w:tc>
        <w:tc>
          <w:tcPr>
            <w:tcW w:w="12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311,769</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391,121</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976,368</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1,393,438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480" w:firstLine="382"/>
        <w:spacing w:after="0" w:line="266" w:lineRule="auto"/>
        <w:rPr>
          <w:sz w:val="20"/>
          <w:szCs w:val="20"/>
          <w:color w:val="auto"/>
        </w:rPr>
      </w:pPr>
      <w:r>
        <w:rPr>
          <w:rFonts w:ascii="Times New Roman" w:cs="Times New Roman" w:eastAsia="Times New Roman" w:hAnsi="Times New Roman"/>
          <w:sz w:val="18"/>
          <w:szCs w:val="18"/>
          <w:color w:val="auto"/>
        </w:rPr>
        <w:t>Revenues from sales to customers in the United States represented 44.7% and 41.4% for the three months ended September 30, 2022 and 2021, respectively, and represented 44.5% and 37.3% for the nine months ended September 30, 2022 and 2021, respectively. No other countries besides the United States represented 10% or more of total net revenue for each of the periods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260" w:firstLine="382"/>
        <w:spacing w:after="0" w:line="282" w:lineRule="auto"/>
        <w:rPr>
          <w:sz w:val="20"/>
          <w:szCs w:val="20"/>
          <w:color w:val="auto"/>
        </w:rPr>
      </w:pPr>
      <w:r>
        <w:rPr>
          <w:rFonts w:ascii="Times New Roman" w:cs="Times New Roman" w:eastAsia="Times New Roman" w:hAnsi="Times New Roman"/>
          <w:sz w:val="18"/>
          <w:szCs w:val="18"/>
          <w:color w:val="auto"/>
        </w:rPr>
        <w:t>Two customers represented at least 10% of total net revenue for the three and nine months ended September 30, 2022. One customer represented at least 10% of total net revenue for the three and nine months ended September 30,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Redeemable Noncontrolling Interests</w:t>
      </w:r>
    </w:p>
    <w:p>
      <w:pPr>
        <w:spacing w:after="0" w:line="121" w:lineRule="exact"/>
        <w:rPr>
          <w:sz w:val="20"/>
          <w:szCs w:val="20"/>
          <w:color w:val="auto"/>
        </w:rPr>
      </w:pPr>
    </w:p>
    <w:p>
      <w:pPr>
        <w:ind w:right="120" w:firstLine="382"/>
        <w:spacing w:after="0" w:line="256" w:lineRule="auto"/>
        <w:rPr>
          <w:sz w:val="20"/>
          <w:szCs w:val="20"/>
          <w:color w:val="auto"/>
        </w:rPr>
      </w:pPr>
      <w:r>
        <w:rPr>
          <w:rFonts w:ascii="Times New Roman" w:cs="Times New Roman" w:eastAsia="Times New Roman" w:hAnsi="Times New Roman"/>
          <w:sz w:val="18"/>
          <w:szCs w:val="18"/>
          <w:color w:val="auto"/>
        </w:rPr>
        <w:t>Under the Shareholders Agreement between Corsair and the iDisplay Seller a put option was provided to the iDisplay Seller to transfer to Corsair (i) 14% of their ownership interest in iDisplay upon the first anniversary of the Closing Date of the iDisplay Acquisition, and (ii) an additional 15% of their ownership interest in iDisplay upon the second anniversary of the Closing Date. The put option will expire after January 1, 2025. The exercise price of the put option is based on multiples of iDisplay’s historical TTM EBITDA less any debt. The put option makes this portion of the noncontrolling interests redeemable and therefore, the redeemable noncontrolling interests are classified as temporary equity and carried at redemption value on our condensed consolidated balance sheet. The change in redemption value is recognized through retained earnings.</w:t>
      </w:r>
    </w:p>
    <w:p>
      <w:pPr>
        <w:spacing w:after="0" w:line="79" w:lineRule="exact"/>
        <w:rPr>
          <w:sz w:val="20"/>
          <w:szCs w:val="20"/>
          <w:color w:val="auto"/>
        </w:rPr>
      </w:pPr>
    </w:p>
    <w:p>
      <w:pPr>
        <w:jc w:val="both"/>
        <w:ind w:right="120" w:firstLine="382"/>
        <w:spacing w:after="0" w:line="266" w:lineRule="auto"/>
        <w:rPr>
          <w:sz w:val="20"/>
          <w:szCs w:val="20"/>
          <w:color w:val="auto"/>
        </w:rPr>
      </w:pPr>
      <w:r>
        <w:rPr>
          <w:rFonts w:ascii="Times New Roman" w:cs="Times New Roman" w:eastAsia="Times New Roman" w:hAnsi="Times New Roman"/>
          <w:sz w:val="18"/>
          <w:szCs w:val="18"/>
          <w:color w:val="auto"/>
        </w:rPr>
        <w:t>As of the Closing Date of the iDisplay Acquisition, the fair value of the total 49% noncontrolling interests in iDisplay has been estimated to be $29.6 million, of which $17.5 million is attributable to the 29% redeemable noncontrolling interests and classified within temporary equity and $12.1 million is attributable to the 20% noncontrolling interests classified within permanent equity on our condensed consolidated balance sheets.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changes in redeemable noncontrolling interests for the periods presented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61"/>
        </w:trPr>
        <w:tc>
          <w:tcPr>
            <w:tcW w:w="7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noncontrolling interests in iDisplay estimated at fair value at Closing Date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100" w:type="dxa"/>
            <w:vAlign w:val="bottom"/>
          </w:tcPr>
          <w:p>
            <w:pPr>
              <w:spacing w:after="0"/>
              <w:rPr>
                <w:sz w:val="19"/>
                <w:szCs w:val="19"/>
                <w:color w:val="auto"/>
              </w:rPr>
            </w:pPr>
          </w:p>
        </w:tc>
      </w:tr>
      <w:tr>
        <w:trPr>
          <w:trHeight w:val="229"/>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r>
      <w:tr>
        <w:trPr>
          <w:trHeight w:val="229"/>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attributable to redeemable noncontrolling interests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r>
      <w:tr>
        <w:trPr>
          <w:trHeight w:val="230"/>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Dividend paid to the redeemable noncontrolling interests</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(1,305)</w:t>
            </w: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(1,305)</w:t>
            </w:r>
          </w:p>
        </w:tc>
      </w:tr>
      <w:tr>
        <w:trPr>
          <w:trHeight w:val="229"/>
        </w:trPr>
        <w:tc>
          <w:tcPr>
            <w:tcW w:w="72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Change in redemption value of redeemable noncontrolling interests </w:t>
            </w:r>
            <w:r>
              <w:rPr>
                <w:rFonts w:ascii="Times New Roman" w:cs="Times New Roman" w:eastAsia="Times New Roman" w:hAnsi="Times New Roman"/>
                <w:sz w:val="15"/>
                <w:szCs w:val="15"/>
                <w:color w:val="auto"/>
              </w:rPr>
              <w:t>(1)</w:t>
            </w:r>
          </w:p>
        </w:tc>
        <w:tc>
          <w:tcPr>
            <w:tcW w:w="8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Borders>
              <w:bottom w:val="single" w:sz="8" w:color="CFF0FC"/>
            </w:tcBorders>
          </w:tcPr>
          <w:p>
            <w:pPr>
              <w:spacing w:after="0"/>
              <w:rPr>
                <w:sz w:val="19"/>
                <w:szCs w:val="19"/>
                <w:color w:val="auto"/>
              </w:rPr>
            </w:pPr>
          </w:p>
        </w:tc>
      </w:tr>
      <w:tr>
        <w:trPr>
          <w:trHeight w:val="223"/>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Balance at end of period </w:t>
            </w:r>
            <w:r>
              <w:rPr>
                <w:rFonts w:ascii="Times New Roman" w:cs="Times New Roman" w:eastAsia="Times New Roman" w:hAnsi="Times New Roman"/>
                <w:sz w:val="15"/>
                <w:szCs w:val="15"/>
                <w:color w:val="auto"/>
              </w:rPr>
              <w:t>(2)</w:t>
            </w: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ind w:left="540" w:right="40" w:hanging="262"/>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a $2.7 million and $12.3 million increase in redemption value over the carrying value for the three and nine months ended September 30, 2022 respectively. These amounts were recorded as an offset to retained earnings and increased the net loss used in the calculation of net loss per share attributable for these periods.</w:t>
      </w:r>
    </w:p>
    <w:p>
      <w:pPr>
        <w:spacing w:after="0" w:line="50" w:lineRule="exact"/>
        <w:rPr>
          <w:rFonts w:ascii="Times New Roman" w:cs="Times New Roman" w:eastAsia="Times New Roman" w:hAnsi="Times New Roman"/>
          <w:sz w:val="18"/>
          <w:szCs w:val="18"/>
          <w:color w:val="auto"/>
        </w:rPr>
      </w:pPr>
    </w:p>
    <w:p>
      <w:pPr>
        <w:jc w:val="both"/>
        <w:ind w:left="540" w:right="420" w:hanging="262"/>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redeemable noncontrolling interests balance at September 30, 2022 included the amount that would be paid to the noncontrolling interests holder if they exercise their put option (calculated based on multiples of iDisplay’s historical TTM EBITDA less any debt), and the accrual for dividends based on the Shareholders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32"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382"/>
        <w:spacing w:after="0" w:line="255" w:lineRule="auto"/>
        <w:rPr>
          <w:sz w:val="20"/>
          <w:szCs w:val="20"/>
          <w:color w:val="auto"/>
        </w:rPr>
      </w:pPr>
      <w:r>
        <w:rPr>
          <w:rFonts w:ascii="Times New Roman" w:cs="Times New Roman" w:eastAsia="Times New Roman" w:hAnsi="Times New Roman"/>
          <w:sz w:val="18"/>
          <w:szCs w:val="18"/>
          <w:color w:val="auto"/>
        </w:rPr>
        <w:t>We are a leading global provider and innovator of high-performance gear for gamers, streamers and content creators, many of which build their own PCs using our components. Our gear is sold to end users worldwide through either our retail channel or our direct-to-consumer channel. In our retail channel, we distribute our gear either directly to the retailer, such as Amazon and Best Buy, or through key distributors. In the last two years, we have entered into four large new markets: microphones and cameras markets for content creators, the gaming monitors market and prebuilt gaming laptops market for both gamers and content creators. We continue to optimize the value of existing products and to introduce new products to the market driving growth. Over the longer term, we believe we will be able to continue to grow in new markets as well as the markets that we participate in through innovation and leading technologies and entry into new categories via organic growth or acquisition.</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group our products into two categories (operating segments):</w:t>
      </w:r>
    </w:p>
    <w:p>
      <w:pPr>
        <w:spacing w:after="0" w:line="127" w:lineRule="exact"/>
        <w:rPr>
          <w:sz w:val="20"/>
          <w:szCs w:val="20"/>
          <w:color w:val="auto"/>
        </w:rPr>
      </w:pPr>
    </w:p>
    <w:p>
      <w:pPr>
        <w:ind w:left="760" w:right="60" w:hanging="374"/>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streaming gear,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76" w:lineRule="exact"/>
        <w:rPr>
          <w:rFonts w:ascii="Times New Roman" w:cs="Times New Roman" w:eastAsia="Times New Roman" w:hAnsi="Times New Roman"/>
          <w:sz w:val="18"/>
          <w:szCs w:val="18"/>
          <w:color w:val="auto"/>
        </w:rPr>
      </w:pPr>
    </w:p>
    <w:p>
      <w:pPr>
        <w:ind w:left="760" w:right="100" w:hanging="374"/>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or PSUs, cooling solutions, computer cases, and DRAM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modules, as well as high-end prebuilt and custom-built gaming PCs and laptops, and gaming monitor, among others.</w:t>
      </w:r>
    </w:p>
    <w:p>
      <w:pPr>
        <w:spacing w:after="0" w:line="51"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Since 2018, we have completed eight acquisitions, including our acquisition of 51% of the share capital of iDisplay, a leader in electronic development and design specializing in display technology, in January 2022. The iDisplay acquisition will allow us to direct the development and integration of iDisplay’s display-based touch-screen technologies into our products for creators, gamers and streamers. iDisplay’s results of operations are fully consolidated with Corsair with effect from January 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2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Our revenue for the three months ended September 30, 2022, decreased by $79.4 million or 20.3%, compared to the same period last year. Our revenue for the nine months ended September 30, 2022, decreased by $417.1 million or 29.9% compared to the same period last year. The decrease in revenue for the three- and nine-month periods was primarily driven by the continuing slowdown in consumer spending in Europe mainly related to the Russia and Ukraine war, the unexpected high inflationary pressure on consumer spending, and currency pressure from the strengthening of the U.S. dollar against the Euro and British Pound, causing some of our products to become more expensive in Europe. The decrease in revenue for the nine months ended September 30, 2022 was also partly due to the easing of the COVID-19 shelter in-place restrictions which resulted in decreased demand for our gear as consumers sought alternative forms of entertainment. The decrease in demand for our gear in 2022 resulted in a buildup of inventory in our warehouses as well as in the retail channel, causing our channel partners to delay ordering while they clear excess inventory. In the three months ended September 30, 2022, the excess inventory situation in the retail channel has begun to ease in the United States, and we expect it to gradually ease in Europe starting next quarter.</w:t>
      </w:r>
    </w:p>
    <w:p>
      <w:pPr>
        <w:spacing w:after="0" w:line="86"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8"/>
          <w:szCs w:val="18"/>
          <w:color w:val="auto"/>
        </w:rPr>
        <w:t>Our gross margins decreased from 25.9% to 23.0% for the three months ended September 30, 2022, and from 28.1% to 20.4% for the nine months ended September 30, 2022, in each case, as compared to the same periods last year. The decrease in our gross margins for the three- and nine-month periods were primarily due to increased logistics costs and higher promotional activities. The decrease in gross margin for the nine months ended September 30, 2022 was also partially due to the higher inventory impairment and related charges in 2022 as a result of our inventory rationalization plan to align our inventory balance with the updated revenue outlook for 2022. In addition, the decrease in gross margins for the three and nine months ended September 30, 2022 was partially offset by lower freight costs as the elevated freight rate caused by the pandemic has normalized to close to pre-pandemic level, beginning in the third fiscal quarter of 2022.</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2022, we had cash and restricted cash, in the aggregate of $61.7 million and $245.0 million Term Loan outstanding (face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generated $45.1 million cash from operations in the nine months ended September 30, 2022.</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right="300" w:firstLine="382"/>
        <w:spacing w:after="0" w:line="282"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numerous factors, including those discussed in the section titled “Risk Factors” in Part II, Item 1A of this Quarterly Report on Form 10-Q and those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Industry Trends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results of operations and financial condition are impacted by industry trends in the gaming market, including:</w:t>
      </w:r>
    </w:p>
    <w:p>
      <w:pPr>
        <w:spacing w:after="0" w:line="115" w:lineRule="exact"/>
        <w:rPr>
          <w:sz w:val="20"/>
          <w:szCs w:val="20"/>
          <w:color w:val="auto"/>
        </w:rPr>
      </w:pPr>
    </w:p>
    <w:p>
      <w:pPr>
        <w:ind w:left="760" w:right="40" w:hanging="374"/>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gaming engagement. </w:t>
      </w:r>
      <w:r>
        <w:rPr>
          <w:rFonts w:ascii="Times New Roman" w:cs="Times New Roman" w:eastAsia="Times New Roman" w:hAnsi="Times New Roman"/>
          <w:sz w:val="18"/>
          <w:szCs w:val="18"/>
          <w:color w:val="auto"/>
        </w:rPr>
        <w:t>We believe that gaming’s increasing time share of global entertainment consumption will drive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spending on both games and gaming gear. Gaming continues to become increasingly social and streaming viewership more widely adopted along with increasing numbers of content creators. We believe this trend will continue and we are well positioned to serve the streaming market with best-in-class tools for content creation.</w:t>
      </w:r>
    </w:p>
    <w:p>
      <w:pPr>
        <w:spacing w:after="0" w:line="71" w:lineRule="exact"/>
        <w:rPr>
          <w:rFonts w:ascii="Times New Roman" w:cs="Times New Roman" w:eastAsia="Times New Roman" w:hAnsi="Times New Roman"/>
          <w:sz w:val="18"/>
          <w:szCs w:val="18"/>
          <w:color w:val="auto"/>
        </w:rPr>
      </w:pPr>
    </w:p>
    <w:p>
      <w:pPr>
        <w:ind w:left="760" w:hanging="374"/>
        <w:spacing w:after="0" w:line="25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Introduction of new high-performance computing hardware and sophisticated games</w:t>
      </w:r>
      <w:r>
        <w:rPr>
          <w:rFonts w:ascii="Times New Roman" w:cs="Times New Roman" w:eastAsia="Times New Roman" w:hAnsi="Times New Roman"/>
          <w:sz w:val="18"/>
          <w:szCs w:val="18"/>
          <w:color w:val="auto"/>
        </w:rPr>
        <w:t>. We believe that the introduction and availability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powerful CPUs and GPUs that place increased demands on other system components, such as memory, power supply or cooling, has a significant effect on increasing the demand for our gear. The shortage of reasonably priced GPUs since the second half of 2021 has had a negative impact to our gaming component revenue. Starting from the third fiscal quarter of 2022, we saw the availability of reasonably priced GPUs begin to normalize and bring along some positive effects to the market.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as well as the availability and pricing of such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Product Mix</w:t>
      </w:r>
    </w:p>
    <w:p>
      <w:pPr>
        <w:spacing w:after="0" w:line="121" w:lineRule="exact"/>
        <w:rPr>
          <w:sz w:val="20"/>
          <w:szCs w:val="20"/>
          <w:color w:val="auto"/>
        </w:rPr>
      </w:pPr>
    </w:p>
    <w:p>
      <w:pPr>
        <w:ind w:right="400" w:firstLine="382"/>
        <w:spacing w:after="0" w:line="258" w:lineRule="auto"/>
        <w:rPr>
          <w:sz w:val="20"/>
          <w:szCs w:val="20"/>
          <w:color w:val="auto"/>
        </w:rPr>
      </w:pPr>
      <w:r>
        <w:rPr>
          <w:rFonts w:ascii="Times New Roman" w:cs="Times New Roman" w:eastAsia="Times New Roman" w:hAnsi="Times New Roman"/>
          <w:sz w:val="18"/>
          <w:szCs w:val="18"/>
          <w:color w:val="auto"/>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Customer Concentration</w:t>
      </w:r>
    </w:p>
    <w:p>
      <w:pPr>
        <w:spacing w:after="0" w:line="12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We operate a global sales network that consists primarily of retailers (including eRetailers), as well as distributors we use to access certain retailers. Further, a limited number of retailers and distributors represent a significant portion of our net revenue, with eRetailer Amazon accounting for 26.3% and 26.4% of our net revenue for the nine months ended September 30, 2022 and 2021, respectively, and sales to our ten largest customers accounting for approximately 52.0% and 50.5% of our net revenue for the nine months ended September 30, 2022 and 2021, respectively. Our customers, including Amazon,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that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New Product Introductions</w:t>
      </w:r>
    </w:p>
    <w:p>
      <w:pPr>
        <w:spacing w:after="0" w:line="121"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Gamers demand new technology and product features, and we expect our ability to accurately anticipate and meet these demands will be one of the main drivers for any future sales growth and market share expansion. In 2022, we had launched and started shipping several new products, such as our new K70 Pro RGB keyboard and Elgato’s new accessories including our new Facecam and next generation of HD60 X Capture card, Corsair DDR5 memory and new high-performance gaming controllers including SCUF Reflex, Reflex Pro and Reflex FPS, among others. However, there can be no assurance that our new product introductions will have a favorable impact on our operating results or that customers will choose our new gear over those of our competitors.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Seasonal Sales Trends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Since 2020, our revenue seasonality has been impacted positively and negatively, and thus has not followed historic patterns, by external events, such as shelter-in-place restrictions, global supply chain and logistics issues and availability of affordable GPUs, primarily caused by the COVID-19 pandemic. Historically, prior to 2020, we have experienced and expect to continue to experience seasonal fluctuations in sales due to the buying patterns of our customers and spending patterns of gamers. Our net revenue has generally been lowest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and may be further impacted in the future, by increasing supply constraints, GPU shortages, shifts in customer behavior and the evolving impacts of the COVID-19 pandemic.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Fluctuations in Currency Exchange Rates</w:t>
      </w:r>
    </w:p>
    <w:p>
      <w:pPr>
        <w:spacing w:after="0" w:line="121"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We are subject to inherent risks attributed to operating in a global economy. Some of our international sales are denominated in foreign currencies and any unfavorable movement in the exchange rate between U.S. dollars and the currencies in which we conduct sales in foreign countries, in particular, our revenue for the three and nine months ended September 30, 2022 were negatively impacted by the strengthening of the U.S. dollar against the Euro and the British Pound. In addition, we generally pay our employees located outside the United States in the local currency, with a significant portion of those payments being made in Taiwan dollars and Euros. Additionally, as a result of our foreign sales and operations, we have other expenses, assets and liabilities that are denominated in foreign currencies, in particular the Chinese Yuan, Euro and British Pound.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Fluctuations in Integrated Circuits Pricing</w:t>
      </w:r>
    </w:p>
    <w:p>
      <w:pPr>
        <w:spacing w:after="0" w:line="121" w:lineRule="exact"/>
        <w:rPr>
          <w:sz w:val="20"/>
          <w:szCs w:val="20"/>
          <w:color w:val="auto"/>
        </w:rPr>
      </w:pPr>
    </w:p>
    <w:p>
      <w:pPr>
        <w:ind w:right="200" w:firstLine="382"/>
        <w:spacing w:after="0" w:line="261" w:lineRule="auto"/>
        <w:rPr>
          <w:sz w:val="20"/>
          <w:szCs w:val="20"/>
          <w:color w:val="auto"/>
        </w:rPr>
      </w:pPr>
      <w:r>
        <w:rPr>
          <w:rFonts w:ascii="Times New Roman" w:cs="Times New Roman" w:eastAsia="Times New Roman" w:hAnsi="Times New Roman"/>
          <w:sz w:val="18"/>
          <w:szCs w:val="18"/>
          <w:color w:val="auto"/>
        </w:rPr>
        <w:t>Integrated circuits, or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 COVID-19 Pandemic and Supply Chain Challenges</w:t>
      </w:r>
    </w:p>
    <w:p>
      <w:pPr>
        <w:spacing w:after="0" w:line="121"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color w:val="auto"/>
        </w:rPr>
        <w:t>In February 2022, Russia invaded Ukraine resulting in, among other things, broad economic sanctions being imposed on Russia, which has further increased existing global supply chain, logistics, and inflationary challenges. Although our business in Russia and Ukraine was not material to our results, we believe the war has degraded the consumer sentiment in Europe and coupled with the unexpected worldwide inflationary pressures and the negative impacts from the strengthening of the U.S. dollar, has dampened consumer spending, which led to the 20.3% and 29.9% decrease in our net revenue in the three and nine months ended September 30, 2022, respectively, compared to the same periods last year.</w:t>
      </w:r>
    </w:p>
    <w:p>
      <w:pPr>
        <w:spacing w:after="0" w:line="75" w:lineRule="exact"/>
        <w:rPr>
          <w:sz w:val="20"/>
          <w:szCs w:val="20"/>
          <w:color w:val="auto"/>
        </w:rPr>
      </w:pPr>
    </w:p>
    <w:p>
      <w:pPr>
        <w:ind w:right="140" w:firstLine="382"/>
        <w:spacing w:after="0" w:line="256" w:lineRule="auto"/>
        <w:rPr>
          <w:sz w:val="20"/>
          <w:szCs w:val="20"/>
          <w:color w:val="auto"/>
        </w:rPr>
      </w:pPr>
      <w:r>
        <w:rPr>
          <w:rFonts w:ascii="Times New Roman" w:cs="Times New Roman" w:eastAsia="Times New Roman" w:hAnsi="Times New Roman"/>
          <w:sz w:val="18"/>
          <w:szCs w:val="18"/>
          <w:color w:val="auto"/>
        </w:rPr>
        <w:t>Due to the COVID-19 pandemic, there has been and will continue to be uncertainty and disruption in the global economy and financial markets. Since early 2020, we have experienced an increase in demand for our gear as more people were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resulted in shelter-in-place and other similar restrictions being eased. Such easing of restrictions has resulted in consumers returning to other alternative forms of entertainment and interaction. This in turn has resulted in a decline in demand for our products since the second half of 2021.</w:t>
      </w:r>
    </w:p>
    <w:p>
      <w:pPr>
        <w:spacing w:after="0" w:line="79" w:lineRule="exact"/>
        <w:rPr>
          <w:sz w:val="20"/>
          <w:szCs w:val="20"/>
          <w:color w:val="auto"/>
        </w:rPr>
      </w:pPr>
    </w:p>
    <w:p>
      <w:pPr>
        <w:ind w:right="140" w:firstLine="382"/>
        <w:spacing w:after="0" w:line="266" w:lineRule="auto"/>
        <w:rPr>
          <w:sz w:val="20"/>
          <w:szCs w:val="20"/>
          <w:color w:val="auto"/>
        </w:rPr>
      </w:pPr>
      <w:r>
        <w:rPr>
          <w:rFonts w:ascii="Times New Roman" w:cs="Times New Roman" w:eastAsia="Times New Roman" w:hAnsi="Times New Roman"/>
          <w:sz w:val="18"/>
          <w:szCs w:val="18"/>
          <w:color w:val="auto"/>
        </w:rPr>
        <w:t>In addition, we have experienced and may in the future continue to experience supply chain challenges, including longer production and shipping times, and increased shipping and logistics costs, each of which has negatively impacted our gross margins, as well as the need to purchase long-lead time items ahead of demand due to supply constraints.</w:t>
      </w:r>
    </w:p>
    <w:p>
      <w:pPr>
        <w:spacing w:after="0" w:line="68" w:lineRule="exact"/>
        <w:rPr>
          <w:sz w:val="20"/>
          <w:szCs w:val="20"/>
          <w:color w:val="auto"/>
        </w:rPr>
      </w:pPr>
    </w:p>
    <w:p>
      <w:pPr>
        <w:ind w:right="40" w:firstLine="382"/>
        <w:spacing w:after="0" w:line="266" w:lineRule="auto"/>
        <w:rPr>
          <w:sz w:val="20"/>
          <w:szCs w:val="20"/>
          <w:color w:val="auto"/>
        </w:rPr>
      </w:pPr>
      <w:r>
        <w:rPr>
          <w:rFonts w:ascii="Times New Roman" w:cs="Times New Roman" w:eastAsia="Times New Roman" w:hAnsi="Times New Roman"/>
          <w:sz w:val="18"/>
          <w:szCs w:val="18"/>
          <w:color w:val="auto"/>
        </w:rPr>
        <w:t>The extent of the impact of macroeconomic conditions, the COVID-19 pandemic, and geopolitical tensions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68" w:lineRule="exact"/>
        <w:rPr>
          <w:sz w:val="20"/>
          <w:szCs w:val="20"/>
          <w:color w:val="auto"/>
        </w:rPr>
      </w:pPr>
    </w:p>
    <w:p>
      <w:pPr>
        <w:ind w:right="20" w:firstLine="382"/>
        <w:spacing w:after="0" w:line="266" w:lineRule="auto"/>
        <w:rPr>
          <w:sz w:val="20"/>
          <w:szCs w:val="20"/>
          <w:color w:val="auto"/>
        </w:rPr>
      </w:pPr>
      <w:r>
        <w:rPr>
          <w:rFonts w:ascii="Times New Roman" w:cs="Times New Roman" w:eastAsia="Times New Roman" w:hAnsi="Times New Roman"/>
          <w:sz w:val="18"/>
          <w:szCs w:val="18"/>
          <w:color w:val="auto"/>
        </w:rPr>
        <w:t>During the second fiscal quarter of 2022, as part of our plan to rationalize inventory level to align with our updated revenue outlook for 2022, we increased our inventory impairment and related charges by approximately $22.7 million, as compared to the same period last year. In the third fiscal quarter of 2022, we have seen the excess inventory situation in the distribution channels begin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ease in the United States. Inventory impairment and related charges, of a routine nature, were recognized in the three months ended September 30, 2022, and the amount was immaterial.</w:t>
      </w:r>
    </w:p>
    <w:p>
      <w:pPr>
        <w:spacing w:after="0" w:line="54"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auto"/>
        </w:rPr>
        <w:t>In order to align our expenses with the expected revenue level, we implemented a restructuring plan in 2022 and terminated 94 employees worldwide, resulting in approximately $1.6 million of restructuring costs in the nine months ended September 30, 2022, primarily consisting of severance and benefits. Our restructuring plan has been completed as of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20" w:firstLine="382"/>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Operating expenses consist of product development and sales, general and administrative expenses.</w:t>
      </w:r>
    </w:p>
    <w:p>
      <w:pPr>
        <w:spacing w:after="0" w:line="223"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general and administrative. </w:t>
      </w:r>
      <w:r>
        <w:rPr>
          <w:rFonts w:ascii="Times New Roman" w:cs="Times New Roman" w:eastAsia="Times New Roman" w:hAnsi="Times New Roman"/>
          <w:sz w:val="18"/>
          <w:szCs w:val="18"/>
          <w:color w:val="auto"/>
        </w:rPr>
        <w:t>Sales, general and administrative, or SG&amp;A, expenses represent the largest component of our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 SG&amp;A expenses also includes factoring fees.</w:t>
      </w:r>
    </w:p>
    <w:p>
      <w:pPr>
        <w:spacing w:after="0" w:line="185" w:lineRule="exact"/>
        <w:rPr>
          <w:sz w:val="20"/>
          <w:szCs w:val="20"/>
          <w:color w:val="auto"/>
        </w:rPr>
      </w:pPr>
    </w:p>
    <w:p>
      <w:pPr>
        <w:ind w:right="260" w:firstLine="382"/>
        <w:spacing w:after="0" w:line="266" w:lineRule="auto"/>
        <w:rPr>
          <w:sz w:val="20"/>
          <w:szCs w:val="20"/>
          <w:color w:val="auto"/>
        </w:rPr>
      </w:pPr>
      <w:r>
        <w:rPr>
          <w:rFonts w:ascii="Times New Roman" w:cs="Times New Roman" w:eastAsia="Times New Roman" w:hAnsi="Times New Roman"/>
          <w:sz w:val="18"/>
          <w:szCs w:val="18"/>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increases in legal, accounting, insurance, compliance, investor relations and other consulting costs.</w:t>
      </w:r>
    </w:p>
    <w:p>
      <w:pPr>
        <w:spacing w:after="0" w:line="174"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costs are generally expensed as incurred. Product development costs consist primarily of the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spacing w:after="0" w:line="182" w:lineRule="exact"/>
        <w:rPr>
          <w:sz w:val="20"/>
          <w:szCs w:val="20"/>
          <w:color w:val="auto"/>
        </w:rPr>
      </w:pPr>
    </w:p>
    <w:p>
      <w:pPr>
        <w:ind w:right="520" w:firstLine="382"/>
        <w:spacing w:after="0" w:line="282" w:lineRule="auto"/>
        <w:rPr>
          <w:sz w:val="20"/>
          <w:szCs w:val="20"/>
          <w:color w:val="auto"/>
        </w:rPr>
      </w:pPr>
      <w:r>
        <w:rPr>
          <w:rFonts w:ascii="Times New Roman" w:cs="Times New Roman" w:eastAsia="Times New Roman" w:hAnsi="Times New Roman"/>
          <w:sz w:val="18"/>
          <w:szCs w:val="18"/>
          <w:color w:val="auto"/>
        </w:rPr>
        <w:t>We expect our product development expenses to increase in absolute dollars as we continue to make significant investments in developing new products and enhancing existing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360" w:firstLine="382"/>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Other (expense) income, net consists primarily of our foreign currency exchange gains and losses relating to transactions and remeasurement of asset and liability balances denominated in foreign currencies. We expect our foreign currency gains and losses to continue to fluctuate in the future due to changes in foreign currency exchange rates.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72"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21" w:lineRule="exact"/>
        <w:rPr>
          <w:sz w:val="20"/>
          <w:szCs w:val="20"/>
          <w:color w:val="auto"/>
        </w:rPr>
      </w:pPr>
    </w:p>
    <w:p>
      <w:pPr>
        <w:ind w:right="360" w:firstLine="38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represents the share of the net income of iDisplay attributable to the 49% ownership interest of iDisplay not acquired by Corsair.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our condensed consolidated statements of operations, in dollars (thousands) and as a percentage of total net revenue, for each of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r>
      <w:tr>
        <w:trPr>
          <w:trHeight w:val="48"/>
        </w:trPr>
        <w:tc>
          <w:tcPr>
            <w:tcW w:w="4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311,769</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391,121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976,368</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1,393,438</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240,209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289,759</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777,593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1,001,397</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101,362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392,041</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234,134</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45,150</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279,284</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(68,433)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112,757</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(7,202)</w:t>
            </w: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(16,656)</w:t>
            </w:r>
          </w:p>
        </w:tc>
      </w:tr>
      <w:tr>
        <w:trPr>
          <w:trHeight w:val="230"/>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(4,002)</w:t>
            </w:r>
          </w:p>
        </w:tc>
      </w:tr>
      <w:tr>
        <w:trPr>
          <w:trHeight w:val="223"/>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5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92,099</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(15,854)</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5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8"/>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8"/>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7"/>
        </w:trPr>
        <w:tc>
          <w:tcPr>
            <w:tcW w:w="5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311,769</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391,121</w:t>
            </w:r>
          </w:p>
        </w:tc>
        <w:tc>
          <w:tcPr>
            <w:tcW w:w="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976,368</w:t>
            </w:r>
          </w:p>
        </w:tc>
        <w:tc>
          <w:tcPr>
            <w:tcW w:w="2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1,393,438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382"/>
        <w:spacing w:after="0" w:line="266" w:lineRule="auto"/>
        <w:rPr>
          <w:sz w:val="20"/>
          <w:szCs w:val="20"/>
          <w:color w:val="auto"/>
        </w:rPr>
      </w:pPr>
      <w:r>
        <w:rPr>
          <w:rFonts w:ascii="Times New Roman" w:cs="Times New Roman" w:eastAsia="Times New Roman" w:hAnsi="Times New Roman"/>
          <w:sz w:val="18"/>
          <w:szCs w:val="18"/>
          <w:color w:val="auto"/>
        </w:rPr>
        <w:t>Net revenue decreased $79.4 million, or 20.3%, for the three months ended September 30, 2022, as compared to the same period last year. The decrease was due to a 30.5% decrease in sales for our gamer and creator peripherals segment and a 14.7% decrease in sales for our gaming components and systems segment.</w:t>
      </w:r>
    </w:p>
    <w:p>
      <w:pPr>
        <w:spacing w:after="0" w:line="257" w:lineRule="exact"/>
        <w:rPr>
          <w:sz w:val="20"/>
          <w:szCs w:val="20"/>
          <w:color w:val="auto"/>
        </w:rPr>
      </w:pPr>
    </w:p>
    <w:p>
      <w:pPr>
        <w:ind w:right="20" w:firstLine="382"/>
        <w:spacing w:after="0" w:line="266" w:lineRule="auto"/>
        <w:rPr>
          <w:sz w:val="20"/>
          <w:szCs w:val="20"/>
          <w:color w:val="auto"/>
        </w:rPr>
      </w:pPr>
      <w:r>
        <w:rPr>
          <w:rFonts w:ascii="Times New Roman" w:cs="Times New Roman" w:eastAsia="Times New Roman" w:hAnsi="Times New Roman"/>
          <w:sz w:val="18"/>
          <w:szCs w:val="18"/>
          <w:color w:val="auto"/>
        </w:rPr>
        <w:t>Net revenue decreased $417.1 million, or 29.9%, for the nine months ended September 30, 2022, as compared to the same period last year. The decrease was due to a 32.0% decrease in sales for our gamer and creator peripherals segment and a 28.9% decrease in sales for our gaming components and systems segment.</w:t>
      </w:r>
    </w:p>
    <w:p>
      <w:pPr>
        <w:spacing w:after="0" w:line="243"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8"/>
          <w:szCs w:val="18"/>
          <w:color w:val="auto"/>
        </w:rPr>
        <w:t>We believe the decrease in net revenue in both segments for the three- and nine-month periods was primarily due to consumer consumption in Europe being negatively impacted by the Russia-Ukraine war, coupled with lower consumer discretionary spending due to higher-than-expected inflationary pressures, as well as currency pressure from the strengthening of the U.S. dollar against the Euro and British Pound, causing some of our products to become more expensive in Europe. The decrease in our Europe and Middle East Region net revenue accounted for approximately 71.3% and 66.3% of the decline in our total net revenue in the three and nine months ended September 30, 2022, respectively. The decrease in our net revenue for the nine months ended September 30, 2022 was also in part due to a slow-down in demand compared to the same period last year as a result of more entertainment options becoming available due to the easing of the COVID-19 shelter-in-place restrictions, starting in the second half of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 (defined as gross profit as a percentage of revenue)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3"/>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0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23"/>
        </w:trPr>
        <w:tc>
          <w:tcPr>
            <w:tcW w:w="50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9"/>
                <w:szCs w:val="19"/>
                <w:color w:val="auto"/>
              </w:rPr>
            </w:pPr>
          </w:p>
        </w:tc>
      </w:tr>
      <w:tr>
        <w:trPr>
          <w:trHeight w:val="277"/>
        </w:trPr>
        <w:tc>
          <w:tcPr>
            <w:tcW w:w="5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71,560</w:t>
            </w:r>
          </w:p>
        </w:tc>
        <w:tc>
          <w:tcPr>
            <w:tcW w:w="2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101,362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198,775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392,041</w:t>
            </w:r>
          </w:p>
        </w:tc>
        <w:tc>
          <w:tcPr>
            <w:tcW w:w="180" w:type="dxa"/>
            <w:vAlign w:val="bottom"/>
            <w:shd w:val="clear" w:color="auto" w:fill="CFF0FC"/>
          </w:tcPr>
          <w:p>
            <w:pPr>
              <w:spacing w:after="0"/>
              <w:rPr>
                <w:sz w:val="19"/>
                <w:szCs w:val="19"/>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4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r>
    </w:tbl>
    <w:p>
      <w:pPr>
        <w:spacing w:after="0" w:line="301" w:lineRule="exact"/>
        <w:rPr>
          <w:sz w:val="20"/>
          <w:szCs w:val="20"/>
          <w:color w:val="auto"/>
        </w:rPr>
      </w:pPr>
    </w:p>
    <w:p>
      <w:pPr>
        <w:ind w:right="580" w:firstLine="427"/>
        <w:spacing w:after="0" w:line="266" w:lineRule="auto"/>
        <w:rPr>
          <w:sz w:val="20"/>
          <w:szCs w:val="20"/>
          <w:color w:val="auto"/>
        </w:rPr>
      </w:pPr>
      <w:r>
        <w:rPr>
          <w:rFonts w:ascii="Times New Roman" w:cs="Times New Roman" w:eastAsia="Times New Roman" w:hAnsi="Times New Roman"/>
          <w:sz w:val="18"/>
          <w:szCs w:val="18"/>
          <w:color w:val="auto"/>
        </w:rPr>
        <w:t>Gross margin decreased by 2.9% for the three months ended September 30, 2022, as compared to the same period last year. This decrease was primarily attributable to an unfavorable shift towards higher mix of net revenue from our lower margin gaming components and systems segment, increased promotional activity and logistics costs, as well as increased amortization of intangible assets from our iDisplay acquisition.</w:t>
      </w:r>
    </w:p>
    <w:p>
      <w:pPr>
        <w:spacing w:after="0" w:line="68" w:lineRule="exact"/>
        <w:rPr>
          <w:sz w:val="20"/>
          <w:szCs w:val="20"/>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Gross margin decreased by 7.7% for the nine months ended September 30, 2022, as compared to the same period last year. This decrease was primarily attributable to an increase in inventory impairment and related charges in 2022 due to the inventory rationalization plan to align our inventory balance with our updated revenue outlook for 2022. The gross margin in the nine months ended September 30, 2022, as compared to the same period last year was also negatively impacted by increased promotional activity and logistics costs, as well as increased amortization of intangible assets from the iDisplay acquisition.</w:t>
      </w:r>
    </w:p>
    <w:p>
      <w:pPr>
        <w:spacing w:after="0" w:line="75" w:lineRule="exact"/>
        <w:rPr>
          <w:sz w:val="20"/>
          <w:szCs w:val="20"/>
          <w:color w:val="auto"/>
        </w:rPr>
      </w:pPr>
    </w:p>
    <w:p>
      <w:pPr>
        <w:ind w:right="160" w:firstLine="427"/>
        <w:spacing w:after="0" w:line="282" w:lineRule="auto"/>
        <w:rPr>
          <w:sz w:val="20"/>
          <w:szCs w:val="20"/>
          <w:color w:val="auto"/>
        </w:rPr>
      </w:pPr>
      <w:r>
        <w:rPr>
          <w:rFonts w:ascii="Times New Roman" w:cs="Times New Roman" w:eastAsia="Times New Roman" w:hAnsi="Times New Roman"/>
          <w:sz w:val="18"/>
          <w:szCs w:val="18"/>
          <w:color w:val="auto"/>
        </w:rPr>
        <w:t>In addition, the decrease in gross margins for the three and nine months ended September 30, 2022, was partially offset by lower freight costs as the elevated freight rate caused by the pandemic has normalized to close to pre-pandemic level, beginning in the third fiscal quarter of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 (SG&amp;A)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620" w:type="dxa"/>
            <w:vAlign w:val="bottom"/>
            <w:gridSpan w:val="3"/>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r>
      <w:tr>
        <w:trPr>
          <w:trHeight w:val="277"/>
        </w:trPr>
        <w:tc>
          <w:tcPr>
            <w:tcW w:w="3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66,932</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216,456</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234,134</w:t>
            </w:r>
          </w:p>
        </w:tc>
        <w:tc>
          <w:tcPr>
            <w:tcW w:w="10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jc w:val="both"/>
        <w:ind w:right="340" w:firstLine="382"/>
        <w:spacing w:after="0" w:line="266" w:lineRule="auto"/>
        <w:rPr>
          <w:sz w:val="20"/>
          <w:szCs w:val="20"/>
          <w:color w:val="auto"/>
        </w:rPr>
      </w:pPr>
      <w:r>
        <w:rPr>
          <w:rFonts w:ascii="Times New Roman" w:cs="Times New Roman" w:eastAsia="Times New Roman" w:hAnsi="Times New Roman"/>
          <w:sz w:val="18"/>
          <w:szCs w:val="18"/>
          <w:color w:val="auto"/>
        </w:rPr>
        <w:t>SG&amp;A expenses decreased $9.2 million, or 12.1%, for the three months ended September 30, 2022, as compared to the same period last year. The decrease was primarily due to a $4.0 million decrease in distribution cost including outbound freight cost due to decreased sales volume, a $3.4 million decrease in marketing and advertising expenses, and a $0.8 million decrease in personnel-related costs.</w:t>
      </w:r>
    </w:p>
    <w:p>
      <w:pPr>
        <w:spacing w:after="0" w:line="243"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8"/>
          <w:szCs w:val="18"/>
          <w:color w:val="auto"/>
        </w:rPr>
        <w:t>SG&amp;A expenses decreased $17.7 million, or 7.6%, for the nine months ended September 30, 2022, as compared to the same period last year. The decrease was primarily due to a $9.2 million decrease in distribution cost including outbound freight cost with lower shipment volume, a $5.5 million decrease in personnel-related costs with lower bonus expense, a $3.4 million decrease in marketing and advertising expenses and a $1.8 million decrease in legal and other professional fees. These decreases were offset partially by a $3.5 million charge related to the acceleration of the amortization of capitalized cloud computing implementation costs in the nine months ended September 30,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4"/>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9"/>
                <w:szCs w:val="19"/>
                <w:color w:val="auto"/>
              </w:rPr>
            </w:pPr>
          </w:p>
        </w:tc>
      </w:tr>
      <w:tr>
        <w:trPr>
          <w:trHeight w:val="277"/>
        </w:trPr>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50,752</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45,150</w:t>
            </w:r>
          </w:p>
        </w:tc>
        <w:tc>
          <w:tcPr>
            <w:tcW w:w="12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jc w:val="both"/>
        <w:ind w:right="140" w:firstLine="382"/>
        <w:spacing w:after="0" w:line="282" w:lineRule="auto"/>
        <w:rPr>
          <w:sz w:val="20"/>
          <w:szCs w:val="20"/>
          <w:color w:val="auto"/>
        </w:rPr>
      </w:pPr>
      <w:r>
        <w:rPr>
          <w:rFonts w:ascii="Times New Roman" w:cs="Times New Roman" w:eastAsia="Times New Roman" w:hAnsi="Times New Roman"/>
          <w:sz w:val="18"/>
          <w:szCs w:val="18"/>
          <w:color w:val="auto"/>
        </w:rPr>
        <w:t>Product development expenses increased $1.1 million, or 7.7%, for the three months ended September 30, 2022, as compared to the same period last year. The increase was primarily due to a $0.9 million increase in amortization of intangible assets acquired in the iDisplay acquisition.</w:t>
      </w:r>
    </w:p>
    <w:p>
      <w:pPr>
        <w:spacing w:after="0" w:line="229" w:lineRule="exact"/>
        <w:rPr>
          <w:sz w:val="20"/>
          <w:szCs w:val="20"/>
          <w:color w:val="auto"/>
        </w:rPr>
      </w:pPr>
    </w:p>
    <w:p>
      <w:pPr>
        <w:jc w:val="both"/>
        <w:ind w:right="100" w:firstLine="382"/>
        <w:spacing w:after="0" w:line="266" w:lineRule="auto"/>
        <w:rPr>
          <w:sz w:val="20"/>
          <w:szCs w:val="20"/>
          <w:color w:val="auto"/>
        </w:rPr>
      </w:pPr>
      <w:r>
        <w:rPr>
          <w:rFonts w:ascii="Times New Roman" w:cs="Times New Roman" w:eastAsia="Times New Roman" w:hAnsi="Times New Roman"/>
          <w:sz w:val="18"/>
          <w:szCs w:val="18"/>
          <w:color w:val="auto"/>
        </w:rPr>
        <w:t>Product development expenses increased $5.6 million, or 12.4%, for the nine months ended September 30, 2022, as compared to the same period last year. The increase was primarily due to a $2.9 million increase in amortization of intangible assets acquired in the iDisplay acquisition and a $2.6 million increase in allocation of corporate IT-related and facility-related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Other (Expense) Income,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380" w:type="dxa"/>
            <w:vAlign w:val="bottom"/>
            <w:gridSpan w:val="5"/>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2"/>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9"/>
                <w:szCs w:val="19"/>
                <w:color w:val="auto"/>
              </w:rPr>
            </w:pPr>
          </w:p>
        </w:tc>
      </w:tr>
      <w:tr>
        <w:trPr>
          <w:trHeight w:val="277"/>
        </w:trPr>
        <w:tc>
          <w:tcPr>
            <w:tcW w:w="5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(2,734)</w:t>
            </w:r>
          </w:p>
        </w:tc>
        <w:tc>
          <w:tcPr>
            <w:tcW w:w="9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(7,202)</w:t>
            </w: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(5,689)</w:t>
            </w:r>
          </w:p>
        </w:tc>
        <w:tc>
          <w:tcPr>
            <w:tcW w:w="5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(16,656)</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1,796</w:t>
            </w:r>
          </w:p>
        </w:tc>
        <w:tc>
          <w:tcPr>
            <w:tcW w:w="5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(4,002)</w:t>
            </w:r>
          </w:p>
        </w:tc>
      </w:tr>
    </w:tbl>
    <w:p>
      <w:pPr>
        <w:spacing w:after="0" w:line="233"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8"/>
          <w:szCs w:val="18"/>
          <w:color w:val="auto"/>
        </w:rPr>
        <w:t>Interest expense decreased $4.5 million, or 62.0%, for the three months ended September 30, 2022, as compared to the same period last year. Interest expenses decreased $11.0 million, or 65.8%, for the nine months ended September 30, 2022, as compared to the same period last year. The decrease in interest expense in both the three- and nine-month periods was primarily due to a lower principal balance on our Term Loan executed in September 2021 which replaced our First Lien Term Loan and lower interest rate compared to the same periods last year.</w:t>
      </w:r>
    </w:p>
    <w:p>
      <w:pPr>
        <w:spacing w:after="0" w:line="180"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Other (expense) income,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40" w:type="dxa"/>
            <w:vAlign w:val="bottom"/>
            <w:gridSpan w:val="4"/>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9"/>
                <w:szCs w:val="19"/>
                <w:color w:val="auto"/>
              </w:rPr>
            </w:pPr>
          </w:p>
        </w:tc>
      </w:tr>
      <w:tr>
        <w:trPr>
          <w:trHeight w:val="277"/>
        </w:trPr>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(12,060)</w:t>
            </w:r>
          </w:p>
        </w:tc>
        <w:tc>
          <w:tcPr>
            <w:tcW w:w="9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(72,326)</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92,099</w:t>
            </w:r>
          </w:p>
        </w:tc>
        <w:tc>
          <w:tcPr>
            <w:tcW w:w="18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(15,854)</w:t>
            </w: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98"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207" w:lineRule="exact"/>
        <w:rPr>
          <w:sz w:val="20"/>
          <w:szCs w:val="20"/>
          <w:color w:val="auto"/>
        </w:rPr>
      </w:pPr>
    </w:p>
    <w:p>
      <w:pPr>
        <w:ind w:right="280" w:firstLine="350"/>
        <w:spacing w:after="0" w:line="282" w:lineRule="auto"/>
        <w:rPr>
          <w:sz w:val="20"/>
          <w:szCs w:val="20"/>
          <w:color w:val="auto"/>
        </w:rPr>
      </w:pPr>
      <w:r>
        <w:rPr>
          <w:rFonts w:ascii="Times New Roman" w:cs="Times New Roman" w:eastAsia="Times New Roman" w:hAnsi="Times New Roman"/>
          <w:sz w:val="18"/>
          <w:szCs w:val="18"/>
          <w:color w:val="auto"/>
        </w:rPr>
        <w:t>Our effective tax rates were 50.7% and 17.4% for the three months ended September 30, 2022, and 2021, respectively. The increase in effective tax rates was primarily due to the change in the forecast and the mix of losses between various jurisdictions.</w:t>
      </w:r>
    </w:p>
    <w:p>
      <w:pPr>
        <w:spacing w:after="0" w:line="162" w:lineRule="exact"/>
        <w:rPr>
          <w:sz w:val="20"/>
          <w:szCs w:val="20"/>
          <w:color w:val="auto"/>
        </w:rPr>
      </w:pPr>
    </w:p>
    <w:p>
      <w:pPr>
        <w:ind w:right="140" w:firstLine="350"/>
        <w:spacing w:after="0" w:line="258" w:lineRule="auto"/>
        <w:rPr>
          <w:sz w:val="20"/>
          <w:szCs w:val="20"/>
          <w:color w:val="auto"/>
        </w:rPr>
      </w:pPr>
      <w:r>
        <w:rPr>
          <w:rFonts w:ascii="Times New Roman" w:cs="Times New Roman" w:eastAsia="Times New Roman" w:hAnsi="Times New Roman"/>
          <w:sz w:val="18"/>
          <w:szCs w:val="18"/>
          <w:color w:val="auto"/>
        </w:rPr>
        <w:t>Our effective tax rates were 15.6% and 17.2% for the nine months ended September 30, 2022, and 2021, respectively. The decrease in effective tax rates was primarily due to an increase in losses in our foreign subsidiaries which was partially offset by a decrease in excess tax benefits from stock-based compensation recognized in the nine months ended September 30, 2022, as compared to the same period last year. In addition, in the nine months ended September 30, 2021, we recorded a $1.4 million one-time tax expense related to the remeasurement of our United Kingdom deferred tax liabilities as a result of the enactment of the increased corporate tax rate in the United Kingdom.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 Net Revenue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net revenue by segment expressed both in dollars (thousands) and as a percentage of net revenue: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8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8"/>
        </w:trPr>
        <w:tc>
          <w:tcPr>
            <w:tcW w:w="3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96,848</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$ 139,260</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$ 319,985</w:t>
            </w:r>
          </w:p>
        </w:tc>
        <w:tc>
          <w:tcPr>
            <w:tcW w:w="2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470,329</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FF0FC"/>
          </w:tcPr>
          <w:p>
            <w:pPr>
              <w:spacing w:after="0"/>
              <w:rPr>
                <w:sz w:val="19"/>
                <w:szCs w:val="19"/>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Memory Products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115,194</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115,524</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346,468</w:t>
            </w:r>
          </w:p>
        </w:tc>
        <w:tc>
          <w:tcPr>
            <w:tcW w:w="2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436,123</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Component Products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99,727</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136,337</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309,915</w:t>
            </w: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486,986</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r>
      <w:tr>
        <w:trPr>
          <w:trHeight w:val="223"/>
        </w:trPr>
        <w:tc>
          <w:tcPr>
            <w:tcW w:w="36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214,921</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251,861</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4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656,383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923,109</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Net Revenue</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311,769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$ 391,121</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$ 976,368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1,393,438</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Net revenue of the gamer and creator peripherals segment decreased $42.4 million, or 30.5%, for the three months ended September 30, 2022 as compared to the same period last year, primarily due to the decline in consumer demand in Europe due to the war between Russia and Ukraine, inflationary economic pressures and currency pressure from the strengthening of the U.S. dollar against the Euro and British Pound, causing some of our products to be more expensive in Europe.</w:t>
      </w:r>
    </w:p>
    <w:p>
      <w:pPr>
        <w:spacing w:after="0" w:line="72"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8"/>
          <w:szCs w:val="18"/>
          <w:color w:val="auto"/>
        </w:rPr>
        <w:t>Net revenue of the gamer and creator peripherals segment decreased $150.3 million, or 32.0%, for the nine months ended September 30, 2022 as compared to the same period last year, primarily due to the decline in consumer demand in Europe due to the war between Russia and Ukraine, inflationary economic pressures and currency pressure from the strengthening of the U.S. dollar against the Euro and British Pound, causing some of our products to be more expensive in Europe. The decrease in net revenue in the nine months ended September 30, 2022 was also partly due to the easing of the COVID-19 shelter-in-place restriction because more entertainment options becoming available, starting in the second half of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240" w:firstLine="382"/>
        <w:spacing w:after="0" w:line="266" w:lineRule="auto"/>
        <w:rPr>
          <w:sz w:val="20"/>
          <w:szCs w:val="20"/>
          <w:color w:val="auto"/>
        </w:rPr>
      </w:pPr>
      <w:r>
        <w:rPr>
          <w:rFonts w:ascii="Times New Roman" w:cs="Times New Roman" w:eastAsia="Times New Roman" w:hAnsi="Times New Roman"/>
          <w:sz w:val="18"/>
          <w:szCs w:val="18"/>
          <w:color w:val="auto"/>
        </w:rPr>
        <w:t>Net revenue of the gaming components and systems segment decreased $36.9 million, or 14.7%, for the three months ended September 30, 2022 as compared to the same period last year, primarily attributable to our other components products, which was more affected by the decline in consumer demand in Europe due to the war between Russia and Ukraine and the inflationary economic pressures.</w:t>
      </w:r>
    </w:p>
    <w:p>
      <w:pPr>
        <w:spacing w:after="0" w:line="68"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8"/>
          <w:szCs w:val="18"/>
          <w:color w:val="auto"/>
        </w:rPr>
        <w:t>Net revenue of the gaming components and systems segment decreased $266.7 million, or 28.9%, for the nine months ended September 30, 2022 as compared to the same period last year, primarily driven by the decline in consumer demand in Europe due to the war between Russia and Ukraine and inflationary economic pressures. In addition, the decrease in net revenue for the nine months ended September 30, 2022 was also attributable to the shortage of reasonably priced GPUs which curtailed the demand for new PC builds and its components, as well as supply and logistics constraints caused by the COVID-19 pandemic. The availability of reasonably priced GPUs began to normalize in the three months ended September 30, 2022 and together with the new technology platforms launched by Nvidia, AMD and Intel during such period, we expect to see some positive impact in the customer demand for our component products beginning in the fourth quarter of 2022.</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 Gross Profit and Gross Margin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gross profit expressed in dollars (thousands) and gross margin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308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3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8"/>
        </w:trPr>
        <w:tc>
          <w:tcPr>
            <w:tcW w:w="3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85,405</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26.7%</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$ 172,080</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36.6%</w:t>
            </w:r>
          </w:p>
        </w:tc>
        <w:tc>
          <w:tcPr>
            <w:tcW w:w="10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Memory Products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46,545</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77,984</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19"/>
                <w:szCs w:val="19"/>
                <w:color w:val="auto"/>
              </w:rPr>
            </w:pPr>
          </w:p>
        </w:tc>
      </w:tr>
      <w:tr>
        <w:trPr>
          <w:trHeight w:val="230"/>
        </w:trPr>
        <w:tc>
          <w:tcPr>
            <w:tcW w:w="3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Component Products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36,847</w:t>
            </w: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66,825</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141,977</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r>
      <w:tr>
        <w:trPr>
          <w:trHeight w:val="223"/>
        </w:trPr>
        <w:tc>
          <w:tcPr>
            <w:tcW w:w="38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39,770</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113,370</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219,961</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101,362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25.9%</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198,775</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20.4%</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$ 392,041</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28.1%</w:t>
            </w:r>
          </w:p>
        </w:tc>
        <w:tc>
          <w:tcPr>
            <w:tcW w:w="10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The gross margin of the gamer and creator peripherals segment decreased in the three months ended September 30, 2022 by 2.1% as compared to the same period last year, primarily due to increased promotional activity and logistics costs, as well as increased amortization of intangible assets from the iDisplay acquisition.</w:t>
      </w:r>
    </w:p>
    <w:p>
      <w:pPr>
        <w:spacing w:after="0" w:line="68"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The gross margin of the gamer and creator peripherals segment decreased in the nine months ended September 30, 2022 by 9.9% as compared to the same period last year, primarily attributable to an increase in inventory impairment and related charges in 2022 due to the inventory rationalization plan to align our inventory balance with our updated revenue outlook for 2022, as well as increased logistics costs and promotional activity, and increased amortization of intangible assets from the iDisplay acquisition.</w:t>
      </w:r>
    </w:p>
    <w:p>
      <w:pPr>
        <w:spacing w:after="0" w:line="72"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In addition, the decrease in gross margins of the gamer and creator peripherals segment for the three and nine months ended September 30, 2022, was partially offset by lower freight costs as the elevated freight rate caused by the pandemic has normalized to close to pre-pandemic level, beginning in the third fiscal quarter of 2022.</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140" w:firstLine="382"/>
        <w:spacing w:after="0" w:line="266" w:lineRule="auto"/>
        <w:rPr>
          <w:sz w:val="20"/>
          <w:szCs w:val="20"/>
          <w:color w:val="auto"/>
        </w:rPr>
      </w:pPr>
      <w:r>
        <w:rPr>
          <w:rFonts w:ascii="Times New Roman" w:cs="Times New Roman" w:eastAsia="Times New Roman" w:hAnsi="Times New Roman"/>
          <w:sz w:val="18"/>
          <w:szCs w:val="18"/>
          <w:color w:val="auto"/>
        </w:rPr>
        <w:t>The gross margin of the gaming components and systems segment decreased in the three months ended September 30, 2022 by 2.5% as compared to the same period last year, primarily attributable to a change in sales mix toward more lower margin products in this segment as well as increased promotional activity.</w:t>
      </w:r>
    </w:p>
    <w:p>
      <w:pPr>
        <w:spacing w:after="0" w:line="68"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The gross margin of the gaming components and systems segment decreased in the nine months ended September 30, 2022 by 6.5% as compared to the same period last year, primarily attributable to an increase in inventory impairment and related charges in 2022 due to the inventory rationalization plan to align our inventory balance with our updated revenue outlook for 2022, as well as increased logistics costs and promotional activity.</w:t>
      </w:r>
    </w:p>
    <w:p>
      <w:pPr>
        <w:spacing w:after="0" w:line="68" w:lineRule="exact"/>
        <w:rPr>
          <w:sz w:val="20"/>
          <w:szCs w:val="20"/>
          <w:color w:val="auto"/>
        </w:rPr>
      </w:pPr>
    </w:p>
    <w:p>
      <w:pPr>
        <w:jc w:val="both"/>
        <w:ind w:right="180" w:firstLine="382"/>
        <w:spacing w:after="0" w:line="266" w:lineRule="auto"/>
        <w:rPr>
          <w:sz w:val="20"/>
          <w:szCs w:val="20"/>
          <w:color w:val="auto"/>
        </w:rPr>
      </w:pPr>
      <w:r>
        <w:rPr>
          <w:rFonts w:ascii="Times New Roman" w:cs="Times New Roman" w:eastAsia="Times New Roman" w:hAnsi="Times New Roman"/>
          <w:sz w:val="18"/>
          <w:szCs w:val="18"/>
          <w:color w:val="auto"/>
        </w:rPr>
        <w:t>In addition, the decrease in gross margins of the gaming components and systems segment for the three and nine months ended September 30, 2022, was partially offset by lower freight costs as the elevated freight rate caused by the pandemic has normalized to close to pre-pandemic level, beginning in the third fiscal quarter of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0" w:firstLine="382"/>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have been the payments received from customers purchasing our products and the borrowings under our Credit Agreement (defined below).</w:t>
      </w:r>
    </w:p>
    <w:p>
      <w:pPr>
        <w:spacing w:after="0" w:line="54" w:lineRule="exact"/>
        <w:rPr>
          <w:sz w:val="20"/>
          <w:szCs w:val="20"/>
          <w:color w:val="auto"/>
        </w:rPr>
      </w:pPr>
    </w:p>
    <w:p>
      <w:pPr>
        <w:ind w:right="240" w:firstLine="382"/>
        <w:spacing w:after="0" w:line="261" w:lineRule="auto"/>
        <w:rPr>
          <w:sz w:val="20"/>
          <w:szCs w:val="20"/>
          <w:color w:val="auto"/>
        </w:rPr>
      </w:pPr>
      <w:r>
        <w:rPr>
          <w:rFonts w:ascii="Times New Roman" w:cs="Times New Roman" w:eastAsia="Times New Roman" w:hAnsi="Times New Roman"/>
          <w:sz w:val="18"/>
          <w:szCs w:val="18"/>
          <w:color w:val="auto"/>
        </w:rPr>
        <w:t>On September 29, 2022, one of our subsidiaries entered into an accounts receivable Factoring Agreement with a Factor, a third-party financial institution. Pursuant to the terms of the arrangement, we sell certain of our customer receivables on a non-recourse basis to the Factor. Our obligations to the Factor arising from the Factoring Agreement are secured by certain assets of our subsidiary. The cost of factoring is not expected to have a material effect to our overall liquidity, financial condition or results of operations.</w:t>
      </w:r>
    </w:p>
    <w:p>
      <w:pPr>
        <w:spacing w:after="0" w:line="72" w:lineRule="exact"/>
        <w:rPr>
          <w:sz w:val="20"/>
          <w:szCs w:val="20"/>
          <w:color w:val="auto"/>
        </w:rPr>
      </w:pPr>
    </w:p>
    <w:p>
      <w:pPr>
        <w:ind w:right="400" w:firstLine="382"/>
        <w:spacing w:after="0" w:line="266" w:lineRule="auto"/>
        <w:rPr>
          <w:sz w:val="20"/>
          <w:szCs w:val="20"/>
          <w:color w:val="auto"/>
        </w:rPr>
      </w:pPr>
      <w:r>
        <w:rPr>
          <w:rFonts w:ascii="Times New Roman" w:cs="Times New Roman" w:eastAsia="Times New Roman" w:hAnsi="Times New Roman"/>
          <w:sz w:val="18"/>
          <w:szCs w:val="18"/>
          <w:color w:val="auto"/>
        </w:rPr>
        <w:t>Our principal uses of cash generally will include purchases of inventory, payroll and other operating expenses related to the development and marketing of our products, capital expenditure, repayments of debt and related interest, income tax payments, continued investments in businesses and technology, and selective mergers and acquisitions.</w:t>
      </w:r>
    </w:p>
    <w:p>
      <w:pPr>
        <w:spacing w:after="0" w:line="68" w:lineRule="exact"/>
        <w:rPr>
          <w:sz w:val="20"/>
          <w:szCs w:val="20"/>
          <w:color w:val="auto"/>
        </w:rPr>
      </w:pPr>
    </w:p>
    <w:p>
      <w:pPr>
        <w:ind w:right="140" w:firstLine="382"/>
        <w:spacing w:after="0" w:line="258" w:lineRule="auto"/>
        <w:rPr>
          <w:sz w:val="20"/>
          <w:szCs w:val="20"/>
          <w:color w:val="auto"/>
        </w:rPr>
      </w:pPr>
      <w:r>
        <w:rPr>
          <w:rFonts w:ascii="Times New Roman" w:cs="Times New Roman" w:eastAsia="Times New Roman" w:hAnsi="Times New Roman"/>
          <w:sz w:val="18"/>
          <w:szCs w:val="18"/>
          <w:color w:val="auto"/>
        </w:rPr>
        <w:t>As of September 30, 2022, we had cash and restricted cash, in aggregate of $61.7 million, including $19.7 million held by our foreign subsidiaries. Amounts held outside of the United States are generally utilized to support our non-U.S. liquidity needs. Repatriations of amounts held outside the United States generally will not be taxable from a U.S. federal tax perspective but may be subject to state income or foreign withholding tax. We do not expect restrictions or potential taxes incurred on repatriation of amounts held outside of the United States to have a material effect on our overall liquidity, financial condition or results of operations.</w:t>
      </w:r>
    </w:p>
    <w:p>
      <w:pPr>
        <w:spacing w:after="0" w:line="75"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We believe that the anticipated cash flows from operations based on our current business outlook, combined with our current levels of cash balances at September 30, 2022, supplemented with the borrowings under our Revolving Credit Facility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7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0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20" w:type="dxa"/>
            <w:vAlign w:val="bottom"/>
          </w:tcPr>
          <w:p>
            <w:pPr>
              <w:ind w:left="60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8"/>
        </w:trPr>
        <w:tc>
          <w:tcPr>
            <w:tcW w:w="50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7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45,142</w:t>
            </w:r>
          </w:p>
        </w:tc>
        <w:tc>
          <w:tcPr>
            <w:tcW w:w="180" w:type="dxa"/>
            <w:vAlign w:val="bottom"/>
          </w:tcPr>
          <w:p>
            <w:pPr>
              <w:spacing w:after="0"/>
              <w:rPr>
                <w:sz w:val="19"/>
                <w:szCs w:val="19"/>
                <w:color w:val="auto"/>
              </w:rPr>
            </w:pPr>
          </w:p>
        </w:tc>
        <w:tc>
          <w:tcPr>
            <w:tcW w:w="10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25,061</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7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(40,479)</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(14,039)</w:t>
            </w: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(67,183)</w:t>
            </w: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2022 was $45.1 million and consisted of $65.3 million net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inflow from changes in our net operating assets and liabilities, partially offset by our net loss of $61.1 million, which included non-cash adjustments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 million. The net cash inflow from changes in our net operating assets and liabilities was primarily related to a decrease in accounts receivable mainly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cash we received from the Factor during the period and a decrease in inventories mainly from lower purchases. These net cash inflows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 decrease in accounts payable due to lower inventory purchases and a decrease in other liabilities and accrued expenses mainly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accrual for sales returns and customer incentives and bonus expense. The non-cash adjustments consisted primarily of amortization and depreciation,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and change in net deferred tax liabilities.</w:t>
      </w:r>
    </w:p>
    <w:p>
      <w:pPr>
        <w:spacing w:after="0" w:line="207" w:lineRule="exact"/>
        <w:rPr>
          <w:sz w:val="20"/>
          <w:szCs w:val="20"/>
          <w:color w:val="auto"/>
        </w:rPr>
      </w:pPr>
    </w:p>
    <w:p>
      <w:pPr>
        <w:ind w:right="120" w:firstLine="382"/>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2021 was $25.1 million and consisted of net income of $76.2 million and non-cash adjustments of $48.7 million and was partially offset by $99.8 million from changes in our net operating assets and liabilities. The non-cash adjustments consisted primarily of amortization and depreciation, stock-based compensation expense, loss on debt extinguishment and amortization of debt issuance costs and change in deferred tax assets. The net cash outflow from changes in our net operating assets and liabilities was primarily related to an increase in inventory, prepaid expenses and other assets, and a decrease in accounts payable mainly due to timing of payments. The net cash outflow was partially offset by a decrease in accounts receivable and an increase in other liabilities and accrued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jc w:val="both"/>
        <w:ind w:right="320" w:firstLine="382"/>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$40.5 million for the nine months ended September 30, 2022 and primarily consisted of $19.5 million for the iDisplay acquisition (net of cash acquired), $19.9 million capital expenditure including renovation and furnishing of our new headquarters in Milpitas, California, as well as purchases of equipment and software, and $1.0 million for the investment in an available-for-sale convertible note.</w:t>
      </w:r>
    </w:p>
    <w:p>
      <w:pPr>
        <w:spacing w:after="0" w:line="176"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$14.0 million for the nine months ended September 30, 2021 and consisted of $7.7 million for the purchase of capital equipment and software, $4.7 million for the payment of deferred and contingent consideration primarily related to the Origin business acquisition, and $1.7 million for the acquisition of an immaterial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$3.9 million for the nine months ended September 30, 2022 and consisted primarily of $4.0 million repayment of debt and debt issuance costs, $2.2 million payment of dividends to noncontrolling interests, $1.4 million payment of taxes related to net share settlement of equity awards, partially offset by $4.1 million proceeds received from the issuance of shares through the employee equity incentive plans. During the nine months ended September 30, 2022, we also borrowed $626.0 million from our revolving credit facility to fund our operations and the full amount was repaid within the same period.</w:t>
      </w:r>
    </w:p>
    <w:p>
      <w:pPr>
        <w:spacing w:after="0" w:line="75" w:lineRule="exact"/>
        <w:rPr>
          <w:sz w:val="20"/>
          <w:szCs w:val="20"/>
          <w:color w:val="auto"/>
        </w:rPr>
      </w:pPr>
    </w:p>
    <w:p>
      <w:pPr>
        <w:ind w:right="260" w:firstLine="382"/>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$67.2 million for the nine months ended September 30, 2021 and consisted primarily of $327.0 million repayments of debt (First Lien Term Loan) and $0.2 million payment of taxes related to net share settlement of equity awards. These cash outflows were partially offset by $248.5 million net proceeds from our new Term Loan executed in September 2021 and $11.5 million proceeds received from the issuance of shares through the employee equity incentive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(Term Loan and Revolving Credit Facility)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8"/>
          <w:szCs w:val="18"/>
          <w:color w:val="auto"/>
        </w:rPr>
        <w:t>On September 3, 2021, we refinanced the First Lien Credit and Guaranty Agreement with a new Credit Agreement (“Credit Agreement”). The new Credit Agreement provides for a total commitment of $350 million, consisting of a $100 million revolving credit facility (“Revolving Credit Facility”) and a $250 million term loan facility (“Term Loan”). The net proceeds from borrowings under the Term Loan of $248.5 million (net of $1.5 million of debt discount) were used to repay all amounts outstanding under the First Lien Term Loan on September 3, 2021.</w:t>
      </w:r>
    </w:p>
    <w:p>
      <w:pPr>
        <w:spacing w:after="0" w:line="180"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w:t>
      </w:r>
    </w:p>
    <w:p>
      <w:pPr>
        <w:spacing w:after="0" w:line="17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The Term Loan and Revolving Credit Facility under the Credit Agreement initially carried interest at our election at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total net leverage ratio.</w:t>
      </w:r>
    </w:p>
    <w:p>
      <w:pPr>
        <w:spacing w:after="0" w:line="180" w:lineRule="exact"/>
        <w:rPr>
          <w:sz w:val="20"/>
          <w:szCs w:val="20"/>
          <w:color w:val="auto"/>
        </w:rPr>
      </w:pPr>
    </w:p>
    <w:p>
      <w:pPr>
        <w:ind w:right="60" w:firstLine="382"/>
        <w:spacing w:after="0" w:line="256"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of 3.0 to 1.0 and a minimum Consolidated Interest Coverage Ratio of 3.0 to 1.0 (as defined in our Credit Agreement).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Credit Facility can increase by 2.0%.</w:t>
      </w:r>
    </w:p>
    <w:p>
      <w:pPr>
        <w:spacing w:after="0" w:line="187"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174"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On June 30, 2022, we entered into a First Amendment of the Credit Agreement (“</w:t>
      </w:r>
      <w:r>
        <w:rPr>
          <w:rFonts w:ascii="Times New Roman" w:cs="Times New Roman" w:eastAsia="Times New Roman" w:hAnsi="Times New Roman"/>
          <w:sz w:val="18"/>
          <w:szCs w:val="18"/>
          <w:i w:val="1"/>
          <w:iCs w:val="1"/>
          <w:color w:val="auto"/>
        </w:rPr>
        <w:t>First Amendment</w:t>
      </w:r>
      <w:r>
        <w:rPr>
          <w:rFonts w:ascii="Times New Roman" w:cs="Times New Roman" w:eastAsia="Times New Roman" w:hAnsi="Times New Roman"/>
          <w:sz w:val="18"/>
          <w:szCs w:val="18"/>
          <w:color w:val="auto"/>
        </w:rPr>
        <w:t>”) which among other changes resulted in the Bloomberg Short-Term Bank Yield Index rate (“</w:t>
      </w:r>
      <w:r>
        <w:rPr>
          <w:rFonts w:ascii="Times New Roman" w:cs="Times New Roman" w:eastAsia="Times New Roman" w:hAnsi="Times New Roman"/>
          <w:sz w:val="18"/>
          <w:szCs w:val="18"/>
          <w:i w:val="1"/>
          <w:iCs w:val="1"/>
          <w:color w:val="auto"/>
        </w:rPr>
        <w:t>BSBY</w:t>
      </w:r>
      <w:r>
        <w:rPr>
          <w:rFonts w:ascii="Times New Roman" w:cs="Times New Roman" w:eastAsia="Times New Roman" w:hAnsi="Times New Roman"/>
          <w:sz w:val="18"/>
          <w:szCs w:val="18"/>
          <w:color w:val="auto"/>
        </w:rPr>
        <w:t>”) being utilized as a replacement rate for LIBOR. Consequently, following the First Amendment, the Term Loan and Revolving Facility will each bear interest at our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(as defined in the Credit Agreement) was also amended to increase to 3.50 to 1.0 between the quarters ending September 30, 2022 through and including March 31, 2023, and such ratio will revert to 3.00 to 1.00 from the quarter ended June 30, 2023 and each quarter thereafter, provided that, upon the occurrence of a Qualified Acquisition (as defined in the Credit Agreement), such ratio can be increased to 3.50 to 1.0 temporarily provided all the requirements set forth in the Credit Agreement are met.</w:t>
      </w:r>
    </w:p>
    <w:p>
      <w:pPr>
        <w:spacing w:after="0" w:line="190"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8"/>
          <w:szCs w:val="18"/>
          <w:color w:val="auto"/>
        </w:rPr>
        <w:t xml:space="preserve">On September 29, 2022, we entered into an accounts receivable Factoring Agreement with a Factor. In connection with the Factoring Agreement, we also entered into (i) a Second Amendment </w:t>
      </w:r>
      <w:r>
        <w:rPr>
          <w:rFonts w:ascii="Times New Roman" w:cs="Times New Roman" w:eastAsia="Times New Roman" w:hAnsi="Times New Roman"/>
          <w:sz w:val="18"/>
          <w:szCs w:val="18"/>
          <w:i w:val="1"/>
          <w:iCs w:val="1"/>
          <w:color w:val="auto"/>
        </w:rPr>
        <w:t>(“Second Amendment”</w:t>
      </w:r>
      <w:r>
        <w:rPr>
          <w:rFonts w:ascii="Times New Roman" w:cs="Times New Roman" w:eastAsia="Times New Roman" w:hAnsi="Times New Roman"/>
          <w:sz w:val="18"/>
          <w:szCs w:val="18"/>
          <w:color w:val="auto"/>
        </w:rPr>
        <w: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spacing w:after="0" w:line="72" w:lineRule="exact"/>
        <w:rPr>
          <w:sz w:val="20"/>
          <w:szCs w:val="20"/>
          <w:color w:val="auto"/>
        </w:rPr>
      </w:pPr>
    </w:p>
    <w:p>
      <w:pPr>
        <w:ind w:right="160" w:firstLine="382"/>
        <w:spacing w:after="0" w:line="282" w:lineRule="auto"/>
        <w:rPr>
          <w:sz w:val="20"/>
          <w:szCs w:val="20"/>
          <w:color w:val="auto"/>
        </w:rPr>
      </w:pPr>
      <w:r>
        <w:rPr>
          <w:rFonts w:ascii="Times New Roman" w:cs="Times New Roman" w:eastAsia="Times New Roman" w:hAnsi="Times New Roman"/>
          <w:sz w:val="18"/>
          <w:szCs w:val="18"/>
          <w:color w:val="auto"/>
        </w:rPr>
        <w:t>As of September 30, 2022, we were not in default under the Credit Agreement. Total principal outstanding of the Term Loan was $245.0 million and the available and uncommitted capacity under the Revolving Credit Facility was $100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contractual cash and other obligations as of September 30, 2022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06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w w:val="96"/>
              </w:rPr>
              <w:t>1-3</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475"/>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48"/>
        </w:trPr>
        <w:tc>
          <w:tcPr>
            <w:tcW w:w="3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and interest payments (1)</w:t>
            </w:r>
          </w:p>
        </w:tc>
        <w:tc>
          <w:tcPr>
            <w:tcW w:w="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52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Inventory-related purchase obligations (2)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 (3)</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purchase obligations (4)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in connection</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33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with a business acquisition</w:t>
            </w:r>
          </w:p>
        </w:tc>
        <w:tc>
          <w:tcPr>
            <w:tcW w:w="3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6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6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60" w:type="dxa"/>
            <w:vAlign w:val="bottom"/>
            <w:tcBorders>
              <w:bottom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448,781</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116,218</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71,352</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236,251</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80" w:right="60" w:hanging="372"/>
        <w:spacing w:after="0" w:line="257" w:lineRule="auto"/>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Amounts represent the principal cash payments as </w:t>
      </w:r>
      <w:r>
        <w:rPr>
          <w:rFonts w:ascii="Times New Roman" w:cs="Times New Roman" w:eastAsia="Times New Roman" w:hAnsi="Times New Roman"/>
          <w:sz w:val="16"/>
          <w:szCs w:val="16"/>
          <w:color w:val="auto"/>
        </w:rPr>
        <w:t>of</w:t>
      </w:r>
      <w:r>
        <w:rPr>
          <w:rFonts w:ascii="Times New Roman" w:cs="Times New Roman" w:eastAsia="Times New Roman" w:hAnsi="Times New Roman"/>
          <w:sz w:val="18"/>
          <w:szCs w:val="18"/>
          <w:color w:val="auto"/>
        </w:rPr>
        <w:t xml:space="preserve"> September 30, 2022 of our Term Loan based on the repayment schedule according to the Credit Agreement and the expected interest payments associated with the Term Loan. See Note 8, “Debt” to our condensed consolidated financial statements for more information</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Amounts represent an estimate of purchase obligations related to inventory</w:t>
      </w:r>
      <w:r>
        <w:rPr>
          <w:rFonts w:ascii="Times New Roman" w:cs="Times New Roman" w:eastAsia="Times New Roman" w:hAnsi="Times New Roman"/>
          <w:sz w:val="16"/>
          <w:szCs w:val="16"/>
          <w:color w:val="auto"/>
        </w:rPr>
        <w:t>.</w:t>
      </w:r>
    </w:p>
    <w:p>
      <w:pPr>
        <w:spacing w:after="0" w:line="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Amounts represent contractual obligations from our operating leases for offices and warehouse spaces</w:t>
      </w:r>
      <w:r>
        <w:rPr>
          <w:rFonts w:ascii="Times New Roman" w:cs="Times New Roman" w:eastAsia="Times New Roman" w:hAnsi="Times New Roman"/>
          <w:sz w:val="16"/>
          <w:szCs w:val="16"/>
          <w:color w:val="auto"/>
        </w:rPr>
        <w:t>.</w:t>
      </w:r>
    </w:p>
    <w:p>
      <w:pPr>
        <w:spacing w:after="0" w:line="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Amounts represent non-cancelable obligations related to capital expenditures, software licenses, marketing and other activities.</w:t>
      </w:r>
    </w:p>
    <w:p>
      <w:pPr>
        <w:spacing w:after="0" w:line="99" w:lineRule="exact"/>
        <w:rPr>
          <w:sz w:val="20"/>
          <w:szCs w:val="20"/>
          <w:color w:val="auto"/>
        </w:rPr>
      </w:pPr>
    </w:p>
    <w:p>
      <w:pPr>
        <w:ind w:right="100" w:firstLine="382"/>
        <w:spacing w:after="0" w:line="266" w:lineRule="auto"/>
        <w:rPr>
          <w:sz w:val="20"/>
          <w:szCs w:val="20"/>
          <w:color w:val="auto"/>
        </w:rPr>
      </w:pPr>
      <w:r>
        <w:rPr>
          <w:rFonts w:ascii="Times New Roman" w:cs="Times New Roman" w:eastAsia="Times New Roman" w:hAnsi="Times New Roman"/>
          <w:sz w:val="18"/>
          <w:szCs w:val="18"/>
          <w:color w:val="auto"/>
        </w:rPr>
        <w:t>As of September 30, 2022, we had $2.6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21"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we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192"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Other than the new items discussed in Note 2 of our condensed consolidated financial statements, there have been no material changes to our critical accounting policies and estimates during the nine months ended September 30, 2022 as compared to the critical accounting policies and estimates described in our Management’s Discussion and Analysis of Financial Condition and Results of Operations included in our Annual Report on Form 10-K for the year ended December 31, 2021 filed with the SEC on March 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980" w:firstLine="382"/>
        <w:spacing w:after="0" w:line="282" w:lineRule="auto"/>
        <w:rPr>
          <w:sz w:val="20"/>
          <w:szCs w:val="20"/>
          <w:color w:val="auto"/>
        </w:rPr>
      </w:pPr>
      <w:r>
        <w:rPr>
          <w:rFonts w:ascii="Times New Roman" w:cs="Times New Roman" w:eastAsia="Times New Roman" w:hAnsi="Times New Roman"/>
          <w:sz w:val="18"/>
          <w:szCs w:val="18"/>
          <w:color w:val="auto"/>
        </w:rPr>
        <w:t>Refer to Note 2 to the condensed consolidated financial statements included in this Quarterly Report on Form 10-Q for recent accounting pronouncements adopted and to be adopted.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5" w:lineRule="exact"/>
        <w:rPr>
          <w:sz w:val="20"/>
          <w:szCs w:val="20"/>
          <w:color w:val="auto"/>
        </w:rPr>
      </w:pPr>
    </w:p>
    <w:p>
      <w:pPr>
        <w:ind w:right="240" w:firstLine="382"/>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382"/>
        <w:spacing w:after="0" w:line="282" w:lineRule="auto"/>
        <w:rPr>
          <w:sz w:val="20"/>
          <w:szCs w:val="20"/>
          <w:color w:val="auto"/>
        </w:rPr>
      </w:pPr>
      <w:r>
        <w:rPr>
          <w:rFonts w:ascii="Times New Roman" w:cs="Times New Roman" w:eastAsia="Times New Roman" w:hAnsi="Times New Roman"/>
          <w:sz w:val="18"/>
          <w:szCs w:val="18"/>
          <w:color w:val="auto"/>
        </w:rPr>
        <w:t>As of September 30, 2022, we had cash and restricted cash of $61.7 million, which consisted primarily of bank deposits. Our cash is held for working capital purposes.</w:t>
      </w:r>
    </w:p>
    <w:p>
      <w:pPr>
        <w:spacing w:after="0" w:line="54"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As of September 30, 2022, under the Credit Agreement, we had $245.0 million Term Loan outstanding (face value), and the Term Loan bears variable market rates, primarily BSBY. See Note 8, “Debt - Credit Agreement” to our condensed consolidated financial statements for additional information on the Credit Agreement. A significant change in these market rates may adversely affect our operating results. As of September 30, 2022, a hypothetical 100 basis point change in interest rates would result in a change to annual interest expense by approximately $2.5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Approximately 16.1% of our net revenue for the nine months ended September 30, 2022 was denominated in foreign currencies, primarily Euro and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18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three months, and we do not enter into foreign currency forward contracts for trading purposes. The outstanding notional principal amount was $32.4 million and $48.6 million as of September 30, 2022 and December 31, 2021, respectively. The gains or losses on these contracts are recognized in earnings based on the changes in fair value.</w:t>
      </w:r>
    </w:p>
    <w:p>
      <w:pPr>
        <w:spacing w:after="0" w:line="183" w:lineRule="exact"/>
        <w:rPr>
          <w:sz w:val="20"/>
          <w:szCs w:val="20"/>
          <w:color w:val="auto"/>
        </w:rPr>
      </w:pPr>
    </w:p>
    <w:p>
      <w:pPr>
        <w:ind w:right="160" w:firstLine="382"/>
        <w:spacing w:after="0" w:line="261" w:lineRule="auto"/>
        <w:rPr>
          <w:sz w:val="20"/>
          <w:szCs w:val="20"/>
          <w:color w:val="auto"/>
        </w:rPr>
      </w:pPr>
      <w:r>
        <w:rPr>
          <w:rFonts w:ascii="Times New Roman" w:cs="Times New Roman" w:eastAsia="Times New Roman" w:hAnsi="Times New Roman"/>
          <w:sz w:val="18"/>
          <w:szCs w:val="18"/>
          <w:color w:val="auto"/>
        </w:rPr>
        <w:t>The impact of changes in foreign currency rates, including the gains or (losses) on the forward currency contracts, recognized in other (expense) income, net was $1.5 million and $(4.1) million for the nine months ended September 30, 2022 and 2021, respectively. A hypothetical ten percent change in exchange rates between foreign currencies and the U.S. dollar would increase or decrease our gains or losses on foreign currency exchange of approximately $1.0 million in our condensed consolidated financial statements for the nine months ended September 30, 2022.</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35"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80" w:firstLine="382"/>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54"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September 30, 2022,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35" w:lineRule="exact"/>
        <w:rPr>
          <w:sz w:val="20"/>
          <w:szCs w:val="20"/>
          <w:color w:val="auto"/>
        </w:rPr>
      </w:pPr>
    </w:p>
    <w:p>
      <w:pPr>
        <w:ind w:right="40" w:firstLine="382"/>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120" w:firstLine="382"/>
        <w:spacing w:after="0" w:line="261"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9"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or the SEC, before making investment decisions regarding our common stock.</w:t>
      </w:r>
    </w:p>
    <w:p>
      <w:pPr>
        <w:spacing w:after="0" w:line="74" w:lineRule="exact"/>
        <w:rPr>
          <w:sz w:val="20"/>
          <w:szCs w:val="20"/>
          <w:color w:val="auto"/>
        </w:rPr>
      </w:pPr>
    </w:p>
    <w:p>
      <w:pPr>
        <w:ind w:left="760" w:right="44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53" w:lineRule="exact"/>
        <w:rPr>
          <w:rFonts w:ascii="Times New Roman" w:cs="Times New Roman" w:eastAsia="Times New Roman" w:hAnsi="Times New Roman"/>
          <w:sz w:val="18"/>
          <w:szCs w:val="18"/>
          <w:color w:val="auto"/>
        </w:rPr>
      </w:pPr>
    </w:p>
    <w:p>
      <w:pPr>
        <w:ind w:left="760" w:right="10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3" w:lineRule="exact"/>
        <w:rPr>
          <w:rFonts w:ascii="Times New Roman" w:cs="Times New Roman" w:eastAsia="Times New Roman" w:hAnsi="Times New Roman"/>
          <w:sz w:val="18"/>
          <w:szCs w:val="18"/>
          <w:color w:val="auto"/>
        </w:rPr>
      </w:pPr>
    </w:p>
    <w:p>
      <w:pPr>
        <w:ind w:left="760" w:hanging="374"/>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if the rate at which those products are introduced declines or if such products are not readily available, it may seriously harm our business.</w:t>
      </w:r>
    </w:p>
    <w:p>
      <w:pPr>
        <w:spacing w:after="0" w:line="71" w:lineRule="exact"/>
        <w:rPr>
          <w:rFonts w:ascii="Times New Roman" w:cs="Times New Roman" w:eastAsia="Times New Roman" w:hAnsi="Times New Roman"/>
          <w:sz w:val="18"/>
          <w:szCs w:val="18"/>
          <w:color w:val="auto"/>
        </w:rPr>
      </w:pPr>
    </w:p>
    <w:p>
      <w:pPr>
        <w:ind w:left="760" w:right="52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do not compete effectively, we could lose market share, demand for our gear could decline and our business may be seriously harmed.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gaming industry, including streaming and esports, does not grow as expected or declines, our business could be seriously harmed.</w:t>
      </w:r>
    </w:p>
    <w:p>
      <w:pPr>
        <w:spacing w:after="0" w:line="117" w:lineRule="exact"/>
        <w:rPr>
          <w:rFonts w:ascii="Times New Roman" w:cs="Times New Roman" w:eastAsia="Times New Roman" w:hAnsi="Times New Roman"/>
          <w:sz w:val="18"/>
          <w:szCs w:val="18"/>
          <w:color w:val="auto"/>
        </w:rPr>
      </w:pPr>
    </w:p>
    <w:p>
      <w:pPr>
        <w:ind w:left="760" w:right="24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or are unable to attract and retain key management, our ability to compete could be seriously harmed and our financial performance could suffer.</w:t>
      </w:r>
    </w:p>
    <w:p>
      <w:pPr>
        <w:spacing w:after="0" w:line="53" w:lineRule="exact"/>
        <w:rPr>
          <w:rFonts w:ascii="Times New Roman" w:cs="Times New Roman" w:eastAsia="Times New Roman" w:hAnsi="Times New Roman"/>
          <w:sz w:val="18"/>
          <w:szCs w:val="18"/>
          <w:color w:val="auto"/>
        </w:rPr>
      </w:pPr>
    </w:p>
    <w:p>
      <w:pPr>
        <w:ind w:left="760" w:right="48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could result in our gear becoming relatively more expensive to our overseas customers or increase our manufacturing costs, each of which may seriously harm our business.</w:t>
      </w:r>
    </w:p>
    <w:p>
      <w:pPr>
        <w:spacing w:after="0" w:line="53" w:lineRule="exact"/>
        <w:rPr>
          <w:rFonts w:ascii="Times New Roman" w:cs="Times New Roman" w:eastAsia="Times New Roman" w:hAnsi="Times New Roman"/>
          <w:sz w:val="18"/>
          <w:szCs w:val="18"/>
          <w:color w:val="auto"/>
        </w:rPr>
      </w:pPr>
    </w:p>
    <w:p>
      <w:pPr>
        <w:ind w:left="760" w:right="30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unit shipments of our gear tend to be higher during the third and fourth quarters of the year. As a result, our sales are subject to seasonal fluctuations, which may seriously harm our business.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coronavirus outbreak has had, and could continue to have, a materially disruptive effect on our business.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war between Russia and Ukraine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a single stockholder, whose interest in our business may be different than yours.</w:t>
      </w:r>
    </w:p>
    <w:p>
      <w:pPr>
        <w:spacing w:after="0" w:line="117" w:lineRule="exact"/>
        <w:rPr>
          <w:rFonts w:ascii="Times New Roman" w:cs="Times New Roman" w:eastAsia="Times New Roman" w:hAnsi="Times New Roman"/>
          <w:sz w:val="18"/>
          <w:szCs w:val="18"/>
          <w:color w:val="auto"/>
        </w:rPr>
      </w:pPr>
    </w:p>
    <w:p>
      <w:pPr>
        <w:ind w:left="760" w:right="80" w:hanging="374"/>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6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consider carefully the risks and uncertainties described below, together with all of the other information contained in this Quarterly Report on Form 10-Q such as “Management’s Discussion and Analysis of Financial Condition and Results of Operations” and our consolidated financial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 Unless otherwise indicated, references to our business being seriously harmed in these risk factors and elsewhere will include harm to our business, reputation, financial condition, results of operations, revenue and future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33"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51" w:lineRule="exact"/>
        <w:rPr>
          <w:sz w:val="20"/>
          <w:szCs w:val="20"/>
          <w:color w:val="auto"/>
        </w:rPr>
      </w:pPr>
    </w:p>
    <w:p>
      <w:pPr>
        <w:ind w:right="80" w:firstLine="382"/>
        <w:spacing w:after="0" w:line="255" w:lineRule="auto"/>
        <w:rPr>
          <w:sz w:val="20"/>
          <w:szCs w:val="20"/>
          <w:color w:val="auto"/>
        </w:rPr>
      </w:pPr>
      <w:r>
        <w:rPr>
          <w:rFonts w:ascii="Times New Roman" w:cs="Times New Roman" w:eastAsia="Times New Roman" w:hAnsi="Times New Roman"/>
          <w:sz w:val="18"/>
          <w:szCs w:val="18"/>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89"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280"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1" w:lineRule="exact"/>
        <w:rPr>
          <w:sz w:val="20"/>
          <w:szCs w:val="20"/>
          <w:color w:val="auto"/>
        </w:rPr>
      </w:pPr>
    </w:p>
    <w:p>
      <w:pPr>
        <w:ind w:right="240" w:firstLine="382"/>
        <w:spacing w:after="0" w:line="258" w:lineRule="auto"/>
        <w:rPr>
          <w:sz w:val="20"/>
          <w:szCs w:val="20"/>
          <w:color w:val="auto"/>
        </w:rPr>
      </w:pPr>
      <w:r>
        <w:rPr>
          <w:rFonts w:ascii="Times New Roman" w:cs="Times New Roman" w:eastAsia="Times New Roman" w:hAnsi="Times New Roman"/>
          <w:sz w:val="18"/>
          <w:szCs w:val="18"/>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83"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in the last 24 months, we entered into four large new markets, namely the microphones and cameras markets for content creators, the gaming monitors market and prebuilt gaming laptops market for both gamers and content creators, and in the future, we intend to introduce other gear designed to appeal to these markets.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90" w:lineRule="exact"/>
        <w:rPr>
          <w:sz w:val="20"/>
          <w:szCs w:val="20"/>
          <w:color w:val="auto"/>
        </w:rPr>
      </w:pPr>
    </w:p>
    <w:p>
      <w:pPr>
        <w:ind w:right="380" w:firstLine="382"/>
        <w:spacing w:after="0" w:line="282" w:lineRule="auto"/>
        <w:rPr>
          <w:sz w:val="20"/>
          <w:szCs w:val="20"/>
          <w:color w:val="auto"/>
        </w:rPr>
      </w:pPr>
      <w:r>
        <w:rPr>
          <w:rFonts w:ascii="Times New Roman" w:cs="Times New Roman" w:eastAsia="Times New Roman" w:hAnsi="Times New Roman"/>
          <w:sz w:val="18"/>
          <w:szCs w:val="18"/>
          <w:color w:val="auto"/>
        </w:rPr>
        <w:t>In addition, we implemented a work from home policy for many of our employees as a result of the COVID-19 coronavirus outbreak, which may have a substantial impact on attendance, morale and productivity, disrupt access to facilities, equipment,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networks, corporate systems, books and records and may add additional expenses and strain on our business. The duration and extent 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a substantial number of our employees continue to work from home, it could negatively impact new gear and improvements and potentially result in delays or releasing significant updates.</w:t>
      </w:r>
    </w:p>
    <w:p>
      <w:pPr>
        <w:spacing w:after="0" w:line="183"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84" w:lineRule="exact"/>
        <w:rPr>
          <w:sz w:val="20"/>
          <w:szCs w:val="20"/>
          <w:color w:val="auto"/>
        </w:rPr>
      </w:pPr>
    </w:p>
    <w:p>
      <w:pPr>
        <w:ind w:left="38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if the rate at which those products are introduced declines, or if they are not readily available, it may seriously harm our business.</w:t>
      </w:r>
    </w:p>
    <w:p>
      <w:pPr>
        <w:spacing w:after="0" w:line="67"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We believe that the introduction of more powerful GPUs, CPUs and similar computer hardware that place increased demands on other system components, such as memory, PSUs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whether such products are readily available at affordable prices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there can be no assurance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87" w:lineRule="exact"/>
        <w:rPr>
          <w:sz w:val="20"/>
          <w:szCs w:val="20"/>
          <w:color w:val="auto"/>
        </w:rPr>
      </w:pPr>
    </w:p>
    <w:p>
      <w:pPr>
        <w:ind w:right="60" w:firstLine="382"/>
        <w:spacing w:after="0" w:line="254" w:lineRule="auto"/>
        <w:rPr>
          <w:sz w:val="20"/>
          <w:szCs w:val="20"/>
          <w:color w:val="auto"/>
        </w:rPr>
      </w:pPr>
      <w:r>
        <w:rPr>
          <w:rFonts w:ascii="Times New Roman" w:cs="Times New Roman" w:eastAsia="Times New Roman" w:hAnsi="Times New Roman"/>
          <w:sz w:val="18"/>
          <w:szCs w:val="18"/>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92"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do not compete effectively, we could lose market share, demand for our gear could decline and our business may be seriously harmed.</w:t>
      </w:r>
    </w:p>
    <w:p>
      <w:pPr>
        <w:spacing w:after="0" w:line="51" w:lineRule="exact"/>
        <w:rPr>
          <w:sz w:val="20"/>
          <w:szCs w:val="20"/>
          <w:color w:val="auto"/>
        </w:rPr>
      </w:pPr>
    </w:p>
    <w:p>
      <w:pPr>
        <w:ind w:right="260" w:firstLine="382"/>
        <w:spacing w:after="0" w:line="261" w:lineRule="auto"/>
        <w:rPr>
          <w:sz w:val="20"/>
          <w:szCs w:val="20"/>
          <w:color w:val="auto"/>
        </w:rPr>
      </w:pPr>
      <w:r>
        <w:rPr>
          <w:rFonts w:ascii="Times New Roman" w:cs="Times New Roman" w:eastAsia="Times New Roman" w:hAnsi="Times New Roman"/>
          <w:sz w:val="18"/>
          <w:szCs w:val="18"/>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0" w:lineRule="exact"/>
        <w:rPr>
          <w:sz w:val="20"/>
          <w:szCs w:val="20"/>
          <w:color w:val="auto"/>
        </w:rPr>
      </w:pPr>
    </w:p>
    <w:p>
      <w:pPr>
        <w:ind w:right="100" w:firstLine="382"/>
        <w:spacing w:after="0" w:line="256" w:lineRule="auto"/>
        <w:rPr>
          <w:sz w:val="20"/>
          <w:szCs w:val="20"/>
          <w:color w:val="auto"/>
        </w:rPr>
      </w:pPr>
      <w:r>
        <w:rPr>
          <w:rFonts w:ascii="Times New Roman" w:cs="Times New Roman" w:eastAsia="Times New Roman" w:hAnsi="Times New Roman"/>
          <w:sz w:val="18"/>
          <w:szCs w:val="18"/>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preferences or to introduce new or innovative products more quickly than we can. As a result, our product development efforts may not be successful or result in market acceptance of our gear. Our primary competitors include:</w:t>
      </w:r>
    </w:p>
    <w:p>
      <w:pPr>
        <w:spacing w:after="0" w:line="160"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gamer and creator peripherals market. </w:t>
      </w:r>
      <w:r>
        <w:rPr>
          <w:rFonts w:ascii="Times New Roman" w:cs="Times New Roman" w:eastAsia="Times New Roman" w:hAnsi="Times New Roman"/>
          <w:sz w:val="18"/>
          <w:szCs w:val="18"/>
          <w:color w:val="auto"/>
        </w:rPr>
        <w:t>Our primary competitors in the market for gaming keyboards and mice include Logitech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Razer. Our primary competitors in the market for headset and related audio products include Logitech, Razer, Steel Series and HP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80" w:lineRule="exact"/>
        <w:rPr>
          <w:sz w:val="20"/>
          <w:szCs w:val="20"/>
          <w:color w:val="auto"/>
        </w:rPr>
      </w:pPr>
    </w:p>
    <w:p>
      <w:pPr>
        <w:ind w:right="20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gaming components and systems market. </w:t>
      </w:r>
      <w:r>
        <w:rPr>
          <w:rFonts w:ascii="Times New Roman" w:cs="Times New Roman" w:eastAsia="Times New Roman" w:hAnsi="Times New Roman"/>
          <w:sz w:val="18"/>
          <w:szCs w:val="18"/>
          <w:color w:val="auto"/>
        </w:rPr>
        <w:t>Our primary competitors in the market for PSUs, cooling solutions and computer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Cooler Master, NZXT, EVGA, Seasonic and Thermaltake. Our primary competitors in the market for DRAM modules include G.Skill, Kingston and Micron through its Crucial division. Our primary competitors in the market for prebuilt gaming PCs and laptops include Dell through its Alienware brand, HP through its Omen brand, Asus, MSI and Razer. Our primary competitors in the market for custom-built gaming PCs and laptops include iBuypower and Cyberpower.</w:t>
      </w:r>
    </w:p>
    <w:p>
      <w:pPr>
        <w:spacing w:after="0" w:line="183" w:lineRule="exact"/>
        <w:rPr>
          <w:sz w:val="20"/>
          <w:szCs w:val="20"/>
          <w:color w:val="auto"/>
        </w:rPr>
      </w:pPr>
    </w:p>
    <w:p>
      <w:pPr>
        <w:ind w:right="26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Competitors in new markets</w:t>
      </w:r>
      <w:r>
        <w:rPr>
          <w:rFonts w:ascii="Times New Roman" w:cs="Times New Roman" w:eastAsia="Times New Roman" w:hAnsi="Times New Roman"/>
          <w:sz w:val="18"/>
          <w:szCs w:val="18"/>
          <w:color w:val="auto"/>
        </w:rPr>
        <w:t>. We are considering introducing new gear for gamers or streamers and content creators and, to the extent we introduce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 in new 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75"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80" w:lineRule="exact"/>
        <w:rPr>
          <w:sz w:val="20"/>
          <w:szCs w:val="20"/>
          <w:color w:val="auto"/>
        </w:rPr>
      </w:pPr>
    </w:p>
    <w:p>
      <w:pPr>
        <w:jc w:val="both"/>
        <w:ind w:right="140" w:firstLine="382"/>
        <w:spacing w:after="0" w:line="266" w:lineRule="auto"/>
        <w:rPr>
          <w:sz w:val="20"/>
          <w:szCs w:val="20"/>
          <w:color w:val="auto"/>
        </w:rPr>
      </w:pPr>
      <w:r>
        <w:rPr>
          <w:rFonts w:ascii="Times New Roman" w:cs="Times New Roman" w:eastAsia="Times New Roman" w:hAnsi="Times New Roman"/>
          <w:sz w:val="18"/>
          <w:szCs w:val="18"/>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gaming, including streaming and esports, does not grow as expected or declines our business could be seriously harmed.</w:t>
      </w:r>
    </w:p>
    <w:p>
      <w:pPr>
        <w:spacing w:after="0" w:line="12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Over the past three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72" w:lineRule="exact"/>
        <w:rPr>
          <w:sz w:val="20"/>
          <w:szCs w:val="20"/>
          <w:color w:val="auto"/>
        </w:rPr>
      </w:pPr>
    </w:p>
    <w:p>
      <w:pPr>
        <w:ind w:left="760" w:right="6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growth of PCs and gaming consoles or the migration of gamers to mobile devices and tablets away from PCs, which historically have been the core focus of our business;</w:t>
      </w:r>
    </w:p>
    <w:p>
      <w:pPr>
        <w:spacing w:after="0" w:line="53" w:lineRule="exact"/>
        <w:rPr>
          <w:rFonts w:ascii="Times New Roman" w:cs="Times New Roman" w:eastAsia="Times New Roman" w:hAnsi="Times New Roman"/>
          <w:sz w:val="18"/>
          <w:szCs w:val="18"/>
          <w:color w:val="auto"/>
        </w:rPr>
      </w:pPr>
    </w:p>
    <w:p>
      <w:pPr>
        <w:ind w:left="760" w:right="8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streaming, including its popularity among fans and aspiring content creators and how it impacts their desire to purchase high-performance gaming and streaming gear;</w:t>
      </w:r>
    </w:p>
    <w:p>
      <w:pPr>
        <w:spacing w:after="0" w:line="53"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esports, including its increasing popularity among fans and amateur esports athletes and how it impacts their desire to purchase high-performance gaming gear;</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particularly economic conditions adversely affecting discretionary consumer spending;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perceptions of gaming, especially those related to the impact of gaming on health and social development;</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availability and popularity of other forms of entertainment;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tastes and preferences.</w:t>
      </w:r>
    </w:p>
    <w:p>
      <w:pPr>
        <w:spacing w:after="0" w:line="225"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We generate a significant portion of our net revenue from gaming-related gear. As a result, any decline or slowdown in the growth of the gaming industry or the declining popularity of the gaming industry could materially and adversely affect our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have no specific plans to attract gamers who use only mobile devices or tablets and we have no plans to develop gear specifically designed for gamers who use mobile devices or tablets. As a result, if gamers migrate to mobile devices or tablets and away from PCs and consoles, our business may be seriously harmed. In addition, there can be no assurance that the active demographics in gaming will continue to buy into and drive the growth in gamer culture and the games industry overall nor can there be any assurance that gaming will expand into new demographics that will drive growth. Further, if gamers’ interest in video games is diminished, this may seriously harm our business.</w:t>
      </w:r>
    </w:p>
    <w:p>
      <w:pPr>
        <w:spacing w:after="0" w:line="287" w:lineRule="exact"/>
        <w:rPr>
          <w:sz w:val="20"/>
          <w:szCs w:val="20"/>
          <w:color w:val="auto"/>
        </w:rPr>
      </w:pPr>
    </w:p>
    <w:p>
      <w:pPr>
        <w:ind w:left="38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prospects are, to a certain extent, connected with the ongoing growth of live game streaming and esports and any reduction in the growth or popularity of live game streaming or esports may seriously harm our business.</w:t>
      </w:r>
    </w:p>
    <w:p>
      <w:pPr>
        <w:spacing w:after="0" w:line="51" w:lineRule="exact"/>
        <w:rPr>
          <w:sz w:val="20"/>
          <w:szCs w:val="20"/>
          <w:color w:val="auto"/>
        </w:rPr>
      </w:pPr>
    </w:p>
    <w:p>
      <w:pPr>
        <w:ind w:right="240" w:firstLine="382"/>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on live game streaming and esports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68" w:lineRule="exact"/>
        <w:rPr>
          <w:sz w:val="20"/>
          <w:szCs w:val="20"/>
          <w:color w:val="auto"/>
        </w:rPr>
      </w:pPr>
    </w:p>
    <w:p>
      <w:pPr>
        <w:ind w:left="760" w:hanging="374"/>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marketing products that gain broader acceptance among game streamers, esports participants and content creators;</w:t>
      </w:r>
    </w:p>
    <w:p>
      <w:pPr>
        <w:spacing w:after="0" w:line="117" w:lineRule="exact"/>
        <w:rPr>
          <w:rFonts w:ascii="Times New Roman" w:cs="Times New Roman" w:eastAsia="Times New Roman" w:hAnsi="Times New Roman"/>
          <w:sz w:val="18"/>
          <w:szCs w:val="18"/>
          <w:color w:val="auto"/>
        </w:rPr>
      </w:pPr>
    </w:p>
    <w:p>
      <w:pPr>
        <w:ind w:left="760" w:right="580" w:hanging="374"/>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esports amateurs and/or spectators not purchasing our gear that is utilized by esports athletes and teams or streamers and content creators, including the esports athletes and teams, and streamers we sponsor;</w:t>
      </w:r>
    </w:p>
    <w:p>
      <w:pPr>
        <w:spacing w:after="0" w:line="53" w:lineRule="exact"/>
        <w:rPr>
          <w:rFonts w:ascii="Times New Roman" w:cs="Times New Roman" w:eastAsia="Times New Roman" w:hAnsi="Times New Roman"/>
          <w:sz w:val="18"/>
          <w:szCs w:val="18"/>
          <w:color w:val="auto"/>
        </w:rPr>
      </w:pPr>
    </w:p>
    <w:p>
      <w:pPr>
        <w:ind w:left="760" w:right="360" w:hanging="374"/>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of esports games that do not utilize any of our gear, for example games that run on mobile devices or tablets that replace more traditional esports; and</w:t>
      </w:r>
    </w:p>
    <w:p>
      <w:pPr>
        <w:spacing w:after="0" w:line="53" w:lineRule="exact"/>
        <w:rPr>
          <w:rFonts w:ascii="Times New Roman" w:cs="Times New Roman" w:eastAsia="Times New Roman" w:hAnsi="Times New Roman"/>
          <w:sz w:val="18"/>
          <w:szCs w:val="18"/>
          <w:color w:val="auto"/>
        </w:rPr>
      </w:pPr>
    </w:p>
    <w:p>
      <w:pPr>
        <w:ind w:left="760" w:right="400" w:hanging="374"/>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the gear we sell failing to satisfy the increasing high-performance requirements of competitive gamers or streamers.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Further, there are a number of factors which could result in the growth in live game streaming or the esports markets stagnating, or even decreasing.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w:t>
      </w:r>
    </w:p>
    <w:p>
      <w:pPr>
        <w:spacing w:after="0" w:line="99" w:lineRule="exact"/>
        <w:rPr>
          <w:sz w:val="20"/>
          <w:szCs w:val="20"/>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 in watching either live or streamed broadcasts of competitors playing video games diminishing or even disappearing;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limiting the broadcast of live streaming or esports;</w:t>
      </w:r>
    </w:p>
    <w:p>
      <w:pPr>
        <w:spacing w:after="0" w:line="117" w:lineRule="exact"/>
        <w:rPr>
          <w:rFonts w:ascii="Times New Roman" w:cs="Times New Roman" w:eastAsia="Times New Roman" w:hAnsi="Times New Roman"/>
          <w:sz w:val="18"/>
          <w:szCs w:val="18"/>
          <w:color w:val="auto"/>
        </w:rPr>
      </w:pPr>
    </w:p>
    <w:p>
      <w:pPr>
        <w:ind w:left="760" w:right="760" w:hanging="374"/>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accessibility of streaming and other gaming video content, whether due to platform fragmentation, the erection of paywalls, or otherwise;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economics or monetization of esports performing below expectations, ultimately causing a decrease in outside investments in esports.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one or more of the above factors are realized, our business may be seriously harmed.</w:t>
      </w:r>
    </w:p>
    <w:p>
      <w:pPr>
        <w:spacing w:after="0" w:line="329" w:lineRule="exact"/>
        <w:rPr>
          <w:sz w:val="20"/>
          <w:szCs w:val="20"/>
          <w:color w:val="auto"/>
        </w:rPr>
      </w:pPr>
    </w:p>
    <w:p>
      <w:pPr>
        <w:ind w:left="38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51"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Our performance depends to a significant degree upon the contributions of our management team, particularly Andrew J. Paul, our co-founder,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284"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51"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attract, retain and motivate employees in the future, particularly if the market price of our common stock does not increase or declines. If we do not succeed in attracting, retaining and motivating highly qualified personnel, our business may be seriously harmed. Further, we also face significant competition for employees, particularly in the San Francisco Bay Area where our headquarters are located, and as a result, skilled employees in this competitive geographic location can often command higher compensation and may be difficult to hire. 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291" w:lineRule="exact"/>
        <w:rPr>
          <w:sz w:val="20"/>
          <w:szCs w:val="20"/>
          <w:color w:val="auto"/>
        </w:rPr>
      </w:pPr>
    </w:p>
    <w:p>
      <w:pPr>
        <w:ind w:right="520" w:firstLine="38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51"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has and may continue to result in an increase in the price of our gear in those countries, which has and may continue to lead to a reduction in sales in such countries. Likewise, because we pay our suppliers and third-party manufacturers, most of which are located outside of the United States, primarily in U.S. dollars, any decline in the value of the U.S. dollar relative to the applicable local currency, such as the Chinese Yuan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96"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Total unit shipments of our gear have historically been higher during the third and fourth quarters of the year. As a result, our sales may be subject to seasonal fluctuations, which may seriously harm our business.</w:t>
      </w:r>
    </w:p>
    <w:p>
      <w:pPr>
        <w:spacing w:after="0" w:line="5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Since 2020, our revenue seasonality has been impacted positively and negatively, and thus has not followed historic patterns, by external events, such as shelter-in-place restrictions, global supply chain and logistics issues and availability of affordable GPUs, primarily caused by the COVID-19 pandemic. Historically, prior to 2020, 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As a result, our total unit shipments are subject to seasonal fluctuations, which may seriously harm our business. Historical seasonal patterns may not continue in the future and have been impacted, and may be further impacted in the future, by increasing supply constraints, GPU shortages, shifts in customer behavior and the evolving impacts of the COVID-19 pandemic.</w:t>
      </w:r>
    </w:p>
    <w:p>
      <w:pPr>
        <w:spacing w:after="0" w:line="298"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substantial quarterly and annual fluctuations, which may adversely affect the market price of our common stock.</w:t>
      </w:r>
    </w:p>
    <w:p>
      <w:pPr>
        <w:spacing w:after="0" w:line="51" w:lineRule="exact"/>
        <w:rPr>
          <w:sz w:val="20"/>
          <w:szCs w:val="20"/>
          <w:color w:val="auto"/>
        </w:rPr>
      </w:pPr>
    </w:p>
    <w:p>
      <w:pPr>
        <w:ind w:right="280" w:firstLine="382"/>
        <w:spacing w:after="0" w:line="255" w:lineRule="auto"/>
        <w:rPr>
          <w:sz w:val="20"/>
          <w:szCs w:val="20"/>
          <w:color w:val="auto"/>
        </w:rPr>
      </w:pPr>
      <w:r>
        <w:rPr>
          <w:rFonts w:ascii="Times New Roman" w:cs="Times New Roman" w:eastAsia="Times New Roman" w:hAnsi="Times New Roman"/>
          <w:sz w:val="18"/>
          <w:szCs w:val="18"/>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79" w:lineRule="exact"/>
        <w:rPr>
          <w:sz w:val="20"/>
          <w:szCs w:val="20"/>
          <w:color w:val="auto"/>
        </w:rPr>
      </w:pPr>
    </w:p>
    <w:p>
      <w:pPr>
        <w:ind w:right="180"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Factors affecting our business and markets</w:t>
      </w:r>
      <w:r>
        <w:rPr>
          <w:rFonts w:ascii="Times New Roman" w:cs="Times New Roman" w:eastAsia="Times New Roman" w:hAnsi="Times New Roman"/>
          <w:sz w:val="18"/>
          <w:szCs w:val="18"/>
          <w:color w:val="auto"/>
        </w:rPr>
        <w:t>. Our result of operations may be materially adversely affected by factors that directly affect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competitive conditions in our markets, including the following:</w:t>
      </w:r>
    </w:p>
    <w:p>
      <w:pPr>
        <w:spacing w:after="0" w:line="52" w:lineRule="exact"/>
        <w:rPr>
          <w:sz w:val="20"/>
          <w:szCs w:val="20"/>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lower margin products relative to demand for our higher margin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enhancement of products by us and our competitors, and market acceptance of these new or enhanced products;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retail customers, cancellations or reductions of orders and product returns;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average selling prices of and demand for our gear;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53" w:lineRule="exact"/>
        <w:rPr>
          <w:sz w:val="20"/>
          <w:szCs w:val="20"/>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demand for our gear due to our gear having higher price-points than products supplied by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and price reductions offered by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reduction or cessation of deliveries from one or more of the third parties that manufacture our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shortages of our gear or components used in our gear;</w:t>
      </w:r>
    </w:p>
    <w:p>
      <w:pPr>
        <w:spacing w:after="0" w:line="117"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53" w:lineRule="exact"/>
        <w:rPr>
          <w:rFonts w:ascii="Times New Roman" w:cs="Times New Roman" w:eastAsia="Times New Roman" w:hAnsi="Times New Roman"/>
          <w:sz w:val="18"/>
          <w:szCs w:val="18"/>
          <w:color w:val="auto"/>
        </w:rPr>
      </w:pPr>
    </w:p>
    <w:p>
      <w:pPr>
        <w:ind w:left="760" w:right="12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67" w:lineRule="exact"/>
        <w:rPr>
          <w:rFonts w:ascii="Times New Roman" w:cs="Times New Roman" w:eastAsia="Times New Roman" w:hAnsi="Times New Roman"/>
          <w:sz w:val="18"/>
          <w:szCs w:val="18"/>
          <w:color w:val="auto"/>
        </w:rPr>
      </w:pPr>
    </w:p>
    <w:p>
      <w:pPr>
        <w:ind w:left="76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Russia and the Ukraine resulting in shipments of resources from these countries being delayed, or even ceasing, which could cause the GPU shortage to last longer as the production of GPUs requires resources that come from these countries such as highly purified neon gas and palladium, of which Ukraine and Russia, respectively, are the world’s leading exporters;</w:t>
      </w:r>
    </w:p>
    <w:p>
      <w:pPr>
        <w:spacing w:after="0" w:line="6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or the implementation of export sanctions, in particular any sanctions between the United States and China;</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including tax and trade laws, and regulatory requirements;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our introduction of new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the shipment or delivery of gear to customers;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freight costs;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purchasing patterns by the distributors and retailers to which we sell our gear;</w:t>
      </w:r>
    </w:p>
    <w:p>
      <w:pPr>
        <w:spacing w:after="0" w:line="117" w:lineRule="exact"/>
        <w:rPr>
          <w:rFonts w:ascii="Times New Roman" w:cs="Times New Roman" w:eastAsia="Times New Roman" w:hAnsi="Times New Roman"/>
          <w:sz w:val="18"/>
          <w:szCs w:val="18"/>
          <w:color w:val="auto"/>
        </w:rPr>
      </w:pPr>
    </w:p>
    <w:p>
      <w:pPr>
        <w:ind w:left="760" w:right="40" w:hanging="374"/>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electronics product purchasing patterns by our retail and distributor customers, as well as the gamers and streamers that purchase their gear directly from us;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among other things, lower selling prices or loss of market share;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adverse outcomes of litigation, governmental proceedings or any proceedings to protect our brand or other intellectual property.</w:t>
      </w:r>
    </w:p>
    <w:p>
      <w:pPr>
        <w:spacing w:after="0" w:line="223" w:lineRule="exact"/>
        <w:rPr>
          <w:sz w:val="20"/>
          <w:szCs w:val="20"/>
          <w:color w:val="auto"/>
        </w:rPr>
      </w:pPr>
    </w:p>
    <w:p>
      <w:pPr>
        <w:ind w:right="380"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General economic conditions</w:t>
      </w:r>
      <w:r>
        <w:rPr>
          <w:rFonts w:ascii="Times New Roman" w:cs="Times New Roman" w:eastAsia="Times New Roman" w:hAnsi="Times New Roman"/>
          <w:sz w:val="18"/>
          <w:szCs w:val="18"/>
          <w:color w:val="auto"/>
        </w:rPr>
        <w:t>. Our business may be materially adversely affected by factors relating to global, national and regional economies,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w:t>
      </w:r>
    </w:p>
    <w:p>
      <w:pPr>
        <w:spacing w:after="0" w:line="52"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economic conditions, either globally or in specific countries or regions;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pandemics, such as the novel coronavirus;</w:t>
      </w:r>
    </w:p>
    <w:p>
      <w:pPr>
        <w:spacing w:after="0" w:line="117" w:lineRule="exact"/>
        <w:rPr>
          <w:rFonts w:ascii="Times New Roman" w:cs="Times New Roman" w:eastAsia="Times New Roman" w:hAnsi="Times New Roman"/>
          <w:sz w:val="18"/>
          <w:szCs w:val="18"/>
          <w:color w:val="auto"/>
        </w:rPr>
      </w:pPr>
    </w:p>
    <w:p>
      <w:pPr>
        <w:ind w:left="760" w:right="8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instability, natural disasters, war and/or events of terrorism, such as the war between Russia and Ukraine, and the corresponding tensions created from such conflict between Russia, the United States and countries in Europe as well as other countries such as China;</w:t>
      </w:r>
    </w:p>
    <w:p>
      <w:pPr>
        <w:spacing w:after="0" w:line="67" w:lineRule="exact"/>
        <w:rPr>
          <w:rFonts w:ascii="Times New Roman" w:cs="Times New Roman" w:eastAsia="Times New Roman" w:hAnsi="Times New Roman"/>
          <w:sz w:val="18"/>
          <w:szCs w:val="18"/>
          <w:color w:val="auto"/>
        </w:rPr>
      </w:pPr>
    </w:p>
    <w:p>
      <w:pPr>
        <w:ind w:left="760" w:right="14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fluctuations in the United States and global economies, including those that impact discretionary consumer spending such as may result from the COVID-19 coronavirus outbreak, increased interest rates or increased inflation;</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cycles that affect the markets in which we sell our gear;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fluctuations in interest rates on consumer disposable income.</w:t>
      </w:r>
    </w:p>
    <w:p>
      <w:pPr>
        <w:spacing w:after="0" w:line="223" w:lineRule="exact"/>
        <w:rPr>
          <w:sz w:val="20"/>
          <w:szCs w:val="20"/>
          <w:color w:val="auto"/>
        </w:rPr>
      </w:pPr>
    </w:p>
    <w:p>
      <w:pPr>
        <w:ind w:right="8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Technological factors</w:t>
      </w:r>
      <w:r>
        <w:rPr>
          <w:rFonts w:ascii="Times New Roman" w:cs="Times New Roman" w:eastAsia="Times New Roman" w:hAnsi="Times New Roman"/>
          <w:sz w:val="18"/>
          <w:szCs w:val="18"/>
          <w:color w:val="auto"/>
        </w:rPr>
        <w:t>. In addition to technological developments directly relating to our gear, more generalized changes in technology may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effect on our operating results. For example, our business could be seriously harmed by rapid, wholesale changes in technology in or affecting the markets in which we compete or widespread adoption of cloud computing.</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may seriously harm our business.</w:t>
      </w:r>
    </w:p>
    <w:p>
      <w:pPr>
        <w:spacing w:after="0" w:line="229" w:lineRule="exact"/>
        <w:rPr>
          <w:sz w:val="20"/>
          <w:szCs w:val="20"/>
          <w:color w:val="auto"/>
        </w:rPr>
      </w:pPr>
    </w:p>
    <w:p>
      <w:pPr>
        <w:ind w:right="20" w:firstLine="382"/>
        <w:spacing w:after="0" w:line="255" w:lineRule="auto"/>
        <w:rPr>
          <w:sz w:val="20"/>
          <w:szCs w:val="20"/>
          <w:color w:val="auto"/>
        </w:rPr>
      </w:pPr>
      <w:r>
        <w:rPr>
          <w:rFonts w:ascii="Times New Roman" w:cs="Times New Roman" w:eastAsia="Times New Roman" w:hAnsi="Times New Roman"/>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293"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retail and consumer electronics markets may significantly affect our business and could have an adverse effect on our net revenue.</w:t>
      </w:r>
    </w:p>
    <w:p>
      <w:pPr>
        <w:spacing w:after="0" w:line="51"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83"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negative effects on our business resulting from adverse economic conditions worldwide may include:</w:t>
      </w:r>
    </w:p>
    <w:p>
      <w:pPr>
        <w:spacing w:after="0" w:line="117" w:lineRule="exact"/>
        <w:rPr>
          <w:sz w:val="20"/>
          <w:szCs w:val="20"/>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for promotions, customer incentive programs and other initiatives used to stimulate demand;</w:t>
      </w:r>
    </w:p>
    <w:p>
      <w:pPr>
        <w:spacing w:after="0" w:line="117"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consumer spending caused by higher inflation, increased interest rates and exchange rate fluctuations, leading to weaker consumer demand for our products;</w:t>
      </w:r>
    </w:p>
    <w:p>
      <w:pPr>
        <w:spacing w:after="0" w:line="53" w:lineRule="exact"/>
        <w:rPr>
          <w:rFonts w:ascii="Times New Roman" w:cs="Times New Roman" w:eastAsia="Times New Roman" w:hAnsi="Times New Roman"/>
          <w:sz w:val="18"/>
          <w:szCs w:val="18"/>
          <w:color w:val="auto"/>
        </w:rPr>
      </w:pPr>
    </w:p>
    <w:p>
      <w:pPr>
        <w:ind w:left="760" w:right="28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excess and obsolete inventories, which may require write-downs or impairment charges, such as the $22.5 million inventory impairment and related charges recognized during the second quarter of 2022;</w:t>
      </w:r>
    </w:p>
    <w:p>
      <w:pPr>
        <w:spacing w:after="0" w:line="53" w:lineRule="exact"/>
        <w:rPr>
          <w:rFonts w:ascii="Times New Roman" w:cs="Times New Roman" w:eastAsia="Times New Roman" w:hAnsi="Times New Roman"/>
          <w:sz w:val="18"/>
          <w:szCs w:val="18"/>
          <w:color w:val="auto"/>
        </w:rPr>
      </w:pPr>
    </w:p>
    <w:p>
      <w:pPr>
        <w:ind w:left="760" w:right="42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suppliers or third-party manufacturers, resulting in insufficient product quantities to meet demand or increases in the cost of producing our gear;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distributors, resellers or retailers.</w:t>
      </w:r>
    </w:p>
    <w:p>
      <w:pPr>
        <w:spacing w:after="0" w:line="225" w:lineRule="exact"/>
        <w:rPr>
          <w:sz w:val="20"/>
          <w:szCs w:val="20"/>
          <w:color w:val="auto"/>
        </w:rPr>
      </w:pPr>
    </w:p>
    <w:p>
      <w:pPr>
        <w:ind w:right="160" w:firstLine="382"/>
        <w:spacing w:after="0" w:line="282" w:lineRule="auto"/>
        <w:rPr>
          <w:sz w:val="20"/>
          <w:szCs w:val="20"/>
          <w:color w:val="auto"/>
        </w:rPr>
      </w:pPr>
      <w:r>
        <w:rPr>
          <w:rFonts w:ascii="Times New Roman" w:cs="Times New Roman" w:eastAsia="Times New Roman" w:hAnsi="Times New Roman"/>
          <w:sz w:val="18"/>
          <w:szCs w:val="18"/>
          <w:color w:val="auto"/>
        </w:rPr>
        <w:t>Depressed economic conditions, whether in our key regional markets or globally, could result in a decline in both product prices and the demand for our gear, which may seriously harm our business.</w:t>
      </w:r>
    </w:p>
    <w:p>
      <w:pPr>
        <w:spacing w:after="0" w:line="266" w:lineRule="exact"/>
        <w:rPr>
          <w:sz w:val="20"/>
          <w:szCs w:val="20"/>
          <w:color w:val="auto"/>
        </w:rPr>
      </w:pPr>
    </w:p>
    <w:p>
      <w:pPr>
        <w:ind w:left="3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sponsorship of individuals, teams and events within the gaming community is subject to numerous risks that may seriously harm our business.</w:t>
      </w:r>
    </w:p>
    <w:p>
      <w:pPr>
        <w:spacing w:after="0" w:line="51" w:lineRule="exact"/>
        <w:rPr>
          <w:sz w:val="20"/>
          <w:szCs w:val="20"/>
          <w:color w:val="auto"/>
        </w:rPr>
      </w:pPr>
    </w:p>
    <w:p>
      <w:pPr>
        <w:ind w:right="140" w:firstLine="382"/>
        <w:spacing w:after="0" w:line="256" w:lineRule="auto"/>
        <w:rPr>
          <w:sz w:val="20"/>
          <w:szCs w:val="20"/>
          <w:color w:val="auto"/>
        </w:rPr>
      </w:pPr>
      <w:r>
        <w:rPr>
          <w:rFonts w:ascii="Times New Roman" w:cs="Times New Roman" w:eastAsia="Times New Roman" w:hAnsi="Times New Roman"/>
          <w:sz w:val="18"/>
          <w:szCs w:val="18"/>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280"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51" w:lineRule="exact"/>
        <w:rPr>
          <w:sz w:val="20"/>
          <w:szCs w:val="20"/>
          <w:color w:val="auto"/>
        </w:rPr>
      </w:pPr>
    </w:p>
    <w:p>
      <w:pPr>
        <w:ind w:right="100" w:firstLine="382"/>
        <w:spacing w:after="0" w:line="253" w:lineRule="auto"/>
        <w:rPr>
          <w:sz w:val="20"/>
          <w:szCs w:val="20"/>
          <w:color w:val="auto"/>
        </w:rPr>
      </w:pPr>
      <w:r>
        <w:rPr>
          <w:rFonts w:ascii="Times New Roman" w:cs="Times New Roman" w:eastAsia="Times New Roman" w:hAnsi="Times New Roman"/>
          <w:sz w:val="18"/>
          <w:szCs w:val="18"/>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inventory of DRAM ICs and 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94"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the most recent external market share data for the trailing twelve months ended June 30, 2022, Samsung, a manufacturer of DRAM ICs, had an approximately 43% share of the worldwide DRAM IC market, compared to approximately 28% for Hynix and approximately 23%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coronavirus outbreak has had, and could continue to have, a materially disruptive effect on our business.</w:t>
      </w:r>
    </w:p>
    <w:p>
      <w:pPr>
        <w:spacing w:after="0" w:line="229"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8"/>
          <w:szCs w:val="18"/>
          <w:color w:val="auto"/>
        </w:rPr>
        <w:t>The COVID-19 disease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83" w:lineRule="exact"/>
        <w:rPr>
          <w:sz w:val="20"/>
          <w:szCs w:val="20"/>
          <w:color w:val="auto"/>
        </w:rPr>
      </w:pPr>
    </w:p>
    <w:p>
      <w:pPr>
        <w:ind w:right="360" w:firstLine="382"/>
        <w:spacing w:after="0" w:line="282" w:lineRule="auto"/>
        <w:rPr>
          <w:sz w:val="20"/>
          <w:szCs w:val="20"/>
          <w:color w:val="auto"/>
        </w:rPr>
      </w:pPr>
      <w:r>
        <w:rPr>
          <w:rFonts w:ascii="Times New Roman" w:cs="Times New Roman" w:eastAsia="Times New Roman" w:hAnsi="Times New Roman"/>
          <w:sz w:val="18"/>
          <w:szCs w:val="18"/>
          <w:color w:val="auto"/>
        </w:rPr>
        <w:t>The spread of COVID-19 has and could continue to seriously harm our business. Current and potential impacts include, but are not limited to, the following:</w:t>
      </w:r>
    </w:p>
    <w:p>
      <w:pPr>
        <w:spacing w:after="0" w:line="54" w:lineRule="exact"/>
        <w:rPr>
          <w:sz w:val="20"/>
          <w:szCs w:val="20"/>
          <w:color w:val="auto"/>
        </w:rPr>
      </w:pPr>
    </w:p>
    <w:p>
      <w:pPr>
        <w:jc w:val="both"/>
        <w:ind w:left="760" w:right="140" w:hanging="374"/>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67"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challenges, including longer production and shipping times, and increased supply, shipping and logistics costs, each of which has negatively impacted our gross margins, as well as the need to purchase long-lead time items ahead of demand due to supply constraints;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within delivery and other industries due to extended worker absences could create further supply chain disruptions;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could make our products less competitive in a price-sensitive environment for our non-US customers;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left="760" w:right="120" w:hanging="374"/>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62"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8"/>
          <w:szCs w:val="18"/>
          <w:color w:val="auto"/>
        </w:rPr>
        <w:t>Starting in early 2020 in connection with the COVID-19 pandemic, we experienced an increase in demand for our gear as more people were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resulted in shelter-in-place and other similar restrictions being eased, starting earlier 2021. Such easing of restrictions has resulted in consumers returning to other alternative forms of entertainment and interaction. This in turn has resulted in a decline in demand for our products since the second half of 2021. In addition, we have, and continue to, experience disruption in our supply chain and increased distribution costs, which led to increases in operating costs such as the significantly elevated ocean freight costs since the second half of 2021.</w:t>
      </w:r>
    </w:p>
    <w:p>
      <w:pPr>
        <w:spacing w:after="0" w:line="189"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8"/>
          <w:szCs w:val="18"/>
          <w:color w:val="auto"/>
        </w:rPr>
        <w:t>The extent to which the COVID-19 outbreak, including the spread of more contagious and deadly variants, ultimately impacts our business, results of operations, cash flows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ongoing war between Russia and Ukraine could adversely affect our business, financial condition and results of operations.</w:t>
      </w:r>
    </w:p>
    <w:p>
      <w:pPr>
        <w:spacing w:after="0" w:line="121"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In February 2022, Russian military forces invaded Ukraine. In response, Ukrainian military personnel and civilians are actively resisting the invasion. Although the length, impact and outcome of the ongoing military conflict in Ukraine is highly unpredictable, this conflict has contributed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w:t>
      </w:r>
    </w:p>
    <w:p>
      <w:pPr>
        <w:spacing w:after="0" w:line="72"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also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 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In response to Russia’s invasion of Ukraine and the aforementioned sanctions, we ceased the sale of all of our gear in Russia with immediate effect. While we do not expect this decision to have a material adverse effect on our business, results of operations or financial condition,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86"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In addition, the conflict, sanctions against Russia and Russia’s drastic reduction to the supply of natural gas to Europe in response to sanctions has and could continue to negatively impact the production and sales of consumer electronics due to a variety of factors such as lower consumer confidence, increase the ongoing disruption of supply chains, worsen the current semiconductor chip shortage since Russia and Ukraine are critical suppliers of neon gas and palladium used in chip production, exacerbate energy shortages and high energy prices, and increase cybersecurity threats. These impacts have adversely impacted our operations, sales and profitability, and could continue to do so</w:t>
      </w:r>
    </w:p>
    <w:p>
      <w:pPr>
        <w:spacing w:after="0" w:line="75"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We are actively monitoring the situation in Ukraine and assessing its impact on our business, including our suppliers and customers.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substantial impact on the global economy and our business for an unknown period of time. Any of the abovementioned factors could affect our business, financial condition and results of operations. Any such disruptions may also magnify the impact of other risks described in this Quarterly Report on Form 10-Q.</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51"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8"/>
          <w:szCs w:val="18"/>
          <w:color w:val="auto"/>
        </w:rPr>
        <w:t>A significant percentage of our net revenue is generated by sales of DRAM modules. In particular, net revenue generated by sales of DRAM modules accounted for a total of 33.2% and 27.2% of our net revenue in the nine months ended September 30, 2022 and 2021,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287" w:lineRule="exact"/>
        <w:rPr>
          <w:sz w:val="20"/>
          <w:szCs w:val="20"/>
          <w:color w:val="auto"/>
        </w:rPr>
      </w:pPr>
    </w:p>
    <w:p>
      <w:pPr>
        <w:ind w:left="3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5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In the nine months ended September 30, 2022 and 2021, sales to Amazon accounted for 26.3% and 26.4% of our net revenue, respectively. Sales to our ten largest customers accounted for 52.0% and 50.5% of the same period ended September 30, 2022 and 2021, respectively, of our net revenue. Our customers, including Amazon,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and others. As a result, if either Amazon or others were to default on its payment to us,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91" w:lineRule="exact"/>
        <w:rPr>
          <w:sz w:val="20"/>
          <w:szCs w:val="20"/>
          <w:color w:val="auto"/>
        </w:rPr>
      </w:pPr>
    </w:p>
    <w:p>
      <w:pPr>
        <w:ind w:left="38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72"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We maintain limited manufacturing facilities that only assemble certain products such as our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most of our manufacturers and suppliers. In addition, we carry limited inventory of our gear, and the loss of one or more of these manufacturers or suppliers, or a significant decline in production or deliveries by any of them, could significantly limit our shipments of gear or prevent us from shipping that gear entirely.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reliance upon a limited number of manufacturers and suppliers exposes us to numerous risks, including those described below.</w:t>
      </w:r>
    </w:p>
    <w:p>
      <w:pPr>
        <w:spacing w:after="0" w:line="223" w:lineRule="exact"/>
        <w:rPr>
          <w:sz w:val="20"/>
          <w:szCs w:val="20"/>
          <w:color w:val="auto"/>
        </w:rPr>
      </w:pPr>
    </w:p>
    <w:p>
      <w:pPr>
        <w:ind w:right="140" w:firstLine="38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Risks relating to production and manufacturing. </w:t>
      </w:r>
      <w:r>
        <w:rPr>
          <w:rFonts w:ascii="Times New Roman" w:cs="Times New Roman" w:eastAsia="Times New Roman" w:hAnsi="Times New Roman"/>
          <w:sz w:val="18"/>
          <w:szCs w:val="18"/>
          <w:color w:val="auto"/>
        </w:rPr>
        <w:t>Our business could be seriously harmed if our manufacturers or suppliers ceased or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or deliveries, raised prices, lengthened production or delivery times or changed other terms of sale. In particular, price increases by our manufacturers or suppliers could seriously harm our business if we are unable to pass those price increases along to our customers. Further,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 military actions, such as the war between Russia and Ukraine.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engage a suitable replacement on terms we consider acceptable and, in any event, there would likely be significant delays before we were able to transition production to a new manufacturer and potentially significant costs associated with that transition.</w:t>
      </w:r>
    </w:p>
    <w:p>
      <w:pPr>
        <w:spacing w:after="0" w:line="160" w:lineRule="exact"/>
        <w:rPr>
          <w:sz w:val="20"/>
          <w:szCs w:val="20"/>
          <w:color w:val="auto"/>
        </w:rPr>
      </w:pPr>
    </w:p>
    <w:p>
      <w:pPr>
        <w:ind w:right="2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Risks relating to product quality</w:t>
      </w:r>
      <w:r>
        <w:rPr>
          <w:rFonts w:ascii="Times New Roman" w:cs="Times New Roman" w:eastAsia="Times New Roman" w:hAnsi="Times New Roman"/>
          <w:sz w:val="18"/>
          <w:szCs w:val="18"/>
          <w:color w:val="auto"/>
        </w:rPr>
        <w:t>. Our manufacturers or suppliers may provide us with products or components that do not perform reliably or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our quality standards or performance specifications or are susceptible to early failure or contain other defects. This may seriously harm our reputation, increase our warranty and other costs or lead to product returns or recalls, any of which may seriously harm our business.</w:t>
      </w:r>
    </w:p>
    <w:p>
      <w:pPr>
        <w:spacing w:after="0" w:line="173"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Risks relating to product and component shortages. </w:t>
      </w:r>
      <w:r>
        <w:rPr>
          <w:rFonts w:ascii="Times New Roman" w:cs="Times New Roman" w:eastAsia="Times New Roman" w:hAnsi="Times New Roman"/>
          <w:sz w:val="18"/>
          <w:szCs w:val="18"/>
          <w:color w:val="auto"/>
        </w:rPr>
        <w:t>From time to time we have experienced product shortages due to both disruptions in supply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85"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287" w:lineRule="exact"/>
        <w:rPr>
          <w:sz w:val="20"/>
          <w:szCs w:val="20"/>
          <w:color w:val="auto"/>
        </w:rPr>
      </w:pPr>
    </w:p>
    <w:p>
      <w:pPr>
        <w:ind w:left="3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5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suite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293" w:lineRule="exact"/>
        <w:rPr>
          <w:sz w:val="20"/>
          <w:szCs w:val="20"/>
          <w:color w:val="auto"/>
        </w:rPr>
      </w:pPr>
    </w:p>
    <w:p>
      <w:pPr>
        <w:ind w:left="3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67"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8"/>
          <w:szCs w:val="18"/>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operate a facility in Taiwan that assembles, tests and packages all of our DRAM modules and certain other products, we rely upon manufacturers in China and Southeast Asia to produce a significant portion of our other products, which exposes us to risks that may seriously harm our business.</w:t>
      </w:r>
    </w:p>
    <w:p>
      <w:pPr>
        <w:spacing w:after="0" w:line="67"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We operate a facility in Taiwan that assembles, tests, packages and ultimately supplies all of our DRAM modules and a significant portion of our cooling solutions, prebuilt and custom gaming systems and custom gaming controllers. We also assemble, test, package and ultimately supply our custom-built PCs in our U.S. facility, and our customized gaming controllers in our U.S. and U.K. facilities. All of the other gear we sell, including the components used to assemble our DRAM modules, are produced at factories operated by third parties located in China, Taiwan and countries in Southeast Asia. The fact that all of these facilities, manufacturers, suppliers and factories are concentrated in China, Taiwan and countries in Southeast Asia exposes us to numerous risks.</w:t>
      </w:r>
    </w:p>
    <w:p>
      <w:pPr>
        <w:spacing w:after="0" w:line="187"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We believe one of the most significant risks associated with this concentration is that production may be interrupted or limited because of labor shortages in southern China, lockdowns due to COVID-19 outbreaks and by strains on the local infrastructure. In addition, production at facilities located in China, Taiwan or Southeast Asia,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In addition, political instability in countries in Southeast Asia where we source certain components, such as Thailand, could result in delays in shipments or our inability to source certain critical components for our products.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88" w:lineRule="exact"/>
        <w:rPr>
          <w:sz w:val="20"/>
          <w:szCs w:val="20"/>
          <w:color w:val="auto"/>
        </w:rPr>
      </w:pPr>
    </w:p>
    <w:p>
      <w:pPr>
        <w:ind w:right="580" w:firstLine="382"/>
        <w:spacing w:after="0" w:line="282" w:lineRule="auto"/>
        <w:rPr>
          <w:sz w:val="20"/>
          <w:szCs w:val="20"/>
          <w:color w:val="auto"/>
        </w:rPr>
      </w:pPr>
      <w:r>
        <w:rPr>
          <w:rFonts w:ascii="Times New Roman" w:cs="Times New Roman" w:eastAsia="Times New Roman" w:hAnsi="Times New Roman"/>
          <w:sz w:val="18"/>
          <w:szCs w:val="18"/>
          <w:color w:val="auto"/>
        </w:rPr>
        <w:t>Other risks resulting from this concentration of our manufacturing facilities and our suppliers in China, Taiwan and Southeast Asia include the following:</w:t>
      </w:r>
    </w:p>
    <w:p>
      <w:pPr>
        <w:spacing w:after="0" w:line="54" w:lineRule="exact"/>
        <w:rPr>
          <w:sz w:val="20"/>
          <w:szCs w:val="20"/>
          <w:color w:val="auto"/>
        </w:rPr>
      </w:pPr>
    </w:p>
    <w:p>
      <w:pPr>
        <w:ind w:left="760" w:right="2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China’s laws continues to evolve, which may make it more difficult for us to obtain a reliable supply of our gear at predictable costs;</w:t>
      </w:r>
    </w:p>
    <w:p>
      <w:pPr>
        <w:spacing w:after="0" w:line="53" w:lineRule="exact"/>
        <w:rPr>
          <w:rFonts w:ascii="Times New Roman" w:cs="Times New Roman" w:eastAsia="Times New Roman" w:hAnsi="Times New Roman"/>
          <w:sz w:val="18"/>
          <w:szCs w:val="18"/>
          <w:color w:val="auto"/>
        </w:rPr>
      </w:pPr>
    </w:p>
    <w:p>
      <w:pPr>
        <w:ind w:left="760" w:right="56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be increased and deliveries of our gear may be decreased or delayed by trade restrictions; and</w:t>
      </w:r>
    </w:p>
    <w:p>
      <w:pPr>
        <w:spacing w:after="0" w:line="117" w:lineRule="exact"/>
        <w:rPr>
          <w:rFonts w:ascii="Times New Roman" w:cs="Times New Roman" w:eastAsia="Times New Roman" w:hAnsi="Times New Roman"/>
          <w:sz w:val="18"/>
          <w:szCs w:val="18"/>
          <w:color w:val="auto"/>
        </w:rPr>
      </w:pPr>
    </w:p>
    <w:p>
      <w:pPr>
        <w:jc w:val="both"/>
        <w:ind w:left="760" w:right="400" w:hanging="374"/>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7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occurrence of any one or more of these risks may seriously harm our business.</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coordinate the worldwide manufacturing and distribution of our gear, we could lose sales.</w:t>
      </w:r>
    </w:p>
    <w:p>
      <w:pPr>
        <w:spacing w:after="0" w:line="121" w:lineRule="exact"/>
        <w:rPr>
          <w:sz w:val="20"/>
          <w:szCs w:val="20"/>
          <w:color w:val="auto"/>
        </w:rPr>
      </w:pPr>
    </w:p>
    <w:p>
      <w:pPr>
        <w:ind w:right="300" w:firstLine="382"/>
        <w:spacing w:after="0" w:line="261" w:lineRule="auto"/>
        <w:rPr>
          <w:sz w:val="20"/>
          <w:szCs w:val="20"/>
          <w:color w:val="auto"/>
        </w:rPr>
      </w:pPr>
      <w:r>
        <w:rPr>
          <w:rFonts w:ascii="Times New Roman" w:cs="Times New Roman" w:eastAsia="Times New Roman" w:hAnsi="Times New Roman"/>
          <w:sz w:val="18"/>
          <w:szCs w:val="18"/>
          <w:color w:val="auto"/>
        </w:rPr>
        <w:t>Our business requires that we coordinate the manufacturing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284" w:lineRule="exact"/>
        <w:rPr>
          <w:sz w:val="20"/>
          <w:szCs w:val="20"/>
          <w:color w:val="auto"/>
        </w:rPr>
      </w:pPr>
    </w:p>
    <w:p>
      <w:pPr>
        <w:ind w:left="38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51" w:lineRule="exact"/>
        <w:rPr>
          <w:sz w:val="20"/>
          <w:szCs w:val="20"/>
          <w:color w:val="auto"/>
        </w:rPr>
      </w:pPr>
    </w:p>
    <w:p>
      <w:pPr>
        <w:ind w:right="240" w:firstLine="382"/>
        <w:spacing w:after="0" w:line="261" w:lineRule="auto"/>
        <w:rPr>
          <w:sz w:val="20"/>
          <w:szCs w:val="20"/>
          <w:color w:val="auto"/>
        </w:rPr>
      </w:pPr>
      <w:r>
        <w:rPr>
          <w:rFonts w:ascii="Times New Roman" w:cs="Times New Roman" w:eastAsia="Times New Roman" w:hAnsi="Times New Roman"/>
          <w:sz w:val="18"/>
          <w:szCs w:val="18"/>
          <w:color w:val="auto"/>
        </w:rPr>
        <w:t>The majority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size and weight. If we underestimate the demand for any of the products we ship by ocean freight, or if deliveries of those products to us by our manufacturers are delayed or interrupted, 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92" w:lineRule="exact"/>
        <w:rPr>
          <w:sz w:val="20"/>
          <w:szCs w:val="20"/>
          <w:color w:val="auto"/>
        </w:rPr>
      </w:pPr>
    </w:p>
    <w:p>
      <w:pPr>
        <w:ind w:right="160" w:firstLine="382"/>
        <w:spacing w:after="0" w:line="281" w:lineRule="auto"/>
        <w:rPr>
          <w:sz w:val="20"/>
          <w:szCs w:val="20"/>
          <w:color w:val="auto"/>
        </w:rPr>
      </w:pPr>
      <w:r>
        <w:rPr>
          <w:rFonts w:ascii="Times New Roman" w:cs="Times New Roman" w:eastAsia="Times New Roman" w:hAnsi="Times New Roman"/>
          <w:sz w:val="17"/>
          <w:szCs w:val="17"/>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68"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effective tax rate may increase in the future, including as a result of tax legislation changes, which may have a material adverse effect on our business, financial condition and results of operations.</w:t>
      </w:r>
    </w:p>
    <w:p>
      <w:pPr>
        <w:spacing w:after="0" w:line="51"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18"/>
          <w:szCs w:val="18"/>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w:t>
      </w:r>
    </w:p>
    <w:p>
      <w:pPr>
        <w:spacing w:after="0" w:line="176" w:lineRule="exact"/>
        <w:rPr>
          <w:sz w:val="20"/>
          <w:szCs w:val="20"/>
          <w:color w:val="auto"/>
        </w:rPr>
      </w:pPr>
    </w:p>
    <w:p>
      <w:pPr>
        <w:ind w:right="180" w:firstLine="382"/>
        <w:spacing w:after="0" w:line="261" w:lineRule="auto"/>
        <w:rPr>
          <w:sz w:val="20"/>
          <w:szCs w:val="20"/>
          <w:color w:val="auto"/>
        </w:rPr>
      </w:pPr>
      <w:r>
        <w:rPr>
          <w:rFonts w:ascii="Times New Roman" w:cs="Times New Roman" w:eastAsia="Times New Roman" w:hAnsi="Times New Roman"/>
          <w:sz w:val="18"/>
          <w:szCs w:val="18"/>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While certain draft legislation has been publicly released and is under development in Congress at this time, the likelihood of these changes being enacted or implemented is unclear.</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effective tax rate could also increase due to several factors, including:</w:t>
      </w:r>
    </w:p>
    <w:p>
      <w:pPr>
        <w:spacing w:after="0" w:line="117" w:lineRule="exact"/>
        <w:rPr>
          <w:sz w:val="20"/>
          <w:szCs w:val="20"/>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tax treaties, and regulations or the interpretation of them;</w:t>
      </w:r>
    </w:p>
    <w:p>
      <w:pPr>
        <w:spacing w:after="0" w:line="117" w:lineRule="exact"/>
        <w:rPr>
          <w:rFonts w:ascii="Times New Roman" w:cs="Times New Roman" w:eastAsia="Times New Roman" w:hAnsi="Times New Roman"/>
          <w:sz w:val="18"/>
          <w:szCs w:val="18"/>
          <w:color w:val="auto"/>
        </w:rPr>
      </w:pPr>
    </w:p>
    <w:p>
      <w:pPr>
        <w:ind w:left="760" w:right="160" w:hanging="374"/>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25" w:lineRule="exact"/>
        <w:rPr>
          <w:sz w:val="20"/>
          <w:szCs w:val="20"/>
          <w:color w:val="auto"/>
        </w:rPr>
      </w:pPr>
    </w:p>
    <w:p>
      <w:pPr>
        <w:ind w:right="40" w:firstLine="382"/>
        <w:spacing w:after="0" w:line="266" w:lineRule="auto"/>
        <w:rPr>
          <w:sz w:val="20"/>
          <w:szCs w:val="20"/>
          <w:color w:val="auto"/>
        </w:rPr>
      </w:pPr>
      <w:r>
        <w:rPr>
          <w:rFonts w:ascii="Times New Roman" w:cs="Times New Roman" w:eastAsia="Times New Roman" w:hAnsi="Times New Roman"/>
          <w:sz w:val="18"/>
          <w:szCs w:val="18"/>
          <w:color w:val="auto"/>
        </w:rPr>
        <w:t>In the past, we have experienced fluctuations in our effective income tax rate which reflects a variety of factors that may or may not be present in any given year. In light of these factors, there can be no assurance that our effective income tax rate will not change in future periods. Accordingly, if our effective tax rate were to increase, it may have a material adverse effect on our business, financial condition and results of operations.</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losses, or NOLs, carryforwards and certain other tax attributes may be limited.</w:t>
      </w:r>
    </w:p>
    <w:p>
      <w:pPr>
        <w:spacing w:after="0" w:line="121"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76" w:lineRule="exact"/>
        <w:rPr>
          <w:sz w:val="20"/>
          <w:szCs w:val="20"/>
          <w:color w:val="auto"/>
        </w:rPr>
      </w:pPr>
    </w:p>
    <w:p>
      <w:pPr>
        <w:ind w:right="140" w:firstLine="382"/>
        <w:spacing w:after="0" w:line="258"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stock ownership (some of which may be outside our control). As a result, if we earn net taxable income, our ability to use our pre-change NOL carryforwards to offset U.S. federal taxable income may be subject to limitations under Section 382,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84" w:lineRule="exact"/>
        <w:rPr>
          <w:sz w:val="20"/>
          <w:szCs w:val="20"/>
          <w:color w:val="auto"/>
        </w:rPr>
      </w:pPr>
    </w:p>
    <w:p>
      <w:pPr>
        <w:ind w:left="3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developments or other changes in our industry could render our gear less competitive or obsolete, which may seriously harm our business.</w:t>
      </w:r>
    </w:p>
    <w:p>
      <w:pPr>
        <w:spacing w:after="0" w:line="51"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or to address other technological trends,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$50.8 million and $45.2 million for the nine months ended September 30, 2022 and 2021, respectively, representing 5.2% and 3.2% of our net revenue for these periods, respectively. Our failure to improve our gear, create new and relevant categories of gear and adapt to changing business models in a timely manner may seriously harm our business.</w:t>
      </w:r>
    </w:p>
    <w:p>
      <w:pPr>
        <w:spacing w:after="0" w:line="82"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280" w:lineRule="exact"/>
        <w:rPr>
          <w:sz w:val="20"/>
          <w:szCs w:val="20"/>
          <w:color w:val="auto"/>
        </w:rPr>
      </w:pPr>
    </w:p>
    <w:p>
      <w:pPr>
        <w:ind w:lef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67"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87" w:lineRule="exact"/>
        <w:rPr>
          <w:sz w:val="20"/>
          <w:szCs w:val="20"/>
          <w:color w:val="auto"/>
        </w:rPr>
      </w:pPr>
    </w:p>
    <w:p>
      <w:pPr>
        <w:ind w:right="80" w:firstLine="382"/>
        <w:spacing w:after="0" w:line="281" w:lineRule="auto"/>
        <w:rPr>
          <w:sz w:val="20"/>
          <w:szCs w:val="20"/>
          <w:color w:val="auto"/>
        </w:rPr>
      </w:pPr>
      <w:r>
        <w:rPr>
          <w:rFonts w:ascii="Times New Roman" w:cs="Times New Roman" w:eastAsia="Times New Roman" w:hAnsi="Times New Roman"/>
          <w:sz w:val="17"/>
          <w:szCs w:val="17"/>
          <w:color w:val="auto"/>
        </w:rPr>
        <w:t>Over the past few years, we have expanded the number and type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268"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Order cancellations, product returns, price erosion, product obsolescence and rebates may result in substantial inventory and/or receivables write-downs and seriously harm our business.</w:t>
      </w:r>
    </w:p>
    <w:p>
      <w:pPr>
        <w:spacing w:after="0" w:line="51" w:lineRule="exact"/>
        <w:rPr>
          <w:sz w:val="20"/>
          <w:szCs w:val="20"/>
          <w:color w:val="auto"/>
        </w:rPr>
      </w:pPr>
    </w:p>
    <w:p>
      <w:pPr>
        <w:ind w:right="240" w:firstLine="382"/>
        <w:spacing w:after="0" w:line="282" w:lineRule="auto"/>
        <w:rPr>
          <w:sz w:val="20"/>
          <w:szCs w:val="20"/>
          <w:color w:val="auto"/>
        </w:rPr>
      </w:pPr>
      <w:r>
        <w:rPr>
          <w:rFonts w:ascii="Times New Roman" w:cs="Times New Roman" w:eastAsia="Times New Roman" w:hAnsi="Times New Roman"/>
          <w:sz w:val="18"/>
          <w:szCs w:val="18"/>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excess or unsold inventory for a number of reasons, including demand for our gear being lower than our forecasts, order cancellations by our customers and product returns.</w:t>
      </w:r>
    </w:p>
    <w:p>
      <w:pPr>
        <w:spacing w:after="0" w:line="162"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 market values of products held in our finished goods and work in process inventories at the end of any fiscal quarter are below our cost of these products, we will recognize charges to write down the carrying value of our inventories to net realizable value.</w:t>
      </w:r>
    </w:p>
    <w:p>
      <w:pPr>
        <w:spacing w:after="0" w:line="180" w:lineRule="exact"/>
        <w:rPr>
          <w:sz w:val="20"/>
          <w:szCs w:val="20"/>
          <w:color w:val="auto"/>
        </w:rPr>
      </w:pPr>
    </w:p>
    <w:p>
      <w:pPr>
        <w:ind w:right="80" w:firstLine="382"/>
        <w:spacing w:after="0" w:line="273" w:lineRule="auto"/>
        <w:rPr>
          <w:sz w:val="20"/>
          <w:szCs w:val="20"/>
          <w:color w:val="auto"/>
        </w:rPr>
      </w:pPr>
      <w:r>
        <w:rPr>
          <w:rFonts w:ascii="Times New Roman" w:cs="Times New Roman" w:eastAsia="Times New Roman" w:hAnsi="Times New Roman"/>
          <w:sz w:val="17"/>
          <w:szCs w:val="17"/>
          <w:color w:val="auto"/>
        </w:rPr>
        <w:t>In addition, we provide a variety of rebates to both retailer and distributor customers, as well as gamers that purchase gear directly from us, including instant rebates, volume incentive rebates, back end rebates and mail-in rebates. We also have contractual agreements and cooperative marketing, promotional and other arrangements that provide rebates and other financial incentives to our retailer customers and gamers. To a limited extent, we also offer financial incentives related to retailer customer inventory of specific products. The aggregate amount of charges incurred as a result of all of these rebates and other financial incentives is offset from our gross revenue. For the nine months ended September 30, 2022 and 2021, our gross revenue was reduced approximately by 9.2% and 7.9%, respectively, as a result of these rebates. In the future, we also may be required to write down inventory or receivables due to product obsolescence or because of declines in market prices of our gear. Any write-downs or offsets could seriously harm our business.</w:t>
      </w:r>
    </w:p>
    <w:p>
      <w:pPr>
        <w:spacing w:after="0" w:line="275"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51"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87"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From time to time, we pay licensing fees in settlement of certain intellectual property infringement claims made by third parties. There can be no assurance that licensing fees paid under these circumstances will not seriously harm our business.</w:t>
      </w:r>
    </w:p>
    <w:p>
      <w:pPr>
        <w:spacing w:after="0" w:line="266" w:lineRule="exact"/>
        <w:rPr>
          <w:sz w:val="20"/>
          <w:szCs w:val="20"/>
          <w:color w:val="auto"/>
        </w:rPr>
      </w:pPr>
    </w:p>
    <w:p>
      <w:pPr>
        <w:ind w:left="38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51"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8"/>
          <w:szCs w:val="18"/>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There can be no assurance that those relationships will be maintained or that those or other companies will continue to provide the necessary information and support to allow us to develop gear that integrates with their products or that third party developers will continue to develop plugins for and integrations with our proprietary software.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293" w:lineRule="exact"/>
        <w:rPr>
          <w:sz w:val="20"/>
          <w:szCs w:val="20"/>
          <w:color w:val="auto"/>
        </w:rPr>
      </w:pPr>
    </w:p>
    <w:p>
      <w:pPr>
        <w:ind w:left="38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51" w:lineRule="exact"/>
        <w:rPr>
          <w:sz w:val="20"/>
          <w:szCs w:val="20"/>
          <w:color w:val="auto"/>
        </w:rPr>
      </w:pPr>
    </w:p>
    <w:p>
      <w:pPr>
        <w:ind w:right="120" w:firstLine="382"/>
        <w:spacing w:after="0" w:line="254" w:lineRule="auto"/>
        <w:rPr>
          <w:sz w:val="20"/>
          <w:szCs w:val="20"/>
          <w:color w:val="auto"/>
        </w:rPr>
      </w:pPr>
      <w:r>
        <w:rPr>
          <w:rFonts w:ascii="Times New Roman" w:cs="Times New Roman" w:eastAsia="Times New Roman" w:hAnsi="Times New Roman"/>
          <w:sz w:val="18"/>
          <w:szCs w:val="18"/>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 competition for attractive acquisitions and other strategic transactions, and we may not be successful in completing any such acquisitions or other strategic transactions in the future.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83" w:lineRule="exact"/>
        <w:rPr>
          <w:sz w:val="20"/>
          <w:szCs w:val="20"/>
          <w:color w:val="auto"/>
        </w:rPr>
      </w:pPr>
    </w:p>
    <w:p>
      <w:pPr>
        <w:ind w:right="160" w:firstLine="382"/>
        <w:spacing w:after="0" w:line="266" w:lineRule="auto"/>
        <w:rPr>
          <w:sz w:val="20"/>
          <w:szCs w:val="20"/>
          <w:color w:val="auto"/>
        </w:rPr>
      </w:pPr>
      <w:r>
        <w:rPr>
          <w:rFonts w:ascii="Times New Roman" w:cs="Times New Roman" w:eastAsia="Times New Roman" w:hAnsi="Times New Roman"/>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280" w:lineRule="exact"/>
        <w:rPr>
          <w:sz w:val="20"/>
          <w:szCs w:val="20"/>
          <w:color w:val="auto"/>
        </w:rPr>
      </w:pPr>
    </w:p>
    <w:p>
      <w:pPr>
        <w:ind w:left="380"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72" w:lineRule="exact"/>
        <w:rPr>
          <w:sz w:val="20"/>
          <w:szCs w:val="20"/>
          <w:color w:val="auto"/>
        </w:rPr>
      </w:pPr>
    </w:p>
    <w:p>
      <w:pPr>
        <w:ind w:right="60" w:firstLine="382"/>
        <w:spacing w:after="0" w:line="252" w:lineRule="auto"/>
        <w:rPr>
          <w:sz w:val="20"/>
          <w:szCs w:val="20"/>
          <w:color w:val="auto"/>
        </w:rPr>
      </w:pPr>
      <w:r>
        <w:rPr>
          <w:rFonts w:ascii="Times New Roman" w:cs="Times New Roman" w:eastAsia="Times New Roman" w:hAnsi="Times New Roman"/>
          <w:sz w:val="18"/>
          <w:szCs w:val="18"/>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may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other debt financing is limited by the negative covenant in our credit agreement restricting our ability to incur other indebtedness, as well as the financial covenants therein prohibiting our Consolidated Total Net Leverage Ratio from exceeding 3.5 to 1.0 from the quarter ending September 30, 2022 through and including March 31, 2023 and not exceeding 3.0 to 1.0 from the quarter ended June 30, 2023 and each quarter thereafter (provided that upon the occurrence of a Qualified Acquisition, as defined in the credit agreement, such ratio can be increased to 3.5 to 1.0 temporarily provided all the requirements defined in the credit agreement are met) or our Consolidated Interest Coverage Ratio being less than 3.0 to 1.0 (both tested quarterly on a trailing four fiscal quarter basis). As a result, such restrictions could limit, perhaps substantially, the amount of indebtedness we are permitted to borrow under other debt arrangements.</w:t>
      </w:r>
    </w:p>
    <w:p>
      <w:pPr>
        <w:spacing w:after="0" w:line="197" w:lineRule="exact"/>
        <w:rPr>
          <w:sz w:val="20"/>
          <w:szCs w:val="20"/>
          <w:color w:val="auto"/>
        </w:rPr>
      </w:pPr>
    </w:p>
    <w:p>
      <w:pPr>
        <w:ind w:right="260" w:firstLine="382"/>
        <w:spacing w:after="0" w:line="258" w:lineRule="auto"/>
        <w:rPr>
          <w:sz w:val="20"/>
          <w:szCs w:val="20"/>
          <w:color w:val="auto"/>
        </w:rPr>
      </w:pPr>
      <w:r>
        <w:rPr>
          <w:rFonts w:ascii="Times New Roman" w:cs="Times New Roman" w:eastAsia="Times New Roman" w:hAnsi="Times New Roman"/>
          <w:sz w:val="18"/>
          <w:szCs w:val="18"/>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87" w:lineRule="exact"/>
        <w:rPr>
          <w:sz w:val="20"/>
          <w:szCs w:val="20"/>
          <w:color w:val="auto"/>
        </w:rPr>
      </w:pPr>
    </w:p>
    <w:p>
      <w:pPr>
        <w:ind w:left="38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51"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8"/>
          <w:szCs w:val="18"/>
          <w:color w:val="auto"/>
        </w:rPr>
        <w:t>We had $243.7 million of indebtedness as of September 30, 2022.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81" w:lineRule="exact"/>
        <w:rPr>
          <w:sz w:val="20"/>
          <w:szCs w:val="20"/>
          <w:color w:val="auto"/>
        </w:rPr>
      </w:pPr>
    </w:p>
    <w:p>
      <w:pPr>
        <w:ind w:right="18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 required to pay debt service. </w:t>
      </w:r>
      <w:r>
        <w:rPr>
          <w:rFonts w:ascii="Times New Roman" w:cs="Times New Roman" w:eastAsia="Times New Roman" w:hAnsi="Times New Roman"/>
          <w:sz w:val="18"/>
          <w:szCs w:val="18"/>
          <w:color w:val="auto"/>
        </w:rPr>
        <w:t>We may be required to dedicate a substantial portion of our available cash flow to debt service. This risk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3"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Adverse effect of financial and other covenants</w:t>
      </w:r>
      <w:r>
        <w:rPr>
          <w:rFonts w:ascii="Times New Roman" w:cs="Times New Roman" w:eastAsia="Times New Roman" w:hAnsi="Times New Roman"/>
          <w:sz w:val="18"/>
          <w:szCs w:val="18"/>
          <w:color w:val="auto"/>
        </w:rPr>
        <w:t>. The covenants and other restrictions in our credit facilities and any debt instruments we may 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83"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i w:val="1"/>
          <w:iCs w:val="1"/>
          <w:color w:val="auto"/>
        </w:rPr>
        <w:t>Risks of default</w:t>
      </w:r>
      <w:r>
        <w:rPr>
          <w:rFonts w:ascii="Times New Roman" w:cs="Times New Roman" w:eastAsia="Times New Roman" w:hAnsi="Times New Roman"/>
          <w:sz w:val="18"/>
          <w:szCs w:val="18"/>
          <w:color w:val="auto"/>
        </w:rPr>
        <w:t>. If we breach or are unable to comply with a covenant or other agreement contained in a debt instrument, the lender generally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 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shares of some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 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82"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i w:val="1"/>
          <w:iCs w:val="1"/>
          <w:color w:val="auto"/>
        </w:rPr>
        <w:t>Restrictions under our credit facilities</w:t>
      </w:r>
      <w:r>
        <w:rPr>
          <w:rFonts w:ascii="Times New Roman" w:cs="Times New Roman" w:eastAsia="Times New Roman" w:hAnsi="Times New Roman"/>
          <w:sz w:val="18"/>
          <w:szCs w:val="18"/>
          <w:color w:val="auto"/>
        </w:rPr>
        <w:t>. We must comply with covenants under our current credit facilities, which require the maintenance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Consolidated Total Net Leverage Ratio of 3.5 to 1.0 from the quarter ending September 30, 2022 through and including March 31, 2023 and not exceeding 3.0 to 1.0 from the quarter ended June 30, 2023 and each quarter thereafter (provided that upon the occurrence of a Qualified Acquisition, as defined in the credit agreement, such ratio can be increased to 3.5 to 1.0 temporarily provided all the requirements defined in the credit agreement are met) and a minimum Consolidated Interest Coverage Ratio of 3.0 to 1.0 (as defined in our credit facilities). While we were in compliance with all applicable financial covenants under our credit facilities as of September 30, 2022, there can be no assurance that we will not breach these financial covenants in our credit facilities in the future or other covenants in our future credit facilities.</w:t>
      </w:r>
    </w:p>
    <w:p>
      <w:pPr>
        <w:spacing w:after="0" w:line="7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Our credit facilities also include covenants that limit or restrict our ability to, among other things, incur liens on our properties, make acquisitions and other investments and sell assets, in each case, subject to specified exceptions. In addition to the covenants described in the preceding sentence, we are also prohibited from incurring indebtedness other than debt owed to the lenders under our credit facilities, debt associated with certain liens permitted by our credit facilities, certain subordinated debt and other specified exceptions. Our credit facilities also contain restrictions on our ability to pay dividends or make distributions in respect of our common stock or redemptions or repurchases of our common stock.</w:t>
      </w:r>
    </w:p>
    <w:p>
      <w:pPr>
        <w:spacing w:after="0" w:line="287" w:lineRule="exact"/>
        <w:rPr>
          <w:sz w:val="20"/>
          <w:szCs w:val="20"/>
          <w:color w:val="auto"/>
        </w:rPr>
      </w:pPr>
    </w:p>
    <w:p>
      <w:pPr>
        <w:ind w:left="38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51"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18"/>
          <w:szCs w:val="18"/>
          <w:color w:val="auto"/>
        </w:rPr>
        <w:t>Sales to customers outside the United States accounted for 55.6% and 62.7% our net revenue for nine months ended September 30, 2022 and 2021,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68" w:lineRule="exact"/>
        <w:rPr>
          <w:sz w:val="20"/>
          <w:szCs w:val="20"/>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duties, changes to import and export regulations, and restrictions on the transfer of funds;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exchange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transportation or delivery of our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arising from cultural or language differences and labor unrest;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in collecting accounts receivable;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trade and technical standards in a variety of jurisdictions;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including the risks associated with fraud, theft and other illegal conduct;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left="760" w:right="220" w:hanging="374"/>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53" w:lineRule="exact"/>
        <w:rPr>
          <w:rFonts w:ascii="Times New Roman" w:cs="Times New Roman" w:eastAsia="Times New Roman" w:hAnsi="Times New Roman"/>
          <w:sz w:val="18"/>
          <w:szCs w:val="18"/>
          <w:color w:val="auto"/>
        </w:rPr>
      </w:pPr>
    </w:p>
    <w:p>
      <w:pPr>
        <w:ind w:left="760" w:right="680" w:hanging="374"/>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53" w:lineRule="exact"/>
        <w:rPr>
          <w:rFonts w:ascii="Times New Roman" w:cs="Times New Roman" w:eastAsia="Times New Roman" w:hAnsi="Times New Roman"/>
          <w:sz w:val="18"/>
          <w:szCs w:val="18"/>
          <w:color w:val="auto"/>
        </w:rPr>
      </w:pPr>
    </w:p>
    <w:p>
      <w:pPr>
        <w:jc w:val="both"/>
        <w:ind w:left="760" w:right="80" w:hanging="374"/>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China and the United States, Russia and Ukraine, and the United States and Russia;</w:t>
      </w:r>
    </w:p>
    <w:p>
      <w:pPr>
        <w:spacing w:after="0" w:line="67" w:lineRule="exact"/>
        <w:rPr>
          <w:rFonts w:ascii="Times New Roman" w:cs="Times New Roman" w:eastAsia="Times New Roman" w:hAnsi="Times New Roman"/>
          <w:sz w:val="18"/>
          <w:szCs w:val="18"/>
          <w:color w:val="auto"/>
        </w:rPr>
      </w:pPr>
    </w:p>
    <w:p>
      <w:pPr>
        <w:ind w:left="760" w:right="500" w:hanging="374"/>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trade restrictions, including those that may limit the importation of technology or components to or from various countries or impose tariffs or quotas;</w:t>
      </w:r>
    </w:p>
    <w:p>
      <w:pPr>
        <w:spacing w:after="0" w:line="53" w:lineRule="exact"/>
        <w:rPr>
          <w:rFonts w:ascii="Times New Roman" w:cs="Times New Roman" w:eastAsia="Times New Roman" w:hAnsi="Times New Roman"/>
          <w:sz w:val="18"/>
          <w:szCs w:val="18"/>
          <w:color w:val="auto"/>
        </w:rPr>
      </w:pPr>
    </w:p>
    <w:p>
      <w:pPr>
        <w:ind w:left="760" w:right="380" w:hanging="374"/>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increased costs in establishing sales and distribution channels in unfamiliar markets, with their own market characteristics and competition;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currency exchange controls or taxes that make it impracticable or costly to repatriate funds from foreign countries.</w:t>
      </w:r>
    </w:p>
    <w:p>
      <w:pPr>
        <w:spacing w:after="0" w:line="117"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266" w:lineRule="exact"/>
        <w:rPr>
          <w:sz w:val="20"/>
          <w:szCs w:val="20"/>
          <w:color w:val="auto"/>
        </w:rPr>
      </w:pPr>
    </w:p>
    <w:p>
      <w:pPr>
        <w:ind w:left="3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malicious attempts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example, in early 2021, we discovered the exploitation by hackers of our subsidiary SCUF’s servers, which may have enabled such hackers to collect information provided by our customers, including payment card information, which is handled by our third-party ecommerce service provider. Such hackers utilized the credentials we had provided to another third-party to inject a script, which was active for a limited amount of time, that collected this information provided by customers. Additionally,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87"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8"/>
          <w:szCs w:val="18"/>
          <w:color w:val="auto"/>
        </w:rPr>
        <w:t>Actual or perceived breaches of our security measures, those of third-parties or the accidental loss, inadvertent disclosure or unapproved dissemination of proprietary information or sensitive or confidential data about us, our partners, our customers or third parties have exposed, and may in the future could expose us and the parties affected to a risk of loss or misuse of this information, resulting in litigation and potential liability, paying damages, regulatory inquiries or actions, damage to our brand and reputation or other serious harm to our business.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293" w:lineRule="exact"/>
        <w:rPr>
          <w:sz w:val="20"/>
          <w:szCs w:val="20"/>
          <w:color w:val="auto"/>
        </w:rPr>
      </w:pPr>
    </w:p>
    <w:p>
      <w:pPr>
        <w:ind w:left="3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67"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color w:val="auto"/>
        </w:rPr>
        <w:t>We are subject to a variety of laws, regulations, and industry standards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80"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80" w:lineRule="exact"/>
        <w:rPr>
          <w:sz w:val="20"/>
          <w:szCs w:val="20"/>
          <w:color w:val="auto"/>
        </w:rPr>
      </w:pPr>
    </w:p>
    <w:p>
      <w:pPr>
        <w:ind w:right="80" w:firstLine="382"/>
        <w:spacing w:after="0" w:line="254" w:lineRule="auto"/>
        <w:rPr>
          <w:sz w:val="20"/>
          <w:szCs w:val="20"/>
          <w:color w:val="auto"/>
        </w:rPr>
      </w:pPr>
      <w:r>
        <w:rPr>
          <w:rFonts w:ascii="Times New Roman" w:cs="Times New Roman" w:eastAsia="Times New Roman" w:hAnsi="Times New Roman"/>
          <w:sz w:val="18"/>
          <w:szCs w:val="18"/>
          <w:color w:val="auto"/>
        </w:rPr>
        <w:t>We are also subject to payment card association operating rules, certification requirements and rules governing electronic funds transfers, including the Payment Card Industry Data Security Standard, or PCI DSS, a security standard applicable to companies that collect, store or transmit certain data regarding credit and debit cards, holders and transactions. Any data security incidents, such as those described above, and/or other issues involving payment card information, can constitute a failure to comply with PCI DSS, which may therefore violate payment card association operating rules and the terms of our contracts with payment networks, processors and merchant banks. Such failure to comply may result in the loss of our ability to accept credit and debit card payments, subject us to fines, penalties, and damages. In addition, there is no guarantee that PCI DSS compliance will prevent illegal or improper use of our payment systems or the theft, loss or misuse of data pertaining to credit and debit cards, credit and debit card holders and credit and debit card transactions.</w:t>
      </w:r>
    </w:p>
    <w:p>
      <w:pPr>
        <w:spacing w:after="0" w:line="192"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Compliance with existing and emerging privacy and cybersecurity laws, regulations and industry standards could result in increased compliance costs and/or lead to changes in business practices and policies, and any failure to protect the confidentiality of client information could adversely affect our reputation, lead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84" w:lineRule="exact"/>
        <w:rPr>
          <w:sz w:val="20"/>
          <w:szCs w:val="20"/>
          <w:color w:val="auto"/>
        </w:rPr>
      </w:pPr>
    </w:p>
    <w:p>
      <w:pPr>
        <w:ind w:left="3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51" w:lineRule="exact"/>
        <w:rPr>
          <w:sz w:val="20"/>
          <w:szCs w:val="20"/>
          <w:color w:val="auto"/>
        </w:rPr>
      </w:pPr>
    </w:p>
    <w:p>
      <w:pPr>
        <w:ind w:right="200" w:firstLine="382"/>
        <w:spacing w:after="0" w:line="258" w:lineRule="auto"/>
        <w:rPr>
          <w:sz w:val="20"/>
          <w:szCs w:val="20"/>
          <w:color w:val="auto"/>
        </w:rPr>
      </w:pPr>
      <w:r>
        <w:rPr>
          <w:rFonts w:ascii="Times New Roman" w:cs="Times New Roman" w:eastAsia="Times New Roman" w:hAnsi="Times New Roman"/>
          <w:sz w:val="18"/>
          <w:szCs w:val="18"/>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183" w:lineRule="exact"/>
        <w:rPr>
          <w:sz w:val="20"/>
          <w:szCs w:val="20"/>
          <w:color w:val="auto"/>
        </w:rPr>
      </w:pPr>
    </w:p>
    <w:p>
      <w:pPr>
        <w:ind w:right="100" w:firstLine="382"/>
        <w:spacing w:after="0" w:line="253" w:lineRule="auto"/>
        <w:rPr>
          <w:sz w:val="20"/>
          <w:szCs w:val="20"/>
          <w:color w:val="auto"/>
        </w:rPr>
      </w:pPr>
      <w:r>
        <w:rPr>
          <w:rFonts w:ascii="Times New Roman" w:cs="Times New Roman" w:eastAsia="Times New Roman" w:hAnsi="Times New Roman"/>
          <w:sz w:val="18"/>
          <w:szCs w:val="18"/>
          <w:color w:val="auto"/>
        </w:rPr>
        <w:t>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valid consent or have another legal basis in place to justify their data processing activities. The GDPR provides that European Union member states may make their own additional laws and regulations in relation to certain data processing activities, which could limit our ability to use and share personal data or could require localized changes to our operating model. Under the GDPR, fines of up to €20 million or up to 4% of the total worldwide annual revenue of the preceding financial year, whichever is higher, may be assessed for non-compliance. These new laws also could cause our costs to increase and result in further administrative costs.</w:t>
      </w:r>
    </w:p>
    <w:p>
      <w:pPr>
        <w:spacing w:after="0" w:line="194"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18"/>
          <w:szCs w:val="18"/>
          <w:color w:val="auto"/>
        </w:rPr>
        <w:t>Further, the United Kingdom’s decision to leave the European Union, often referred to as Brexit, means that from January 1, 2021, we are subject to the GDPR and also the UK GDPR, which, together with the amended UK Data Protection Act 2018, retains the GDPR in UK national law. The UK GDPR mirrors the fines under the GDPR, e.g. fines up to the greater of €20 million / £17.5 million or 4% of global turnover.</w:t>
      </w:r>
    </w:p>
    <w:p>
      <w:pPr>
        <w:spacing w:after="0" w:line="176" w:lineRule="exact"/>
        <w:rPr>
          <w:sz w:val="20"/>
          <w:szCs w:val="20"/>
          <w:color w:val="auto"/>
        </w:rPr>
      </w:pPr>
    </w:p>
    <w:p>
      <w:pPr>
        <w:ind w:right="100" w:firstLine="382"/>
        <w:spacing w:after="0" w:line="282" w:lineRule="auto"/>
        <w:rPr>
          <w:sz w:val="20"/>
          <w:szCs w:val="20"/>
          <w:color w:val="auto"/>
        </w:rPr>
      </w:pPr>
      <w:r>
        <w:rPr>
          <w:rFonts w:ascii="Times New Roman" w:cs="Times New Roman" w:eastAsia="Times New Roman" w:hAnsi="Times New Roman"/>
          <w:sz w:val="18"/>
          <w:szCs w:val="18"/>
          <w:color w:val="auto"/>
        </w:rPr>
        <w:t>Although there are legal mechanisms to allow for the transfer of personal data from the United Kingdom, EEA and Switzerland to the United States, uncertainty about compliance with such data protection laws remains, and such mechanisms may not be available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or applicable with respect to the personal data processing activities necessary to research, develop and market our products and services. For example, legal challenges in Europe to the mechanisms allowing companies to transfer personal data from the EEA or the United Kingdom to the United States could result in further limitations on the ability to transfer personal data across borders, particularly if governments are unable or unwilling to reach new or maintain existing agreements that support cross-border data transfers. Specifically, on July 16, 2020, the Court of Justice of the European Union invalidated Decision 2016/1250 on the adequacy of the protection provided by the EU-U.S. Privacy Shield Framework and guidance following the Decision requires risk assessments to be conducted and, in many cases additional safeguards to be implemented to transfer data under the standard contractual clauses. These recent developments will require us to review and amend the legal mechanisms by which we make and/ or receive personal data transfers to/ in the U.S. At present, there are few if any viable alternatives to the Standard Contractual Clauses.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0"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We are also subject to evolving European Union and United Kingdom privacy laws on cookies, tracking technologies and e-marketing. In the European Union and the United Kingdom under national laws derived from the ePrivacy Directive, informed consent is required for the placement of a cookie or similar technologies on a user’s device and for direct electronic marketing. The GDPR also imposes conditions on obtaining valid consent for cookies, such as a prohibition on pre-checked consents and a requirement to ensure separate consents are sought for each type of cookie or similar technology. The current national laws that implement the ePrivacy Directive are highly likely to be replaced across the European Union (but not directly in the United Kingdom) by an European Union regulation known as the ePrivacy Regulation which will significantly increase fines for non-compliance. While the text of the ePrivacy Regulation is still under development, recent European court decisions and regulators’ recent guidance are driving increased attention to cookies and tracking technologies. If the trend of increasing enforcement by regulators of the strict approach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90"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 liability. Additionally, the Consumer Personal Information Law and Agency Initiative (California Proposition 24), the California Privacy Rights Act was approved by California voters on November 3, 2020. California Proposition 24 would impose additional data protection obligations on companies doing business in California. It will also create a new California data protection agency specifically tasked to enforce the law, which could likely result in increased regulatory scrutiny of California businesses in the areas of data protection and security. The new California Privacy Rights Act takes effect on January 1, 2023 and will apply to information collected on or after January 1, 2022.</w:t>
      </w:r>
    </w:p>
    <w:p>
      <w:pPr>
        <w:spacing w:after="0" w:line="194"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8"/>
          <w:szCs w:val="18"/>
          <w:color w:val="auto"/>
        </w:rPr>
        <w:t>Further,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 significant liability and expense as well as regulatory action and lawsuits, which would harm our business, operating results and financial condition.</w:t>
      </w:r>
    </w:p>
    <w:p>
      <w:pPr>
        <w:spacing w:after="0" w:line="192"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 our customers to lose trust in us, which could have material impacts on our revenue and operations and could seriously harm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business.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266"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51" w:lineRule="exact"/>
        <w:rPr>
          <w:sz w:val="20"/>
          <w:szCs w:val="20"/>
          <w:color w:val="auto"/>
        </w:rPr>
      </w:pPr>
    </w:p>
    <w:p>
      <w:pPr>
        <w:ind w:right="60" w:firstLine="382"/>
        <w:spacing w:after="0" w:line="256" w:lineRule="auto"/>
        <w:rPr>
          <w:sz w:val="20"/>
          <w:szCs w:val="20"/>
          <w:color w:val="auto"/>
        </w:rPr>
      </w:pPr>
      <w:r>
        <w:rPr>
          <w:rFonts w:ascii="Times New Roman" w:cs="Times New Roman" w:eastAsia="Times New Roman" w:hAnsi="Times New Roman"/>
          <w:sz w:val="18"/>
          <w:szCs w:val="18"/>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 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87"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8"/>
          <w:szCs w:val="18"/>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 product line and disposes of inventory at reduced prices, this may also result in over-supply of and reduced demand for our gear and could have a short-term adverse effect on our results of operations and financial condition.</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online operations are subject to numerous risks that may seriously harm our business.</w:t>
      </w:r>
    </w:p>
    <w:p>
      <w:pPr>
        <w:spacing w:after="0" w:line="121"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8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84"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51" w:lineRule="exact"/>
        <w:rPr>
          <w:sz w:val="20"/>
          <w:szCs w:val="20"/>
          <w:color w:val="auto"/>
        </w:rPr>
      </w:pPr>
    </w:p>
    <w:p>
      <w:pPr>
        <w:ind w:right="40" w:firstLine="382"/>
        <w:spacing w:after="0" w:line="282" w:lineRule="auto"/>
        <w:rPr>
          <w:sz w:val="20"/>
          <w:szCs w:val="20"/>
          <w:color w:val="auto"/>
        </w:rPr>
      </w:pPr>
      <w:r>
        <w:rPr>
          <w:rFonts w:ascii="Times New Roman" w:cs="Times New Roman" w:eastAsia="Times New Roman" w:hAnsi="Times New Roman"/>
          <w:sz w:val="18"/>
          <w:szCs w:val="18"/>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62"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8"/>
          <w:szCs w:val="18"/>
          <w:color w:val="auto"/>
        </w:rPr>
        <w:t>We are required to test goodwill, intangible assets and other long-lived assets for recoverability and may be required to record charges if there are indicators of impairment, and we have in the past recognized impairment charges. As of September 30, 2022, we had approximately $346.3 million of goodwill, $224.3 million of intangible assets and $74.5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67"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8"/>
          <w:szCs w:val="18"/>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K100, Nightsword, Scimitar, Vengeance, Virtuoso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 use the Corsair, Corsair ONE, Dark Core, Dominator, Elgato, Glaive, Harpoon, iCUE, Ironclaw, K70, K100, Nightsword, Origin, SCUF, Slipstream, Scimitar, Vengeance, Virtuoso and Void brand names, or other brand names we maintain, to sell their products in countries where we do not have trademark protection, it may seriously harm our business.</w:t>
      </w:r>
    </w:p>
    <w:p>
      <w:pPr>
        <w:spacing w:after="0" w:line="190" w:lineRule="exact"/>
        <w:rPr>
          <w:sz w:val="20"/>
          <w:szCs w:val="20"/>
          <w:color w:val="auto"/>
        </w:rPr>
      </w:pPr>
    </w:p>
    <w:p>
      <w:pPr>
        <w:ind w:right="420" w:firstLine="382"/>
        <w:spacing w:after="0" w:line="258" w:lineRule="auto"/>
        <w:rPr>
          <w:sz w:val="20"/>
          <w:szCs w:val="20"/>
          <w:color w:val="auto"/>
        </w:rPr>
      </w:pPr>
      <w:r>
        <w:rPr>
          <w:rFonts w:ascii="Times New Roman" w:cs="Times New Roman" w:eastAsia="Times New Roman" w:hAnsi="Times New Roman"/>
          <w:sz w:val="18"/>
          <w:szCs w:val="18"/>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83" w:lineRule="exact"/>
        <w:rPr>
          <w:sz w:val="20"/>
          <w:szCs w:val="20"/>
          <w:color w:val="auto"/>
        </w:rPr>
      </w:pPr>
    </w:p>
    <w:p>
      <w:pPr>
        <w:ind w:right="260" w:firstLine="382"/>
        <w:spacing w:after="0" w:line="266" w:lineRule="auto"/>
        <w:rPr>
          <w:sz w:val="20"/>
          <w:szCs w:val="20"/>
          <w:color w:val="auto"/>
        </w:rPr>
      </w:pPr>
      <w:r>
        <w:rPr>
          <w:rFonts w:ascii="Times New Roman" w:cs="Times New Roman" w:eastAsia="Times New Roman" w:hAnsi="Times New Roman"/>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76"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80" w:lineRule="exact"/>
        <w:rPr>
          <w:sz w:val="20"/>
          <w:szCs w:val="20"/>
          <w:color w:val="auto"/>
        </w:rPr>
      </w:pPr>
    </w:p>
    <w:p>
      <w:pPr>
        <w:jc w:val="center"/>
        <w:ind w:right="240"/>
        <w:spacing w:after="0" w:line="261" w:lineRule="auto"/>
        <w:rPr>
          <w:sz w:val="20"/>
          <w:szCs w:val="20"/>
          <w:color w:val="auto"/>
        </w:rPr>
      </w:pPr>
      <w:r>
        <w:rPr>
          <w:rFonts w:ascii="Times New Roman" w:cs="Times New Roman" w:eastAsia="Times New Roman" w:hAnsi="Times New Roman"/>
          <w:sz w:val="18"/>
          <w:szCs w:val="18"/>
          <w:color w:val="auto"/>
        </w:rPr>
        <w:t>We have taken steps in the past to enforce our intellectual property rights and expect to continue to do so in the future. However, it may not be practical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contain open source software, which may pose particular risks to our proprietary software and products.</w:t>
      </w:r>
    </w:p>
    <w:p>
      <w:pPr>
        <w:spacing w:after="0" w:line="12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80" w:lineRule="exact"/>
        <w:rPr>
          <w:sz w:val="20"/>
          <w:szCs w:val="20"/>
          <w:color w:val="auto"/>
        </w:rPr>
      </w:pPr>
    </w:p>
    <w:p>
      <w:pPr>
        <w:ind w:left="38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5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80"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w:t>
      </w:r>
    </w:p>
    <w:p>
      <w:pPr>
        <w:spacing w:after="0" w:line="3"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290"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51"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Southeast Asia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93" w:lineRule="exact"/>
        <w:rPr>
          <w:sz w:val="20"/>
          <w:szCs w:val="20"/>
          <w:color w:val="auto"/>
        </w:rPr>
      </w:pPr>
    </w:p>
    <w:p>
      <w:pPr>
        <w:ind w:left="38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 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60" w:firstLine="382"/>
        <w:spacing w:after="0" w:line="254" w:lineRule="auto"/>
        <w:rPr>
          <w:sz w:val="20"/>
          <w:szCs w:val="20"/>
          <w:color w:val="auto"/>
        </w:rPr>
      </w:pPr>
      <w:r>
        <w:rPr>
          <w:rFonts w:ascii="Times New Roman" w:cs="Times New Roman" w:eastAsia="Times New Roman" w:hAnsi="Times New Roman"/>
          <w:sz w:val="18"/>
          <w:szCs w:val="18"/>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92"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8"/>
          <w:szCs w:val="18"/>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EagleTree, whose interests in our business may be different than yours.</w:t>
      </w:r>
    </w:p>
    <w:p>
      <w:pPr>
        <w:spacing w:after="0" w:line="121" w:lineRule="exact"/>
        <w:rPr>
          <w:sz w:val="20"/>
          <w:szCs w:val="20"/>
          <w:color w:val="auto"/>
        </w:rPr>
      </w:pPr>
    </w:p>
    <w:p>
      <w:pPr>
        <w:ind w:right="120" w:firstLine="382"/>
        <w:spacing w:after="0" w:line="255" w:lineRule="auto"/>
        <w:rPr>
          <w:sz w:val="20"/>
          <w:szCs w:val="20"/>
          <w:color w:val="auto"/>
        </w:rPr>
      </w:pPr>
      <w:r>
        <w:rPr>
          <w:rFonts w:ascii="Times New Roman" w:cs="Times New Roman" w:eastAsia="Times New Roman" w:hAnsi="Times New Roman"/>
          <w:sz w:val="18"/>
          <w:szCs w:val="18"/>
          <w:color w:val="auto"/>
        </w:rPr>
        <w:t>As of September 30, 2022, EagleTree beneficially owned approximately 56.5%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8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298" w:lineRule="exact"/>
        <w:rPr>
          <w:sz w:val="20"/>
          <w:szCs w:val="20"/>
          <w:color w:val="auto"/>
        </w:rPr>
      </w:pPr>
    </w:p>
    <w:p>
      <w:pPr>
        <w:ind w:left="3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67"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72" w:lineRule="exact"/>
        <w:rPr>
          <w:sz w:val="20"/>
          <w:szCs w:val="20"/>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Nasdaq;</w:t>
      </w:r>
    </w:p>
    <w:p>
      <w:pPr>
        <w:spacing w:after="0" w:line="117"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have a compensation committee that is composed entirely of independent directors with a written charter addressing the committee purpose and responsibilities;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jc w:val="both"/>
        <w:ind w:left="760" w:right="200" w:hanging="374"/>
        <w:spacing w:after="0" w:line="312"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40"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decline.</w:t>
      </w:r>
    </w:p>
    <w:p>
      <w:pPr>
        <w:spacing w:after="0" w:line="121"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75" w:lineRule="exact"/>
        <w:rPr>
          <w:sz w:val="20"/>
          <w:szCs w:val="20"/>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concerning us or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estimates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760" w:right="460" w:hanging="374"/>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new technologies or other innovations;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epidemics or pandemics, such as the coronavirus pandemic;</w:t>
      </w:r>
    </w:p>
    <w:p>
      <w:pPr>
        <w:spacing w:after="0" w:line="117"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terrorist acts, acts of war or periods of widespread civil unrest, such as any military actions taken as a result of the war between Russia and Ukraine;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maintained.</w:t>
      </w:r>
    </w:p>
    <w:p>
      <w:pPr>
        <w:spacing w:after="0" w:line="121"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Our stock only recently began trading on Nasdaq, but we can provide no assurance that we will be able to maintain an active trading market on Nasdaq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12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the trading price of our common stock could decline. Based upon the number of shares outstanding as of September 30, 2022, we had outstanding a total of 96.0 million shares of common stock. Of these shares, all of the shares of our common stock sold in the initial public offering and in the secondary offering in January 2021, are freely tradable, without restriction, in the public market.</w:t>
      </w:r>
    </w:p>
    <w:p>
      <w:pPr>
        <w:spacing w:after="0" w:line="180"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8"/>
          <w:szCs w:val="18"/>
          <w:color w:val="auto"/>
        </w:rPr>
        <w:t>As of September 30, 2022, the holders of approximately 54.2 million shares of our common stock, or approximately 56.5% of our total outstanding common stock based upon the number of shares outstanding as of September 30, 2022, will be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87"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51"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87" w:lineRule="exact"/>
        <w:rPr>
          <w:sz w:val="20"/>
          <w:szCs w:val="20"/>
          <w:color w:val="auto"/>
        </w:rPr>
      </w:pPr>
    </w:p>
    <w:p>
      <w:pPr>
        <w:jc w:val="both"/>
        <w:ind w:left="38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67"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75" w:lineRule="exact"/>
        <w:rPr>
          <w:sz w:val="20"/>
          <w:szCs w:val="20"/>
          <w:color w:val="auto"/>
        </w:rPr>
      </w:pPr>
    </w:p>
    <w:p>
      <w:pPr>
        <w:ind w:left="760" w:right="320" w:hanging="374"/>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67"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53" w:lineRule="exact"/>
        <w:rPr>
          <w:rFonts w:ascii="Times New Roman" w:cs="Times New Roman" w:eastAsia="Times New Roman" w:hAnsi="Times New Roman"/>
          <w:sz w:val="18"/>
          <w:szCs w:val="18"/>
          <w:color w:val="auto"/>
        </w:rPr>
      </w:pPr>
    </w:p>
    <w:p>
      <w:pPr>
        <w:ind w:left="760" w:right="60" w:hanging="374"/>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67" w:lineRule="exact"/>
        <w:rPr>
          <w:rFonts w:ascii="Times New Roman" w:cs="Times New Roman" w:eastAsia="Times New Roman" w:hAnsi="Times New Roman"/>
          <w:sz w:val="18"/>
          <w:szCs w:val="18"/>
          <w:color w:val="auto"/>
        </w:rPr>
      </w:pPr>
    </w:p>
    <w:p>
      <w:pPr>
        <w:ind w:left="760" w:right="640" w:hanging="374"/>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stockholders to submit nominations of candidates for election to our board of directors and other proposals to be brought before a stockholders meeting;</w:t>
      </w:r>
    </w:p>
    <w:p>
      <w:pPr>
        <w:spacing w:after="0" w:line="53" w:lineRule="exact"/>
        <w:rPr>
          <w:rFonts w:ascii="Times New Roman" w:cs="Times New Roman" w:eastAsia="Times New Roman" w:hAnsi="Times New Roman"/>
          <w:sz w:val="18"/>
          <w:szCs w:val="18"/>
          <w:color w:val="auto"/>
        </w:rPr>
      </w:pPr>
    </w:p>
    <w:p>
      <w:pPr>
        <w:ind w:left="760" w:right="520" w:hanging="374"/>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67" w:lineRule="exact"/>
        <w:rPr>
          <w:rFonts w:ascii="Times New Roman" w:cs="Times New Roman" w:eastAsia="Times New Roman" w:hAnsi="Times New Roman"/>
          <w:sz w:val="18"/>
          <w:szCs w:val="18"/>
          <w:color w:val="auto"/>
        </w:rPr>
      </w:pPr>
    </w:p>
    <w:p>
      <w:pPr>
        <w:ind w:left="760" w:right="180" w:hanging="374"/>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serving staggered terms of three years each;</w:t>
      </w:r>
    </w:p>
    <w:p>
      <w:pPr>
        <w:spacing w:after="0" w:line="117" w:lineRule="exact"/>
        <w:rPr>
          <w:rFonts w:ascii="Times New Roman" w:cs="Times New Roman" w:eastAsia="Times New Roman" w:hAnsi="Times New Roman"/>
          <w:sz w:val="18"/>
          <w:szCs w:val="18"/>
          <w:color w:val="auto"/>
        </w:rPr>
      </w:pPr>
    </w:p>
    <w:p>
      <w:pPr>
        <w:ind w:left="760" w:right="80" w:hanging="374"/>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left="760" w:right="460" w:hanging="374"/>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67" w:lineRule="exact"/>
        <w:rPr>
          <w:rFonts w:ascii="Times New Roman" w:cs="Times New Roman" w:eastAsia="Times New Roman" w:hAnsi="Times New Roman"/>
          <w:sz w:val="18"/>
          <w:szCs w:val="18"/>
          <w:color w:val="auto"/>
        </w:rPr>
      </w:pPr>
    </w:p>
    <w:p>
      <w:pPr>
        <w:ind w:left="760" w:right="80" w:hanging="374"/>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the removal of certain directors, the availability of action by majority written consent of the stockholders or the restriction on business combinations with interested stockholders, among others; and</w:t>
      </w:r>
    </w:p>
    <w:p>
      <w:pPr>
        <w:spacing w:after="0" w:line="53" w:lineRule="exact"/>
        <w:rPr>
          <w:rFonts w:ascii="Times New Roman" w:cs="Times New Roman" w:eastAsia="Times New Roman" w:hAnsi="Times New Roman"/>
          <w:sz w:val="18"/>
          <w:szCs w:val="18"/>
          <w:color w:val="auto"/>
        </w:rPr>
      </w:pPr>
    </w:p>
    <w:p>
      <w:pPr>
        <w:ind w:left="760" w:right="100" w:hanging="374"/>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76" w:lineRule="exact"/>
        <w:rPr>
          <w:sz w:val="20"/>
          <w:szCs w:val="20"/>
          <w:color w:val="auto"/>
        </w:rPr>
      </w:pPr>
    </w:p>
    <w:p>
      <w:pPr>
        <w:ind w:right="40" w:firstLine="382"/>
        <w:spacing w:after="0" w:line="277" w:lineRule="auto"/>
        <w:rPr>
          <w:sz w:val="20"/>
          <w:szCs w:val="20"/>
          <w:color w:val="auto"/>
        </w:rPr>
      </w:pPr>
      <w:r>
        <w:rPr>
          <w:rFonts w:ascii="Times New Roman" w:cs="Times New Roman" w:eastAsia="Times New Roman" w:hAnsi="Times New Roman"/>
          <w:sz w:val="17"/>
          <w:szCs w:val="17"/>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272" w:lineRule="exact"/>
        <w:rPr>
          <w:sz w:val="20"/>
          <w:szCs w:val="20"/>
          <w:color w:val="auto"/>
        </w:rPr>
      </w:pPr>
    </w:p>
    <w:p>
      <w:pPr>
        <w:ind w:left="3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160" w:firstLine="382"/>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300" w:firstLine="382"/>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have entered into with our directors and officers provide that:</w:t>
      </w:r>
    </w:p>
    <w:p>
      <w:pPr>
        <w:spacing w:after="0" w:line="54" w:lineRule="exact"/>
        <w:rPr>
          <w:sz w:val="20"/>
          <w:szCs w:val="20"/>
          <w:color w:val="auto"/>
        </w:rPr>
      </w:pPr>
    </w:p>
    <w:p>
      <w:pPr>
        <w:ind w:left="760" w:hanging="374"/>
        <w:spacing w:after="0" w:line="26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760" w:right="440" w:hanging="374"/>
        <w:spacing w:after="0" w:line="312"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760" w:right="80" w:hanging="374"/>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7" w:lineRule="exact"/>
        <w:rPr>
          <w:rFonts w:ascii="Times New Roman" w:cs="Times New Roman" w:eastAsia="Times New Roman" w:hAnsi="Times New Roman"/>
          <w:sz w:val="18"/>
          <w:szCs w:val="18"/>
          <w:color w:val="auto"/>
        </w:rPr>
      </w:pPr>
    </w:p>
    <w:p>
      <w:pPr>
        <w:ind w:left="760" w:right="160" w:hanging="374"/>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760" w:right="400" w:hanging="374"/>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266" w:lineRule="exact"/>
        <w:rPr>
          <w:sz w:val="20"/>
          <w:szCs w:val="20"/>
          <w:color w:val="auto"/>
        </w:rPr>
      </w:pPr>
    </w:p>
    <w:p>
      <w:pPr>
        <w:ind w:left="38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5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67"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87" w:lineRule="exact"/>
        <w:rPr>
          <w:sz w:val="20"/>
          <w:szCs w:val="20"/>
          <w:color w:val="auto"/>
        </w:rPr>
      </w:pPr>
    </w:p>
    <w:p>
      <w:pPr>
        <w:ind w:left="38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w:t>
      </w:r>
    </w:p>
    <w:p>
      <w:pPr>
        <w:spacing w:after="0" w:line="3" w:lineRule="exact"/>
        <w:rPr>
          <w:sz w:val="20"/>
          <w:szCs w:val="20"/>
          <w:color w:val="auto"/>
        </w:rPr>
      </w:pPr>
    </w:p>
    <w:p>
      <w:pPr>
        <w:ind w:right="60" w:firstLine="8"/>
        <w:spacing w:after="0" w:line="251"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related to or 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97" w:lineRule="exact"/>
        <w:rPr>
          <w:sz w:val="20"/>
          <w:szCs w:val="20"/>
          <w:color w:val="auto"/>
        </w:rPr>
      </w:pPr>
    </w:p>
    <w:p>
      <w:pPr>
        <w:ind w:left="38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a provision renouncing our interest and expectancy in certain corporate opportunities.</w:t>
      </w:r>
    </w:p>
    <w:p>
      <w:pPr>
        <w:spacing w:after="0" w:line="51"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September 30, 2022,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future tax audits in various jurisdictions, which may seriously harm our business.</w:t>
      </w:r>
    </w:p>
    <w:p>
      <w:pPr>
        <w:spacing w:after="0" w:line="121"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and the tax positions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we have adopted in connection with these restructuring transactions may be subject to challenge. Accordingly, a material assessment by a tax authority in any jurisdiction could require that we make significant cash payments without reimbursement. If this were to occur, our business may be seriously harmed.</w:t>
      </w: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other laws and governmental regulations may seriously harm our business.</w:t>
      </w:r>
    </w:p>
    <w:p>
      <w:pPr>
        <w:spacing w:after="0" w:line="121"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88"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80"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266" w:lineRule="exact"/>
        <w:rPr>
          <w:sz w:val="20"/>
          <w:szCs w:val="20"/>
          <w:color w:val="auto"/>
        </w:rPr>
      </w:pPr>
    </w:p>
    <w:p>
      <w:pPr>
        <w:ind w:left="38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51"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8"/>
          <w:szCs w:val="18"/>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94" w:lineRule="exact"/>
        <w:rPr>
          <w:sz w:val="20"/>
          <w:szCs w:val="20"/>
          <w:color w:val="auto"/>
        </w:rPr>
      </w:pPr>
    </w:p>
    <w:p>
      <w:pPr>
        <w:ind w:right="60" w:firstLine="382"/>
        <w:spacing w:after="0" w:line="253" w:lineRule="auto"/>
        <w:rPr>
          <w:sz w:val="20"/>
          <w:szCs w:val="20"/>
          <w:color w:val="auto"/>
        </w:rPr>
      </w:pPr>
      <w:r>
        <w:rPr>
          <w:rFonts w:ascii="Times New Roman" w:cs="Times New Roman" w:eastAsia="Times New Roman" w:hAnsi="Times New Roman"/>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72"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As part of these evaluations, material weaknesses in our internal controls over financial reporting may be identified. A material weakness is a deficiency, or a combination of deficiencies, in internal controls over financial reporting such that there is a reasonable possibility that a material misstatement of a company’s annual or interim consolidated financial statements will not be prevented or detected on a timely basis. While we were able to remediate previously identified material weaknesses in our internal controls over financial reporting, there can be no guarantee we will not identify similar or other material weaknesses in the future and if such material weaknesses are identified, there can be no guarantee we would be able to remediate such material weaknesses. Any material weaknesses in our internal controls may adversely affect our ability to record, process, summarize and accurately report timely financial information and, as a result, our consolidated financial statements may contain material misstatements or omissions.</w:t>
      </w:r>
    </w:p>
    <w:p>
      <w:pPr>
        <w:spacing w:after="0" w:line="188"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Reporting obligations as a public company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Likewise, our independent registered public accounting firm is required to provide an attestation report on the effectiveness of our internal controls over financial reporting in our Annual Reports on Form 10-K.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298" w:lineRule="exact"/>
        <w:rPr>
          <w:sz w:val="20"/>
          <w:szCs w:val="20"/>
          <w:color w:val="auto"/>
        </w:rPr>
      </w:pPr>
    </w:p>
    <w:p>
      <w:pPr>
        <w:ind w:left="38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significant expenses as a result of being a public company, which have and will continue to negatively impact our financial performance.</w:t>
      </w:r>
    </w:p>
    <w:p>
      <w:pPr>
        <w:spacing w:after="0" w:line="5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4"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 if we are unable to satisfy our obligations as a public company, we could be subject to delisting of our common stock, fines, sanctions and other regulatory action and potentially civil litigation.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ESG matters and/or our reporting of such matters.</w:t>
      </w:r>
    </w:p>
    <w:p>
      <w:pPr>
        <w:spacing w:after="0" w:line="121"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Institutional, individual, and other investors, proxy advisory services, regulatory authorities, consumers and other stakeholders are increasingly focused on environmental, social and governance, or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 actions by stockholders or stakeholders.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40" w:type="dxa"/>
            <w:vAlign w:val="bottom"/>
            <w:gridSpan w:val="2"/>
          </w:tcPr>
          <w:p>
            <w:pPr>
              <w:jc w:val="center"/>
              <w:ind w:right="555"/>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1155"/>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68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gridSpan w:val="1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20" w:type="dxa"/>
            <w:vAlign w:val="bottom"/>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14"/>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680" w:type="dxa"/>
            <w:vAlign w:val="bottom"/>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80"/>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3.1</w:t>
            </w:r>
          </w:p>
        </w:tc>
        <w:tc>
          <w:tcPr>
            <w:tcW w:w="4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Second Amended and Restated Certificate of Incorporation.</w:t>
              </w:r>
            </w:hyperlink>
          </w:p>
        </w:tc>
        <w:tc>
          <w:tcPr>
            <w:tcW w:w="2000" w:type="dxa"/>
            <w:vAlign w:val="bottom"/>
            <w:gridSpan w:val="11"/>
          </w:tcPr>
          <w:p>
            <w:pPr>
              <w:spacing w:after="0"/>
              <w:rPr>
                <w:sz w:val="24"/>
                <w:szCs w:val="24"/>
                <w:color w:val="auto"/>
              </w:rPr>
            </w:pPr>
          </w:p>
        </w:tc>
        <w:tc>
          <w:tcPr>
            <w:tcW w:w="6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09/25/2020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3.2</w:t>
            </w:r>
          </w:p>
        </w:tc>
        <w:tc>
          <w:tcPr>
            <w:tcW w:w="6320" w:type="dxa"/>
            <w:vAlign w:val="bottom"/>
            <w:gridSpan w:val="20"/>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Amended and Restated Bylaws.</w:t>
              </w:r>
            </w:hyperlink>
          </w:p>
        </w:tc>
        <w:tc>
          <w:tcPr>
            <w:tcW w:w="6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09/25/2020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4.1</w:t>
            </w:r>
          </w:p>
        </w:tc>
        <w:tc>
          <w:tcPr>
            <w:tcW w:w="34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common stock certificate of Registrant.</w:t>
              </w:r>
            </w:hyperlink>
          </w:p>
        </w:tc>
        <w:tc>
          <w:tcPr>
            <w:tcW w:w="2840" w:type="dxa"/>
            <w:vAlign w:val="bottom"/>
            <w:gridSpan w:val="13"/>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09/18/2020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4.2</w:t>
            </w:r>
          </w:p>
        </w:tc>
        <w:tc>
          <w:tcPr>
            <w:tcW w:w="6320" w:type="dxa"/>
            <w:vAlign w:val="bottom"/>
            <w:gridSpan w:val="20"/>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Investor Rights Agreement, by and between Corsair Gaming, Inc. and Corsair Group</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02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7"/>
              </w:rPr>
              <w:t>11/10/2020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(Cayman), LP.</w:t>
              </w:r>
            </w:hyperlink>
          </w:p>
        </w:tc>
        <w:tc>
          <w:tcPr>
            <w:tcW w:w="5060" w:type="dxa"/>
            <w:vAlign w:val="bottom"/>
            <w:tcBorders>
              <w:top w:val="single" w:sz="8" w:color="0000EE"/>
            </w:tcBorders>
            <w:gridSpan w:val="14"/>
          </w:tcPr>
          <w:p>
            <w:pPr>
              <w:spacing w:after="0"/>
              <w:rPr>
                <w:sz w:val="17"/>
                <w:szCs w:val="17"/>
                <w:color w:val="auto"/>
              </w:rPr>
            </w:pPr>
          </w:p>
        </w:tc>
        <w:tc>
          <w:tcPr>
            <w:tcW w:w="20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4.3</w:t>
            </w:r>
          </w:p>
        </w:tc>
        <w:tc>
          <w:tcPr>
            <w:tcW w:w="6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Description of Corsair’s Securities Registered Pursuant to Section 12 of the Securities</w:t>
              </w:r>
            </w:hyperlink>
          </w:p>
        </w:tc>
        <w:tc>
          <w:tcPr>
            <w:tcW w:w="120" w:type="dxa"/>
            <w:vAlign w:val="bottom"/>
            <w:gridSpan w:val="3"/>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02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7"/>
              </w:rPr>
              <w:t>03/11/2021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2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Exchange Act of 1934.</w:t>
              </w:r>
            </w:hyperlink>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4.4</w:t>
            </w:r>
          </w:p>
        </w:tc>
        <w:tc>
          <w:tcPr>
            <w:tcW w:w="6320" w:type="dxa"/>
            <w:vAlign w:val="bottom"/>
            <w:gridSpan w:val="20"/>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Registration Rights Agreement, by and between Corsair Gaming, Inc. and Corsair</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09/14/2020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Group (Cayman), LP.</w:t>
              </w:r>
            </w:hyperlink>
          </w:p>
        </w:tc>
        <w:tc>
          <w:tcPr>
            <w:tcW w:w="4340" w:type="dxa"/>
            <w:vAlign w:val="bottom"/>
            <w:tcBorders>
              <w:top w:val="single" w:sz="8" w:color="0000EE"/>
            </w:tcBorders>
            <w:gridSpan w:val="11"/>
          </w:tcPr>
          <w:p>
            <w:pPr>
              <w:spacing w:after="0"/>
              <w:rPr>
                <w:sz w:val="17"/>
                <w:szCs w:val="17"/>
                <w:color w:val="auto"/>
              </w:rPr>
            </w:pPr>
          </w:p>
        </w:tc>
        <w:tc>
          <w:tcPr>
            <w:tcW w:w="42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2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Second Amendment, dated as of September 29, 2022, to Credit Agreement, dated as of</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September 3, 2021, by and among Corsair Gaming, Inc., as borrower, and certain of its</w:t>
            </w: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9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as guarantors, the lender parties named therein, and Bank of America,</w:t>
            </w:r>
          </w:p>
        </w:tc>
        <w:tc>
          <w:tcPr>
            <w:tcW w:w="280" w:type="dxa"/>
            <w:vAlign w:val="bottom"/>
            <w:tcBorders>
              <w:top w:val="single" w:sz="8" w:color="0000EE"/>
            </w:tcBorders>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N.A. as administrative agent.</w:t>
            </w: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under Securities Exchange Act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4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w:t>
            </w:r>
          </w:p>
        </w:tc>
        <w:tc>
          <w:tcPr>
            <w:tcW w:w="740" w:type="dxa"/>
            <w:vAlign w:val="bottom"/>
            <w:gridSpan w:val="4"/>
          </w:tcPr>
          <w:p>
            <w:pPr>
              <w:spacing w:after="0"/>
              <w:rPr>
                <w:sz w:val="17"/>
                <w:szCs w:val="17"/>
                <w:color w:val="auto"/>
              </w:rPr>
            </w:pPr>
          </w:p>
        </w:tc>
        <w:tc>
          <w:tcPr>
            <w:tcW w:w="1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under Securities Exchange Act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3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w:t>
            </w:r>
          </w:p>
        </w:tc>
        <w:tc>
          <w:tcPr>
            <w:tcW w:w="800" w:type="dxa"/>
            <w:vAlign w:val="bottom"/>
            <w:gridSpan w:val="5"/>
          </w:tcPr>
          <w:p>
            <w:pPr>
              <w:spacing w:after="0"/>
              <w:rPr>
                <w:sz w:val="17"/>
                <w:szCs w:val="17"/>
                <w:color w:val="auto"/>
              </w:rPr>
            </w:pPr>
          </w:p>
        </w:tc>
        <w:tc>
          <w:tcPr>
            <w:tcW w:w="1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Certifications of Principal Executive Officer and Principal Financial Officer pursuant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to 18 U.S.C. 1350 and Securities Exchange Act Rule 13a</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14(b).</w:t>
            </w:r>
          </w:p>
        </w:tc>
        <w:tc>
          <w:tcPr>
            <w:tcW w:w="1520" w:type="dxa"/>
            <w:vAlign w:val="bottom"/>
            <w:tcBorders>
              <w:top w:val="single" w:sz="8" w:color="0000EE"/>
            </w:tcBorders>
            <w:gridSpan w:val="6"/>
          </w:tcPr>
          <w:p>
            <w:pPr>
              <w:spacing w:after="0"/>
              <w:rPr>
                <w:sz w:val="17"/>
                <w:szCs w:val="17"/>
                <w:color w:val="auto"/>
              </w:rPr>
            </w:pPr>
          </w:p>
        </w:tc>
        <w:tc>
          <w:tcPr>
            <w:tcW w:w="1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101.SCH</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101.DEF</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104</w:t>
            </w:r>
          </w:p>
        </w:tc>
        <w:tc>
          <w:tcPr>
            <w:tcW w:w="6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35"/>
        </w:trPr>
        <w:tc>
          <w:tcPr>
            <w:tcW w:w="9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right="200" w:hanging="372"/>
        <w:spacing w:after="0" w:line="281" w:lineRule="auto"/>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40" w:firstLine="38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Corsair Gaming, Inc.</w:t>
      </w:r>
    </w:p>
    <w:p>
      <w:pPr>
        <w:sectPr>
          <w:pgSz w:w="11900" w:h="16838" w:orient="portrait"/>
          <w:cols w:equalWidth="0" w:num="1">
            <w:col w:w="10900"/>
          </w:cols>
          <w:pgMar w:left="320" w:top="117" w:right="6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3,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G.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24765</wp:posOffset>
            </wp:positionV>
            <wp:extent cx="33089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3">
            <w:col w:w="4980" w:space="720"/>
            <w:col w:w="1460" w:space="720"/>
            <w:col w:w="3020"/>
          </w:cols>
          <w:pgMar w:left="320" w:top="117" w:right="679" w:bottom="1440" w:gutter="0" w:footer="0" w:header="0"/>
          <w:type w:val="continuous"/>
        </w:sectPr>
      </w:pPr>
    </w:p>
    <w:p>
      <w:pPr>
        <w:ind w:left="7980"/>
        <w:spacing w:after="0"/>
        <w:rPr>
          <w:sz w:val="20"/>
          <w:szCs w:val="20"/>
          <w:color w:val="auto"/>
        </w:rPr>
      </w:pPr>
      <w:r>
        <w:rPr>
          <w:rFonts w:ascii="Times New Roman" w:cs="Times New Roman" w:eastAsia="Times New Roman" w:hAnsi="Times New Roman"/>
          <w:sz w:val="18"/>
          <w:szCs w:val="18"/>
          <w:color w:val="auto"/>
        </w:rPr>
        <w:t>Michael G. Potter</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Chief Financial Officer, Treasurer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00"/>
          </w:cols>
          <w:pgMar w:left="320" w:top="117" w:right="67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SECOND AMENDMENT</w:t>
      </w:r>
    </w:p>
    <w:p>
      <w:pPr>
        <w:spacing w:after="0" w:line="20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THIS SECOND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September 29, 2022 to the Credit Agreement referenced below is by and among CORSAIR GAMING,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hereto, the Lenders party hereto and BANK OF AMERICA, N.A., as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WHEREAS, credit facilities have been extended to the Borrower pursuant to that certain Credit Agreement (as amended, modified, supplemented and extended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dated as of September 3, 2021, among the Borrower, the Guarantors party thereto, the Lenders party thereto and the Administrative Agent;</w:t>
      </w:r>
    </w:p>
    <w:p>
      <w:pPr>
        <w:spacing w:after="0" w:line="188"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WHEREAS, the Borrower has requested certain modifications to the Credit Agreement, and the Administrative Agent and the Lenders have agreed to make such requested modifications on the terms and conditions set forth herein.</w:t>
      </w:r>
    </w:p>
    <w:p>
      <w:pPr>
        <w:spacing w:after="0" w:line="173"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ind w:right="20" w:firstLine="872"/>
        <w:spacing w:after="0" w:line="269" w:lineRule="auto"/>
        <w:tabs>
          <w:tab w:leader="none" w:pos="1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shall have the meanings provided to such terms in the Credit Agreement.</w:t>
      </w:r>
    </w:p>
    <w:p>
      <w:pPr>
        <w:spacing w:after="0" w:line="172"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880" w:firstLine="789"/>
        <w:spacing w:after="0" w:line="269" w:lineRule="auto"/>
        <w:tabs>
          <w:tab w:leader="none" w:pos="2651"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are hereby added to Section 1.01 of the Credit Agreement in appropriate alphabetical order to read as follows:</w:t>
      </w:r>
    </w:p>
    <w:p>
      <w:pPr>
        <w:spacing w:after="0" w:line="15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Corsair Memory</w:t>
      </w:r>
      <w:r>
        <w:rPr>
          <w:rFonts w:ascii="Times New Roman" w:cs="Times New Roman" w:eastAsia="Times New Roman" w:hAnsi="Times New Roman"/>
          <w:sz w:val="20"/>
          <w:szCs w:val="20"/>
          <w:color w:val="auto"/>
        </w:rPr>
        <w:t>” means Corsair Memory, Inc., a Delaware corporation.</w:t>
      </w:r>
    </w:p>
    <w:p>
      <w:pPr>
        <w:spacing w:after="0" w:line="21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w:t>
      </w:r>
      <w:r>
        <w:rPr>
          <w:rFonts w:ascii="Times New Roman" w:cs="Times New Roman" w:eastAsia="Times New Roman" w:hAnsi="Times New Roman"/>
          <w:sz w:val="20"/>
          <w:szCs w:val="20"/>
          <w:color w:val="auto"/>
        </w:rPr>
        <w:t>” means CIT Group/Commercial Services, Inc.</w:t>
      </w:r>
    </w:p>
    <w:p>
      <w:pPr>
        <w:spacing w:after="0" w:line="216" w:lineRule="exact"/>
        <w:rPr>
          <w:sz w:val="20"/>
          <w:szCs w:val="20"/>
          <w:color w:val="auto"/>
        </w:rPr>
      </w:pPr>
    </w:p>
    <w:p>
      <w:pPr>
        <w:jc w:val="both"/>
        <w:ind w:left="1740" w:right="880" w:firstLine="6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Agreement</w:t>
      </w:r>
      <w:r>
        <w:rPr>
          <w:rFonts w:ascii="Times New Roman" w:cs="Times New Roman" w:eastAsia="Times New Roman" w:hAnsi="Times New Roman"/>
          <w:sz w:val="20"/>
          <w:szCs w:val="20"/>
          <w:color w:val="auto"/>
        </w:rPr>
        <w:t>” means the Factoring Agreement, dated as of the Second Amendment Effective Date, among Corsair Memory and the Permitted Factor, as from time to time amended or otherwise modified with the consent of the Administrative Agent.</w:t>
      </w:r>
    </w:p>
    <w:p>
      <w:pPr>
        <w:spacing w:after="0" w:line="169" w:lineRule="exact"/>
        <w:rPr>
          <w:sz w:val="20"/>
          <w:szCs w:val="20"/>
          <w:color w:val="auto"/>
        </w:rPr>
      </w:pPr>
    </w:p>
    <w:p>
      <w:pPr>
        <w:jc w:val="both"/>
        <w:ind w:left="1740" w:right="880" w:firstLine="6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Customer</w:t>
      </w:r>
      <w:r>
        <w:rPr>
          <w:rFonts w:ascii="Times New Roman" w:cs="Times New Roman" w:eastAsia="Times New Roman" w:hAnsi="Times New Roman"/>
          <w:sz w:val="20"/>
          <w:szCs w:val="20"/>
          <w:color w:val="auto"/>
        </w:rPr>
        <w:t>” means each of Amazon.com, Inc., Best Buy Co. Inc., and their respective Subsidiaries and Affiliates.</w:t>
      </w:r>
    </w:p>
    <w:p>
      <w:pPr>
        <w:spacing w:after="0" w:line="152" w:lineRule="exact"/>
        <w:rPr>
          <w:sz w:val="20"/>
          <w:szCs w:val="20"/>
          <w:color w:val="auto"/>
        </w:rPr>
      </w:pPr>
    </w:p>
    <w:p>
      <w:pPr>
        <w:jc w:val="both"/>
        <w:ind w:left="1740" w:right="860" w:firstLine="6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Intercreditor Agreement</w:t>
      </w:r>
      <w:r>
        <w:rPr>
          <w:rFonts w:ascii="Times New Roman" w:cs="Times New Roman" w:eastAsia="Times New Roman" w:hAnsi="Times New Roman"/>
          <w:sz w:val="20"/>
          <w:szCs w:val="20"/>
          <w:color w:val="auto"/>
        </w:rPr>
        <w:t>” means the Assignment of Factoring Proceeds and Intercreditor Agreement, dated as of the Second Amendment Effective Date, among Corsair Memory, the Permitted Factor and the Administrative Agent.</w:t>
      </w:r>
    </w:p>
    <w:p>
      <w:pPr>
        <w:spacing w:after="0" w:line="169" w:lineRule="exact"/>
        <w:rPr>
          <w:sz w:val="20"/>
          <w:szCs w:val="20"/>
          <w:color w:val="auto"/>
        </w:rPr>
      </w:pPr>
    </w:p>
    <w:p>
      <w:pPr>
        <w:jc w:val="both"/>
        <w:ind w:left="1740" w:right="880" w:firstLine="6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Program</w:t>
      </w:r>
      <w:r>
        <w:rPr>
          <w:rFonts w:ascii="Times New Roman" w:cs="Times New Roman" w:eastAsia="Times New Roman" w:hAnsi="Times New Roman"/>
          <w:sz w:val="20"/>
          <w:szCs w:val="20"/>
          <w:color w:val="auto"/>
        </w:rPr>
        <w:t>” means the sale by Corsair Memory of accounts receivable from the Permitted Factoring Customers and related assets (as described in the Permitted Factoring Agreement) to the Permitted Factor, pursuant to the Permitted Factoring Agreement; provided that (i) with respect to Factor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270510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jc w:val="both"/>
        <w:ind w:left="620" w:right="860"/>
        <w:spacing w:after="0" w:line="246" w:lineRule="auto"/>
        <w:rPr>
          <w:sz w:val="20"/>
          <w:szCs w:val="20"/>
          <w:color w:val="auto"/>
        </w:rPr>
      </w:pPr>
      <w:r>
        <w:rPr>
          <w:rFonts w:ascii="Times New Roman" w:cs="Times New Roman" w:eastAsia="Times New Roman" w:hAnsi="Times New Roman"/>
          <w:sz w:val="20"/>
          <w:szCs w:val="20"/>
          <w:color w:val="auto"/>
        </w:rPr>
        <w:t>Accounts (as defined in the Permitted Factoring Agreement) a true sale opinion has been obtained (if then required by applicable accounting rules or by the Borrower) and the Borrower is accounting for such as a true sale, (ii) such sale occurs on or before September 30, 2023 (or such later date as the Administrative Agent may permit in its sole discretion); and (iii) the Permitted Factoring Intercreditor Agreement shall at the time of any such sale be in full force and effect.</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Second Amendment Effective Date</w:t>
      </w:r>
      <w:r>
        <w:rPr>
          <w:rFonts w:ascii="Times New Roman" w:cs="Times New Roman" w:eastAsia="Times New Roman" w:hAnsi="Times New Roman"/>
          <w:sz w:val="20"/>
          <w:szCs w:val="20"/>
          <w:color w:val="auto"/>
        </w:rPr>
        <w:t>” means September 29, 2022.</w:t>
      </w:r>
    </w:p>
    <w:p>
      <w:pPr>
        <w:spacing w:after="0" w:line="220" w:lineRule="exact"/>
        <w:rPr>
          <w:sz w:val="20"/>
          <w:szCs w:val="20"/>
          <w:color w:val="auto"/>
        </w:rPr>
      </w:pPr>
    </w:p>
    <w:p>
      <w:pPr>
        <w:ind w:left="-240" w:firstLine="789"/>
        <w:spacing w:after="0" w:line="269" w:lineRule="auto"/>
        <w:tabs>
          <w:tab w:leader="none" w:pos="143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“Consolidated Funded Indebtedness” set forth in Section 1.01 of the Credit Agreement is hereby deleted in its entirety and replaced with the following:</w:t>
      </w:r>
    </w:p>
    <w:p>
      <w:pPr>
        <w:spacing w:after="0" w:line="155" w:lineRule="exact"/>
        <w:rPr>
          <w:sz w:val="20"/>
          <w:szCs w:val="20"/>
          <w:color w:val="auto"/>
        </w:rPr>
      </w:pPr>
    </w:p>
    <w:p>
      <w:pPr>
        <w:jc w:val="both"/>
        <w:ind w:left="620" w:right="860" w:firstLine="66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Consolidated Funded Indebtedness</w:t>
      </w:r>
      <w:r>
        <w:rPr>
          <w:rFonts w:ascii="Times New Roman" w:cs="Times New Roman" w:eastAsia="Times New Roman" w:hAnsi="Times New Roman"/>
          <w:sz w:val="19"/>
          <w:szCs w:val="19"/>
          <w:color w:val="auto"/>
        </w:rPr>
        <w:t xml:space="preserve">” means, as of any date of determination, for the Borrower and its Subsidiaries on a Consolidated basis, the </w:t>
      </w:r>
      <w:r>
        <w:rPr>
          <w:rFonts w:ascii="Times New Roman" w:cs="Times New Roman" w:eastAsia="Times New Roman" w:hAnsi="Times New Roman"/>
          <w:sz w:val="19"/>
          <w:szCs w:val="19"/>
          <w:i w:val="1"/>
          <w:iCs w:val="1"/>
          <w:color w:val="auto"/>
        </w:rPr>
        <w:t>sum of</w:t>
      </w:r>
      <w:r>
        <w:rPr>
          <w:rFonts w:ascii="Times New Roman" w:cs="Times New Roman" w:eastAsia="Times New Roman" w:hAnsi="Times New Roman"/>
          <w:sz w:val="19"/>
          <w:szCs w:val="19"/>
          <w:color w:val="auto"/>
        </w:rPr>
        <w:t>: (a) the outstanding principal amount of all obligations, whether current or long-term, for borrowed money (including Obligations hereunder) and all obligations evidenced by bonds, debentures, notes, loan agreements or other similar instruments; (b) all purchase money Indebtedness; (c) all obligations in respect of unreimbursed drawings under letters of credit (including standby and commercial), bankers’ acceptances, bank guaranties, surety bonds and similar instruments;</w:t>
      </w:r>
    </w:p>
    <w:p>
      <w:pPr>
        <w:spacing w:after="0" w:line="5" w:lineRule="exact"/>
        <w:rPr>
          <w:sz w:val="20"/>
          <w:szCs w:val="20"/>
          <w:color w:val="auto"/>
        </w:rPr>
      </w:pPr>
    </w:p>
    <w:p>
      <w:pPr>
        <w:jc w:val="both"/>
        <w:ind w:left="620" w:right="860" w:hanging="5"/>
        <w:spacing w:after="0" w:line="239" w:lineRule="auto"/>
        <w:tabs>
          <w:tab w:leader="none" w:pos="93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obligations in respect of the deferred purchase price of property or services (other than (i) trade accounts and other accounts payable in the ordinary course of business, (ii) deferred compensation accruals for payroll and accrued expenses in the ordinary course of business, and (iii) Earn Out Obligations to the extent not then due and payable and unpaid); (e) all Attributable Indebtedness; (f) 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dividends; (g) without duplication, all Guarantees with respect to outstanding Indebtedness of the types specified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 of Persons other than the Borrower or any Subsidiary; and (h) all Indebtedness of the types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above of any partnership or joint venture (other than a joint venture that is itself a corporation or limited liability company or other limited liability legal entity) in which the Borrower or a Subsidiary is a general partner or joint venturer, unless such Indebtedness is expressly made non-recourse to the Borrower or such Subsidiary. For the avoidance of doubt, amounts advanced to Corsair Memory by the Permitted Factor in respect of Factor Risk Accounts (as defined in the Permitted Factoring Agreement) factored pursuant to the Permitted Factoring Program shall not be considered Consolidated Funded Indebtedness.</w:t>
      </w:r>
    </w:p>
    <w:p>
      <w:pPr>
        <w:spacing w:after="0" w:line="201" w:lineRule="exact"/>
        <w:rPr>
          <w:rFonts w:ascii="Times New Roman" w:cs="Times New Roman" w:eastAsia="Times New Roman" w:hAnsi="Times New Roman"/>
          <w:sz w:val="20"/>
          <w:szCs w:val="20"/>
          <w:color w:val="auto"/>
        </w:rPr>
      </w:pPr>
    </w:p>
    <w:p>
      <w:pPr>
        <w:ind w:left="-240" w:firstLine="789"/>
        <w:spacing w:after="0" w:line="269" w:lineRule="auto"/>
        <w:tabs>
          <w:tab w:leader="none" w:pos="16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proviso at the end of the definition of “Indebtedness” set forth in Section 1.01 of the Credit Agreement is hereby deleted in its entirety and replaced with the following:</w:t>
      </w:r>
    </w:p>
    <w:p>
      <w:pPr>
        <w:spacing w:after="0" w:line="169" w:lineRule="exact"/>
        <w:rPr>
          <w:sz w:val="20"/>
          <w:szCs w:val="20"/>
          <w:color w:val="auto"/>
        </w:rPr>
      </w:pPr>
    </w:p>
    <w:p>
      <w:pPr>
        <w:jc w:val="both"/>
        <w:ind w:left="620" w:right="860"/>
        <w:spacing w:after="0" w:line="247"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notwithstanding anything to the contrary, (x) amounts owing under any Permitted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Convertible Indebtedness shall not be considered Indebtedness to the extent cash collateralized on terms at the time of such pledge, to the extent material to the interests of the Lenders, reasonably satisfactory to the Administrative Agent (it being understood that such pledge shall be in part for the benefit of the Lenders and shall not be released prior to payment in full of all</w:t>
      </w:r>
    </w:p>
    <w:p>
      <w:pPr>
        <w:spacing w:after="0" w:line="1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155575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77" w:name="page78"/>
    <w:bookmarkEnd w:id="77"/>
    <w:p>
      <w:pPr>
        <w:jc w:val="both"/>
        <w:ind w:left="620" w:right="860"/>
        <w:spacing w:after="0" w:line="243" w:lineRule="auto"/>
        <w:rPr>
          <w:sz w:val="20"/>
          <w:szCs w:val="20"/>
          <w:color w:val="auto"/>
        </w:rPr>
      </w:pPr>
      <w:r>
        <w:rPr>
          <w:rFonts w:ascii="Times New Roman" w:cs="Times New Roman" w:eastAsia="Times New Roman" w:hAnsi="Times New Roman"/>
          <w:sz w:val="20"/>
          <w:szCs w:val="20"/>
          <w:color w:val="auto"/>
        </w:rPr>
        <w:t>amounts owing under the applicable Permitted Convertible Indebtedness without the consent of the Required Lenders other than to pay amounts owing under such Permitted Convertible Indebtedness to the extent such payments are permitted under this Agreement and any applicable subordination terms), (y) obligations arising under notes or similar instruments issued in connection with customary commercial arrangements in China shall not be considered Indebtedness to the extent considered accounts payable of such Person in accordance with GAAP, and (z) amounts advanced to Corsair Memory by the Permitted Factor in respect of Factor Risk Accounts (as defined in the Permitted Factoring Agreement) factored pursuant to the Permitted Factoring Program shall not be considered Indebtedness.</w:t>
      </w:r>
    </w:p>
    <w:p>
      <w:pPr>
        <w:spacing w:after="0" w:line="189" w:lineRule="exact"/>
        <w:rPr>
          <w:sz w:val="20"/>
          <w:szCs w:val="20"/>
          <w:color w:val="auto"/>
        </w:rPr>
      </w:pPr>
    </w:p>
    <w:p>
      <w:pPr>
        <w:ind w:left="-240" w:firstLine="789"/>
        <w:spacing w:after="0" w:line="269" w:lineRule="auto"/>
        <w:tabs>
          <w:tab w:leader="none" w:pos="14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“Loan Documents” set forth in Section 1.01 of the Credit Agreement is hereby deleted in its entirety and replaced with the following:</w:t>
      </w:r>
    </w:p>
    <w:p>
      <w:pPr>
        <w:spacing w:after="0" w:line="155" w:lineRule="exact"/>
        <w:rPr>
          <w:sz w:val="20"/>
          <w:szCs w:val="20"/>
          <w:color w:val="auto"/>
        </w:rPr>
      </w:pPr>
    </w:p>
    <w:p>
      <w:pPr>
        <w:jc w:val="both"/>
        <w:ind w:left="620" w:right="860" w:firstLine="664"/>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Documents</w:t>
      </w:r>
      <w:r>
        <w:rPr>
          <w:rFonts w:ascii="Times New Roman" w:cs="Times New Roman" w:eastAsia="Times New Roman" w:hAnsi="Times New Roman"/>
          <w:sz w:val="20"/>
          <w:szCs w:val="20"/>
          <w:color w:val="auto"/>
        </w:rPr>
        <w:t xml:space="preserve">” means, collectively, this Agreement, the Notes, the Guaranty, the Collateral Documents, the Engagement Letter, the Permitted Factoring Intercreditor Agreement, each Issuer Document, each Incremental Term Facility Amendment, each Joinder Agreement,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any subordination agreement entered into by the Administrative Agent and a Loan Party in respect of Permitted Subordinated Debt and all other certificates, agreements, documents and instruments executed and delivered, in each case, by or on behalf of any Loan Party pursuant to the foregoing (but specifically excluding any Secured Hedge Agreement or any Secured Cash Management Agreement) and any amendments, modifications or supplements thereto or to any other Loan Document or waivers hereof or to any other Loan Document;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“Loan Documents” shall mean this Agreement, the Guaranty and the Collateral Documents.</w:t>
      </w:r>
    </w:p>
    <w:p>
      <w:pPr>
        <w:spacing w:after="0" w:line="194" w:lineRule="exact"/>
        <w:rPr>
          <w:sz w:val="20"/>
          <w:szCs w:val="20"/>
          <w:color w:val="auto"/>
        </w:rPr>
      </w:pPr>
    </w:p>
    <w:p>
      <w:pPr>
        <w:ind w:left="-240" w:firstLine="789"/>
        <w:spacing w:after="0" w:line="269" w:lineRule="auto"/>
        <w:tabs>
          <w:tab w:leader="none" w:pos="14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“Permitted Transfer” set forth in Section 1.01 of the Credit Agreement is hereby deleted in its entirety and replaced with the following:</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Transfer</w:t>
      </w:r>
      <w:r>
        <w:rPr>
          <w:rFonts w:ascii="Times New Roman" w:cs="Times New Roman" w:eastAsia="Times New Roman" w:hAnsi="Times New Roman"/>
          <w:sz w:val="20"/>
          <w:szCs w:val="20"/>
          <w:color w:val="auto"/>
        </w:rPr>
        <w:t xml:space="preserve">” means (a) any Disposition by the Borrower or any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both"/>
        <w:ind w:left="620" w:right="860" w:hanging="5"/>
        <w:spacing w:after="0"/>
        <w:tabs>
          <w:tab w:leader="none" w:pos="8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time of such Disposition, no Event of Default shall exist or would result from such Disposition, (ii) such Disposition shall be for fair market value (as determined by the Borrower in good faith), (iii) the aggregate amount of all Permitted Transfers made in any fiscal year shall not exceed $15,000,000 (with fifty percent (50%) of the unused amounts in any fiscal year being carried over to the immediately succeeding fiscal year (but to no further succeeding fiscal year after the immediately succeeding fiscal year); provided that the aggregate amount of Permitted Transfers in any fiscal year shall be applied first to the aggregate amount for such fiscal year, until utilized in full, and then to any amount carried over from the prior fiscal year) and (iv) the purchase price with respect thereto shall be paid to the Borrower or such Subsidiary, as applicable, for not less than seventy-five percent (75%) cash and Cash Equivalent consideration;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for the purposes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the following shall be deemed to be cash: (A)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 (as shown on the Borrower’s most recent balance sheet provided hereunder) of the Borrower or such Subsidiary (other than liabilities that are by their terms subordinated to the Secured Obligations) that are assumed by the transferee with respect to the applicable Disposition and for which the Borrower and its Subsidiaries shall have been validly released by all applicable</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155575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78" w:name="page79"/>
    <w:bookmarkEnd w:id="78"/>
    <w:p>
      <w:pPr>
        <w:jc w:val="both"/>
        <w:ind w:left="620" w:right="860"/>
        <w:spacing w:after="0" w:line="253" w:lineRule="auto"/>
        <w:rPr>
          <w:sz w:val="20"/>
          <w:szCs w:val="20"/>
          <w:color w:val="auto"/>
        </w:rPr>
      </w:pPr>
      <w:r>
        <w:rPr>
          <w:rFonts w:ascii="Times New Roman" w:cs="Times New Roman" w:eastAsia="Times New Roman" w:hAnsi="Times New Roman"/>
          <w:sz w:val="19"/>
          <w:szCs w:val="19"/>
          <w:color w:val="auto"/>
        </w:rPr>
        <w:t xml:space="preserve">creditors in writing, (B) any securities, notes or other obligations received by the Borrower or such Subsidiary from such transferee that are converted by the Borrower or such Subsidiary into cash or Cash Equivalents (to the extent of the cash or Cash Equivalents received in the conversion) within one hundred eighty (180) days following the closing of the applicable Disposition; and (C) any Designated Non-Cash Consideration in respect of such Disposition having an aggregate fair market value (as determined in good faith by the Borrower), taken together with the Designated Non-Cash Consideration in respect of all other Dispositions, not in excess of $5,000,000 (with the fair market value of each item of Designated Non-Cash Consideration being measured as of the time received (and without giving effect to subsequent changes in value));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at any time the Permitted Factoring Program is in effect, the foregoing basket for permitted Dispositions in this clause (a) may not be utilized in connection with any factoring program of the Borrower or any of its Subsidiaries, (b) Dispositions of non-core assets acquired in connection with Permitted Acquisitions or similar Investments so long as (i) the aggregate fair market value (as determined in good faith by the Borrower) of the asset(s) subject to such Disposition (or series of related Dispositions) shall not exceed ten percent (10%) of the purchase price of the applicable acquired entity, assets or business,</w:t>
      </w:r>
    </w:p>
    <w:p>
      <w:pPr>
        <w:spacing w:after="0" w:line="11" w:lineRule="exact"/>
        <w:rPr>
          <w:sz w:val="20"/>
          <w:szCs w:val="20"/>
          <w:color w:val="auto"/>
        </w:rPr>
      </w:pPr>
    </w:p>
    <w:p>
      <w:pPr>
        <w:jc w:val="both"/>
        <w:ind w:left="620" w:right="860" w:hanging="5"/>
        <w:spacing w:after="0" w:line="239" w:lineRule="auto"/>
        <w:tabs>
          <w:tab w:leader="none" w:pos="93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Disposition is an arm’s-length transaction, and (iii) the Net Cash Proceeds received by the Borrower or the applicable Subsidiary in connection with any such Disposition (or series of related Dispositions) shall be in an amount at least equal to the fair market value of the asset(s) subject to such Disposition (as determined in good faith by the Borrower), (c) Permitted Sale and Leaseback Transactions,</w:t>
      </w:r>
    </w:p>
    <w:p>
      <w:pPr>
        <w:spacing w:after="0" w:line="1" w:lineRule="exact"/>
        <w:rPr>
          <w:rFonts w:ascii="Times New Roman" w:cs="Times New Roman" w:eastAsia="Times New Roman" w:hAnsi="Times New Roman"/>
          <w:sz w:val="20"/>
          <w:szCs w:val="20"/>
          <w:color w:val="auto"/>
        </w:rPr>
      </w:pPr>
    </w:p>
    <w:p>
      <w:pPr>
        <w:jc w:val="both"/>
        <w:ind w:left="620" w:right="860" w:hanging="5"/>
        <w:spacing w:after="0"/>
        <w:tabs>
          <w:tab w:leader="none" w:pos="91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Disposition by Corsair Memory of accounts receivable from the Permitted Factoring Customers and related assets (as described in the Permitted Factoring Agreement) in connection with the Permitted Factoring Program, and (e) other Dispositions, so long as the Net Cash Proceeds received by the Borrower and its Subsidiaries in connection therewith, when aggregated with the Net Cash Proceeds of all other Dispositions made by the Borrower or any Subsidiary in reliance on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in any fiscal year do not exceed $5,000,000;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at any time the Permitted Factoring Program is in effect, the foregoing basket for permitted Dispositions in this clause (e) may not be utilized in connection with any factoring program of the Borrower or any of its Subsidiaries.</w:t>
      </w:r>
    </w:p>
    <w:p>
      <w:pPr>
        <w:spacing w:after="0" w:line="190" w:lineRule="exact"/>
        <w:rPr>
          <w:rFonts w:ascii="Times New Roman" w:cs="Times New Roman" w:eastAsia="Times New Roman" w:hAnsi="Times New Roman"/>
          <w:sz w:val="20"/>
          <w:szCs w:val="20"/>
          <w:color w:val="auto"/>
        </w:rPr>
      </w:pPr>
    </w:p>
    <w:p>
      <w:pPr>
        <w:ind w:left="-240" w:firstLine="789"/>
        <w:spacing w:after="0" w:line="269" w:lineRule="auto"/>
        <w:tabs>
          <w:tab w:leader="none" w:pos="140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7.01 of the Credit Agreement is hereby amended by (i) deleting the “and” from the end of clause (t) thereof, and (ii) deleting clause (u) thereof and replacing it with the following new clauses (u) and (v):</w:t>
      </w:r>
    </w:p>
    <w:p>
      <w:pPr>
        <w:spacing w:after="0" w:line="172" w:lineRule="exact"/>
        <w:rPr>
          <w:rFonts w:ascii="Times New Roman" w:cs="Times New Roman" w:eastAsia="Times New Roman" w:hAnsi="Times New Roman"/>
          <w:sz w:val="20"/>
          <w:szCs w:val="20"/>
          <w:color w:val="auto"/>
        </w:rPr>
      </w:pPr>
    </w:p>
    <w:p>
      <w:pPr>
        <w:jc w:val="both"/>
        <w:ind w:left="620" w:right="880" w:firstLine="660"/>
        <w:spacing w:after="0" w:line="254" w:lineRule="auto"/>
        <w:tabs>
          <w:tab w:leader="none" w:pos="2163"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accounts receivable of Corsair Memory owed from the Permitted Factoring Customers and related assets (as described in the Permitted Factoring Agreement) securing obligations incurred in connection with the Permitted Factoring Program; and</w:t>
      </w:r>
    </w:p>
    <w:p>
      <w:pPr>
        <w:spacing w:after="0" w:line="187" w:lineRule="exact"/>
        <w:rPr>
          <w:rFonts w:ascii="Times New Roman" w:cs="Times New Roman" w:eastAsia="Times New Roman" w:hAnsi="Times New Roman"/>
          <w:sz w:val="20"/>
          <w:szCs w:val="20"/>
          <w:color w:val="auto"/>
        </w:rPr>
      </w:pPr>
    </w:p>
    <w:p>
      <w:pPr>
        <w:jc w:val="both"/>
        <w:ind w:left="620" w:right="880" w:firstLine="660"/>
        <w:spacing w:after="0" w:line="246" w:lineRule="auto"/>
        <w:tabs>
          <w:tab w:leader="none" w:pos="2163"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not permitted by the foregoing clauses of this Section 7.01 securing Indebtedness or other obligations permitted pursuant to this Agreement in an aggregate principal amount not to exceed $10,000,000 at any one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the Permitted Factoring Program is in effect, the foregoing basket for Liens may not be utilized in connection with any factoring program of the Borrower or any of its Subsidiaries.</w:t>
      </w: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155575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79" w:name="page80"/>
    <w:bookmarkEnd w:id="79"/>
    <w:p>
      <w:pPr>
        <w:ind w:left="1480" w:hanging="931"/>
        <w:spacing w:after="0"/>
        <w:tabs>
          <w:tab w:leader="none" w:pos="14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7.09 of the Credit Agreement is hereby amended to read as follows:</w:t>
      </w:r>
    </w:p>
    <w:p>
      <w:pPr>
        <w:spacing w:after="0" w:line="225"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7.09</w:t>
      </w:r>
      <w:r>
        <w:rPr>
          <w:rFonts w:ascii="Times New Roman" w:cs="Times New Roman" w:eastAsia="Times New Roman" w:hAnsi="Times New Roman"/>
          <w:sz w:val="19"/>
          <w:szCs w:val="19"/>
          <w:b w:val="1"/>
          <w:bCs w:val="1"/>
          <w:u w:val="single" w:color="auto"/>
          <w:color w:val="auto"/>
        </w:rPr>
        <w:t>Burdensome Agreements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620" w:firstLine="664"/>
        <w:spacing w:after="0" w:line="253" w:lineRule="auto"/>
        <w:rPr>
          <w:sz w:val="20"/>
          <w:szCs w:val="20"/>
          <w:color w:val="auto"/>
        </w:rPr>
      </w:pPr>
      <w:r>
        <w:rPr>
          <w:rFonts w:ascii="Times New Roman" w:cs="Times New Roman" w:eastAsia="Times New Roman" w:hAnsi="Times New Roman"/>
          <w:sz w:val="19"/>
          <w:szCs w:val="19"/>
          <w:color w:val="auto"/>
        </w:rPr>
        <w:t>Enter into, or permit to exist, any Contractual Obligation that encumbers or restricts the ability of any such Person to (a) make Restricted Payments to any Loan Party, (b) pay any Indebtedness or other obligations owed to any Loan Party, (c) make loans or advances to any Loan Party, (d) transfer any of its property to any Loan Party, (e) pledge its property pursuant to the Loan Documents or any renewals, refinancings, exchanges, refundings or extension thereof or (f) act as a Loan Party pursuant to the Loan Documents or any renewals, refinancings, exchanges, refundings or extension thereof, except (in respect of any of the matters referred to in clauses (a) through (e) above) for (1) this Agreement and the other Loan Documents, (2) customary provisions restricting subletting or assignment of any lease governing a leasehold interest of a Subsidiary, (3) customary restrictions and conditions contained in any agreement relating to the sale of any property permitted under Section 7.05 pending the consummation of such sale, (4) any agreement in effect at the time a Subsidiary becomes a Subsidiary, so long as such agreement was not entered into in connection with or in contemplation of such person becoming a Subsidiary, (5) without affecting the Loan Parties’ obligations under Section 6.12 and Section 6.13, customary provisions in Organization Documents, joint venture agreements, other similar agreements applicable to joint ventures and other non-Wholly Owned Subsidiaries permitted under Section 7.03 and applicable solely to such joint venture or non-Wholly Owned subsidiary and its equity, asset sale and stock sale agreements and other similar agreements entered into in the ordinary course of business, in each case, that restrict the transfer of ownership interests in or other rights in respect of such Person, (6) restrictions on cash or other deposits or net worth imposed by suppliers, landlords, customers, insurance and surety or bonding companies under contracts entered into in the ordinary course of business, (7) any instrument governing Indebtedness assumed in connection with any Permitted Acquisition, which encumbrance or restriction is not applicable to any Person, or the properties or assets of any Person, other than the Person or the properties or assets of the Person so acquired, (8) any agreement relating to Indebtedness incurred pursuant to Section 7.02(c) to the extent that such restrictions apply only to the property or assets securing such Indebtedness, (9) customary restrictions regarding licensing or sublicensing by the Borrower and its Subsidiaries of intellectual property in the ordinary course of business,</w:t>
      </w:r>
    </w:p>
    <w:p>
      <w:pPr>
        <w:spacing w:after="0" w:line="2" w:lineRule="exact"/>
        <w:rPr>
          <w:sz w:val="20"/>
          <w:szCs w:val="20"/>
          <w:color w:val="auto"/>
        </w:rPr>
      </w:pPr>
    </w:p>
    <w:p>
      <w:pPr>
        <w:jc w:val="both"/>
        <w:ind w:left="620" w:hanging="5"/>
        <w:spacing w:after="0"/>
        <w:tabs>
          <w:tab w:leader="none" w:pos="103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earnest money deposits in favor of sellers in connection with acquisitions not prohibited hereunder, (11) restrictions in any agreement relating to Indebtedness of a Foreign Subsidiary that is not a Loan Party that is permitted by Section 7.02 and which does not apply to any Loan Party or any Domestic Subsidiary, so long as such restrictions do not impair the ability of the Loan Parties to perform their obligations under this Agreement, (12) any agreement relating to the Permitted Factoring Program to the extent that such restrictions apply only to the property or assets sold pursuant thereto and related assets (as described in the Permitted Factoring Agreement) and (13) solely in respect of the matters referenced in clauses (a) through (d) above and, to the extent such restrictions and conditions apply only to Subsidiaries constituting Excluded Subsidiaries (other than a Subsidiary constituting an Excluded Subsidiary solely by virtue of clause (a) of the definition thereof), clause (e) above, restrictions and conditions arising pursuant to an agreement or instrument relating to any Indebtedness permitted to</w:t>
      </w:r>
    </w:p>
    <w:p>
      <w:pPr>
        <w:spacing w:after="0" w:line="18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155575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60"/>
          </w:cols>
          <w:pgMar w:left="1440" w:top="562" w:right="1199" w:bottom="1440" w:gutter="0" w:footer="0" w:header="0"/>
        </w:sectPr>
      </w:pPr>
    </w:p>
    <w:bookmarkStart w:id="80" w:name="page81"/>
    <w:bookmarkEnd w:id="80"/>
    <w:p>
      <w:pPr>
        <w:jc w:val="both"/>
        <w:ind w:left="620"/>
        <w:spacing w:after="0" w:line="245" w:lineRule="auto"/>
        <w:rPr>
          <w:sz w:val="20"/>
          <w:szCs w:val="20"/>
          <w:color w:val="auto"/>
        </w:rPr>
      </w:pPr>
      <w:r>
        <w:rPr>
          <w:rFonts w:ascii="Times New Roman" w:cs="Times New Roman" w:eastAsia="Times New Roman" w:hAnsi="Times New Roman"/>
          <w:sz w:val="20"/>
          <w:szCs w:val="20"/>
          <w:color w:val="auto"/>
        </w:rPr>
        <w:t>be incurred after the Closing Date to the extent such restrictions and conditions are not materially more restrictive, taken as a whole, to the Borrower and its Subsidiaries, than the restrictions and conditions in the Loan Documents (except for (A) covenants and events of default applicable only to periods after the then Latest Maturity Date or (B) unless the Borrower enters into an amendment to this Agreement with the Administrative Agent (which amendment shall not require the consent of any other Lender) to add such more restrictive terms for the benefit of the Lenders).</w:t>
      </w:r>
    </w:p>
    <w:p>
      <w:pPr>
        <w:spacing w:after="0" w:line="198" w:lineRule="exact"/>
        <w:rPr>
          <w:sz w:val="20"/>
          <w:szCs w:val="20"/>
          <w:color w:val="auto"/>
        </w:rPr>
      </w:pPr>
    </w:p>
    <w:p>
      <w:pPr>
        <w:ind w:left="1480" w:hanging="931"/>
        <w:spacing w:after="0"/>
        <w:tabs>
          <w:tab w:leader="none" w:pos="14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7.12(d) of the Credit Agreement is hereby amended to read as follows:</w:t>
      </w:r>
    </w:p>
    <w:p>
      <w:pPr>
        <w:spacing w:after="0" w:line="225" w:lineRule="exact"/>
        <w:rPr>
          <w:sz w:val="20"/>
          <w:szCs w:val="20"/>
          <w:color w:val="auto"/>
        </w:rPr>
      </w:pPr>
    </w:p>
    <w:p>
      <w:pPr>
        <w:ind w:left="860"/>
        <w:spacing w:after="0"/>
        <w:tabs>
          <w:tab w:leader="none" w:pos="188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20"/>
          <w:szCs w:val="20"/>
          <w:b w:val="1"/>
          <w:bCs w:val="1"/>
          <w:u w:val="single" w:color="auto"/>
          <w:color w:val="auto"/>
        </w:rPr>
        <w:t>Amendments  of  Organization  Documents;  Fiscal  Year;  Legal  Name,  State  of</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u w:val="single" w:color="auto"/>
          <w:color w:val="auto"/>
        </w:rPr>
        <w:t>Formation; Form of Entity; Permitted Factoring Documents and Accounting Changes.</w:t>
      </w:r>
    </w:p>
    <w:p>
      <w:pPr>
        <w:spacing w:after="0" w:line="194" w:lineRule="exact"/>
        <w:rPr>
          <w:sz w:val="20"/>
          <w:szCs w:val="20"/>
          <w:color w:val="auto"/>
        </w:rPr>
      </w:pPr>
    </w:p>
    <w:p>
      <w:pPr>
        <w:ind w:left="2940" w:hanging="862"/>
        <w:spacing w:after="0"/>
        <w:tabs>
          <w:tab w:leader="none" w:pos="2940" w:val="left"/>
        </w:tabs>
        <w:numPr>
          <w:ilvl w:val="3"/>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of its Organization Documents in a manner materially adverse to</w:t>
      </w:r>
    </w:p>
    <w:p>
      <w:pPr>
        <w:spacing w:after="0" w:line="21" w:lineRule="exact"/>
        <w:rPr>
          <w:rFonts w:ascii="Times New Roman" w:cs="Times New Roman" w:eastAsia="Times New Roman" w:hAnsi="Times New Roman"/>
          <w:sz w:val="20"/>
          <w:szCs w:val="20"/>
          <w:color w:val="auto"/>
        </w:rPr>
      </w:pPr>
    </w:p>
    <w:p>
      <w:pPr>
        <w:ind w:left="1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w:t>
      </w:r>
    </w:p>
    <w:p>
      <w:pPr>
        <w:spacing w:after="0" w:line="193" w:lineRule="exact"/>
        <w:rPr>
          <w:rFonts w:ascii="Times New Roman" w:cs="Times New Roman" w:eastAsia="Times New Roman" w:hAnsi="Times New Roman"/>
          <w:sz w:val="20"/>
          <w:szCs w:val="20"/>
          <w:color w:val="auto"/>
        </w:rPr>
      </w:pPr>
    </w:p>
    <w:p>
      <w:pPr>
        <w:jc w:val="both"/>
        <w:ind w:left="1480" w:right="20" w:firstLine="598"/>
        <w:spacing w:after="0" w:line="263" w:lineRule="auto"/>
        <w:tabs>
          <w:tab w:leader="none" w:pos="2956" w:val="left"/>
        </w:tabs>
        <w:numPr>
          <w:ilvl w:val="3"/>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the consent of the Administrative Agent (such consent not to be unreasonably withheld, conditioned or delayed), change its fiscal year (it being understood that if such fiscal year is so changed, the Borrower and the Administrative Agent shall, and are hereby authorized by the Lenders to, make any amendments to this Agreement that are necessary, in the judgment of the Administrative Agent and the Borrower to reflect such change in fiscal year);</w:t>
      </w:r>
    </w:p>
    <w:p>
      <w:pPr>
        <w:spacing w:after="0" w:line="166" w:lineRule="exact"/>
        <w:rPr>
          <w:rFonts w:ascii="Times New Roman" w:cs="Times New Roman" w:eastAsia="Times New Roman" w:hAnsi="Times New Roman"/>
          <w:sz w:val="19"/>
          <w:szCs w:val="19"/>
          <w:color w:val="auto"/>
        </w:rPr>
      </w:pPr>
    </w:p>
    <w:p>
      <w:pPr>
        <w:ind w:left="2940" w:hanging="862"/>
        <w:spacing w:after="0"/>
        <w:tabs>
          <w:tab w:leader="none" w:pos="2940" w:val="left"/>
        </w:tabs>
        <w:numPr>
          <w:ilvl w:val="3"/>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giving written notice thereof to the Administrative Agent within fifteen</w:t>
      </w:r>
    </w:p>
    <w:p>
      <w:pPr>
        <w:spacing w:after="0" w:line="33" w:lineRule="exact"/>
        <w:rPr>
          <w:rFonts w:ascii="Times New Roman" w:cs="Times New Roman" w:eastAsia="Times New Roman" w:hAnsi="Times New Roman"/>
          <w:sz w:val="19"/>
          <w:szCs w:val="19"/>
          <w:color w:val="auto"/>
        </w:rPr>
      </w:pPr>
    </w:p>
    <w:p>
      <w:pPr>
        <w:jc w:val="both"/>
        <w:ind w:left="1480" w:right="20"/>
        <w:spacing w:after="0" w:line="242" w:lineRule="auto"/>
        <w:tabs>
          <w:tab w:leader="none" w:pos="1899"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occurrence thereof (or such extended period of time as agreed to by the Administrative Agent), change its name, state of formation, form of organization or principal place of business;</w:t>
      </w:r>
    </w:p>
    <w:p>
      <w:pPr>
        <w:spacing w:after="0" w:line="186" w:lineRule="exact"/>
        <w:rPr>
          <w:rFonts w:ascii="Times New Roman" w:cs="Times New Roman" w:eastAsia="Times New Roman" w:hAnsi="Times New Roman"/>
          <w:sz w:val="20"/>
          <w:szCs w:val="20"/>
          <w:color w:val="auto"/>
        </w:rPr>
      </w:pPr>
    </w:p>
    <w:p>
      <w:pPr>
        <w:jc w:val="both"/>
        <w:ind w:left="1480" w:firstLine="598"/>
        <w:spacing w:after="0" w:line="249" w:lineRule="auto"/>
        <w:tabs>
          <w:tab w:leader="none" w:pos="2956" w:val="left"/>
        </w:tabs>
        <w:numPr>
          <w:ilvl w:val="3"/>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the Administrative Agent (such consent not to be unreasonably withheld, conditioned or delayed), amend, in a manner materially adverse to the interests of the Administrative Agent or the Lenders, the Permitted Factoring Agreement or any other documentation entered into in connection with the Permitted Factoring Program; or</w:t>
      </w:r>
    </w:p>
    <w:p>
      <w:pPr>
        <w:spacing w:after="0" w:line="179" w:lineRule="exact"/>
        <w:rPr>
          <w:rFonts w:ascii="Times New Roman" w:cs="Times New Roman" w:eastAsia="Times New Roman" w:hAnsi="Times New Roman"/>
          <w:sz w:val="20"/>
          <w:szCs w:val="20"/>
          <w:color w:val="auto"/>
        </w:rPr>
      </w:pPr>
    </w:p>
    <w:p>
      <w:pPr>
        <w:ind w:left="1480" w:right="20" w:firstLine="598"/>
        <w:spacing w:after="0" w:line="269" w:lineRule="auto"/>
        <w:tabs>
          <w:tab w:leader="none" w:pos="2945" w:val="left"/>
        </w:tabs>
        <w:numPr>
          <w:ilvl w:val="3"/>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accounting policies or reporting practices, in each case, except as required by GAAP or in a manner not materially adverse to the Lenders.</w:t>
      </w:r>
    </w:p>
    <w:p>
      <w:pPr>
        <w:spacing w:after="0" w:line="159" w:lineRule="exact"/>
        <w:rPr>
          <w:rFonts w:ascii="Times New Roman" w:cs="Times New Roman" w:eastAsia="Times New Roman" w:hAnsi="Times New Roman"/>
          <w:sz w:val="20"/>
          <w:szCs w:val="20"/>
          <w:color w:val="auto"/>
        </w:rPr>
      </w:pPr>
    </w:p>
    <w:p>
      <w:pPr>
        <w:ind w:left="1380" w:hanging="831"/>
        <w:spacing w:after="0"/>
        <w:tabs>
          <w:tab w:leader="none" w:pos="13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Clause (e) of Section 8.01 of the Credit Agreement is hereby amended to read as follows:</w:t>
      </w:r>
    </w:p>
    <w:p>
      <w:pPr>
        <w:spacing w:after="0" w:line="229" w:lineRule="exact"/>
        <w:rPr>
          <w:rFonts w:ascii="Times New Roman" w:cs="Times New Roman" w:eastAsia="Times New Roman" w:hAnsi="Times New Roman"/>
          <w:sz w:val="20"/>
          <w:szCs w:val="20"/>
          <w:color w:val="auto"/>
        </w:rPr>
      </w:pPr>
    </w:p>
    <w:p>
      <w:pPr>
        <w:jc w:val="both"/>
        <w:ind w:left="620" w:firstLine="660"/>
        <w:spacing w:after="0" w:line="266" w:lineRule="auto"/>
        <w:tabs>
          <w:tab w:leader="none" w:pos="2152"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Cross-Default</w:t>
      </w:r>
      <w:r>
        <w:rPr>
          <w:rFonts w:ascii="Times New Roman" w:cs="Times New Roman" w:eastAsia="Times New Roman" w:hAnsi="Times New Roman"/>
          <w:sz w:val="19"/>
          <w:szCs w:val="19"/>
          <w:color w:val="auto"/>
        </w:rPr>
        <w:t>. (i) Any Loan Party or any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and including</w:t>
      </w:r>
    </w:p>
    <w:p>
      <w:pPr>
        <w:spacing w:after="0" w:line="16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155575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60"/>
          </w:cols>
          <w:pgMar w:left="1440" w:top="346" w:right="1199" w:bottom="1440" w:gutter="0" w:footer="0" w:header="0"/>
        </w:sectPr>
      </w:pPr>
    </w:p>
    <w:bookmarkStart w:id="81" w:name="page82"/>
    <w:bookmarkEnd w:id="81"/>
    <w:p>
      <w:pPr>
        <w:jc w:val="both"/>
        <w:ind w:left="1740" w:right="860"/>
        <w:spacing w:after="0"/>
        <w:rPr>
          <w:sz w:val="20"/>
          <w:szCs w:val="20"/>
          <w:color w:val="auto"/>
        </w:rPr>
      </w:pPr>
      <w:r>
        <w:rPr>
          <w:rFonts w:ascii="Times New Roman" w:cs="Times New Roman" w:eastAsia="Times New Roman" w:hAnsi="Times New Roman"/>
          <w:sz w:val="20"/>
          <w:szCs w:val="20"/>
          <w:color w:val="auto"/>
        </w:rPr>
        <w:t>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(excluding, in the case of any Permitted Convertible Indebtedness, any event or condition that would permit the holder or beneficiary of such Permitted Convertible Indebtedness to convert such Permitted Convertible Indebtedness into cash, Equity Interests of the Borrower or a combination thereof, in each case to the extent permitted hereunder, in any case, other than as a result of any default or event of default by the Borrower or any Subsidiary thereunder and other than as a result of a “change of control”, “fundamental change” or similar occurrence),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 (iii) an “Event of Default” (as defined in the Permitted Factoring Agreement) occurs under the Permitted Factoring Agreement; or</w:t>
      </w:r>
    </w:p>
    <w:p>
      <w:pPr>
        <w:spacing w:after="0" w:line="205" w:lineRule="exact"/>
        <w:rPr>
          <w:sz w:val="20"/>
          <w:szCs w:val="20"/>
          <w:color w:val="auto"/>
        </w:rPr>
      </w:pPr>
    </w:p>
    <w:p>
      <w:pPr>
        <w:ind w:left="1660" w:hanging="788"/>
        <w:spacing w:after="0"/>
        <w:tabs>
          <w:tab w:leader="none" w:pos="1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Amendment shall be effective on the first date each of the following conditions precedent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satisfied:</w:t>
      </w:r>
    </w:p>
    <w:p>
      <w:pPr>
        <w:spacing w:after="0" w:line="207" w:lineRule="exact"/>
        <w:rPr>
          <w:rFonts w:ascii="Times New Roman" w:cs="Times New Roman" w:eastAsia="Times New Roman" w:hAnsi="Times New Roman"/>
          <w:sz w:val="20"/>
          <w:szCs w:val="20"/>
          <w:color w:val="auto"/>
        </w:rPr>
      </w:pPr>
    </w:p>
    <w:p>
      <w:pPr>
        <w:ind w:left="880" w:firstLine="789"/>
        <w:spacing w:after="0" w:line="269" w:lineRule="auto"/>
        <w:tabs>
          <w:tab w:leader="none" w:pos="2545"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counterparts of this Amendment duly executed by the Borrower, the Guarantors, the Required Lenders and the Administrative Agent;</w:t>
      </w:r>
    </w:p>
    <w:p>
      <w:pPr>
        <w:spacing w:after="0" w:line="172"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55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duly executed copies of the Permitted Factoring Agreement and, to the extent requested by the Administrative Agent prior to the date hereof, other documentation entered into in connection with the Permitted Factoring Program, each in form and substance reasonably satisfactory to the Administrative Agent;</w:t>
      </w:r>
    </w:p>
    <w:p>
      <w:pPr>
        <w:spacing w:after="0" w:line="187" w:lineRule="exact"/>
        <w:rPr>
          <w:rFonts w:ascii="Times New Roman" w:cs="Times New Roman" w:eastAsia="Times New Roman" w:hAnsi="Times New Roman"/>
          <w:sz w:val="20"/>
          <w:szCs w:val="20"/>
          <w:color w:val="auto"/>
        </w:rPr>
      </w:pPr>
    </w:p>
    <w:p>
      <w:pPr>
        <w:ind w:left="2540" w:hanging="871"/>
        <w:spacing w:after="0"/>
        <w:tabs>
          <w:tab w:leader="none" w:pos="254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Agreement of a duly executed copy of the Permitted Factoring Intercreditor</w:t>
      </w:r>
    </w:p>
    <w:p>
      <w:pPr>
        <w:spacing w:after="0" w:line="21"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 and</w:t>
      </w:r>
    </w:p>
    <w:p>
      <w:pPr>
        <w:spacing w:after="0" w:line="207" w:lineRule="exact"/>
        <w:rPr>
          <w:rFonts w:ascii="Times New Roman" w:cs="Times New Roman" w:eastAsia="Times New Roman" w:hAnsi="Times New Roman"/>
          <w:sz w:val="20"/>
          <w:szCs w:val="20"/>
          <w:color w:val="auto"/>
        </w:rPr>
      </w:pPr>
    </w:p>
    <w:p>
      <w:pPr>
        <w:jc w:val="both"/>
        <w:ind w:left="880" w:firstLine="789"/>
        <w:spacing w:after="0" w:line="249" w:lineRule="auto"/>
        <w:tabs>
          <w:tab w:leader="none" w:pos="255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reasonable and documented out-of-pocket expenses of the Administrative Agent (including reasonable and documented fees and expenses of counsel to the Administrative Agent in respect of this Amendment) required to be paid on the date hereof to the extent invoiced in writing to the Borrower at least two (2) Business Days prior to the date 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2" w:name="page83"/>
    <w:bookmarkEnd w:id="82"/>
    <w:p>
      <w:pPr>
        <w:jc w:val="both"/>
        <w:ind w:firstLine="872"/>
        <w:spacing w:after="0" w:line="254" w:lineRule="auto"/>
        <w:tabs>
          <w:tab w:leader="none" w:pos="1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is a “Loan Document”</w:t>
      </w:r>
      <w:r>
        <w:rPr>
          <w:rFonts w:ascii="Times New Roman" w:cs="Times New Roman" w:eastAsia="Times New Roman" w:hAnsi="Times New Roman"/>
          <w:sz w:val="20"/>
          <w:szCs w:val="20"/>
          <w:color w:val="auto"/>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spacing w:after="0" w:line="187" w:lineRule="exact"/>
        <w:rPr>
          <w:rFonts w:ascii="Times New Roman" w:cs="Times New Roman" w:eastAsia="Times New Roman" w:hAnsi="Times New Roman"/>
          <w:sz w:val="20"/>
          <w:szCs w:val="20"/>
          <w:color w:val="auto"/>
        </w:rPr>
      </w:pPr>
    </w:p>
    <w:p>
      <w:pPr>
        <w:jc w:val="both"/>
        <w:ind w:firstLine="872"/>
        <w:spacing w:after="0" w:line="245" w:lineRule="auto"/>
        <w:tabs>
          <w:tab w:leader="none" w:pos="1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No Default</w:t>
      </w:r>
      <w:r>
        <w:rPr>
          <w:rFonts w:ascii="Times New Roman" w:cs="Times New Roman" w:eastAsia="Times New Roman" w:hAnsi="Times New Roman"/>
          <w:sz w:val="20"/>
          <w:szCs w:val="20"/>
          <w:color w:val="auto"/>
        </w:rPr>
        <w:t>. Each Loan Party represents and warrants to the Administrative Agent and each Lender that, on and as of the date hereof, immediately after giving effect to this Amendment, (a) the representations and warranties of each Loan Party set forth in the Loan Documents to which it is a party are true and correct in all material respects (and in all respects if any such representation or warranty is already qualified by materiality) on and as of the date hereof,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(b) no Default exists.</w:t>
      </w:r>
    </w:p>
    <w:p>
      <w:pPr>
        <w:spacing w:after="0" w:line="197" w:lineRule="exact"/>
        <w:rPr>
          <w:rFonts w:ascii="Times New Roman" w:cs="Times New Roman" w:eastAsia="Times New Roman" w:hAnsi="Times New Roman"/>
          <w:sz w:val="20"/>
          <w:szCs w:val="20"/>
          <w:color w:val="auto"/>
        </w:rPr>
      </w:pPr>
    </w:p>
    <w:p>
      <w:pPr>
        <w:jc w:val="both"/>
        <w:ind w:firstLine="872"/>
        <w:spacing w:after="0" w:line="249" w:lineRule="auto"/>
        <w:tabs>
          <w:tab w:leader="none" w:pos="1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Obligations</w:t>
      </w:r>
      <w:r>
        <w:rPr>
          <w:rFonts w:ascii="Times New Roman" w:cs="Times New Roman" w:eastAsia="Times New Roman" w:hAnsi="Times New Roman"/>
          <w:sz w:val="20"/>
          <w:szCs w:val="20"/>
          <w:color w:val="auto"/>
        </w:rPr>
        <w:t>. Each Loan Party (a) acknowledges and consents to all of the terms and conditions of this Amendment, (b) affirms all of its obligations under the Loan Documents (in the case of the Credit Agreement, as amended hereby), and (c) agrees that, except as expressly set forth herein, this Amendment and all documents, agreements and instruments executed in connection with this Amendment do not operate to reduce or discharge such Loan Party’s obligations under the Loan Documents.</w:t>
      </w:r>
    </w:p>
    <w:p>
      <w:pPr>
        <w:spacing w:after="0" w:line="193" w:lineRule="exact"/>
        <w:rPr>
          <w:rFonts w:ascii="Times New Roman" w:cs="Times New Roman" w:eastAsia="Times New Roman" w:hAnsi="Times New Roman"/>
          <w:sz w:val="20"/>
          <w:szCs w:val="20"/>
          <w:color w:val="auto"/>
        </w:rPr>
      </w:pPr>
    </w:p>
    <w:p>
      <w:pPr>
        <w:jc w:val="both"/>
        <w:ind w:firstLine="872"/>
        <w:spacing w:after="0" w:line="249" w:lineRule="auto"/>
        <w:tabs>
          <w:tab w:leader="none" w:pos="165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Security Interests</w:t>
      </w:r>
      <w:r>
        <w:rPr>
          <w:rFonts w:ascii="Times New Roman" w:cs="Times New Roman" w:eastAsia="Times New Roman" w:hAnsi="Times New Roman"/>
          <w:sz w:val="20"/>
          <w:szCs w:val="20"/>
          <w:color w:val="auto"/>
        </w:rPr>
        <w:t>. Each Loan Party (a) affirms that each of the Liens granted in or pursuant to the Loan Documents are valid and subsisting, and (b) agrees that this Amendment and all documents, agreements and instruments executed in connection with this Amendment do not in any manner impair or otherwise adversely affect any of the Liens granted in or pursuant to the Loan Documents.</w:t>
      </w:r>
    </w:p>
    <w:p>
      <w:pPr>
        <w:spacing w:after="0" w:line="193"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Changes</w:t>
      </w:r>
      <w:r>
        <w:rPr>
          <w:rFonts w:ascii="Times New Roman" w:cs="Times New Roman" w:eastAsia="Times New Roman" w:hAnsi="Times New Roman"/>
          <w:sz w:val="20"/>
          <w:szCs w:val="20"/>
          <w:color w:val="auto"/>
        </w:rPr>
        <w:t>. Except as modified hereby, all of the terms and provisions of the Loan Documents shall remain in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force and effect.</w:t>
      </w:r>
    </w:p>
    <w:p>
      <w:pPr>
        <w:spacing w:after="0" w:line="207" w:lineRule="exact"/>
        <w:rPr>
          <w:rFonts w:ascii="Times New Roman" w:cs="Times New Roman" w:eastAsia="Times New Roman" w:hAnsi="Times New Roman"/>
          <w:sz w:val="20"/>
          <w:szCs w:val="20"/>
          <w:color w:val="auto"/>
        </w:rPr>
      </w:pPr>
    </w:p>
    <w:p>
      <w:pPr>
        <w:jc w:val="both"/>
        <w:ind w:firstLine="872"/>
        <w:spacing w:after="0" w:line="244" w:lineRule="auto"/>
        <w:tabs>
          <w:tab w:leader="none" w:pos="1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Delivery</w:t>
      </w:r>
      <w:r>
        <w:rPr>
          <w:rFonts w:ascii="Times New Roman" w:cs="Times New Roman" w:eastAsia="Times New Roman" w:hAnsi="Times New Roman"/>
          <w:sz w:val="20"/>
          <w:szCs w:val="20"/>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or any certificate delivered hereunder, by fax transmission or e-mail transmission (e.g., “pdf” or “tif”) shall be effective as delivery of a manually executed counterpart of this Amendment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99" w:lineRule="exact"/>
        <w:rPr>
          <w:rFonts w:ascii="Times New Roman" w:cs="Times New Roman" w:eastAsia="Times New Roman" w:hAnsi="Times New Roman"/>
          <w:sz w:val="20"/>
          <w:szCs w:val="20"/>
          <w:color w:val="auto"/>
        </w:rPr>
      </w:pPr>
    </w:p>
    <w:p>
      <w:pPr>
        <w:ind w:firstLine="872"/>
        <w:spacing w:after="0" w:line="269" w:lineRule="auto"/>
        <w:tabs>
          <w:tab w:leader="none" w:pos="175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deemed to be a contract made under, and for all purposes shall be construed in accordance with, the laws of the State of New York.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3" w:name="page84"/>
    <w:bookmarkEnd w:id="83"/>
    <w:p>
      <w:pPr>
        <w:ind w:left="880"/>
        <w:spacing w:after="0"/>
        <w:rPr>
          <w:sz w:val="20"/>
          <w:szCs w:val="20"/>
          <w:color w:val="auto"/>
        </w:rPr>
      </w:pPr>
      <w:r>
        <w:rPr>
          <w:rFonts w:ascii="Times New Roman" w:cs="Times New Roman" w:eastAsia="Times New Roman" w:hAnsi="Times New Roman"/>
          <w:sz w:val="19"/>
          <w:szCs w:val="19"/>
          <w:color w:val="auto"/>
        </w:rPr>
        <w:t>Each of the parties hereto has caused a counterpart of this Amendment to be duly executed and delivered as of the date first above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3" w:lineRule="exact"/>
        <w:rPr>
          <w:sz w:val="20"/>
          <w:szCs w:val="20"/>
          <w:color w:val="auto"/>
        </w:rPr>
      </w:pPr>
    </w:p>
    <w:p>
      <w:pPr>
        <w:ind w:left="660"/>
        <w:spacing w:after="0"/>
        <w:tabs>
          <w:tab w:leader="none" w:pos="5580" w:val="left"/>
        </w:tabs>
        <w:rPr>
          <w:sz w:val="20"/>
          <w:szCs w:val="20"/>
          <w:color w:val="auto"/>
        </w:rPr>
      </w:pP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CORSAIR GAMING, INC.</w:t>
      </w:r>
    </w:p>
    <w:p>
      <w:pPr>
        <w:spacing w:after="0" w:line="200" w:lineRule="exact"/>
        <w:rPr>
          <w:sz w:val="20"/>
          <w:szCs w:val="20"/>
          <w:color w:val="auto"/>
        </w:rPr>
      </w:pP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G. Potter</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Michael G Potter</w:t>
      </w:r>
    </w:p>
    <w:p>
      <w:pPr>
        <w:ind w:left="56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5580" w:val="left"/>
        </w:tabs>
        <w:rPr>
          <w:sz w:val="20"/>
          <w:szCs w:val="20"/>
          <w:color w:val="auto"/>
        </w:rPr>
      </w:pPr>
      <w:r>
        <w:rPr>
          <w:rFonts w:ascii="Times New Roman" w:cs="Times New Roman" w:eastAsia="Times New Roman" w:hAnsi="Times New Roman"/>
          <w:sz w:val="20"/>
          <w:szCs w:val="20"/>
          <w:b w:val="1"/>
          <w:bCs w:val="1"/>
          <w:u w:val="single" w:color="auto"/>
          <w:color w:val="auto"/>
        </w:rPr>
        <w:t>GUARANTORS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CORSAIR MEMORY, INC.</w:t>
      </w: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G. Potter</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Michael G Potter</w:t>
      </w:r>
    </w:p>
    <w:p>
      <w:pPr>
        <w:ind w:left="56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ORIGIN PC, LLC</w:t>
      </w: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Andrew J. Paul</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Andrew J. Paul</w:t>
      </w:r>
    </w:p>
    <w:p>
      <w:pPr>
        <w:ind w:left="56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SCUF GAMING INTERNATIONAL LLC</w:t>
      </w: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G. Potter</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Michael G Potter</w:t>
      </w:r>
    </w:p>
    <w:p>
      <w:pPr>
        <w:ind w:left="56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CONTINUE]</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ind w:left="44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1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Eshler</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Jason Eshler</w:t>
      </w:r>
    </w:p>
    <w:p>
      <w:pPr>
        <w:ind w:left="4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146685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5" w:right="339" w:bottom="1440" w:gutter="0" w:footer="0" w:header="0"/>
        </w:sectPr>
      </w:pPr>
    </w:p>
    <w:bookmarkStart w:id="85" w:name="page86"/>
    <w:bookmarkEnd w:id="85"/>
    <w:p>
      <w:pPr>
        <w:ind w:left="44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a Lender, L/C Issuer and Swingline Lender</w:t>
      </w:r>
    </w:p>
    <w:p>
      <w:pPr>
        <w:spacing w:after="0" w:line="200" w:lineRule="exact"/>
        <w:rPr>
          <w:sz w:val="20"/>
          <w:szCs w:val="20"/>
          <w:color w:val="auto"/>
        </w:rPr>
      </w:pPr>
    </w:p>
    <w:p>
      <w:pPr>
        <w:spacing w:after="0" w:line="21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Eshler</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Jason Eshler</w:t>
      </w:r>
    </w:p>
    <w:p>
      <w:pPr>
        <w:ind w:left="4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SECOND AMENDMENT</w:t>
      </w:r>
    </w:p>
    <w:p>
      <w:pPr>
        <w:sectPr>
          <w:pgSz w:w="11900" w:h="16838" w:orient="portrait"/>
          <w:cols w:equalWidth="0" w:num="1">
            <w:col w:w="10120"/>
          </w:cols>
          <w:pgMar w:left="1440" w:top="54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Paul, certify that:</w:t>
      </w:r>
    </w:p>
    <w:p>
      <w:pPr>
        <w:spacing w:after="0" w:line="225" w:lineRule="exact"/>
        <w:rPr>
          <w:sz w:val="20"/>
          <w:szCs w:val="20"/>
          <w:color w:val="auto"/>
        </w:rPr>
      </w:pPr>
    </w:p>
    <w:p>
      <w:pPr>
        <w:ind w:left="620" w:hanging="612"/>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5"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20" w:right="160" w:hanging="612"/>
        <w:spacing w:after="0" w:line="266"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00" w:hanging="605"/>
        <w:spacing w:after="0" w:line="266" w:lineRule="auto"/>
        <w:tabs>
          <w:tab w:leader="none" w:pos="12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20" w:right="120" w:hanging="605"/>
        <w:spacing w:after="0" w:line="266" w:lineRule="auto"/>
        <w:tabs>
          <w:tab w:leader="none" w:pos="12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20" w:right="300" w:hanging="605"/>
        <w:spacing w:after="0" w:line="312" w:lineRule="auto"/>
        <w:tabs>
          <w:tab w:leader="none" w:pos="122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220" w:right="300" w:hanging="605"/>
        <w:spacing w:after="0" w:line="266" w:lineRule="auto"/>
        <w:tabs>
          <w:tab w:leader="none" w:pos="12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20" w:right="40" w:hanging="612"/>
        <w:spacing w:after="0" w:line="282"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540" w:hanging="605"/>
        <w:spacing w:after="0" w:line="282" w:lineRule="auto"/>
        <w:tabs>
          <w:tab w:leader="none" w:pos="12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220" w:hanging="605"/>
        <w:spacing w:after="0" w:line="282" w:lineRule="auto"/>
        <w:tabs>
          <w:tab w:leader="none" w:pos="12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3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J. Paul</w:t>
            </w:r>
          </w:p>
        </w:tc>
      </w:tr>
      <w:tr>
        <w:trPr>
          <w:trHeight w:val="218"/>
        </w:trPr>
        <w:tc>
          <w:tcPr>
            <w:tcW w:w="3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J. Paul</w:t>
            </w:r>
          </w:p>
        </w:tc>
      </w:tr>
      <w:tr>
        <w:trPr>
          <w:trHeight w:val="214"/>
        </w:trPr>
        <w:tc>
          <w:tcPr>
            <w:tcW w:w="3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34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 Potter, certify that:</w:t>
      </w:r>
    </w:p>
    <w:p>
      <w:pPr>
        <w:spacing w:after="0" w:line="225" w:lineRule="exact"/>
        <w:rPr>
          <w:sz w:val="20"/>
          <w:szCs w:val="20"/>
          <w:color w:val="auto"/>
        </w:rPr>
      </w:pPr>
    </w:p>
    <w:p>
      <w:pPr>
        <w:ind w:left="620" w:hanging="612"/>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5"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20" w:right="160" w:hanging="612"/>
        <w:spacing w:after="0" w:line="266"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00" w:hanging="605"/>
        <w:spacing w:after="0" w:line="266" w:lineRule="auto"/>
        <w:tabs>
          <w:tab w:leader="none" w:pos="1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20" w:right="120" w:hanging="605"/>
        <w:spacing w:after="0" w:line="266" w:lineRule="auto"/>
        <w:tabs>
          <w:tab w:leader="none" w:pos="1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20" w:right="300" w:hanging="605"/>
        <w:spacing w:after="0" w:line="312" w:lineRule="auto"/>
        <w:tabs>
          <w:tab w:leader="none" w:pos="122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220" w:right="300" w:hanging="605"/>
        <w:spacing w:after="0" w:line="266" w:lineRule="auto"/>
        <w:tabs>
          <w:tab w:leader="none" w:pos="1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20" w:right="40" w:hanging="612"/>
        <w:spacing w:after="0" w:line="282"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540" w:hanging="605"/>
        <w:spacing w:after="0" w:line="282" w:lineRule="auto"/>
        <w:tabs>
          <w:tab w:leader="none" w:pos="1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220" w:hanging="605"/>
        <w:spacing w:after="0" w:line="282" w:lineRule="auto"/>
        <w:tabs>
          <w:tab w:leader="none" w:pos="1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3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18"/>
        </w:trPr>
        <w:tc>
          <w:tcPr>
            <w:tcW w:w="3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bl>
    <w:p>
      <w:pPr>
        <w:sectPr>
          <w:pgSz w:w="11900" w:h="16838" w:orient="portrait"/>
          <w:cols w:equalWidth="0" w:num="1">
            <w:col w:w="11240"/>
          </w:cols>
          <w:pgMar w:left="320" w:top="34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ind w:right="280" w:firstLine="56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Corsair Gaming, Inc. (the “Company”) on Form 10-Q for the quarter ended September 30, 2022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r>
      <w:tr>
        <w:trPr>
          <w:trHeight w:val="218"/>
        </w:trPr>
        <w:tc>
          <w:tcPr>
            <w:tcW w:w="3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J. Paul</w:t>
            </w:r>
          </w:p>
        </w:tc>
      </w:tr>
      <w:tr>
        <w:trPr>
          <w:trHeight w:val="214"/>
        </w:trPr>
        <w:tc>
          <w:tcPr>
            <w:tcW w:w="3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1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18"/>
        </w:trPr>
        <w:tc>
          <w:tcPr>
            <w:tcW w:w="3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lvl w:ilvl="1">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lvl w:ilvl="1">
      <w:lvlJc w:val="left"/>
      <w:lvlText w:val="(%2)"/>
      <w:numFmt w:val="decimal"/>
      <w:start w:val="1"/>
    </w:lvl>
  </w:abstractNum>
  <w:abstractNum w:abstractNumId="6">
    <w:nsid w:val="7C3DBD3D"/>
    <w:multiLevelType w:val="hybridMultilevel"/>
    <w:lvl w:ilvl="0">
      <w:lvlJc w:val="left"/>
      <w:lvlText w:val="%1."/>
      <w:numFmt w:val="decimal"/>
      <w:start w:val="13"/>
    </w:lvl>
    <w:lvl w:ilvl="1">
      <w:lvlJc w:val="left"/>
      <w:lvlText w:val="%2"/>
      <w:numFmt w:val="decimal"/>
      <w:start w:val="1"/>
    </w:lvl>
  </w:abstractNum>
  <w:abstractNum w:abstractNumId="7">
    <w:nsid w:val="737B8DDC"/>
    <w:multiLevelType w:val="hybridMultilevel"/>
    <w:lvl w:ilvl="0">
      <w:lvlJc w:val="left"/>
      <w:lvlText w:val="%1."/>
      <w:numFmt w:val="decimal"/>
      <w:start w:val="14"/>
    </w:lvl>
    <w:lvl w:ilvl="1">
      <w:lvlJc w:val="left"/>
      <w:lvlText w:val="•"/>
      <w:numFmt w:val="bullet"/>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lowerLetter"/>
      <w:start w:val="4"/>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lvl w:ilvl="1">
      <w:lvlJc w:val="left"/>
      <w:lvlText w:val="(%2)"/>
      <w:numFmt w:val="lowerLetter"/>
      <w:start w:val="1"/>
    </w:lvl>
  </w:abstractNum>
  <w:abstractNum w:abstractNumId="35">
    <w:nsid w:val="7A6D8D3C"/>
    <w:multiLevelType w:val="hybridMultilevel"/>
    <w:lvl w:ilvl="0">
      <w:lvlJc w:val="left"/>
      <w:lvlText w:val="(%1)"/>
      <w:numFmt w:val="lowerLetter"/>
      <w:start w:val="2"/>
    </w:lvl>
  </w:abstractNum>
  <w:abstractNum w:abstractNumId="36">
    <w:nsid w:val="4B588F54"/>
    <w:multiLevelType w:val="hybridMultilevel"/>
    <w:lvl w:ilvl="0">
      <w:lvlJc w:val="left"/>
      <w:lvlText w:val="%1"/>
      <w:numFmt w:val="lowerLetter"/>
      <w:start w:val="1"/>
    </w:lvl>
    <w:lvl w:ilvl="1">
      <w:lvlJc w:val="left"/>
      <w:lvlText w:val="(%2)"/>
      <w:numFmt w:val="lowerLetter"/>
      <w:start w:val="4"/>
    </w:lvl>
  </w:abstractNum>
  <w:abstractNum w:abstractNumId="37">
    <w:nsid w:val="542289EC"/>
    <w:multiLevelType w:val="hybridMultilevel"/>
    <w:lvl w:ilvl="0">
      <w:lvlJc w:val="left"/>
      <w:lvlText w:val="(%1)"/>
      <w:numFmt w:val="lowerLetter"/>
      <w:start w:val="3"/>
    </w:lvl>
    <w:lvl w:ilvl="1">
      <w:lvlJc w:val="left"/>
      <w:lvlText w:val="%2"/>
      <w:numFmt w:val="lowerLetter"/>
      <w:start w:val="1"/>
    </w:lvl>
  </w:abstractNum>
  <w:abstractNum w:abstractNumId="38">
    <w:nsid w:val="6DE91B18"/>
    <w:multiLevelType w:val="hybridMultilevel"/>
    <w:lvl w:ilvl="0">
      <w:lvlJc w:val="left"/>
      <w:lvlText w:val="(%1)"/>
      <w:numFmt w:val="lowerLetter"/>
      <w:start w:val="4"/>
    </w:lvl>
  </w:abstractNum>
  <w:abstractNum w:abstractNumId="39">
    <w:nsid w:val="38437FDB"/>
    <w:multiLevelType w:val="hybridMultilevel"/>
    <w:lvl w:ilvl="0">
      <w:lvlJc w:val="left"/>
      <w:lvlText w:val="(%1)"/>
      <w:numFmt w:val="lowerLetter"/>
      <w:start w:val="5"/>
    </w:lvl>
  </w:abstractNum>
  <w:abstractNum w:abstractNumId="40">
    <w:nsid w:val="7644A45C"/>
    <w:multiLevelType w:val="hybridMultilevel"/>
    <w:lvl w:ilvl="0">
      <w:lvlJc w:val="left"/>
      <w:lvlText w:val="(%1)"/>
      <w:numFmt w:val="lowerRoman"/>
      <w:start w:val="1"/>
    </w:lvl>
  </w:abstractNum>
  <w:abstractNum w:abstractNumId="41">
    <w:nsid w:val="32FFF902"/>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42">
    <w:nsid w:val="684A481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43">
    <w:nsid w:val="579478FE"/>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21"/>
    </w:lvl>
  </w:abstractNum>
  <w:abstractNum w:abstractNumId="44">
    <w:nsid w:val="749ABB43"/>
    <w:multiLevelType w:val="hybridMultilevel"/>
    <w:lvl w:ilvl="0">
      <w:lvlJc w:val="left"/>
      <w:lvlText w:val="(%1)"/>
      <w:numFmt w:val="lowerLetter"/>
      <w:start w:val="7"/>
    </w:lvl>
  </w:abstractNum>
  <w:abstractNum w:abstractNumId="45">
    <w:nsid w:val="3DC240FB"/>
    <w:multiLevelType w:val="hybridMultilevel"/>
    <w:lvl w:ilvl="0">
      <w:lvlJc w:val="left"/>
      <w:lvlText w:val="(%1)"/>
      <w:numFmt w:val="decimal"/>
      <w:start w:val="10"/>
    </w:lvl>
  </w:abstractNum>
  <w:abstractNum w:abstractNumId="46">
    <w:nsid w:val="1BA026FA"/>
    <w:multiLevelType w:val="hybridMultilevel"/>
    <w:lvl w:ilvl="0">
      <w:lvlJc w:val="left"/>
      <w:lvlText w:val="(%1)"/>
      <w:numFmt w:val="lowerLetter"/>
      <w:start w:val="8"/>
    </w:lvl>
  </w:abstractNum>
  <w:abstractNum w:abstractNumId="47">
    <w:nsid w:val="79A1DEA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8">
    <w:nsid w:val="75C6C33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5"/>
    </w:lvl>
    <w:lvl w:ilvl="3">
      <w:lvlJc w:val="left"/>
      <w:lvlText w:val="(%4)"/>
      <w:numFmt w:val="lowerLetter"/>
      <w:start w:val="4"/>
    </w:lvl>
  </w:abstractNum>
  <w:abstractNum w:abstractNumId="49">
    <w:nsid w:val="12E685FB"/>
    <w:multiLevelType w:val="hybridMultilevel"/>
    <w:lvl w:ilvl="0">
      <w:lvlJc w:val="left"/>
      <w:lvlText w:val="(%1)"/>
      <w:numFmt w:val="lowerLetter"/>
      <w:start w:val="9"/>
    </w:lvl>
    <w:lvl w:ilvl="1">
      <w:lvlJc w:val="left"/>
      <w:lvlText w:val="(%2)"/>
      <w:numFmt w:val="lowerLetter"/>
      <w:start w:val="5"/>
    </w:lvl>
    <w:lvl w:ilvl="2">
      <w:lvlJc w:val="left"/>
      <w:lvlText w:val="%3"/>
      <w:numFmt w:val="decimal"/>
      <w:start w:val="1"/>
    </w:lvl>
    <w:lvl w:ilvl="3">
      <w:lvlJc w:val="left"/>
      <w:lvlText w:val="%4"/>
      <w:numFmt w:val="lowerLetter"/>
      <w:start w:val="1"/>
    </w:lvl>
  </w:abstractNum>
  <w:abstractNum w:abstractNumId="50">
    <w:nsid w:val="70C6A529"/>
    <w:multiLevelType w:val="hybridMultilevel"/>
    <w:lvl w:ilvl="0">
      <w:lvlJc w:val="left"/>
      <w:lvlText w:val="%1."/>
      <w:numFmt w:val="decimal"/>
      <w:start w:val="3"/>
    </w:lvl>
    <w:lvl w:ilvl="1">
      <w:lvlJc w:val="left"/>
      <w:lvlText w:val="(%2)"/>
      <w:numFmt w:val="lowerLetter"/>
      <w:start w:val="1"/>
    </w:lvl>
  </w:abstractNum>
  <w:abstractNum w:abstractNumId="51">
    <w:nsid w:val="520EEDD1"/>
    <w:multiLevelType w:val="hybridMultilevel"/>
    <w:lvl w:ilvl="0">
      <w:lvlJc w:val="left"/>
      <w:lvlText w:val="%1."/>
      <w:numFmt w:val="decimal"/>
      <w:start w:val="4"/>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94" Type="http://schemas.openxmlformats.org/officeDocument/2006/relationships/hyperlink" Target="http://www.sec.gov/Archives/edgar/data/1743759/000119312520254569/d65933dex31.htm" TargetMode="External"/><Relationship Id="rId95" Type="http://schemas.openxmlformats.org/officeDocument/2006/relationships/hyperlink" Target="http://www.sec.gov/Archives/edgar/data/1743759/000119312520254569/d65933dex32.htm" TargetMode="External"/><Relationship Id="rId96" Type="http://schemas.openxmlformats.org/officeDocument/2006/relationships/hyperlink" Target="http://www.sec.gov/Archives/edgar/data/1743759/000119312520248527/d507744dex42.htm" TargetMode="External"/><Relationship Id="rId97" Type="http://schemas.openxmlformats.org/officeDocument/2006/relationships/hyperlink" Target="http://www.sec.gov/Archives/edgar/data/1743759/000156459020052867/crsr-ex42_448.htm" TargetMode="External"/><Relationship Id="rId98" Type="http://schemas.openxmlformats.org/officeDocument/2006/relationships/hyperlink" Target="http://www.sec.gov/Archives/edgar/data/0001743759/000156459021012507/crsr-ex43_1280.htm" TargetMode="External"/><Relationship Id="rId99" Type="http://schemas.openxmlformats.org/officeDocument/2006/relationships/hyperlink" Target="http://www.sec.gov/Archives/edgar/data/0001743759/000119312520244634/d5077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2022-11-03T17:44:17Z</dcterms:created>
  <dcterms:modified xsi:type="dcterms:W3CDTF">2022-11-03T17:44:17Z</dcterms:modified>
</cp:coreProperties>
</file>