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crsr-20260630.htm"/>
        <w:bookmarkStart w:id="1" w:name="kscrsr20260630"/>
        <w:bookmarkEnd w:id="0"/>
        <w:bookmarkEnd w:id="1"/>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pBdr>
          <w:top w:val="double" w:sz="6" w:space="1" w:color="000000"/>
        </w:pBdr>
        <w:bidi w:val="0"/>
        <w:jc w:val="both"/>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b/>
          <w:color w:val="000000"/>
          <w:sz w:val="14"/>
        </w:rPr>
      </w:pPr>
      <w:r>
        <w:rPr>
          <w:rFonts w:ascii="Times New Roman" w:hAnsi="Times New Roman"/>
          <w:b/>
          <w:color w:val="000000"/>
          <w:sz w:val="14"/>
        </w:rPr>
        <w:t>(Mark One)</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For the quarterly period ended June 30, 2026</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OR</w:t>
      </w:r>
    </w:p>
    <w:p>
      <w:pPr>
        <w:pStyle w:val="TextBody"/>
        <w:bidi w:val="0"/>
        <w:jc w:val="center"/>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For the transition period from _________ to _________</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Commission File Number: 001-39533</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4"/>
        </w:rPr>
      </w:pPr>
      <w:r>
        <w:rPr>
          <w:rFonts w:ascii="Times New Roman" w:hAnsi="Times New Roman"/>
          <w:b/>
          <w:color w:val="000000"/>
          <w:sz w:val="44"/>
        </w:rPr>
        <w:t>Corsair Gaming,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107" w:type="dxa"/>
        <w:jc w:val="left"/>
        <w:tblInd w:w="0" w:type="dxa"/>
        <w:tblLayout w:type="fixed"/>
        <w:tblCellMar>
          <w:top w:w="28" w:type="dxa"/>
          <w:left w:w="28" w:type="dxa"/>
          <w:bottom w:w="28" w:type="dxa"/>
          <w:right w:w="28" w:type="dxa"/>
        </w:tblCellMar>
      </w:tblPr>
      <w:tblGrid>
        <w:gridCol w:w="1891"/>
        <w:gridCol w:w="1216"/>
      </w:tblGrid>
      <w:tr>
        <w:trPr/>
        <w:tc>
          <w:tcPr>
            <w:tcW w:w="189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82-2335306</w:t>
            </w:r>
          </w:p>
        </w:tc>
      </w:tr>
      <w:tr>
        <w:trPr/>
        <w:tc>
          <w:tcPr>
            <w:tcW w:w="189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4"/>
              </w:rPr>
            </w:pPr>
            <w:r>
              <w:rPr>
                <w:rFonts w:ascii="Times New Roman" w:hAnsi="Times New Roman"/>
                <w:color w:val="000000"/>
                <w:sz w:val="14"/>
              </w:rPr>
              <w:t>(State or Other Jurisdiction of</w:t>
            </w:r>
          </w:p>
          <w:p>
            <w:pPr>
              <w:pStyle w:val="TableContents"/>
              <w:bidi w:val="0"/>
              <w:spacing w:before="0" w:after="15"/>
              <w:jc w:val="center"/>
              <w:rPr>
                <w:rFonts w:ascii="Times New Roman" w:hAnsi="Times New Roman"/>
                <w:color w:val="000000"/>
                <w:sz w:val="14"/>
              </w:rPr>
            </w:pPr>
            <w:r>
              <w:rPr>
                <w:rFonts w:ascii="Times New Roman" w:hAnsi="Times New Roman"/>
                <w:color w:val="000000"/>
                <w:sz w:val="14"/>
              </w:rPr>
              <w:t>Incorporation or Organization)</w:t>
            </w:r>
          </w:p>
        </w:tc>
        <w:tc>
          <w:tcPr>
            <w:tcW w:w="12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(I.R.S. Employer</w:t>
              <w:br/>
              <w:t>Identification No.)</w:t>
            </w:r>
          </w:p>
        </w:tc>
      </w:tr>
    </w:tbl>
    <w:p>
      <w:pPr>
        <w:pStyle w:val="TextBody"/>
        <w:bidi w:val="0"/>
        <w:jc w:val="center"/>
        <w:rPr/>
      </w:pPr>
      <w:r>
        <w:rPr/>
        <w:t> </w:t>
      </w:r>
    </w:p>
    <w:tbl>
      <w:tblPr>
        <w:tblW w:w="3315" w:type="dxa"/>
        <w:jc w:val="left"/>
        <w:tblInd w:w="0" w:type="dxa"/>
        <w:tblLayout w:type="fixed"/>
        <w:tblCellMar>
          <w:top w:w="28" w:type="dxa"/>
          <w:left w:w="28" w:type="dxa"/>
          <w:bottom w:w="28" w:type="dxa"/>
          <w:right w:w="28" w:type="dxa"/>
        </w:tblCellMar>
      </w:tblPr>
      <w:tblGrid>
        <w:gridCol w:w="1515"/>
        <w:gridCol w:w="1800"/>
      </w:tblGrid>
      <w:tr>
        <w:trPr/>
        <w:tc>
          <w:tcPr>
            <w:tcW w:w="1515"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r>
      <w:tr>
        <w:trPr/>
        <w:tc>
          <w:tcPr>
            <w:tcW w:w="3315" w:type="dxa"/>
            <w:gridSpan w:val="2"/>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115 N. McCarthy Boulevard</w:t>
            </w:r>
          </w:p>
        </w:tc>
      </w:tr>
      <w:tr>
        <w:trPr/>
        <w:tc>
          <w:tcPr>
            <w:tcW w:w="331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Milpitas, CA</w:t>
            </w:r>
            <w:r>
              <w:rPr>
                <w:rFonts w:ascii="Times New Roman" w:hAnsi="Times New Roman"/>
                <w:color w:val="000000"/>
                <w:sz w:val="20"/>
              </w:rPr>
              <w:t xml:space="preserve"> </w:t>
            </w:r>
            <w:r>
              <w:rPr>
                <w:rFonts w:ascii="Times New Roman" w:hAnsi="Times New Roman"/>
                <w:b/>
                <w:color w:val="000000"/>
                <w:sz w:val="20"/>
              </w:rPr>
              <w:t>95035</w:t>
            </w:r>
          </w:p>
        </w:tc>
      </w:tr>
      <w:tr>
        <w:trPr/>
        <w:tc>
          <w:tcPr>
            <w:tcW w:w="331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(Address of Principal Executive Offices and zip code)</w:t>
            </w:r>
          </w:p>
        </w:tc>
      </w:tr>
      <w:tr>
        <w:trPr/>
        <w:tc>
          <w:tcPr>
            <w:tcW w:w="151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00"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31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(510) 657-8747</w:t>
            </w:r>
          </w:p>
        </w:tc>
      </w:tr>
      <w:tr>
        <w:trPr/>
        <w:tc>
          <w:tcPr>
            <w:tcW w:w="331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(Registrant’s Telephone Number, Including Area Code)</w:t>
            </w:r>
          </w:p>
        </w:tc>
      </w:tr>
    </w:tbl>
    <w:p>
      <w:pPr>
        <w:pStyle w:val="TextBody"/>
        <w:bidi w:val="0"/>
        <w:jc w:val="center"/>
        <w:rPr/>
      </w:pPr>
      <w:r>
        <w:rPr/>
        <w:t> </w:t>
      </w:r>
    </w:p>
    <w:p>
      <w:pPr>
        <w:pStyle w:val="TextBody"/>
        <w:pBdr>
          <w:top w:val="single" w:sz="4" w:space="1" w:color="000000"/>
        </w:pBdr>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Not Applicable</w:t>
      </w:r>
    </w:p>
    <w:p>
      <w:pPr>
        <w:pStyle w:val="TextBody"/>
        <w:bidi w:val="0"/>
        <w:jc w:val="center"/>
        <w:rPr>
          <w:rFonts w:ascii="Times New Roman" w:hAnsi="Times New Roman"/>
          <w:color w:val="000000"/>
          <w:sz w:val="14"/>
        </w:rPr>
      </w:pPr>
      <w:r>
        <w:rPr>
          <w:rFonts w:ascii="Times New Roman" w:hAnsi="Times New Roman"/>
          <w:color w:val="000000"/>
          <w:sz w:val="14"/>
        </w:rPr>
        <w:t>(Former name, former address and former fiscal year,</w:t>
      </w:r>
    </w:p>
    <w:p>
      <w:pPr>
        <w:pStyle w:val="TextBody"/>
        <w:bidi w:val="0"/>
        <w:jc w:val="center"/>
        <w:rPr>
          <w:rFonts w:ascii="Times New Roman" w:hAnsi="Times New Roman"/>
          <w:color w:val="000000"/>
          <w:sz w:val="14"/>
        </w:rPr>
      </w:pPr>
      <w:r>
        <w:rPr>
          <w:rFonts w:ascii="Times New Roman" w:hAnsi="Times New Roman"/>
          <w:color w:val="000000"/>
          <w:sz w:val="14"/>
        </w:rPr>
        <w:t>if changed since last report)</w:t>
      </w:r>
    </w:p>
    <w:p>
      <w:pPr>
        <w:pStyle w:val="TextBody"/>
        <w:pBdr>
          <w:bottom w:val="single" w:sz="4"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7510" w:type="dxa"/>
        <w:jc w:val="left"/>
        <w:tblInd w:w="0" w:type="dxa"/>
        <w:tblLayout w:type="fixed"/>
        <w:tblCellMar>
          <w:top w:w="28" w:type="dxa"/>
          <w:left w:w="28" w:type="dxa"/>
          <w:bottom w:w="28" w:type="dxa"/>
          <w:right w:w="28" w:type="dxa"/>
        </w:tblCellMar>
      </w:tblPr>
      <w:tblGrid>
        <w:gridCol w:w="3286"/>
        <w:gridCol w:w="146"/>
        <w:gridCol w:w="1231"/>
        <w:gridCol w:w="146"/>
        <w:gridCol w:w="270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3286" w:type="dxa"/>
            <w:tcBorders>
              <w:bottom w:val="single" w:sz="4" w:space="0" w:color="FFFFFF"/>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center"/>
              <w:rPr/>
            </w:pPr>
            <w:r>
              <w:rPr/>
              <w:t> </w:t>
            </w:r>
          </w:p>
        </w:tc>
        <w:tc>
          <w:tcPr>
            <w:tcW w:w="1231" w:type="dxa"/>
            <w:tcBorders>
              <w:bottom w:val="single" w:sz="4" w:space="0" w:color="FFFFFF"/>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CRSR</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center"/>
              <w:rPr/>
            </w:pPr>
            <w:r>
              <w:rPr/>
              <w:t> </w:t>
            </w:r>
          </w:p>
        </w:tc>
        <w:tc>
          <w:tcPr>
            <w:tcW w:w="2701" w:type="dxa"/>
            <w:tcBorders>
              <w:bottom w:val="single" w:sz="4" w:space="0" w:color="FFFFFF"/>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As of July 28, 2026, the registrant had 108,176,959</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4" w:space="1" w:color="000000"/>
        </w:pBdr>
        <w:bidi w:val="0"/>
        <w:jc w:val="left"/>
        <w:rPr/>
      </w:pPr>
      <w:r>
        <w:rPr/>
        <w:t> </w:t>
      </w:r>
    </w:p>
    <w:p>
      <w:pPr>
        <w:pStyle w:val="TextBody"/>
        <w:bidi w:val="0"/>
        <w:jc w:val="left"/>
        <w:rPr>
          <w:rFonts w:ascii="Times New Roman" w:hAnsi="Times New Roman"/>
          <w:color w:val="000000"/>
          <w:sz w:val="4"/>
        </w:rPr>
      </w:pPr>
      <w:r>
        <w:rPr>
          <w:rFonts w:ascii="Times New Roman" w:hAnsi="Times New Roman"/>
          <w:color w:val="000000"/>
          <w:sz w:val="4"/>
        </w:rPr>
        <w:t>25</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both"/>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8823" w:type="dxa"/>
        <w:jc w:val="left"/>
        <w:tblInd w:w="0" w:type="dxa"/>
        <w:tblLayout w:type="fixed"/>
        <w:tblCellMar>
          <w:top w:w="28" w:type="dxa"/>
          <w:left w:w="28" w:type="dxa"/>
          <w:bottom w:w="28" w:type="dxa"/>
          <w:right w:w="28" w:type="dxa"/>
        </w:tblCellMar>
      </w:tblPr>
      <w:tblGrid>
        <w:gridCol w:w="886"/>
        <w:gridCol w:w="736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ompre">
              <w:r>
                <w:rPr>
                  <w:rStyle w:val="InternetLink"/>
                  <w:rFonts w:ascii="Times New Roman" w:hAnsi="Times New Roman"/>
                  <w:color w:val="0000FF"/>
                  <w:sz w:val="20"/>
                  <w:u w:val="single"/>
                </w:rPr>
                <w:t>Condensed Consolidated Statements of Comprehensive Income (Loss)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stockholders_equ">
              <w:r>
                <w:rPr>
                  <w:rStyle w:val="InternetLink"/>
                  <w:rFonts w:ascii="Times New Roman" w:hAnsi="Times New Roman"/>
                  <w:color w:val="0000FF"/>
                  <w:sz w:val="20"/>
                  <w:u w:val="single"/>
                </w:rPr>
                <w:t>Condensed Consolidated Statements of Stockholders' Equity</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ia_risk_factor">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NOTE ABOUT FORWARD-LOOKING STATEMENTS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within the meaning of Section 21E of the Securities Exchange Act of 1934 (the “Exchange Act”) that reflect our current views with respect to, among other things, our operations and financial performance. These forward-looking statements are included throughout this Quarterly Report on Form 10-Q and relate to matters such as our industry, business strategy, business model, optimization of our product mix, gaming growth and entertainment consumption, business growth, user engagement, goals and expectations concerning our market position and market share, inventory management and supply chain flexibility, impact of growing hardware spend and increasingly power CPUs and GPUs, timing of game releases, global expansion, future acquisitions, investments and licensing agreements, and pursuit of leadership positions in premium categories, our direct to consumer business model, future operations, margins, revenue, profitability, capital expenditures, liquidity and capital resources and other financial and operating information. We have used the words “anticipate,” “assume,” “believe,” “continue,” “could,” “estimate,” “expect,” “foreseeable,” “future,” “intend,” “may,” “plan,” “potential,” “predict,” “project,” “seek,” “will” and similar terms and phrases or the negatives of these words to identify the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contained in this Quarterly Report on Form 10-Q are based on management’s current expectations and are subject to uncertainty and changes in circumstances. There can be no assurance that future developments affecting us will be those that we have anticipated. Actual results may differ materially from these expectations due to changes in global, regional or local economic, business, competitive, market, regulatory and other factors, many of which are beyond our control, including uncertainties in the geopolitical environment, recent changes in trade regulations and tariffs, developments in international trade relations and agreements including regional conflicts and hostilities. We believe that these factors include but are not limited to those described under Part I, Item 1A “Risk Factors” of our Annual Report on Form 10-K for the year ended December 31, 2025, as well as other documents that may be filed by us from time to time with the United States Securities and Exchange Commission (the “SEC”). These factors should not be construed as exhaustive and should be read in conjunction with the other cautionary statements that are included in this Quarterly Report on Form 10-Q. We undertake no obligation to publicly update or review any forward-looking statement, whether as a result of new information, future developments or otherwise, except as may be required by any applicable securities laws.</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3" w:name="part_ifinancial_information"/>
      <w:bookmarkEnd w:id="3"/>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4" w:name="item_1_financial_statements"/>
      <w:bookmarkEnd w:id="4"/>
      <w:r>
        <w:rPr>
          <w:rFonts w:ascii="Times New Roman" w:hAnsi="Times New Roman"/>
          <w:b/>
          <w:color w:val="000000"/>
          <w:sz w:val="20"/>
        </w:rPr>
        <w:t>Item 1.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Corsair Gaming,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64"/>
        <w:gridCol w:w="146"/>
        <w:gridCol w:w="211"/>
        <w:gridCol w:w="781"/>
        <w:gridCol w:w="166"/>
        <w:gridCol w:w="146"/>
        <w:gridCol w:w="211"/>
        <w:gridCol w:w="781"/>
        <w:gridCol w:w="166"/>
        <w:gridCol w:w="146"/>
        <w:gridCol w:w="211"/>
        <w:gridCol w:w="781"/>
        <w:gridCol w:w="166"/>
        <w:gridCol w:w="146"/>
        <w:gridCol w:w="211"/>
        <w:gridCol w:w="781"/>
        <w:gridCol w:w="391"/>
      </w:tblGrid>
      <w:tr>
        <w:trPr/>
        <w:tc>
          <w:tcPr>
            <w:tcW w:w="4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501,629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 attributable to Corsair Gaming,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Calculation of net income (loss) per share attributable to common stockholders of Corsair Gaming,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 attributable to Corsair Gaming,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redemption value of redeemable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attributable to common stockholders of Corsair Gaming,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attributable to common stockholders of Corsair Gaming,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105,554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Corsair Gaming, Inc.</w:t>
      </w:r>
    </w:p>
    <w:p>
      <w:pPr>
        <w:pStyle w:val="TextBody"/>
        <w:bidi w:val="0"/>
        <w:jc w:val="center"/>
        <w:rPr>
          <w:rFonts w:ascii="Times New Roman" w:hAnsi="Times New Roman"/>
          <w:b/>
          <w:color w:val="000000"/>
          <w:sz w:val="20"/>
        </w:rPr>
      </w:pPr>
      <w:bookmarkStart w:id="6" w:name="condensed_consolidated_statements_compre"/>
      <w:bookmarkEnd w:id="6"/>
      <w:r>
        <w:rPr>
          <w:rFonts w:ascii="Times New Roman" w:hAnsi="Times New Roman"/>
          <w:b/>
          <w:color w:val="000000"/>
          <w:sz w:val="20"/>
        </w:rPr>
        <w:t>Condensed Consolidated Statements of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49"/>
        <w:gridCol w:w="146"/>
        <w:gridCol w:w="211"/>
        <w:gridCol w:w="571"/>
        <w:gridCol w:w="166"/>
        <w:gridCol w:w="146"/>
        <w:gridCol w:w="211"/>
        <w:gridCol w:w="736"/>
        <w:gridCol w:w="166"/>
        <w:gridCol w:w="146"/>
        <w:gridCol w:w="211"/>
        <w:gridCol w:w="676"/>
        <w:gridCol w:w="166"/>
        <w:gridCol w:w="146"/>
        <w:gridCol w:w="211"/>
        <w:gridCol w:w="736"/>
        <w:gridCol w:w="311"/>
      </w:tblGrid>
      <w:tr>
        <w:trPr/>
        <w:tc>
          <w:tcPr>
            <w:tcW w:w="52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adjustments, net of tax benefit (expense) of $(13) and $(256) for the three months ended June 30, 2026 and 2025, respectively, and $51 and $(229) for the six months ended June 30, 2026 and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Unrealized foreign exchange gain (loss) from long-term intercompany loan, net of tax benefit (expense) of nil and nil for the three months ended June 30, 2026 and 2025, respectively, and nil and nil for the six months ended June 30, 2026 and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Comprehensive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Comprehensive income (loss) attributable to Corsair Gaming,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Corsair Gaming, Inc.</w:t>
      </w:r>
    </w:p>
    <w:p>
      <w:pPr>
        <w:pStyle w:val="TextBody"/>
        <w:bidi w:val="0"/>
        <w:jc w:val="center"/>
        <w:rPr>
          <w:rFonts w:ascii="Times New Roman" w:hAnsi="Times New Roman"/>
          <w:b/>
          <w:color w:val="000000"/>
          <w:sz w:val="20"/>
        </w:rPr>
      </w:pPr>
      <w:bookmarkStart w:id="7" w:name="condensed_consolidated_balance_sheets"/>
      <w:bookmarkEnd w:id="7"/>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52"/>
        <w:gridCol w:w="146"/>
        <w:gridCol w:w="211"/>
        <w:gridCol w:w="931"/>
        <w:gridCol w:w="166"/>
        <w:gridCol w:w="146"/>
        <w:gridCol w:w="211"/>
        <w:gridCol w:w="931"/>
        <w:gridCol w:w="411"/>
      </w:tblGrid>
      <w:tr>
        <w:trPr/>
        <w:tc>
          <w:tcPr>
            <w:tcW w:w="7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97,183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303,336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29,639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665,458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Restricted cash,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357,765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73,587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1,216,265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1,253,784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maturing within one year,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212,547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212,275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430,942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535,913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608,030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Temporary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Redeemable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Preferred stock, $0.0001 par value: 5,000 shares authorized, nil and nil 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 $0.0001 par value: 300,000 shares authorized, 108,168 and 106,639 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705,361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633,557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temporary equity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1,216,265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1,253,784</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Corsair Gaming, Inc.</w:t>
      </w:r>
    </w:p>
    <w:p>
      <w:pPr>
        <w:pStyle w:val="TextBody"/>
        <w:bidi w:val="0"/>
        <w:jc w:val="center"/>
        <w:rPr>
          <w:rFonts w:ascii="Times New Roman" w:hAnsi="Times New Roman"/>
          <w:b/>
          <w:color w:val="000000"/>
          <w:sz w:val="20"/>
        </w:rPr>
      </w:pPr>
      <w:bookmarkStart w:id="8" w:name="consolidated_statements_stockholders_equ"/>
      <w:bookmarkEnd w:id="8"/>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865"/>
        <w:gridCol w:w="246"/>
        <w:gridCol w:w="146"/>
        <w:gridCol w:w="691"/>
        <w:gridCol w:w="166"/>
        <w:gridCol w:w="146"/>
        <w:gridCol w:w="271"/>
        <w:gridCol w:w="480"/>
        <w:gridCol w:w="146"/>
        <w:gridCol w:w="146"/>
        <w:gridCol w:w="205"/>
        <w:gridCol w:w="726"/>
        <w:gridCol w:w="166"/>
        <w:gridCol w:w="146"/>
        <w:gridCol w:w="257"/>
        <w:gridCol w:w="869"/>
        <w:gridCol w:w="166"/>
        <w:gridCol w:w="146"/>
        <w:gridCol w:w="343"/>
        <w:gridCol w:w="1003"/>
        <w:gridCol w:w="166"/>
        <w:gridCol w:w="146"/>
        <w:gridCol w:w="275"/>
        <w:gridCol w:w="975"/>
        <w:gridCol w:w="313"/>
      </w:tblGrid>
      <w:tr>
        <w:trPr/>
        <w:tc>
          <w:tcPr>
            <w:tcW w:w="186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8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 2026</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Corsair Gaming, Inc.</w:t>
              <w:br/>
              <w:t>Stockholders’</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March 31, 2026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647,642</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8,843</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comprehensive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Change in redemption value of redeemable noncontrolling interest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(2,015</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8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Issuance of common stock in connection with employee equity incentive plans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4,456</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6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Shares withheld related to net share settlement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86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5,959</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June 30, 2026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718,771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664,854</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941"/>
        <w:gridCol w:w="146"/>
        <w:gridCol w:w="146"/>
        <w:gridCol w:w="691"/>
        <w:gridCol w:w="166"/>
        <w:gridCol w:w="146"/>
        <w:gridCol w:w="271"/>
        <w:gridCol w:w="480"/>
        <w:gridCol w:w="146"/>
        <w:gridCol w:w="146"/>
        <w:gridCol w:w="205"/>
        <w:gridCol w:w="726"/>
        <w:gridCol w:w="166"/>
        <w:gridCol w:w="146"/>
        <w:gridCol w:w="257"/>
        <w:gridCol w:w="869"/>
        <w:gridCol w:w="166"/>
        <w:gridCol w:w="146"/>
        <w:gridCol w:w="344"/>
        <w:gridCol w:w="1007"/>
        <w:gridCol w:w="166"/>
        <w:gridCol w:w="146"/>
        <w:gridCol w:w="279"/>
        <w:gridCol w:w="989"/>
        <w:gridCol w:w="314"/>
      </w:tblGrid>
      <w:tr>
        <w:trPr/>
        <w:tc>
          <w:tcPr>
            <w:tcW w:w="1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4"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 2025</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Corsair Gaming, Inc.</w:t>
              <w:br/>
              <w:t>Stockholders’</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608,757</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(20,862</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3,323</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Change in redemption value of 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3,861</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Issuance of common stock in connection with employee equity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Shares withheld related to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9,407</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688,834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(85,833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603,897</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41"/>
        <w:gridCol w:w="146"/>
        <w:gridCol w:w="146"/>
        <w:gridCol w:w="691"/>
        <w:gridCol w:w="166"/>
        <w:gridCol w:w="146"/>
        <w:gridCol w:w="271"/>
        <w:gridCol w:w="480"/>
        <w:gridCol w:w="146"/>
        <w:gridCol w:w="146"/>
        <w:gridCol w:w="205"/>
        <w:gridCol w:w="726"/>
        <w:gridCol w:w="166"/>
        <w:gridCol w:w="146"/>
        <w:gridCol w:w="257"/>
        <w:gridCol w:w="869"/>
        <w:gridCol w:w="166"/>
        <w:gridCol w:w="146"/>
        <w:gridCol w:w="344"/>
        <w:gridCol w:w="1007"/>
        <w:gridCol w:w="166"/>
        <w:gridCol w:w="146"/>
        <w:gridCol w:w="279"/>
        <w:gridCol w:w="989"/>
        <w:gridCol w:w="314"/>
      </w:tblGrid>
      <w:tr>
        <w:trPr/>
        <w:tc>
          <w:tcPr>
            <w:tcW w:w="1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4"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 2026</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Corsair Gaming, Inc.</w:t>
              <w:br/>
              <w:t>Stockholders’</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633,557</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21,627</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Change in redemption value of 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(2,935</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(5,011</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Issuance of common stock in connection with employee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6,511</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Shares withheld related to net share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12,702</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718,771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664,854</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1860"/>
        <w:gridCol w:w="146"/>
        <w:gridCol w:w="146"/>
        <w:gridCol w:w="691"/>
        <w:gridCol w:w="166"/>
        <w:gridCol w:w="146"/>
        <w:gridCol w:w="271"/>
        <w:gridCol w:w="480"/>
        <w:gridCol w:w="146"/>
        <w:gridCol w:w="146"/>
        <w:gridCol w:w="205"/>
        <w:gridCol w:w="726"/>
        <w:gridCol w:w="166"/>
        <w:gridCol w:w="146"/>
        <w:gridCol w:w="281"/>
        <w:gridCol w:w="950"/>
        <w:gridCol w:w="166"/>
        <w:gridCol w:w="146"/>
        <w:gridCol w:w="343"/>
        <w:gridCol w:w="1003"/>
        <w:gridCol w:w="166"/>
        <w:gridCol w:w="146"/>
        <w:gridCol w:w="275"/>
        <w:gridCol w:w="974"/>
        <w:gridCol w:w="314"/>
      </w:tblGrid>
      <w:tr>
        <w:trPr/>
        <w:tc>
          <w:tcPr>
            <w:tcW w:w="1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5"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 2025</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Retained Earnings</w:t>
              <w:b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 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Corsair Gaming, Inc.</w:t>
              <w:br/>
              <w:t>Stockholders’</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8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667,617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604,303</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(31,321</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8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5,444</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Change in redemption value of redeemable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4,253</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Issuance of common stock in connection with employee equity incentive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3,441</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Shares withheld related to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8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18,757</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688,834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(85,833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603,897</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Corsair Gaming, Inc.</w:t>
      </w:r>
    </w:p>
    <w:p>
      <w:pPr>
        <w:pStyle w:val="TextBody"/>
        <w:bidi w:val="0"/>
        <w:jc w:val="center"/>
        <w:rPr>
          <w:rFonts w:ascii="Times New Roman" w:hAnsi="Times New Roman"/>
          <w:b/>
          <w:color w:val="000000"/>
          <w:sz w:val="18"/>
        </w:rPr>
      </w:pPr>
      <w:bookmarkStart w:id="9" w:name="condensed_consolidated_statements_cash_f"/>
      <w:bookmarkEnd w:id="9"/>
      <w:r>
        <w:rPr>
          <w:rFonts w:ascii="Times New Roman" w:hAnsi="Times New Roman"/>
          <w:b/>
          <w:color w:val="000000"/>
          <w:sz w:val="18"/>
        </w:rPr>
        <w:t>Condensed Consolidated Statements of Cash Flows</w:t>
      </w:r>
    </w:p>
    <w:p>
      <w:pPr>
        <w:pStyle w:val="TextBody"/>
        <w:bidi w:val="0"/>
        <w:jc w:val="center"/>
        <w:rPr>
          <w:rFonts w:ascii="Times New Roman" w:hAnsi="Times New Roman"/>
          <w:b/>
          <w:color w:val="000000"/>
          <w:sz w:val="18"/>
        </w:rPr>
      </w:pPr>
      <w:r>
        <w:rPr>
          <w:rFonts w:ascii="Times New Roman" w:hAnsi="Times New Roman"/>
          <w:b/>
          <w:color w:val="000000"/>
          <w:sz w:val="18"/>
        </w:rPr>
        <w:t>(Unaudited, in thousands)</w:t>
      </w:r>
    </w:p>
    <w:tbl>
      <w:tblPr>
        <w:tblW w:w="10154" w:type="dxa"/>
        <w:jc w:val="left"/>
        <w:tblInd w:w="0" w:type="dxa"/>
        <w:tblLayout w:type="fixed"/>
        <w:tblCellMar>
          <w:top w:w="28" w:type="dxa"/>
          <w:left w:w="28" w:type="dxa"/>
          <w:bottom w:w="28" w:type="dxa"/>
          <w:right w:w="28" w:type="dxa"/>
        </w:tblCellMar>
      </w:tblPr>
      <w:tblGrid>
        <w:gridCol w:w="7201"/>
        <w:gridCol w:w="146"/>
        <w:gridCol w:w="211"/>
        <w:gridCol w:w="781"/>
        <w:gridCol w:w="166"/>
        <w:gridCol w:w="146"/>
        <w:gridCol w:w="211"/>
        <w:gridCol w:w="781"/>
        <w:gridCol w:w="511"/>
      </w:tblGrid>
      <w:tr>
        <w:trPr/>
        <w:tc>
          <w:tcPr>
            <w:tcW w:w="7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doubtful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Reversal of bargain purchase gain on business acquisition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income taxes, net of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48,943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Repayment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(49,000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issuance of shares through employee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Payment of taxes related to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Dividend paid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(47,033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restricted cash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restricted cash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107,449</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disclosures: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paid for income taxes,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schedule of 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Equipment purchased and unpaid at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Right-of-use assets obtained in exchange for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Debt issuance costs unpaid at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18"/>
        </w:rPr>
      </w:pPr>
      <w:r>
        <w:rPr>
          <w:rFonts w:ascii="Times New Roman" w:hAnsi="Times New Roman"/>
          <w:i/>
          <w:color w:val="000000"/>
          <w:sz w:val="18"/>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Corsair Gaming, Inc.</w:t>
      </w:r>
    </w:p>
    <w:p>
      <w:pPr>
        <w:pStyle w:val="TextBody"/>
        <w:bidi w:val="0"/>
        <w:jc w:val="center"/>
        <w:rPr>
          <w:rFonts w:ascii="Times New Roman" w:hAnsi="Times New Roman"/>
          <w:b/>
          <w:color w:val="000000"/>
          <w:sz w:val="20"/>
        </w:rPr>
      </w:pPr>
      <w:bookmarkStart w:id="10" w:name="notes_to_condensed_consolidated_financia"/>
      <w:bookmarkEnd w:id="10"/>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Corsair Gaming, Inc., a Delaware corporation, together with its subsidiaries (collectively, “Corsair”, the “Company”, “we”, “us”, or “our”), is a global provider and innovator of high-performance products for gamers, streamers, content creators, gaming PC builders, and sim racing enthusiasts.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Corsair is organized into two reportable segments: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Gamer and Creator Peripherals</w:t>
      </w:r>
      <w:r>
        <w:rPr>
          <w:rFonts w:ascii="Times New Roman" w:hAnsi="Times New Roman"/>
          <w:color w:val="000000"/>
          <w:sz w:val="20"/>
        </w:rPr>
        <w:t>. Includes our high-performance gaming keyboards, mice, headsets, controllers, and our streaming products, which include capture cards, Stream Decks, microphones, teleprompters, and audio interfaces, our Facecam streaming cameras, studio accessories, command center displays, sim racing products, and gaming furniture,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color w:val="000000"/>
          <w:sz w:val="20"/>
        </w:rPr>
        <w:t>Gaming Components and Systems</w:t>
      </w:r>
      <w:r>
        <w:rPr>
          <w:rFonts w:ascii="Times New Roman" w:hAnsi="Times New Roman"/>
          <w:color w:val="000000"/>
          <w:sz w:val="20"/>
        </w:rPr>
        <w:t>. Includes our high-performance power supply units, cooling solutions, computer cases, DRAM modules, as well as high-end prebuilt and custom-built gaming PCs and laptops, and AI workstations, among others.</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interim condensed consolidated financial statements have been prepared in accordance with U.S. generally accepted accounting principles (“U.S. GAAP”) and applicable rules and regulations of the U.S. Securities and Exchange Commission (“SEC”) regarding interim financial reporting. The accounting policies we follow are set forth in Part II, Item 8, Note 2, “Significant Accounting Policies”, of the Notes to the Consolidated Financial Statements included in our Annual Report on Form 10-K for the year ended December 31, 2025 which was filed with the SEC on February 25,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consolidated balance sheet as of December 31, 2025, included herein, was derived from the audited consolidated financial statements as of that date. Certain information and note disclosures normally included in the financial statements prepared in accordance with U.S. GAAP have been condensed, combined or omitted pursuant to such rules and regulations. Therefore, these interim condensed consolidated financial statements should be read in conjunction with our consolidated financial statements and notes thereto for the year ended December 31, 2025, included in our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interim condensed consolidated financial statements have been prepared on the same basis as the audited consolidated financial statements, and in management’s opinion, include all adjustments, which consist of only normal recurring adjustments necessary for the fair statement of our condensed consolidated balance sheet as of June 30, 2026 and our results of operations for the three and six months ended June 30, 2026 and 2025. The results for the three and six months ended June 30, 2026 are not necessarily indicative of the results expected for the current fiscal year or any other future periods.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include the accounts of Corsair and its wholly owned subsidiaries. All intercompany accounts and transactions have been eliminated in consolidation. For consolidated entities where we own less than 100% of the equity, our consolidated net comprehensive income (loss) is reduced by the portion attributable to the noncontrolling interest. The ownership interest of other investors is recorded as noncontrolling interest in the condensed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determining whether an entity is considered a controlled entity, we apply the VIE (variable interest entity) and VOE (voting interest entity) models. Entities that do not qualify as a VIE are assessed for consolidation under the VOE model. Under the VOE model, we consolidate the entity if we determine that we have a controlling financial interest in the entity through our ownership of greater than 50% of the outstanding voting shares of the entity and that other equity holders do not have substantive voting, participating or liquidation rights.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U.S. GAAP requires management to make estimates and assumptions that affect the reported amounts of assets and liabilities and disclosure of contingent assets and liabilities as of the date of the condensed consolidated financial statements and the reported amounts of revenues and expenses during the reporting period. Such estimates include, but are not limited to, the valuation of intangible assets, accounts receivable, sales return reserves, reserves for customer incentives, warranty reserves, inventories, derivative instruments, stock-based compensation, deferred income tax, and uncertain tax positions. These estimates and assumptions are based on management’s best estimates and judgment. Management evaluates its estimates and assumptions on an ongoing basis using historical experience and other factors, including the potential impacts from the events in the current economic and geopolitical environment. We adjust such estimates and assumptions when facts and circumstances dictate. The extent to which current macroeconomic conditions, including recent changes in trade regulations and tariffs, as well as developments in international trade regulations and agreements, continued geopolitical unrest, and regional conflicts and hostilities will impact our business going forward depends on numerous dynamic factors that we cannot reliably predict. Actual results could differ materially from those estimates. Making estimates and judgments about future events is inherently unpredictable and is subject to significant uncertainties, some of which are beyond our control. Should any of these estimates and assumptions change or prove to have been incorrect, it could have a material impact on our results of operations, financial position and cash flows.</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2025, the FASB issued ASU No. 2025-05, Financial Instruments - Credit Losses (Topic 326) - Measurement of Credit Losses for Accounts Receivable and Contract Assets. This ASU introduces a practical expedient for the application of the current expected credit loss (“CECL”) model to assume that conditions as of the balance sheet date remain unchanged over the life of the asset when estimating expected credit losses for current accounts receivable and current contract assets arising from transactions accounted for under Topic 606. We adopted this standard effective January 1, 2026, prospectively. The adoption of this new standard did not have a material impact on our condensed consolidated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Accounting Pronouncements Issued but Not Yet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the FASB issued ASU No. 2024-03, Income Statement (Topic 220) - Reporting Comprehensive Income - Expense Disaggregation Disclosures: Disaggregation of Income Statement Expenses. This ASU requires additional disclosures about the nature of expenses included in the income statement, such as purchases of inventory, employee compensation and depreciation. This ASU 2024-03 is effective for annual periods beginning after December 15, 2026 and interim reporting periods beginning after December 15, 2027, with early adoption permitted. We are currently evaluating the provisions of this ASU and expect to adopt them for the year ended December 31,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FASB issued ASU No. 2025-06, Intangibles, Goodwill and Other Internal-Use Software (Topic 350) - Targeted Improvements to the Accounting for Internal-Use Software. The amendments in this update improve the operability of the guidance by removing all references to software development project stages so that the guidance is neutral to different software development methods. This update is effective for annual periods beginning after December 15, 2027, including interim periods within those fiscal years, though early adoption is permitted. We are currently evaluating the provisions of this ASU and do not expect the adoption to have a material effect on our consolidated financial statements. We expect to adopt this ASU for the fiscal year beginning January 1,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the FASB issued ASU No. 2025-09, Derivatives and Hedging (Topic 815) - Hedge Accounting Improvements. The amendments in this update are intended to more closely align hedge accounting with the economics of an entity's risk management activities. This update is effective for annual periods beginning after December 15, 2026, including interim periods within those fiscal years, though early adoption is permitted. The amendments should be applied prospectively. We are currently evaluating the provisions of this ASU to determine its impact on our consolidated financial statements. We expect to adopt this ASU for the fiscal year beginning January 1,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the FASB issued ASU No. 2025-11, Interim Reporting (Topic 270): - Narrow-Scope Improvements. The amendments provide a comprehensive list of required interim disclosures and introduce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We are currently evaluating the impact of adopting this ASU on our consolidated financial statements and related disclosures.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Derivative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enter into derivative instruments such as foreign currency forward contracts, to minimize the short-term impact of foreign currency exchange rate fluctuations on certain foreign currency denominated assets and liabilities. The derivative instruments are recorded at fair value in prepaid expenses and other current assets or other liabilities and accrued expenses on the condensed consolidated balance sheets. We do not designate such instruments as hedges for accounting purposes; accordingly, changes in the value of these contracts are recognized in each reporting period in other (expense) income, net in the condensed consolidated statements of operations. We do not enter into derivative instruments for trading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foreign currency forward contracts generally mature within two months. The notional principal amount of outstanding foreign exchange forward contracts was $20.5 million and $28.5 million as of June 30, 2026 and December 31, 2025, respectively. The net fair value gains (losses) recognized in other income (expense), net in relation to these derivative instruments was $0.1 million and $(3.0) million for the three months ended June 30, 2026 and 2025, respectively, and was $0.3 million and $(4.7) million for the six months ended June 30, 2026 and 2025,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Goodwill and Intangible Assets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Goodwill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changes in the carrying amount of goodwill by reportable segment (in thousands):</w:t>
      </w:r>
    </w:p>
    <w:tbl>
      <w:tblPr>
        <w:tblW w:w="7967" w:type="dxa"/>
        <w:jc w:val="left"/>
        <w:tblInd w:w="0" w:type="dxa"/>
        <w:tblLayout w:type="fixed"/>
        <w:tblCellMar>
          <w:top w:w="28" w:type="dxa"/>
          <w:left w:w="28" w:type="dxa"/>
          <w:bottom w:w="28" w:type="dxa"/>
          <w:right w:w="28" w:type="dxa"/>
        </w:tblCellMar>
      </w:tblPr>
      <w:tblGrid>
        <w:gridCol w:w="3536"/>
        <w:gridCol w:w="146"/>
        <w:gridCol w:w="213"/>
        <w:gridCol w:w="793"/>
        <w:gridCol w:w="266"/>
        <w:gridCol w:w="246"/>
        <w:gridCol w:w="211"/>
        <w:gridCol w:w="781"/>
        <w:gridCol w:w="246"/>
        <w:gridCol w:w="246"/>
        <w:gridCol w:w="211"/>
        <w:gridCol w:w="781"/>
        <w:gridCol w:w="291"/>
      </w:tblGrid>
      <w:tr>
        <w:trPr/>
        <w:tc>
          <w:tcPr>
            <w:tcW w:w="3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Gaming</w:t>
              <w:br/>
              <w:t>Components</w:t>
              <w:br/>
              <w:t>and</w:t>
              <w:br/>
              <w:t>Systems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Gamer and</w:t>
              <w:br/>
              <w:t>Creator</w:t>
              <w:br/>
              <w:t>Peripherals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148,956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208,809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357,765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 of foreign currency exchange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148,948</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208,469</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357,417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Intangible assets,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is a summary of intangible assets, net (in thousands):</w:t>
      </w:r>
    </w:p>
    <w:tbl>
      <w:tblPr>
        <w:tblW w:w="10205" w:type="dxa"/>
        <w:jc w:val="left"/>
        <w:tblInd w:w="0" w:type="dxa"/>
        <w:tblLayout w:type="fixed"/>
        <w:tblCellMar>
          <w:top w:w="28" w:type="dxa"/>
          <w:left w:w="28" w:type="dxa"/>
          <w:bottom w:w="28" w:type="dxa"/>
          <w:right w:w="28" w:type="dxa"/>
        </w:tblCellMar>
      </w:tblPr>
      <w:tblGrid>
        <w:gridCol w:w="2224"/>
        <w:gridCol w:w="211"/>
        <w:gridCol w:w="781"/>
        <w:gridCol w:w="146"/>
        <w:gridCol w:w="146"/>
        <w:gridCol w:w="229"/>
        <w:gridCol w:w="852"/>
        <w:gridCol w:w="146"/>
        <w:gridCol w:w="146"/>
        <w:gridCol w:w="211"/>
        <w:gridCol w:w="781"/>
        <w:gridCol w:w="146"/>
        <w:gridCol w:w="146"/>
        <w:gridCol w:w="211"/>
        <w:gridCol w:w="781"/>
        <w:gridCol w:w="146"/>
        <w:gridCol w:w="146"/>
        <w:gridCol w:w="229"/>
        <w:gridCol w:w="852"/>
        <w:gridCol w:w="146"/>
        <w:gridCol w:w="146"/>
        <w:gridCol w:w="211"/>
        <w:gridCol w:w="781"/>
        <w:gridCol w:w="391"/>
      </w:tblGrid>
      <w:tr>
        <w:trPr/>
        <w:tc>
          <w:tcPr>
            <w:tcW w:w="2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w:t>
              <w:br/>
              <w:t>Carrying</w:t>
              <w:b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name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portfolio</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Supplier relationships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finite-life intangibles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89,780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Indefinite life trade name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35,430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intangible assets</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368,136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261,647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106,489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372,619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247,409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125,210</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year when an identified intangible asset becomes fully amortized, the fully amortized balances from the gross asset and accumulated amortization amounts are removed from the table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estimated future amortization expense of intangible assets as of June 30, 2026 is as follows (in thousands):</w:t>
      </w:r>
    </w:p>
    <w:tbl>
      <w:tblPr>
        <w:tblW w:w="3105" w:type="dxa"/>
        <w:jc w:val="left"/>
        <w:tblInd w:w="0" w:type="dxa"/>
        <w:tblLayout w:type="fixed"/>
        <w:tblCellMar>
          <w:top w:w="28" w:type="dxa"/>
          <w:left w:w="28" w:type="dxa"/>
          <w:bottom w:w="28" w:type="dxa"/>
          <w:right w:w="28" w:type="dxa"/>
        </w:tblCellMar>
      </w:tblPr>
      <w:tblGrid>
        <w:gridCol w:w="1681"/>
        <w:gridCol w:w="146"/>
        <w:gridCol w:w="211"/>
        <w:gridCol w:w="676"/>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71,059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Balance Sheet Components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 following tables present the components of certain balance sheet amounts (in thousands):</w:t>
      </w:r>
    </w:p>
    <w:p>
      <w:pPr>
        <w:pStyle w:val="TextBody"/>
        <w:bidi w:val="0"/>
        <w:jc w:val="left"/>
        <w:rPr/>
      </w:pPr>
      <w:r>
        <w:rPr/>
        <w:t> </w:t>
      </w:r>
    </w:p>
    <w:tbl>
      <w:tblPr>
        <w:tblW w:w="5622" w:type="dxa"/>
        <w:jc w:val="left"/>
        <w:tblInd w:w="0" w:type="dxa"/>
        <w:tblLayout w:type="fixed"/>
        <w:tblCellMar>
          <w:top w:w="28" w:type="dxa"/>
          <w:left w:w="28" w:type="dxa"/>
          <w:bottom w:w="28" w:type="dxa"/>
          <w:right w:w="28" w:type="dxa"/>
        </w:tblCellMar>
      </w:tblPr>
      <w:tblGrid>
        <w:gridCol w:w="2706"/>
        <w:gridCol w:w="146"/>
        <w:gridCol w:w="211"/>
        <w:gridCol w:w="781"/>
        <w:gridCol w:w="146"/>
        <w:gridCol w:w="146"/>
        <w:gridCol w:w="260"/>
        <w:gridCol w:w="835"/>
        <w:gridCol w:w="391"/>
      </w:tblGrid>
      <w:tr>
        <w:trPr/>
        <w:tc>
          <w:tcPr>
            <w:tcW w:w="2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cash—short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98,833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732" w:type="dxa"/>
        <w:jc w:val="left"/>
        <w:tblInd w:w="0" w:type="dxa"/>
        <w:tblLayout w:type="fixed"/>
        <w:tblCellMar>
          <w:top w:w="28" w:type="dxa"/>
          <w:left w:w="28" w:type="dxa"/>
          <w:bottom w:w="28" w:type="dxa"/>
          <w:right w:w="28" w:type="dxa"/>
        </w:tblCellMar>
      </w:tblPr>
      <w:tblGrid>
        <w:gridCol w:w="2776"/>
        <w:gridCol w:w="146"/>
        <w:gridCol w:w="211"/>
        <w:gridCol w:w="781"/>
        <w:gridCol w:w="166"/>
        <w:gridCol w:w="146"/>
        <w:gridCol w:w="233"/>
        <w:gridCol w:w="862"/>
        <w:gridCol w:w="4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Accounts receivable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234,226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doubtful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233,900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sz w:val="20"/>
        </w:rPr>
      </w:pPr>
      <w:r>
        <w:rPr>
          <w:rFonts w:ascii="Times New Roman" w:hAnsi="Times New Roman"/>
          <w:color w:val="000000"/>
          <w:sz w:val="19"/>
        </w:rPr>
        <w:t>As of June 30, 2026, two</w:t>
      </w:r>
      <w:r>
        <w:rPr>
          <w:rFonts w:ascii="Times New Roman" w:hAnsi="Times New Roman"/>
          <w:color w:val="000000"/>
          <w:sz w:val="20"/>
        </w:rPr>
        <w:t xml:space="preserve"> </w:t>
      </w:r>
      <w:r>
        <w:rPr>
          <w:rFonts w:ascii="Times New Roman" w:hAnsi="Times New Roman"/>
          <w:color w:val="000000"/>
          <w:sz w:val="19"/>
        </w:rPr>
        <w:t>customers represented 49.8%</w:t>
      </w:r>
      <w:r>
        <w:rPr>
          <w:rFonts w:ascii="Times New Roman" w:hAnsi="Times New Roman"/>
          <w:color w:val="000000"/>
          <w:sz w:val="20"/>
        </w:rPr>
        <w:t xml:space="preserve"> </w:t>
      </w:r>
      <w:r>
        <w:rPr>
          <w:rFonts w:ascii="Times New Roman" w:hAnsi="Times New Roman"/>
          <w:color w:val="000000"/>
          <w:sz w:val="19"/>
        </w:rPr>
        <w:t>and 11.7%</w:t>
      </w:r>
      <w:r>
        <w:rPr>
          <w:rFonts w:ascii="Times New Roman" w:hAnsi="Times New Roman"/>
          <w:color w:val="000000"/>
          <w:sz w:val="20"/>
        </w:rPr>
        <w:t xml:space="preserve"> </w:t>
      </w:r>
      <w:r>
        <w:rPr>
          <w:rFonts w:ascii="Times New Roman" w:hAnsi="Times New Roman"/>
          <w:color w:val="000000"/>
          <w:sz w:val="19"/>
        </w:rPr>
        <w:t>of our accounts receivable, net balance, respectively. As of December 31, 2025, two</w:t>
      </w:r>
      <w:r>
        <w:rPr>
          <w:rFonts w:ascii="Times New Roman" w:hAnsi="Times New Roman"/>
          <w:color w:val="000000"/>
          <w:sz w:val="20"/>
        </w:rPr>
        <w:t xml:space="preserve"> </w:t>
      </w:r>
      <w:r>
        <w:rPr>
          <w:rFonts w:ascii="Times New Roman" w:hAnsi="Times New Roman"/>
          <w:color w:val="000000"/>
          <w:sz w:val="19"/>
        </w:rPr>
        <w:t>customers represented 42.0%</w:t>
      </w:r>
      <w:r>
        <w:rPr>
          <w:rFonts w:ascii="Times New Roman" w:hAnsi="Times New Roman"/>
          <w:color w:val="000000"/>
          <w:sz w:val="20"/>
        </w:rPr>
        <w:t xml:space="preserve"> </w:t>
      </w:r>
      <w:r>
        <w:rPr>
          <w:rFonts w:ascii="Times New Roman" w:hAnsi="Times New Roman"/>
          <w:color w:val="000000"/>
          <w:sz w:val="19"/>
        </w:rPr>
        <w:t>and 14.4%</w:t>
      </w:r>
      <w:r>
        <w:rPr>
          <w:rFonts w:ascii="Times New Roman" w:hAnsi="Times New Roman"/>
          <w:color w:val="000000"/>
          <w:sz w:val="20"/>
        </w:rPr>
        <w:t xml:space="preserve"> </w:t>
      </w:r>
      <w:r>
        <w:rPr>
          <w:rFonts w:ascii="Times New Roman" w:hAnsi="Times New Roman"/>
          <w:color w:val="000000"/>
          <w:sz w:val="19"/>
        </w:rPr>
        <w:t>of our accounts receivable, net balance, respectively.</w:t>
      </w:r>
    </w:p>
    <w:p>
      <w:pPr>
        <w:pStyle w:val="TextBody"/>
        <w:bidi w:val="0"/>
        <w:jc w:val="left"/>
        <w:rPr/>
      </w:pPr>
      <w:r>
        <w:rPr/>
        <w:t> </w:t>
      </w:r>
    </w:p>
    <w:tbl>
      <w:tblPr>
        <w:tblW w:w="4417" w:type="dxa"/>
        <w:jc w:val="left"/>
        <w:tblInd w:w="0" w:type="dxa"/>
        <w:tblLayout w:type="fixed"/>
        <w:tblCellMar>
          <w:top w:w="28" w:type="dxa"/>
          <w:left w:w="28" w:type="dxa"/>
          <w:bottom w:w="28" w:type="dxa"/>
          <w:right w:w="28" w:type="dxa"/>
        </w:tblCellMar>
      </w:tblPr>
      <w:tblGrid>
        <w:gridCol w:w="1501"/>
        <w:gridCol w:w="146"/>
        <w:gridCol w:w="211"/>
        <w:gridCol w:w="781"/>
        <w:gridCol w:w="146"/>
        <w:gridCol w:w="146"/>
        <w:gridCol w:w="233"/>
        <w:gridCol w:w="862"/>
        <w:gridCol w:w="391"/>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217,945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303,336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As of June 30, 2026, consigned inventories included within our raw material and work in progress were $7.0 million and $3.7 million, respectively. As of December 31, 2025, consigned inventories included within our raw material and work in progress were $1.2 million and $12.0 million, respectively.</w:t>
      </w:r>
    </w:p>
    <w:p>
      <w:pPr>
        <w:pStyle w:val="TextBody"/>
        <w:bidi w:val="0"/>
        <w:jc w:val="left"/>
        <w:rPr/>
      </w:pPr>
      <w:r>
        <w:rPr/>
        <w:t> </w:t>
      </w:r>
    </w:p>
    <w:p>
      <w:pPr>
        <w:pStyle w:val="TextBody"/>
        <w:bidi w:val="0"/>
        <w:jc w:val="left"/>
        <w:rPr/>
      </w:pPr>
      <w:r>
        <w:rPr/>
        <w:t> </w:t>
      </w:r>
    </w:p>
    <w:tbl>
      <w:tblPr>
        <w:tblW w:w="7292" w:type="dxa"/>
        <w:jc w:val="left"/>
        <w:tblInd w:w="0" w:type="dxa"/>
        <w:tblLayout w:type="fixed"/>
        <w:tblCellMar>
          <w:top w:w="28" w:type="dxa"/>
          <w:left w:w="28" w:type="dxa"/>
          <w:bottom w:w="28" w:type="dxa"/>
          <w:right w:w="28" w:type="dxa"/>
        </w:tblCellMar>
      </w:tblPr>
      <w:tblGrid>
        <w:gridCol w:w="4381"/>
        <w:gridCol w:w="146"/>
        <w:gridCol w:w="211"/>
        <w:gridCol w:w="736"/>
        <w:gridCol w:w="166"/>
        <w:gridCol w:w="146"/>
        <w:gridCol w:w="244"/>
        <w:gridCol w:w="851"/>
        <w:gridCol w:w="41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software and 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80,748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(49,234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31,514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462" w:type="dxa"/>
        <w:jc w:val="left"/>
        <w:tblInd w:w="0" w:type="dxa"/>
        <w:tblLayout w:type="fixed"/>
        <w:tblCellMar>
          <w:top w:w="28" w:type="dxa"/>
          <w:left w:w="28" w:type="dxa"/>
          <w:bottom w:w="28" w:type="dxa"/>
          <w:right w:w="28" w:type="dxa"/>
        </w:tblCellMar>
      </w:tblPr>
      <w:tblGrid>
        <w:gridCol w:w="1651"/>
        <w:gridCol w:w="146"/>
        <w:gridCol w:w="211"/>
        <w:gridCol w:w="676"/>
        <w:gridCol w:w="146"/>
        <w:gridCol w:w="146"/>
        <w:gridCol w:w="260"/>
        <w:gridCol w:w="835"/>
        <w:gridCol w:w="3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tbl>
      <w:tblPr>
        <w:tblW w:w="7057" w:type="dxa"/>
        <w:jc w:val="left"/>
        <w:tblInd w:w="0" w:type="dxa"/>
        <w:tblLayout w:type="fixed"/>
        <w:tblCellMar>
          <w:top w:w="28" w:type="dxa"/>
          <w:left w:w="28" w:type="dxa"/>
          <w:bottom w:w="28" w:type="dxa"/>
          <w:right w:w="28" w:type="dxa"/>
        </w:tblCellMar>
      </w:tblPr>
      <w:tblGrid>
        <w:gridCol w:w="4141"/>
        <w:gridCol w:w="146"/>
        <w:gridCol w:w="211"/>
        <w:gridCol w:w="781"/>
        <w:gridCol w:w="146"/>
        <w:gridCol w:w="146"/>
        <w:gridCol w:w="233"/>
        <w:gridCol w:w="862"/>
        <w:gridCol w:w="3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reserves for customer incentive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61,173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reserves for sales returns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freight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use tax and value-added tax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warranty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212,275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5992" w:type="dxa"/>
        <w:jc w:val="left"/>
        <w:tblInd w:w="0" w:type="dxa"/>
        <w:tblLayout w:type="fixed"/>
        <w:tblCellMar>
          <w:top w:w="28" w:type="dxa"/>
          <w:left w:w="28" w:type="dxa"/>
          <w:bottom w:w="28" w:type="dxa"/>
          <w:right w:w="28" w:type="dxa"/>
        </w:tblCellMar>
      </w:tblPr>
      <w:tblGrid>
        <w:gridCol w:w="3181"/>
        <w:gridCol w:w="146"/>
        <w:gridCol w:w="211"/>
        <w:gridCol w:w="676"/>
        <w:gridCol w:w="146"/>
        <w:gridCol w:w="146"/>
        <w:gridCol w:w="260"/>
        <w:gridCol w:w="835"/>
        <w:gridCol w:w="3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52,785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55,795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Debt</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 xml:space="preserve">On June 30, 2025, we entered into an Amended and Restated Credit Agreement (the “Amended and Restated Credit Agreement”) with Bank of America, N.A. (“BofA”) to refinance our prior first lien credit and guaranty agreement with BofA, entered into on September 3, 2021. The Amended and Restated Credit Agreement provides for total commitments of $225.0 million, consisting of a $100.0 million five-year revolving credit facility maturing on June 30, 2030 (the “June 2030 Revolving Facility”) and a $125.0 million five-year term loan facility maturing on June 30, 2030 (the “June 2030 Term Loan”). The Amended and Restated Credit Agreement also permits, subject to conditions stated therein, additional incremental facilities in a maximum aggregate principal amount not to exceed $125.0 million. </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The Amended and Restated Credit Agreement has a variable rate structure. According to the provisions of the Amended and Restated Credit Agreement, the June 2030 Term Loan and June 2030 Revolving Facility each bears interest at our election, at either (a) term Secured Overnight Financing Rate (“SOFR”) plus a percentage spread (ranging from 1.50% to 2.50%) based on our total net leverage ratio or (b) the base rate (as described in the Amended and Restated Credit Agreement as the greatest of (i) Bank of America’s prime rate, (ii) the federal funds rate plus 0.50% and (iii) one-month term SOFR plus 1.0%) plus a percentage spread (ranging from 0.50% to 1.50%) based on our total net leverage ratio.</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carrying value of our term loans (in thousands):</w:t>
      </w:r>
    </w:p>
    <w:tbl>
      <w:tblPr>
        <w:tblW w:w="7307" w:type="dxa"/>
        <w:jc w:val="left"/>
        <w:tblInd w:w="0" w:type="dxa"/>
        <w:tblLayout w:type="fixed"/>
        <w:tblCellMar>
          <w:top w:w="28" w:type="dxa"/>
          <w:left w:w="28" w:type="dxa"/>
          <w:bottom w:w="28" w:type="dxa"/>
          <w:right w:w="28" w:type="dxa"/>
        </w:tblCellMar>
      </w:tblPr>
      <w:tblGrid>
        <w:gridCol w:w="4351"/>
        <w:gridCol w:w="146"/>
        <w:gridCol w:w="211"/>
        <w:gridCol w:w="781"/>
        <w:gridCol w:w="166"/>
        <w:gridCol w:w="146"/>
        <w:gridCol w:w="233"/>
        <w:gridCol w:w="862"/>
        <w:gridCol w:w="41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2030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121,875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discount and issuance cost, net of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121,342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debt maturing within one year,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115,222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120"/>
        <w:jc w:val="left"/>
        <w:rPr>
          <w:rFonts w:ascii="Times New Roman" w:hAnsi="Times New Roman"/>
          <w:color w:val="000000"/>
          <w:sz w:val="20"/>
        </w:rPr>
      </w:pPr>
      <w:r>
        <w:rPr>
          <w:rFonts w:ascii="Times New Roman" w:hAnsi="Times New Roman"/>
          <w:color w:val="000000"/>
          <w:sz w:val="20"/>
        </w:rPr>
        <w:t>As of June 30, 2026, the estimated fair value of the June 2030 Term Loan, which we have classified as a Level 2 financial instrument, was approximately $121.3 million.</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The unused capacity of the June 2030 Revolving Facility was $99.6 million and $99.5 million as of June 30, 2026 and December 31, 2025, respectively.</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The effective interest rate for our term loans, inclusive of the amortization of debt discount and debt issuance costs, was approximately 5.31% and 6.26% for the three months ended June 30, 2026 and 2025, respectively, and was approximately 5.30% and 6.21% for the six months ended June 30, 2026 and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The Amended and Restated Credit Agreement contains covenants with which we must comply during the term of the agreement, which we believe are ordinary and standard for agreements of this nature, including the maintenance of a maximum Consolidated Total Net Leverage Ratio (“CTNL Ratio”) and a minimum Consolidated Interest Coverage Ratio (“CIC Ratio”) (as defined in the Amended and Restated Credit Agreement). According to the provisions of the Amended and Restated Credit Agreement, we are required to maintain a maximum CTNL Ratio of 3.00 to 1.00 and a minimum CIC ratio of 3.00 to 1.00, with the provision that the maximum CTNL Ratio can be temporarily increased to 3.50 to 1.00 upon the occurrence of a Qualified Acquisition (as defined in, and subject to the requirements of the Amended and Restated Credit Agreement). As of June 30, 2026, we were fully in compliance under the Amended and Restated Credit Agreement.</w:t>
      </w:r>
    </w:p>
    <w:p>
      <w:pPr>
        <w:pStyle w:val="TextBody"/>
        <w:bidi w:val="0"/>
        <w:jc w:val="left"/>
        <w:rPr>
          <w:rFonts w:ascii="Times New Roman" w:hAnsi="Times New Roman"/>
          <w:color w:val="000000"/>
          <w:sz w:val="20"/>
        </w:rPr>
      </w:pPr>
      <w:r>
        <w:rPr>
          <w:rFonts w:ascii="Times New Roman" w:hAnsi="Times New Roman"/>
          <w:color w:val="000000"/>
          <w:sz w:val="20"/>
        </w:rPr>
        <w:t>Our obligations under the Amended and Restated Credit Agreement are guaranteed by substantially all of our U.S. subsidiaries and secured by a security interest in substantially all of our assets and the assets of the guarantor subsidiaries, subject to certain exceptions detailed in the Amended and Restated Credit Agreement and related ancillary documentation.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interest expense recognized for all periods presented (in thousands):</w:t>
      </w:r>
    </w:p>
    <w:tbl>
      <w:tblPr>
        <w:tblW w:w="8362" w:type="dxa"/>
        <w:jc w:val="left"/>
        <w:tblInd w:w="0" w:type="dxa"/>
        <w:tblLayout w:type="fixed"/>
        <w:tblCellMar>
          <w:top w:w="28" w:type="dxa"/>
          <w:left w:w="28" w:type="dxa"/>
          <w:bottom w:w="28" w:type="dxa"/>
          <w:right w:w="28" w:type="dxa"/>
        </w:tblCellMar>
      </w:tblPr>
      <w:tblGrid>
        <w:gridCol w:w="4021"/>
        <w:gridCol w:w="146"/>
        <w:gridCol w:w="211"/>
        <w:gridCol w:w="571"/>
        <w:gridCol w:w="146"/>
        <w:gridCol w:w="146"/>
        <w:gridCol w:w="211"/>
        <w:gridCol w:w="571"/>
        <w:gridCol w:w="146"/>
        <w:gridCol w:w="146"/>
        <w:gridCol w:w="211"/>
        <w:gridCol w:w="571"/>
        <w:gridCol w:w="146"/>
        <w:gridCol w:w="146"/>
        <w:gridCol w:w="211"/>
        <w:gridCol w:w="571"/>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interest expense for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discount and issuance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future principal payments under our total long-term debt as of June 30, 2026 are as follows (in thousands):</w:t>
      </w:r>
    </w:p>
    <w:tbl>
      <w:tblPr>
        <w:tblW w:w="3210" w:type="dxa"/>
        <w:jc w:val="left"/>
        <w:tblInd w:w="0" w:type="dxa"/>
        <w:tblLayout w:type="fixed"/>
        <w:tblCellMar>
          <w:top w:w="28" w:type="dxa"/>
          <w:left w:w="28" w:type="dxa"/>
          <w:bottom w:w="28" w:type="dxa"/>
          <w:right w:w="28" w:type="dxa"/>
        </w:tblCellMar>
      </w:tblPr>
      <w:tblGrid>
        <w:gridCol w:w="1681"/>
        <w:gridCol w:w="146"/>
        <w:gridCol w:w="211"/>
        <w:gridCol w:w="781"/>
        <w:gridCol w:w="3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118,750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Product Warranties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assurance-type warranty obligations were as follows (in thousands):</w:t>
      </w:r>
    </w:p>
    <w:tbl>
      <w:tblPr>
        <w:tblW w:w="8987" w:type="dxa"/>
        <w:jc w:val="left"/>
        <w:tblInd w:w="0" w:type="dxa"/>
        <w:tblLayout w:type="fixed"/>
        <w:tblCellMar>
          <w:top w:w="28" w:type="dxa"/>
          <w:left w:w="28" w:type="dxa"/>
          <w:bottom w:w="28" w:type="dxa"/>
          <w:right w:w="28" w:type="dxa"/>
        </w:tblCellMar>
      </w:tblPr>
      <w:tblGrid>
        <w:gridCol w:w="4146"/>
        <w:gridCol w:w="146"/>
        <w:gridCol w:w="211"/>
        <w:gridCol w:w="631"/>
        <w:gridCol w:w="166"/>
        <w:gridCol w:w="146"/>
        <w:gridCol w:w="211"/>
        <w:gridCol w:w="631"/>
        <w:gridCol w:w="166"/>
        <w:gridCol w:w="146"/>
        <w:gridCol w:w="211"/>
        <w:gridCol w:w="631"/>
        <w:gridCol w:w="166"/>
        <w:gridCol w:w="146"/>
        <w:gridCol w:w="211"/>
        <w:gridCol w:w="631"/>
        <w:gridCol w:w="391"/>
      </w:tblGrid>
      <w:tr>
        <w:trPr/>
        <w:tc>
          <w:tcPr>
            <w:tcW w:w="4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Warranty provision related to products shipped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Deductions for warranty claims processed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Unconditional Purchase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we enter into various purchase commitments for goods or services. Our long-term non-cancelable purchase commitments consist primarily of multi-year contractual arrangements relating to subscriptions for our enterprise resource planning system and the related support services, in addition to commitments related to other cloud computing hosting arrangements. Total long-term non-cancelable purchase commitments as of June 30, 2026 and December 31, 2025 were $2.5 million and $3.9 million, respectively.</w:t>
      </w:r>
    </w:p>
    <w:p>
      <w:pPr>
        <w:pStyle w:val="TextBody"/>
        <w:bidi w:val="0"/>
        <w:spacing w:before="240" w:after="283"/>
        <w:jc w:val="left"/>
        <w:rPr>
          <w:rFonts w:ascii="Times New Roman" w:hAnsi="Times New Roman"/>
          <w:sz w:val="20"/>
        </w:rPr>
      </w:pPr>
      <w:r>
        <w:rPr>
          <w:rFonts w:ascii="Times New Roman" w:hAnsi="Times New Roman"/>
          <w:b/>
          <w:i/>
          <w:color w:val="000000"/>
          <w:sz w:val="20"/>
        </w:rPr>
        <w:t>Letters of Credit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Letters of credit outstanding as of June 30, 2026 and December 31, 2025 were $0.4 million and $0.5 million, respectively. No amounts have been drawn upon the letters of credit for the six months ended June 30, 2026 and for the year ended December 31, 2025,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from time to time be involved in various claims and legal proceedings of a character normally incidental to the ordinary course of business. Litigation can be expensive and disruptive to normal business operations, and the results of complex legal proceedings are difficult to predict, and our view of these matters may change in the future as the litigation and events related thereto unfold. We expense legal fees as incurred and we record a provision for contingent losses when it is both probable that a liability has been incurred and the amount of the loss can be reasonably estimated. Based on currently available information, we believe there are no existing claims or proceedings that are likely to have a material adverse effect on our financial position, or the outcome of these matters is currently not determinable. An unfavorable outcome to any legal matter, if material, could have an adverse effect on our operations or our financial position, liquidity, results of operations or cash flows.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may provide indemnifications of varying scope and terms with respect to certain transactions. We have entered into indemnification agreements with directors and certain officers and employees that will require Corsair, among other things, to indemnify them against certain liabilities that may arise by reason of their status or service as directors, officers or employees. No demands have been made upon Corsair to provide indemnification under such agreements, and thus, there are no claims that we are aware of that could have a material effect on our condensed consolidated balance sheets, statements of operations, or statements of cash flows. We currently have directors’ and officers’ insurance.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Stockholders’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30, 2026, the Board of Directors authorized us to repurchase up to $50 million of our outstanding shares of common stock. This represents Corsair’s first repurchase authorization. This program has no expiration date and may be suspended or discontinued at any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share repurchases for the three months ended June 30, 2026. As of June 30, 2026, approximately $45.0 million remained available under this program. </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Shelf-Registration Statement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7, 2025, we filed a shelf registration statement on Form S-3 with the SEC, which was declared effective on August 15, 2025 (the “2025 Shelf Registration Statement”). The 2025 Shelf Registration Statement registered securities to be offered by us, in an amount up to $300.0 million, including common stock, preferred stock and warrants through August 15, 2028. As of June 30, 2026, all $300.0 million remained unsold. The shelf also registered 56,300,771 shares held by certain selling securityholders, all of which remained unsold as of June 30, 2026.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Equity Incentive Plans and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have two active equity incentive plans: the 2020 Equity Incentive Plan and the Employee Stock Purchase Plan (“ESPP”).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grant performance stock units (“PSUs”) to certain members of our management team under the 2020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2026, we granted PSUs (“2026 PSUs”) to certain members of our management team under the 2020 Equity Incentive Plan. Vesting of the 2026 PSUs is conditional upon the achievement of certain financial performance targets tied to the year ending December 31, 2026, and therefore, no 2026 PSUs vested in the three or six months ended June 30, 2026. The number of units that may be earned ranges from 0% to 200% of the target shares based on the achievement of the performance conditions, with vesting subject to such performance achievement and continued service. In the event the minimum targets are not achieved, no 2026 PSUs would vest.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we granted PSUs (“2025 PSUs”) to certain members of our management team under the 2020 Equity Incentive Plan. Vesting of the 2025 PSUs is conditional upon the achievement of certain financial performance targets tied to the Company’s 2025 financial performance and the number of 2025 PSUs earned was certified and approved by the Board in February 2026. One-third of the earned 2025 PSUs vested in the first quarter of 2026, with the remaining two-thirds vesting quarterly over the subsequent two years, subject to continued service.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measure and recognize compensation for all stock-based compensation awards, including stock options, stock purchase rights, restricted stock units (“RSUs”) and PSUs, based upon the grant-date fair value of those awards. The grant-date fair value of our stock options and stock purchase rights is estimated using a Black-Scholes-Merton option-pricing model. The fair value of our RSUs and PSUs are calculated based on the market value of our stock at the grant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stock-based compensation expense by line item in the condensed consolidated statements of operations (in thousands):</w:t>
      </w:r>
    </w:p>
    <w:tbl>
      <w:tblPr>
        <w:tblW w:w="10205" w:type="dxa"/>
        <w:jc w:val="left"/>
        <w:tblInd w:w="0" w:type="dxa"/>
        <w:tblLayout w:type="fixed"/>
        <w:tblCellMar>
          <w:top w:w="28" w:type="dxa"/>
          <w:left w:w="28" w:type="dxa"/>
          <w:bottom w:w="28" w:type="dxa"/>
          <w:right w:w="28" w:type="dxa"/>
        </w:tblCellMar>
      </w:tblPr>
      <w:tblGrid>
        <w:gridCol w:w="5434"/>
        <w:gridCol w:w="146"/>
        <w:gridCol w:w="211"/>
        <w:gridCol w:w="571"/>
        <w:gridCol w:w="146"/>
        <w:gridCol w:w="146"/>
        <w:gridCol w:w="211"/>
        <w:gridCol w:w="571"/>
        <w:gridCol w:w="166"/>
        <w:gridCol w:w="146"/>
        <w:gridCol w:w="211"/>
        <w:gridCol w:w="676"/>
        <w:gridCol w:w="146"/>
        <w:gridCol w:w="146"/>
        <w:gridCol w:w="211"/>
        <w:gridCol w:w="676"/>
        <w:gridCol w:w="391"/>
      </w:tblGrid>
      <w:tr>
        <w:trPr/>
        <w:tc>
          <w:tcPr>
            <w:tcW w:w="5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Stock-based compensation expense, net of amounts capitalized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18,657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Excess income tax benefits (deficiencies) related to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jc w:val="left"/>
        <w:rPr>
          <w:rFonts w:ascii="Times New Roman" w:hAnsi="Times New Roman"/>
          <w:color w:val="000000"/>
          <w:sz w:val="18"/>
        </w:rPr>
      </w:pPr>
      <w:r>
        <w:rPr>
          <w:rFonts w:ascii="Times New Roman" w:hAnsi="Times New Roman"/>
          <w:color w:val="000000"/>
          <w:sz w:val="18"/>
        </w:rPr>
        <w:t>Stock-based compensation expense capitalized was not material for each of the periods presented.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by type of grant, the total unrecognized stock-based compensation expense and the remaining period over which such expense is expected to be recognized (in thousands, except number of years):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608"/>
        <w:gridCol w:w="146"/>
        <w:gridCol w:w="400"/>
        <w:gridCol w:w="1287"/>
        <w:gridCol w:w="146"/>
        <w:gridCol w:w="146"/>
        <w:gridCol w:w="3472"/>
      </w:tblGrid>
      <w:tr>
        <w:trPr/>
        <w:tc>
          <w:tcPr>
            <w:tcW w:w="4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2" w:type="dxa"/>
            <w:tcBorders/>
            <w:vAlign w:val="center"/>
          </w:tcPr>
          <w:p>
            <w:pPr>
              <w:pStyle w:val="TableContents"/>
              <w:bidi w:val="0"/>
              <w:spacing w:before="0" w:after="283"/>
              <w:jc w:val="left"/>
              <w:rPr>
                <w:sz w:val="4"/>
                <w:szCs w:val="4"/>
              </w:rPr>
            </w:pPr>
            <w:r>
              <w:rPr>
                <w:sz w:val="4"/>
                <w:szCs w:val="4"/>
              </w:rPr>
            </w:r>
          </w:p>
        </w:tc>
      </w:tr>
      <w:tr>
        <w:trPr/>
        <w:tc>
          <w:tcPr>
            <w:tcW w:w="46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r>
      <w:tr>
        <w:trPr/>
        <w:tc>
          <w:tcPr>
            <w:tcW w:w="46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Unrecognized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 Weighted Average Period (In Years)</w:t>
            </w:r>
          </w:p>
        </w:tc>
      </w:tr>
      <w:tr>
        <w:trPr/>
        <w:tc>
          <w:tcPr>
            <w:tcW w:w="46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r>
      <w:tr>
        <w:trPr/>
        <w:tc>
          <w:tcPr>
            <w:tcW w:w="4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r>
      <w:tr>
        <w:trPr/>
        <w:tc>
          <w:tcPr>
            <w:tcW w:w="46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r>
        <w:trPr/>
        <w:tc>
          <w:tcPr>
            <w:tcW w:w="46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0.1</w:t>
            </w:r>
          </w:p>
        </w:tc>
      </w:tr>
      <w:tr>
        <w:trPr/>
        <w:tc>
          <w:tcPr>
            <w:tcW w:w="460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unrecognized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2" w:type="dxa"/>
            <w:tcBorders/>
            <w:shd w:fill="CFF0FC" w:val="clear"/>
            <w:tcMar>
              <w:top w:w="0" w:type="dxa"/>
              <w:left w:w="0" w:type="dxa"/>
              <w:bottom w:w="0" w:type="dxa"/>
              <w:right w:w="0" w:type="dxa"/>
            </w:tcMar>
            <w:vAlign w:val="center"/>
          </w:tcPr>
          <w:p>
            <w:pPr>
              <w:pStyle w:val="TableContents"/>
              <w:bidi w:val="0"/>
              <w:spacing w:before="0" w:after="283"/>
              <w:jc w:val="left"/>
              <w:rPr>
                <w:rFonts w:cs="sans-serif"/>
                <w:color w:val="000000"/>
                <w:szCs w:val="22"/>
              </w:rPr>
            </w:pPr>
            <w:r>
              <w:rPr>
                <w:rFonts w:cs="sans-serif"/>
                <w:color w:val="000000"/>
                <w:szCs w:val="22"/>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Net Income (Loss) Per Share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calculation of basic and diluted net income (loss) per share (in thousands, except per share amounts):</w:t>
      </w:r>
    </w:p>
    <w:tbl>
      <w:tblPr>
        <w:tblW w:w="10205" w:type="dxa"/>
        <w:jc w:val="left"/>
        <w:tblInd w:w="0" w:type="dxa"/>
        <w:tblLayout w:type="fixed"/>
        <w:tblCellMar>
          <w:top w:w="28" w:type="dxa"/>
          <w:left w:w="28" w:type="dxa"/>
          <w:bottom w:w="28" w:type="dxa"/>
          <w:right w:w="28" w:type="dxa"/>
        </w:tblCellMar>
      </w:tblPr>
      <w:tblGrid>
        <w:gridCol w:w="4764"/>
        <w:gridCol w:w="146"/>
        <w:gridCol w:w="211"/>
        <w:gridCol w:w="781"/>
        <w:gridCol w:w="166"/>
        <w:gridCol w:w="146"/>
        <w:gridCol w:w="211"/>
        <w:gridCol w:w="781"/>
        <w:gridCol w:w="166"/>
        <w:gridCol w:w="146"/>
        <w:gridCol w:w="211"/>
        <w:gridCol w:w="781"/>
        <w:gridCol w:w="166"/>
        <w:gridCol w:w="146"/>
        <w:gridCol w:w="211"/>
        <w:gridCol w:w="781"/>
        <w:gridCol w:w="391"/>
      </w:tblGrid>
      <w:tr>
        <w:trPr/>
        <w:tc>
          <w:tcPr>
            <w:tcW w:w="4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 attributable to Corsair Gaming,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redemption value of redeemable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 (loss) attributable to common stockholders of Corsair Gaming,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diluted weighted-average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105,554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per share attributable to common stockholders of Corsair Gaming,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0"/>
              </w:rPr>
              <w:t xml:space="preserve">Anti-dilutive potential common shares </w:t>
            </w:r>
            <w:r>
              <w:rPr>
                <w:rFonts w:ascii="sans-serif" w:hAnsi="sans-serif"/>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Potential common share equivalents were not included in the calculation of diluted net income (loss) per share as the effect would have been anti-dilutive.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our income (loss) before income taxes, income tax benefit (expense) and effective income tax rates for all periods presented (in thousands, except percentages):</w:t>
      </w:r>
    </w:p>
    <w:tbl>
      <w:tblPr>
        <w:tblW w:w="8202" w:type="dxa"/>
        <w:jc w:val="left"/>
        <w:tblInd w:w="0" w:type="dxa"/>
        <w:tblLayout w:type="fixed"/>
        <w:tblCellMar>
          <w:top w:w="28" w:type="dxa"/>
          <w:left w:w="28" w:type="dxa"/>
          <w:bottom w:w="28" w:type="dxa"/>
          <w:right w:w="28" w:type="dxa"/>
        </w:tblCellMar>
      </w:tblPr>
      <w:tblGrid>
        <w:gridCol w:w="2866"/>
        <w:gridCol w:w="146"/>
        <w:gridCol w:w="211"/>
        <w:gridCol w:w="571"/>
        <w:gridCol w:w="271"/>
        <w:gridCol w:w="146"/>
        <w:gridCol w:w="211"/>
        <w:gridCol w:w="736"/>
        <w:gridCol w:w="271"/>
        <w:gridCol w:w="146"/>
        <w:gridCol w:w="211"/>
        <w:gridCol w:w="676"/>
        <w:gridCol w:w="271"/>
        <w:gridCol w:w="146"/>
        <w:gridCol w:w="211"/>
        <w:gridCol w:w="736"/>
        <w:gridCol w:w="376"/>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U.S. income, the utilization of net operating loss and tax credit carry forwards, changes in geographic mix of income and expense, changes in management’s assessment of matters such as the ability to realize deferred tax assets, and changes in tax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effective tax rates were tax benefit of 0.3% and 1.8% for the three months ended June 30, 2026 and 2025, respectively. Our effective tax rates were tax benefit and expense of 0.8% and (5.8)% for the six months ended June 30, 2026 and 2025, respectively. The US tax provision for the three months and six months ended June 30, 2026 and 2025 was consistently recorded based on actual quarterly tax provision in lieu of annual projected effective tax rate. The change in our effective tax rate for the three months ended June 30, 2026, compared to the prior year period, was primarily driven by changes in the geographic mix of income and losses across jurisdictions, partially offset by the release of a FIN 48 reserve upon the conclusion of our Netherlands income tax audit.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the effective tax rate was similarly impacted by jurisdictional earnings mix and the Netherlands audit settlement, as well as a discrete tax benefit of approximately $1.0 million recognized in the current period related to an internal reorganization and intellectual property transfer from the U.K. to the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assess our deferred tax assets and liabilities to determine if it is more likely than not that they will be realized; if not, a valuation allowance is required to be recorded. Previously, in the third quarter of 2024, we reached a cumulative loss position over the previous three years, and with consideration of other negative evidence, we concluded that it is more likely than not that we will not realize our U.S. federal and state deferred tax assets. As a result of the foregoing, a full valuation allowance was recorded for the quarter ended September 30, 2024. The deferred tax liability related to indefinite-lived assets was excluded from sources of future taxable income, as the timing of its reversal cannot be predicted due to the nature of its indefinite life.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Unrecognized tax benefits were $2.6 million as of June 30, 2026 and $3.8 million as of December 31, 2025, respectively, and if recognized, would favorably affect the effective income tax rate in future periods.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Segment and Geographic Information and Major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based on components of a company that engage in business activity that earn revenue and incur expenses and (a) whose operating results are regularly reviewed by its chief operating decision maker (“CODM”) to make decisions about resource allocation and performance and (b) for which discrete financial information is available. By this definition, we have identified our Chief Executive Officer as the CODM. We operate and report in two segments: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Gamer and Creator Peripherals. </w:t>
      </w:r>
      <w:r>
        <w:rPr>
          <w:rFonts w:ascii="Times New Roman" w:hAnsi="Times New Roman"/>
          <w:color w:val="000000"/>
          <w:sz w:val="20"/>
        </w:rPr>
        <w:t>Includes our high-performance gaming keyboards, mice, headsets, controllers, and our streaming products, which include capture cards, Stream Decks, microphones, teleprompters, and audio interfaces, our Facecam streaming cameras, studio accessories, command center displays, sim racing products, and gaming furniture, among others.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Gaming Components and Systems. </w:t>
      </w:r>
      <w:r>
        <w:rPr>
          <w:rFonts w:ascii="Times New Roman" w:hAnsi="Times New Roman"/>
          <w:color w:val="000000"/>
          <w:sz w:val="20"/>
        </w:rPr>
        <w:t>Includes our high-performance power supply units, cooling solutions, computer cases, DRAM modules, as well as high-end prebuilt and custom-built gaming PCs and laptops, and AI workstations, among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this structure reflects our current operational and financial management, and that it provides the best structure for us to focus on growth opportunities while maintaining financial discipline.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CODM reviews net revenue, and gross profit of these segments on a regular basis to evaluate the performance of, and allocates resources to, each of the two segments. The CODM considers budget-to-actual variances on a monthly basis when making decisions about allocating resources to the segments. Our CODM manages assets on a total company basis, not by operating segments; therefore, segmental asset information is not presented.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 Profit and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tables below present the reportable segment profit and loss measure - segment gross profit for each of the periods presented (in thousands): </w:t>
      </w:r>
    </w:p>
    <w:tbl>
      <w:tblPr>
        <w:tblW w:w="10205" w:type="dxa"/>
        <w:jc w:val="left"/>
        <w:tblInd w:w="0" w:type="dxa"/>
        <w:tblLayout w:type="fixed"/>
        <w:tblCellMar>
          <w:top w:w="28" w:type="dxa"/>
          <w:left w:w="28" w:type="dxa"/>
          <w:bottom w:w="28" w:type="dxa"/>
          <w:right w:w="28" w:type="dxa"/>
        </w:tblCellMar>
      </w:tblPr>
      <w:tblGrid>
        <w:gridCol w:w="1194"/>
        <w:gridCol w:w="146"/>
        <w:gridCol w:w="261"/>
        <w:gridCol w:w="968"/>
        <w:gridCol w:w="146"/>
        <w:gridCol w:w="146"/>
        <w:gridCol w:w="267"/>
        <w:gridCol w:w="996"/>
        <w:gridCol w:w="166"/>
        <w:gridCol w:w="146"/>
        <w:gridCol w:w="211"/>
        <w:gridCol w:w="781"/>
        <w:gridCol w:w="166"/>
        <w:gridCol w:w="146"/>
        <w:gridCol w:w="261"/>
        <w:gridCol w:w="968"/>
        <w:gridCol w:w="146"/>
        <w:gridCol w:w="146"/>
        <w:gridCol w:w="267"/>
        <w:gridCol w:w="996"/>
        <w:gridCol w:w="146"/>
        <w:gridCol w:w="146"/>
        <w:gridCol w:w="211"/>
        <w:gridCol w:w="781"/>
        <w:gridCol w:w="397"/>
      </w:tblGrid>
      <w:tr>
        <w:trPr/>
        <w:tc>
          <w:tcPr>
            <w:tcW w:w="11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 June 30, 2025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Gamer and Creator Peripherals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Gaming Components and Systems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Gamer and Creator Peripherals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Gaming Components and Systems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Net revenue</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320,112</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Inventory costs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221,985</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12,256</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1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234,241</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85,871</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97"/>
        <w:gridCol w:w="146"/>
        <w:gridCol w:w="262"/>
        <w:gridCol w:w="971"/>
        <w:gridCol w:w="146"/>
        <w:gridCol w:w="146"/>
        <w:gridCol w:w="268"/>
        <w:gridCol w:w="1000"/>
        <w:gridCol w:w="166"/>
        <w:gridCol w:w="146"/>
        <w:gridCol w:w="211"/>
        <w:gridCol w:w="781"/>
        <w:gridCol w:w="146"/>
        <w:gridCol w:w="146"/>
        <w:gridCol w:w="262"/>
        <w:gridCol w:w="971"/>
        <w:gridCol w:w="146"/>
        <w:gridCol w:w="146"/>
        <w:gridCol w:w="268"/>
        <w:gridCol w:w="1000"/>
        <w:gridCol w:w="146"/>
        <w:gridCol w:w="146"/>
        <w:gridCol w:w="211"/>
        <w:gridCol w:w="781"/>
        <w:gridCol w:w="396"/>
      </w:tblGrid>
      <w:tr>
        <w:trPr/>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br/>
              <w:t>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w:t>
              <w:br/>
              <w:t> June 30, 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Gamer and Creator Peripherals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Gaming Components and Systems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Gamer and Creator Peripherals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Gaming Components and Systems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Net revenue</w:t>
            </w:r>
            <w:r>
              <w:rPr>
                <w:rFonts w:ascii="Times New Roman" w:hAnsi="Times New Roman"/>
                <w:b/>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475,247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689,862</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Inventory costs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485,056</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16,573</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1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501,629</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188,233</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There are no intersegment revenues between the reportable segments in the periods presented.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sans-serif" w:hAnsi="sans-serif"/>
          <w:sz w:val="22"/>
        </w:rPr>
      </w:pPr>
      <w:r>
        <w:rPr>
          <w:rFonts w:ascii="Times New Roman" w:hAnsi="Times New Roman"/>
          <w:color w:val="000000"/>
          <w:sz w:val="18"/>
        </w:rPr>
        <w:t>Represents the significant expense in the reportable segment</w:t>
      </w:r>
      <w:r>
        <w:rPr>
          <w:rFonts w:ascii="sans-serif" w:hAnsi="sans-serif"/>
          <w:color w:val="000000"/>
          <w:sz w:val="22"/>
        </w:rPr>
        <w:t>’</w:t>
      </w:r>
      <w:r>
        <w:rPr>
          <w:rFonts w:ascii="Times New Roman" w:hAnsi="Times New Roman"/>
          <w:color w:val="000000"/>
          <w:sz w:val="18"/>
        </w:rPr>
        <w:t>s profit or loss measure (i.e., gross profit), aligning with the segment-level information that is regularly provided to our CODM. Total inventory costs for the reportable segment include costs of purchases from contract manufacturers, and capitalized direct overhead costs recognized in cost of revenue for the periods presented.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Represents other segment items incurred in the periods presented, including inbound freight costs, duties and tariffs, warranty replacement cost to process and rework returned items, overhead and excess and obsolete inventory write-downs, and other costs. These costs are netted with inventory cost adjustments for product returns in the periods presented.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by Major Customer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customer that individually comprised 10% or more of our total net revenue for the periods presented:</w:t>
      </w:r>
    </w:p>
    <w:tbl>
      <w:tblPr>
        <w:tblW w:w="5242" w:type="dxa"/>
        <w:jc w:val="left"/>
        <w:tblInd w:w="0" w:type="dxa"/>
        <w:tblLayout w:type="fixed"/>
        <w:tblCellMar>
          <w:top w:w="28" w:type="dxa"/>
          <w:left w:w="28" w:type="dxa"/>
          <w:bottom w:w="28" w:type="dxa"/>
          <w:right w:w="28" w:type="dxa"/>
        </w:tblCellMar>
      </w:tblPr>
      <w:tblGrid>
        <w:gridCol w:w="1081"/>
        <w:gridCol w:w="146"/>
        <w:gridCol w:w="146"/>
        <w:gridCol w:w="466"/>
        <w:gridCol w:w="271"/>
        <w:gridCol w:w="146"/>
        <w:gridCol w:w="146"/>
        <w:gridCol w:w="466"/>
        <w:gridCol w:w="271"/>
        <w:gridCol w:w="146"/>
        <w:gridCol w:w="146"/>
        <w:gridCol w:w="466"/>
        <w:gridCol w:w="271"/>
        <w:gridCol w:w="146"/>
        <w:gridCol w:w="146"/>
        <w:gridCol w:w="466"/>
        <w:gridCol w:w="31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No other customer represented 10% or more of our total net revenue in the periods presented.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by Major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our net revenue by major product category for the periods presented (in thousands):</w:t>
      </w:r>
    </w:p>
    <w:tbl>
      <w:tblPr>
        <w:tblW w:w="8847" w:type="dxa"/>
        <w:jc w:val="left"/>
        <w:tblInd w:w="0" w:type="dxa"/>
        <w:tblLayout w:type="fixed"/>
        <w:tblCellMar>
          <w:top w:w="28" w:type="dxa"/>
          <w:left w:w="28" w:type="dxa"/>
          <w:bottom w:w="28" w:type="dxa"/>
          <w:right w:w="28" w:type="dxa"/>
        </w:tblCellMar>
      </w:tblPr>
      <w:tblGrid>
        <w:gridCol w:w="3466"/>
        <w:gridCol w:w="146"/>
        <w:gridCol w:w="211"/>
        <w:gridCol w:w="781"/>
        <w:gridCol w:w="146"/>
        <w:gridCol w:w="146"/>
        <w:gridCol w:w="211"/>
        <w:gridCol w:w="781"/>
        <w:gridCol w:w="146"/>
        <w:gridCol w:w="146"/>
        <w:gridCol w:w="211"/>
        <w:gridCol w:w="781"/>
        <w:gridCol w:w="146"/>
        <w:gridCol w:w="146"/>
        <w:gridCol w:w="211"/>
        <w:gridCol w:w="781"/>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Gamer and Creator Peripherals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Gaming Peripherals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Gaming Components and Systems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Memory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Component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668,847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Geographic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net revenue by geographic region based on the location of the customer (in thousands):</w:t>
      </w:r>
    </w:p>
    <w:tbl>
      <w:tblPr>
        <w:tblW w:w="8577" w:type="dxa"/>
        <w:jc w:val="left"/>
        <w:tblInd w:w="0" w:type="dxa"/>
        <w:tblLayout w:type="fixed"/>
        <w:tblCellMar>
          <w:top w:w="28" w:type="dxa"/>
          <w:left w:w="28" w:type="dxa"/>
          <w:bottom w:w="28" w:type="dxa"/>
          <w:right w:w="28" w:type="dxa"/>
        </w:tblCellMar>
      </w:tblPr>
      <w:tblGrid>
        <w:gridCol w:w="3196"/>
        <w:gridCol w:w="146"/>
        <w:gridCol w:w="211"/>
        <w:gridCol w:w="781"/>
        <w:gridCol w:w="146"/>
        <w:gridCol w:w="146"/>
        <w:gridCol w:w="211"/>
        <w:gridCol w:w="781"/>
        <w:gridCol w:w="146"/>
        <w:gridCol w:w="146"/>
        <w:gridCol w:w="211"/>
        <w:gridCol w:w="781"/>
        <w:gridCol w:w="146"/>
        <w:gridCol w:w="146"/>
        <w:gridCol w:w="211"/>
        <w:gridCol w:w="781"/>
        <w:gridCol w:w="39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Americas (excluding United States)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Europe and Middle East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Asia Pacific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84,954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668,847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No individual country, other than disclosed above, represented 10% or more of our consolidated net revenue in the periods presented.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 Redeemable Noncontrolling Interest (“RNCI”)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hold an 81% controlling interest in iDisplay, with the remaining 19% owned by the seller of iDisplay (“iDisplay Seller”). The remaining 19% interest is subject to a put option held by the iDisplay Seller within one year after the fifth anniversary of July 1, 2024 and a call option held by Corsair at any time after the second anniversary of July 1, 2024, with exercise prices based on certain prescribed multiples of iDisplay’s historical trailing twelve-month EBITDA, less any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the redemption of the noncontrolling interest is not solely within our control, the carrying value of the remaining 19% interest in iDisplay is classified as temporary equity in our consolidated balance sheet.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changes in RNCI for the periods presented (in thousands):</w:t>
      </w:r>
    </w:p>
    <w:tbl>
      <w:tblPr>
        <w:tblW w:w="8667" w:type="dxa"/>
        <w:jc w:val="left"/>
        <w:tblInd w:w="0" w:type="dxa"/>
        <w:tblLayout w:type="fixed"/>
        <w:tblCellMar>
          <w:top w:w="28" w:type="dxa"/>
          <w:left w:w="28" w:type="dxa"/>
          <w:bottom w:w="28" w:type="dxa"/>
          <w:right w:w="28" w:type="dxa"/>
        </w:tblCellMar>
      </w:tblPr>
      <w:tblGrid>
        <w:gridCol w:w="3746"/>
        <w:gridCol w:w="146"/>
        <w:gridCol w:w="211"/>
        <w:gridCol w:w="676"/>
        <w:gridCol w:w="146"/>
        <w:gridCol w:w="146"/>
        <w:gridCol w:w="211"/>
        <w:gridCol w:w="676"/>
        <w:gridCol w:w="166"/>
        <w:gridCol w:w="146"/>
        <w:gridCol w:w="211"/>
        <w:gridCol w:w="676"/>
        <w:gridCol w:w="166"/>
        <w:gridCol w:w="146"/>
        <w:gridCol w:w="211"/>
        <w:gridCol w:w="676"/>
        <w:gridCol w:w="311"/>
      </w:tblGrid>
      <w:tr>
        <w:trPr/>
        <w:tc>
          <w:tcPr>
            <w:tcW w:w="3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 of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 of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Dividend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redemption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11,274</w:t>
            </w:r>
          </w:p>
        </w:tc>
        <w:tc>
          <w:tcPr>
            <w:tcW w:w="3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 Subsequent Events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Acquisition of Trak Racer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3, 2026, the Company and certain of its wholly owned subsidiaries, acquired substantially all of the assets of the sim racing business operated under the Trak Racer brand, which designs, manufactures, distributes and sells racing, flight, motorcycle and other simulation cockpits, chassis, rigs and related peripherals and accessories. The acquisition expands the Company's sim racing product portfolio within its Gamer and Creator Peripherals segment and will be operating as a sub-brand under Fanatec.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consideration consists of $40.0 million paid in cash at closing, subject to customary post-closing adjustments for working capital, indebtedness, and assumed employee entitlements and a contingent consideration of up to $10.0 million payable following a twelve-month earn-out period based on a scale of attainment of the projected upside to the acquired business's contribution profit, net of payroll costs, as compared to the prior twelve-month period. A portion of the closing consideration, consisting of a $4.5 million escrow amount and a $1.25 million purchase price adjustment holdback, was deposited with a third-party escrow agent at closing. The acquisition was funded with cash on hand.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will account for the transaction as a business combination under ASC 805, Business Combinations, and the results of the acquired business will be included in the Company's consolidated financial statements from August 4, 2026. As of the date these condensed consolidated financial statements were issued, the initial accounting for the acquisition, including the determination of the fair value of the consideration transferred and the allocation of the purchase price to the assets acquired and liabilities assumed, was incomplete because the valuations required to complete that accounting had not been finalized. Accordingly, the disclosures required by ASC 805, including the provisional amounts recognized for each major class of assets acquired, liabilities assumed, goodwill and the supplemental pro forma information, cannot be provided at this time. We expect to complete our preliminary allocation of the purchase consideration to the assets acquired and liabilities assumed by the end of the third quarter of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Investment in Bitfocus AS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On July 17, 2026, Company through a wholly owned subsidiary, acquired a minority interest in Bitfocus AS ("Bitfocus"), a Norway-based private company that designs and develops software automation for the broadcast, live event, concert, digital production and streaming industries' workflows, for a total consideration of $2.75 million. The Company concurrently entered into a hardware partnership arrangement with Bitfocus which will enable integration of Bitfocus's offerings with the Elgato Stream Deck hardware. The investment deepens Company's integration between its hardware, software and services ecosystem within the Gamer and Creator Peripherals segment and expands Company's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presence in the broader professional streaming and content software market. The investment was funded with cash on hand.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Based on its initial assessment, the Company has determined that it does not have the ability to exercise significant influence over Bitfocus's operating and financial policies. Accordingly, the investment will be accounted for an equity investment without a readily determinable fair value under ASC 321, measured at cost less impairment, adjusted for changes resulting from observable price changes in orderly transactions. </w:t>
      </w:r>
    </w:p>
    <w:p>
      <w:pPr>
        <w:pStyle w:val="TextBody"/>
        <w:bidi w:val="0"/>
        <w:spacing w:before="80" w:after="160"/>
        <w:jc w:val="left"/>
        <w:rPr>
          <w:rFonts w:ascii="Times New Roman" w:hAnsi="Times New Roman"/>
          <w:sz w:val="20"/>
        </w:rPr>
      </w:pPr>
      <w:r>
        <w:rPr>
          <w:rFonts w:ascii="Times New Roman" w:hAnsi="Times New Roman"/>
          <w:b/>
          <w:i/>
          <w:color w:val="000000"/>
          <w:sz w:val="20"/>
        </w:rPr>
        <w:t>License agreement and exclusive call option</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July 31, 2026, the Company completed a Collaboration and License Agreement (the “License Agreement”) and a related Call Option Agreement (the “Call Option Agreement”) with a privately held software technology company (the "Counterparty"). The arrangement grants the Company an exclusive, worldwide license to integrate the Counterparty's technology into its products and an exclusive option to acquire 100% of the Counterparty's outstanding equity.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Under the License Agreement, the Company paid the Counterparty a one-time, non-refundable cash payment of $6.0 million in exchange for the license rights described above. The Call Option Agreement grants the Company an option to acquire all of the Counterparty's outstanding equity for a purchase price of $60.0 million in cash, subject to a quality-of-earnings adjustment, with aggregate consideration capped at $72.0 million, adjusted for the $6.0 million license payment already paid. Exercise of the option and consummation of any acquisition remains subject to negotiation of definitive acquisition agreements and customary closing conditions, including the Counterparty's board and stockholder approvals.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Company's exclusive right to the option is effectively limited to the period through March 31, 2027, whereafter it becomes non-exclusive. Absent exercise of the option or termination by the Counterparty, the option otherwise expires on September 30, 2027.</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of the date these condensed consolidated financial statements were issued, the Company had not exercised the call option. The $6.0 million payment made under the License Agreement represents consideration for both the license rights and the call option, and the Company is in the process of determining the fair value of each component and the appropriate allocation of the payment between them. Accordingly, the accounting treatment for the consideration paid has not yet been finalized. We expect to complete our allocation of the consideration paid by the end of the third quarter of 2026.</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MANAGEMENT’S DISCUSSION AND ANALYSIS OF FINANCIAL CONDITION</w:t>
      </w:r>
    </w:p>
    <w:p>
      <w:pPr>
        <w:pStyle w:val="TextBody"/>
        <w:bidi w:val="0"/>
        <w:jc w:val="center"/>
        <w:rPr>
          <w:rFonts w:ascii="Times New Roman" w:hAnsi="Times New Roman"/>
          <w:b/>
          <w:color w:val="000000"/>
          <w:sz w:val="20"/>
        </w:rPr>
      </w:pPr>
      <w:r>
        <w:rPr>
          <w:rFonts w:ascii="Times New Roman" w:hAnsi="Times New Roman"/>
          <w:b/>
          <w:color w:val="000000"/>
          <w:sz w:val="20"/>
        </w:rPr>
        <w:t>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of our financial condition and results of operations in conjunction with the condensed consolidated financial statements and the related notes included elsewhere in this Quarterly Report on Form 10-Q as well as in conjunction with the Risk Factors set forth in Part I, Item 1A of our Annual Report on Form 10-K for the year ended December 31, 2025, as filed with the SEC on February 25, 2026. The following discussion contains forward-looking statements based upon current expectations that involve risks and uncertainties. Our actual results could differ materially from those anticipated in these forward-looking statements as a result of many factors, including but not limited to those discussed under the heading “Risk Factors” in Part I, Item 1A of our Annual Report on Form 10-K for the year ended December 31, 2025 and below in Item 3, “Quantitative and Qualitative Disclosures about Market Risk”.</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leading global provider and innovator of high-performance products for gamers and digital creators, such as streamers, vloggers, broadcasters, and small and medium businesses, many of whom build their own PCs using our components. Our industry-leading gaming products help digital athletes, from casual gamers to committed professionals, perform at their peak across PC or console platforms, and our streaming products enable creators, particularly streamers, to produce studio-quality content to share with friends or to broadcast to millions of fans. Our PC component products offer our customers multiple options to build their customized gaming and workstation desktop PCs including AI workstations and servers. Our solution is the most complete suite of products that address the most critical components for both game performance and streaming. Our product offering is enhanced by our two proprietary software platforms: iCUE and the Elgato streaming suite for content creators, including our Stream Deck control software, which provide unified, intuitive performance, and aesthetic control and customization across our Corsair hardware ecosystem and Elgato streaming products. We also offer digital services to enhance the customer experience by integrating esports, Elgato's marketplace, customer care and extended warranty into our product offerings.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group our products into two categories (operating segments):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Gamer and Creator Peripherals. </w:t>
      </w:r>
      <w:r>
        <w:rPr>
          <w:rFonts w:ascii="Times New Roman" w:hAnsi="Times New Roman"/>
          <w:color w:val="000000"/>
          <w:sz w:val="20"/>
        </w:rPr>
        <w:t>Includes our high-performance gaming keyboards, mice, headsets, controllers, and streaming products, which include capture cards, Stream Decks, microphones, teleprompters, and audio interfaces, our Facecam streaming cameras, studio accessories, command center displays, sim racing products, and gaming furniture, among others.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Gaming Components and Systems. </w:t>
      </w:r>
      <w:r>
        <w:rPr>
          <w:rFonts w:ascii="Times New Roman" w:hAnsi="Times New Roman"/>
          <w:color w:val="000000"/>
          <w:sz w:val="20"/>
        </w:rPr>
        <w:t>Includes our high-performance power supply units, cooling solutions, computer cases, and DRAM modules, as well as high-end prebuilt and custom-built gaming PCs and laptops, and AI workstations, among others.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of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net revenue was $314.3 million and $320.1 million for the three months ended June 30, 2026 and 2025, respectively. Our gross margin was 33.2% and 26.8% for the three months ended June 30, 2026 and 2025, respectively. We had net income of $9.1 million and net loss of $20.3 million for the three months ended June 30,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cash and restricted cash, in the aggregate of $193.9 million and the principal balance outstanding on our June 2030 Term Loan was $118.8 million. Cash generated from operations was $104.6 million and $48.9 million for the six months ended June 30, 2026 and 2025,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Factors Affecting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and financial condition are affected by numerous factors, including those discussed under the heading “Risk Factors” in Part I, Item 1A of our Annual Report on Form 10-K for the year ended December 31, 2025, as well as those described below.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Impact of Macroeconomic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and financial performance depend significantly on worldwide economic conditions. We continue to face global macroeconomic challenges, including evolving dynamics in the global trade environment, changes in laws or policies governing foreign trade, in particular tariffs, trade restrictions or taxes on imports or exports from or to countries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where we manufacture or sell our products, inflationary trends, uncertainty in key financial markets, and volatility in exchange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Ongoing geopolitical developments, including conflicts and tensions in the Middle East, Ukraine, the Red Sea region, and between China and Taiwan, have contributed to volatility in global energy prices, transportation costs, and supply chains. These developments may increase our freight, logistics, and other input costs, and may affect consumer spending due to broader economic uncertainty. We continue to monitor these situations and implement mitigation actions; however, their duration, severity, and broader economic consequences remain uncertain.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February 2025, the U.S. government has proposed and, in certain cases, implemented new, substantial tariffs on imports to the United States from various countries, including Taiwan, China, and Vietnam, where we manufacture or source our products. Following a February 2026 U.S. Supreme Court ruling invalidating certain tariffs previously imposed under the International Emergency Economic Powers Act (IEEPA) and a subsequent order by the Court of International Trade establishing a refund claims process, we submitted refund claims in April 2026 and have since received and recognized substantially all of the associated refunds totalling $18.1 million including interest earned, of which approximately $15.6 million was recorded as a reduction to cost of goods sold during the second quarter of 2026. Separately, the U.S. federal government has introduced additional trade measures and investigations resulting in new tariffs. While we have taken mitigating actions, including shifting production across jurisdictions, the extent to which these actions will offset the impact of ongoing trade and tariff developments remains uncertain.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experience seasonality in the sale of our products, which may be affected by general economic conditions. The extent of the impact of macroeconomic conditions and geopolitical tensions on our business, sales, results of operations, cash flows and financial condition will depend on future developments, which are not within our control and are highly uncertain and cannot be predicted. We will continue to evaluate these risks and uncertainties and further our mitigation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fluctuations in foreign currency exchange rates. As a result of our foreign sales and operations, we have revenue, payroll and other operating expenses denominated in foreign currencies, in particular the Euro, British Pound, Taiwan Dollar, and Chinese Yuan. Unfavorable movement in the exchange rate between the U.S. dollar and the currencies we conduct sales or operate in may negatively impact our financial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Impact of Industry Trends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and financial condition are impacted by industry trends in the gaming market, including: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Increasing gamer and creators engagement. </w:t>
      </w:r>
      <w:r>
        <w:rPr>
          <w:rFonts w:ascii="Times New Roman" w:hAnsi="Times New Roman"/>
          <w:color w:val="000000"/>
          <w:sz w:val="20"/>
        </w:rPr>
        <w:t xml:space="preserve">We believe that gaming’s increasing time share of global entertainment consumption will drive continued growth in spending on both games and gaming products. Gaming continues to become increasingly social, as streaming viewership becomes more widely adopted along with increasing numbers of content creators. More members of the younger generation are gamers and spend more time on gaming related activities than older generations. We believe these trends will over time bring more gamers and creators to purchase dedicated hardware and help grow the market for peripheral products. The growth of these markets will not be linear, as these markets are impacted by macroeconomic and consumer confidence, amongst other conditions. Our Gaming Components and Systems segment makes components used for self-built PCs and full gaming systems. The self-built PC market is heavily influenced by the timing of release of new game titles and next-generation CPUs and GPUs, as discussed in the bullet below. In our Gamer and Creator Peripherals segment, we expect continued contribution from our Fanatec product portfolio, which broadens our sim racing offerings and complements our broader ecosystem of gaming and streaming products. On August 3, 2026, we acquired substantially all of the assets of Trak Racer, which designs, manufactures, distributes and sells racing, flight, motorcycle and other simulation cockpits, chassis, rigs and related peripherals and accessories, pursuant to an asset purchase agreement. The acquisition expands our sim racing product offerings and provides us with immediate access to a larger addressable market. Trak Racer will operate as a sub-brand under Fanatec. In addition, we acquired a minority interest in Bitfocus AS, a Norwegian software company specializing in production automation and control software for streaming, broadcast, and live event workflows. This investment supports our strategy of deepening the integration between our hardware and software ecosystem, including through planned integration with our Stream Deck platform, and provides us with exposure to the broader professional streaming and content creation software market. See Note 14, Subsequent Events, for additional details.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Introduction of new high-performance computing hardware and sophisticated games</w:t>
      </w:r>
      <w:r>
        <w:rPr>
          <w:rFonts w:ascii="Times New Roman" w:hAnsi="Times New Roman"/>
          <w:color w:val="000000"/>
          <w:sz w:val="20"/>
        </w:rPr>
        <w:t xml:space="preserve">. We believe that the introduction of more powerful CPUs and GPUs that place increased demands on other system components, such as memory, power supply units or cooling, has a significant effect on increasing the demand for our products. In addition, we believe that the introduction and success of games with sophisticated graphics that place increasing demands on system processing speed and capacity and therefore require more powerful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CPUs or GPUs, drives demand for our high-performance gaming components and systems, such as power supply units and cooling solutions, and our gaming PC memory. Because our product portfolio is purpose-built to support high-performance CPUs and GPUs through advanced cooling and power delivery solutions, we believe we are well positioned to benefit from this ongoing market evolution toward more demanding computing and gaming workloads. Demand for our product and our operating results may be affected by the timing and pace of new CPU and GPU launches, as well as the introduction and adoption of new game titles that require higher levels of system performance. For example, following the early 2025 launch of the latest generation of GPUs, we experienced a period of elevated demand as enthusiasts upgraded their systems to support new architectures. In 2026, we expect demand to reflect mid-cycle conditions, as the market anticipates potential hardware refreshes and major software titles scheduled for release in late 2026 and 2027. However, the timing and market acceptance of these new products, as well as the ongoing impact of component costs on hardware affordability, may continue to influence the rate of consumer upgrades.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Global semiconductor shortage.</w:t>
      </w:r>
      <w:r>
        <w:rPr>
          <w:color w:val="000000"/>
        </w:rPr>
        <w:t xml:space="preserve"> </w:t>
      </w:r>
      <w:r>
        <w:rPr>
          <w:rFonts w:ascii="Times New Roman" w:hAnsi="Times New Roman"/>
          <w:color w:val="000000"/>
          <w:sz w:val="20"/>
        </w:rPr>
        <w:t>We continue to observe significant constraints in the global supply of semiconductors, particularly memory components, driven in part by demand associated with the buildout of AI infrastructure, which are materially impacting the broader hardware market. These dynamics have resulted in a substantial increase in memory prices. We are both a seller of memory products and a purchaser of memory and other components from third-party suppliers. As a result, elevated pricing benefits net sales and margin on the memory products we sell, while also increasing our cost of components across our broader product offerings. In addition, elevated component costs have made it more difficult for cost-sensitive consumers to upgrade or build new systems, which we believe is negatively affecting overall demand within our Gaming Components and Systems segment. Our core market position remains centered on the enthusiast-level PC builder, a demographic that has historically demonstrated less price sensitivity than the broader market, which we believe partially mitigates this impact. Additionally, we believe these supply dynamics are occurring alongside a shift in the workstation market driven by the expanded implementation of AI. As the costs of running critical business tasks on public cloud-based Large Language Models (“LLMs”) increase, there is growing demand to operate local LLMs on private workstation hardware. We believe we are well positioned to address this emerging trend by delivering high-performance memory components and fully integrated, purpose-built systems necessary to support local AI processing workloads. For example, in May 2026, we launched CORSAIR PRO, a new portfolio of AI workstations and servers designed to support AI development, fine-tuning, inference, and deployment workloads.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Impact of Customer Concentration and Shipping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a global sales network that consists primarily of retailers (including e-retailers), as well as distributors, which we use to access certain retailers. Further, a limited number of retailers and distributors represent a significant portion of our net revenue, with e-retailer Amazon accounting for 25.7% and 29.2% of our net revenue for the six months ended June 30, 2026 and 2025, respectively, and sales to our ten largest customers accounting for approximately 47.9% and 50.7% of our net revenue for the six months ended June 30, 2026 and 2025, respectively. Our customers, including Amazon, typically do not enter into long-term agreements to purchase our products but instead enter into purchase orders with us. As a result of this concentration of revenue and the lack of long-term agreements with our customers, a primary driver of our net revenue and operating performance is maintaining good relationships with these retailers and distributors. To help maintain good relationships, we implement initiatives such as our updated packaging design which helps e-retailers such as Amazon process our packages more efficiently. Further, given our global operations, a significant percentage of our expenses relate to shipping costs. Our ability to effectively optimize these shipping costs, for example utilizing expensive shipping options such as air freight for smaller packages and more urgent deliveries and more cost-efficient options, such as ground or ocean freight, for other shipments, has an impact on our expenses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Impact of New Product Introductions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Gamers demand new technology and product features, and we expect our ability to accurately anticipate and meet these demands will be one of the main drivers for any future sales growth and market share expansion. We believe our net revenue for 2025 and for the six months ended June 30, 2026 was favorably impacted by the release of 105 and 45 new products, respectively. While we intend to continue to develop and release new products, there can be no assurance that our new product introductions will have a favorable impact on our operating results or that customers will choose our new products over those of our competitors.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Impact of Seasonal Sales Trends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experienced and expect to continue to experience seasonal fluctuations in sales due to the buying patterns of our customers and spending patterns of gamers. Our net revenue has generally been lower in the first half of the year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due to lower consumer demand following the fourth quarter holiday season and because of the decline in sales that typically occurs in anticipation of the introduction of new or enhanced CPUs, GPUs, and other computer hardware products. Further, our net revenue tends to be higher in the second half of the year due to seasonal sales such as “Black Friday” and “Cyber Monday” as well as “Singles Day” in China, as retailers tend to make purchases in advance of these sales. Our sales also tend to be higher in the fourth quarter due to the release of high-profile games, including the annual release of popular gaming franchises in connection with the holiday season. As a consequence of seasonality, our net revenue for the second calendar quarter is generally the lowest of the year. Historical seasonal patterns may not continue in the future and may be further impacted in the future by macroeconomic factors, including trade policy and tariffs, increasing supply constraints, semiconductor shortages, delay in the anticipated launch of new or enhanced GPUs and CPUs, and shifts in customer behavior.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Impact of Product Mix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Gamer and Creator Peripherals segment has a higher gross margin than our Gaming Components and Systems segment. As a result, our overall gross margin is affected by changes in product mix. External factors can have an impact on our product mix, such as popular game releases that can increase sales of peripherals and availability of new CPUs and GPUs that can impact component sales. In addition, within our Gamer and Creator Peripherals and Gaming Components and Systems segments, gross margin varies between products, and significant shifts in product mix within either segment may also significantly impact our overall gross margin.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Impact of Fluctuations in Integrated Circuits Pricing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Integrated circuits (“ICs”) account for most of the cost of producing our high-performance memory products. IC prices are subject to pricing fluctuations, which can affect the average sales prices of memory modules, and thus impact our net revenue, and can have an effect on gross margins. The impact on net revenue can be significant as our high-performance memory products, included within our Gaming Components and Systems segment, represent a significant portion of our net revenue.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set forth the components of our condensed consolidated statements of operations, in dollars (thousands) and as a percentage of total net revenue, for each of the periods presented.</w:t>
      </w:r>
    </w:p>
    <w:tbl>
      <w:tblPr>
        <w:tblW w:w="10097" w:type="dxa"/>
        <w:jc w:val="left"/>
        <w:tblInd w:w="0" w:type="dxa"/>
        <w:tblLayout w:type="fixed"/>
        <w:tblCellMar>
          <w:top w:w="28" w:type="dxa"/>
          <w:left w:w="28" w:type="dxa"/>
          <w:bottom w:w="28" w:type="dxa"/>
          <w:right w:w="28" w:type="dxa"/>
        </w:tblCellMar>
      </w:tblPr>
      <w:tblGrid>
        <w:gridCol w:w="4736"/>
        <w:gridCol w:w="146"/>
        <w:gridCol w:w="211"/>
        <w:gridCol w:w="781"/>
        <w:gridCol w:w="166"/>
        <w:gridCol w:w="146"/>
        <w:gridCol w:w="211"/>
        <w:gridCol w:w="781"/>
        <w:gridCol w:w="166"/>
        <w:gridCol w:w="146"/>
        <w:gridCol w:w="211"/>
        <w:gridCol w:w="781"/>
        <w:gridCol w:w="166"/>
        <w:gridCol w:w="146"/>
        <w:gridCol w:w="211"/>
        <w:gridCol w:w="781"/>
        <w:gridCol w:w="311"/>
      </w:tblGrid>
      <w:tr>
        <w:trPr/>
        <w:tc>
          <w:tcPr>
            <w:tcW w:w="4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689,862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501,629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188,233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172,272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207,419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(30,623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 attributable to Corsair Gaming,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(31,321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tbl>
      <w:tblPr>
        <w:tblW w:w="9437" w:type="dxa"/>
        <w:jc w:val="left"/>
        <w:tblInd w:w="0" w:type="dxa"/>
        <w:tblLayout w:type="fixed"/>
        <w:tblCellMar>
          <w:top w:w="28" w:type="dxa"/>
          <w:left w:w="28" w:type="dxa"/>
          <w:bottom w:w="28" w:type="dxa"/>
          <w:right w:w="28" w:type="dxa"/>
        </w:tblCellMar>
      </w:tblPr>
      <w:tblGrid>
        <w:gridCol w:w="4736"/>
        <w:gridCol w:w="146"/>
        <w:gridCol w:w="146"/>
        <w:gridCol w:w="571"/>
        <w:gridCol w:w="271"/>
        <w:gridCol w:w="146"/>
        <w:gridCol w:w="146"/>
        <w:gridCol w:w="571"/>
        <w:gridCol w:w="331"/>
        <w:gridCol w:w="146"/>
        <w:gridCol w:w="146"/>
        <w:gridCol w:w="571"/>
        <w:gridCol w:w="271"/>
        <w:gridCol w:w="146"/>
        <w:gridCol w:w="146"/>
        <w:gridCol w:w="571"/>
        <w:gridCol w:w="376"/>
      </w:tblGrid>
      <w:tr>
        <w:trPr/>
        <w:tc>
          <w:tcPr>
            <w:tcW w:w="4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7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(loss) attributable to Corsair Gaming,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Revenue</w:t>
      </w:r>
    </w:p>
    <w:tbl>
      <w:tblPr>
        <w:tblW w:w="6277" w:type="dxa"/>
        <w:jc w:val="left"/>
        <w:tblInd w:w="0" w:type="dxa"/>
        <w:tblLayout w:type="fixed"/>
        <w:tblCellMar>
          <w:top w:w="28" w:type="dxa"/>
          <w:left w:w="28" w:type="dxa"/>
          <w:bottom w:w="28" w:type="dxa"/>
          <w:right w:w="28" w:type="dxa"/>
        </w:tblCellMar>
      </w:tblPr>
      <w:tblGrid>
        <w:gridCol w:w="1096"/>
        <w:gridCol w:w="146"/>
        <w:gridCol w:w="211"/>
        <w:gridCol w:w="781"/>
        <w:gridCol w:w="146"/>
        <w:gridCol w:w="146"/>
        <w:gridCol w:w="211"/>
        <w:gridCol w:w="781"/>
        <w:gridCol w:w="146"/>
        <w:gridCol w:w="146"/>
        <w:gridCol w:w="211"/>
        <w:gridCol w:w="781"/>
        <w:gridCol w:w="146"/>
        <w:gridCol w:w="146"/>
        <w:gridCol w:w="211"/>
        <w:gridCol w:w="781"/>
        <w:gridCol w:w="191"/>
      </w:tblGrid>
      <w:tr>
        <w:trPr/>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revenue decreased by 1.8% and 3.0% for the three and six months ended June 30, 2026, respectively, as compared to the same periods last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decrease in net revenue in the three-month period was due to an 8.7% decrease in sales for our Gaming Components and Systems segment, partially offset by a 12.9% increase in sales for our Gamer and Creator Peripherals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decrease in net revenue in the six-month period was due to a 9.6% decrease in sales for our Gaming Components and Systems segment, partially offset by a 11.5% increase in sales for our Gamer and Creator Peripherals segment.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further discussions specific to our Gaming Components and Systems and Gamer and Creator Peripherals segments, refer to “Segment Results” section below.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Gross Profit and Gross Margin</w:t>
      </w:r>
    </w:p>
    <w:tbl>
      <w:tblPr>
        <w:tblW w:w="6762" w:type="dxa"/>
        <w:jc w:val="left"/>
        <w:tblInd w:w="0" w:type="dxa"/>
        <w:tblLayout w:type="fixed"/>
        <w:tblCellMar>
          <w:top w:w="28" w:type="dxa"/>
          <w:left w:w="28" w:type="dxa"/>
          <w:bottom w:w="28" w:type="dxa"/>
          <w:right w:w="28" w:type="dxa"/>
        </w:tblCellMar>
      </w:tblPr>
      <w:tblGrid>
        <w:gridCol w:w="1186"/>
        <w:gridCol w:w="146"/>
        <w:gridCol w:w="211"/>
        <w:gridCol w:w="781"/>
        <w:gridCol w:w="271"/>
        <w:gridCol w:w="146"/>
        <w:gridCol w:w="211"/>
        <w:gridCol w:w="676"/>
        <w:gridCol w:w="271"/>
        <w:gridCol w:w="146"/>
        <w:gridCol w:w="211"/>
        <w:gridCol w:w="781"/>
        <w:gridCol w:w="271"/>
        <w:gridCol w:w="146"/>
        <w:gridCol w:w="211"/>
        <w:gridCol w:w="781"/>
        <w:gridCol w:w="316"/>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188,233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margin increased by 640 bps for the three months ended June 30, 2026 as compared to the same period last year. The increase was primarily attributable to a 480 bps benefit from lower tariff costs including refund of duties previously paid under tariffs imposed pursuant to the International Emergency Economic Powers Act (IEEPA), a 120 bps decrease in freight costs, a 115 bps improvement from favorable product mix, and a 60 bps decrease in promotional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increases were partially offset by a 105 bps decrease from higher excess and obsolete inventory provisions and lower inventory absorption.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margin increased by 560 bps for the six months ended June 30, 2026 as compared to the same period last year. The increase was primarily attributable to a 365 bps improvement from favorable product mix, a 165 bps benefit from lower tariff costs including refund of duties previously paid under tariffs imposed pursuant to IEEPA, a 75 bps decrease in freight costs, and a 45 bps decrease in promotional costs. These increases were partially offset by a 90 bps decrease from higher excess and obsolete inventory provisions and lower inventory absorption.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further discussions specific to our Gaming Components and Systems and Gamer and Creator Peripherals segments, refer to the “Segment Results” section below.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Sales, General and Administrative (SG&amp;A)</w:t>
      </w:r>
    </w:p>
    <w:tbl>
      <w:tblPr>
        <w:tblW w:w="7762" w:type="dxa"/>
        <w:jc w:val="left"/>
        <w:tblInd w:w="0" w:type="dxa"/>
        <w:tblLayout w:type="fixed"/>
        <w:tblCellMar>
          <w:top w:w="28" w:type="dxa"/>
          <w:left w:w="28" w:type="dxa"/>
          <w:bottom w:w="28" w:type="dxa"/>
          <w:right w:w="28" w:type="dxa"/>
        </w:tblCellMar>
      </w:tblPr>
      <w:tblGrid>
        <w:gridCol w:w="2791"/>
        <w:gridCol w:w="146"/>
        <w:gridCol w:w="211"/>
        <w:gridCol w:w="676"/>
        <w:gridCol w:w="146"/>
        <w:gridCol w:w="146"/>
        <w:gridCol w:w="211"/>
        <w:gridCol w:w="676"/>
        <w:gridCol w:w="146"/>
        <w:gridCol w:w="146"/>
        <w:gridCol w:w="211"/>
        <w:gridCol w:w="781"/>
        <w:gridCol w:w="146"/>
        <w:gridCol w:w="146"/>
        <w:gridCol w:w="211"/>
        <w:gridCol w:w="781"/>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SG&amp;A expenses decreased by $4.0 million, or 4.7%, for the three months ended June 30, 2026 as compared to the same period last year primarily due to a $3.4 million decrease in stock-based compensation expense, a $3.2 million decrease in distribution costs, and a $1.4 million decrease in the provision for doubtful accounts. These decreases were partially offset by a $2.8 million increase in personnel-related costs and a $0.9 million increase in facilities and maintenance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SG&amp;A expenses decreased by $6.1 million, or 3.5%, for the six months ended June 30, 2026 as compared to the same period last year, primarily due to a $6.1 million decrease in distribution costs, a $5.8 million decrease in stock-based compensation expense, and a $2.8 million decrease in the provision for doubtful accounts. These decreases were partially offset by a $6.1 million increase in personnel-related costs, a $1.4 million increase in facilities and maintenance expense, and a $0.7 million increase in marketing and advertising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Product Development</w:t>
      </w:r>
    </w:p>
    <w:tbl>
      <w:tblPr>
        <w:tblW w:w="6622" w:type="dxa"/>
        <w:jc w:val="left"/>
        <w:tblInd w:w="0" w:type="dxa"/>
        <w:tblLayout w:type="fixed"/>
        <w:tblCellMar>
          <w:top w:w="28" w:type="dxa"/>
          <w:left w:w="28" w:type="dxa"/>
          <w:bottom w:w="28" w:type="dxa"/>
          <w:right w:w="28" w:type="dxa"/>
        </w:tblCellMar>
      </w:tblPr>
      <w:tblGrid>
        <w:gridCol w:w="1861"/>
        <w:gridCol w:w="146"/>
        <w:gridCol w:w="211"/>
        <w:gridCol w:w="676"/>
        <w:gridCol w:w="146"/>
        <w:gridCol w:w="146"/>
        <w:gridCol w:w="211"/>
        <w:gridCol w:w="676"/>
        <w:gridCol w:w="146"/>
        <w:gridCol w:w="146"/>
        <w:gridCol w:w="211"/>
        <w:gridCol w:w="676"/>
        <w:gridCol w:w="146"/>
        <w:gridCol w:w="146"/>
        <w:gridCol w:w="211"/>
        <w:gridCol w:w="676"/>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development expenses decreased by $2.1 million, or 11.8%, for the three months ended June 30, 2026 as compared to the same period last year, primarily due to a $1.5 million decrease in consultant and contractor costs, a $0.8 million decrease in intangible amortization expense and a $0.4 million decrease in project material costs. These decreases were partially offset by a $0.9 million increase in personnel-related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development expenses decreased by $2.5 million, or 7.0%, for the six months ended June 30, 2026 as compared to the same period last year, primarily due to a $2.6 million decrease in consultant and contractor costs, a $1.5 million decrease in intangible amortization expense, and a $0.6 million decrease in project materials costs. These decreases were partially offset by a $2.2 million increase in personnel-related costs and a $0.5 million increase in restructuring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 Interest income and Other (expense) income, net</w:t>
      </w:r>
    </w:p>
    <w:tbl>
      <w:tblPr>
        <w:tblW w:w="7047" w:type="dxa"/>
        <w:jc w:val="left"/>
        <w:tblInd w:w="0" w:type="dxa"/>
        <w:tblLayout w:type="fixed"/>
        <w:tblCellMar>
          <w:top w:w="28" w:type="dxa"/>
          <w:left w:w="28" w:type="dxa"/>
          <w:bottom w:w="28" w:type="dxa"/>
          <w:right w:w="28" w:type="dxa"/>
        </w:tblCellMar>
      </w:tblPr>
      <w:tblGrid>
        <w:gridCol w:w="2386"/>
        <w:gridCol w:w="146"/>
        <w:gridCol w:w="211"/>
        <w:gridCol w:w="631"/>
        <w:gridCol w:w="166"/>
        <w:gridCol w:w="146"/>
        <w:gridCol w:w="211"/>
        <w:gridCol w:w="631"/>
        <w:gridCol w:w="166"/>
        <w:gridCol w:w="146"/>
        <w:gridCol w:w="211"/>
        <w:gridCol w:w="631"/>
        <w:gridCol w:w="166"/>
        <w:gridCol w:w="146"/>
        <w:gridCol w:w="211"/>
        <w:gridCol w:w="631"/>
        <w:gridCol w:w="21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decreased by 32.4% and 34.7% for the three and six months ended June 30, 2026, respectively, as compared to the same periods last year, primarily due to a lower principal balance on our term loans combined with lower interest rates.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increased by 142.1% and 50.8% for the three and six months ended June 30, 2026, respectively, as compared to the same periods last year, primarily due to $0.6 million of interest income recognized in the second quarter of 2026 in connection with a refund of duties previously paid under the tariffs imposed pursuant to IEEPA, which the U.S. Supreme Court ruled invalid in February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income, net for the three months ended June 30, 2026 and 2025 was primarily comprised of foreign exchange gains and losses on cash, accounts receivable, and intercompany balances denominated in currencies other than the functional currencies of our subsidiaries, and other non-operating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income, net for the six months ended June 30, 2026 was primarily comprised of foreign exchange gains and losses on cash, accounts receivable, and intercompany balances denominated in currencies other than the functional currencies of our subsidiaries, and other non-operating income. In addition, other (expense) income, net for the six months ended June 30, 2025 included a $2.6 million reversal of a bargain purchase gain from the Fanatec Acquisition that was recognized in the prior year. Our foreign currency exposure was primarily driven by fluctuations in the foreign currency exchange rates of the Euro, British Pound, and Taiwan Dollar.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 benefit (expense)</w:t>
      </w:r>
    </w:p>
    <w:tbl>
      <w:tblPr>
        <w:tblW w:w="8202" w:type="dxa"/>
        <w:jc w:val="left"/>
        <w:tblInd w:w="0" w:type="dxa"/>
        <w:tblLayout w:type="fixed"/>
        <w:tblCellMar>
          <w:top w:w="28" w:type="dxa"/>
          <w:left w:w="28" w:type="dxa"/>
          <w:bottom w:w="28" w:type="dxa"/>
          <w:right w:w="28" w:type="dxa"/>
        </w:tblCellMar>
      </w:tblPr>
      <w:tblGrid>
        <w:gridCol w:w="2866"/>
        <w:gridCol w:w="146"/>
        <w:gridCol w:w="211"/>
        <w:gridCol w:w="571"/>
        <w:gridCol w:w="271"/>
        <w:gridCol w:w="146"/>
        <w:gridCol w:w="211"/>
        <w:gridCol w:w="736"/>
        <w:gridCol w:w="271"/>
        <w:gridCol w:w="146"/>
        <w:gridCol w:w="211"/>
        <w:gridCol w:w="676"/>
        <w:gridCol w:w="271"/>
        <w:gridCol w:w="146"/>
        <w:gridCol w:w="211"/>
        <w:gridCol w:w="736"/>
        <w:gridCol w:w="376"/>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(28,931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U.S. income, the utilization of net operating loss and tax credit carry forwards, changes in geographic mix of income and expense, changes in management’s assessment of matters such as the ability to realize deferred tax assets, and changes in tax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the Company is unable to make a reliable estimate of its annual effective tax rate given the non-recurring nature of certain items affecting operating results in 2026, income tax expense for the three and six months ended June 30, 2026 was computed using the actual year-to-date effective tax rate method, rather than the estimated annual effective tax rate method, adjusted for discrete items.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effective tax rates were tax benefit of 0.3% and 1.8% for the three months ended June 30, 2026 and 2025, respectively. The change in our effective tax rate for the three months ended June 30, 2026, compared to the prior year period, was primarily driven by changes in the geographic mix of income and losses across jurisdictions, partially offset by the release of a FIN 48 reserve upon the conclusion of our Netherlands income tax audit.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effective tax rates were tax benefit and expense of 0.8% and (5.8)% for the six months ended June 30, 2026 and 2025, respectively. Our effective tax rate in both periods reflects the continued application of a full valuation allowance against our U.S. federal and state deferred tax assets, which limits the extent to which U.S. pre-tax results affect our consolidated provision. The change in our effective tax rate for the six months ended June 30, 2026, was primarily due to discrete tax benefits recognized upon the favorable resolution of a tax audit in the Netherlands and the transfer of intellectual property from the United Kingdom to the United States, partially offset by increased tax expense from shifting from a consolidated pre-tax loss in the prior-year period to consolidated pre-tax income in the current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 Results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Segment Net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our net revenue by segment expressed both in dollars (thousands) and as a percentage of net revenue:</w:t>
      </w:r>
    </w:p>
    <w:tbl>
      <w:tblPr>
        <w:tblW w:w="10333" w:type="dxa"/>
        <w:jc w:val="left"/>
        <w:tblInd w:w="0" w:type="dxa"/>
        <w:tblLayout w:type="fixed"/>
        <w:tblCellMar>
          <w:top w:w="28" w:type="dxa"/>
          <w:left w:w="28" w:type="dxa"/>
          <w:bottom w:w="28" w:type="dxa"/>
          <w:right w:w="28" w:type="dxa"/>
        </w:tblCellMar>
      </w:tblPr>
      <w:tblGrid>
        <w:gridCol w:w="1146"/>
        <w:gridCol w:w="146"/>
        <w:gridCol w:w="196"/>
        <w:gridCol w:w="691"/>
        <w:gridCol w:w="146"/>
        <w:gridCol w:w="146"/>
        <w:gridCol w:w="146"/>
        <w:gridCol w:w="511"/>
        <w:gridCol w:w="256"/>
        <w:gridCol w:w="146"/>
        <w:gridCol w:w="196"/>
        <w:gridCol w:w="691"/>
        <w:gridCol w:w="146"/>
        <w:gridCol w:w="146"/>
        <w:gridCol w:w="146"/>
        <w:gridCol w:w="511"/>
        <w:gridCol w:w="256"/>
        <w:gridCol w:w="146"/>
        <w:gridCol w:w="196"/>
        <w:gridCol w:w="691"/>
        <w:gridCol w:w="146"/>
        <w:gridCol w:w="146"/>
        <w:gridCol w:w="146"/>
        <w:gridCol w:w="511"/>
        <w:gridCol w:w="256"/>
        <w:gridCol w:w="146"/>
        <w:gridCol w:w="196"/>
        <w:gridCol w:w="691"/>
        <w:gridCol w:w="146"/>
        <w:gridCol w:w="146"/>
        <w:gridCol w:w="146"/>
        <w:gridCol w:w="511"/>
        <w:gridCol w:w="491"/>
      </w:tblGrid>
      <w:tr>
        <w:trPr/>
        <w:tc>
          <w:tcPr>
            <w:tcW w:w="1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Gamer and Creator Peripherals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Gaming Components and Systems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Memory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104,973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Component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75,437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112,497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157,078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229,184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198,451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217,470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429,653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475,247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Net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314,335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320,112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668,847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689,862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Gamer and Creator Peripherals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revenue of the Gamer and Creator Peripherals segment increased by 12.9% and 11.5%, respectively, for the three and six months ended June 30, 2026 as compared to the same periods last year. The increase was primarily driven by higher sales within our peripherals, streaming and sim racing categories as a result of new product introductions and channel expansion.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Gaming Components and Systems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revenue of the Gaming Components and Systems segment decreased by 8.7% and 9.6%, respectively, for the three and six months ended June 30, 2026 as compared to the same periods last year. The decrease was primarily driven by softer demand in the self-built PC market, reflecting the lack of a significant GPU-driven upgrade cycle and elevated memory pricing, partially offset by growth in demand for memory and systems products.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Segment Gross Profit and Gross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our gross profit expressed in dollars (thousands) and gross margin (which we define as gross profit as a percentage of net revenue) by segment:</w:t>
      </w:r>
    </w:p>
    <w:tbl>
      <w:tblPr>
        <w:tblW w:w="10205" w:type="dxa"/>
        <w:jc w:val="left"/>
        <w:tblInd w:w="0" w:type="dxa"/>
        <w:tblLayout w:type="fixed"/>
        <w:tblCellMar>
          <w:top w:w="28" w:type="dxa"/>
          <w:left w:w="28" w:type="dxa"/>
          <w:bottom w:w="28" w:type="dxa"/>
          <w:right w:w="28" w:type="dxa"/>
        </w:tblCellMar>
      </w:tblPr>
      <w:tblGrid>
        <w:gridCol w:w="1468"/>
        <w:gridCol w:w="146"/>
        <w:gridCol w:w="196"/>
        <w:gridCol w:w="691"/>
        <w:gridCol w:w="146"/>
        <w:gridCol w:w="146"/>
        <w:gridCol w:w="146"/>
        <w:gridCol w:w="421"/>
        <w:gridCol w:w="256"/>
        <w:gridCol w:w="146"/>
        <w:gridCol w:w="196"/>
        <w:gridCol w:w="601"/>
        <w:gridCol w:w="146"/>
        <w:gridCol w:w="146"/>
        <w:gridCol w:w="146"/>
        <w:gridCol w:w="421"/>
        <w:gridCol w:w="256"/>
        <w:gridCol w:w="146"/>
        <w:gridCol w:w="196"/>
        <w:gridCol w:w="691"/>
        <w:gridCol w:w="146"/>
        <w:gridCol w:w="146"/>
        <w:gridCol w:w="146"/>
        <w:gridCol w:w="421"/>
        <w:gridCol w:w="256"/>
        <w:gridCol w:w="146"/>
        <w:gridCol w:w="196"/>
        <w:gridCol w:w="691"/>
        <w:gridCol w:w="146"/>
        <w:gridCol w:w="146"/>
        <w:gridCol w:w="146"/>
        <w:gridCol w:w="421"/>
        <w:gridCol w:w="491"/>
      </w:tblGrid>
      <w:tr>
        <w:trPr/>
        <w:tc>
          <w:tcPr>
            <w:tcW w:w="14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4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June 30,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Gamer and Creator Peripherals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Gaming Components and Systems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4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Memory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Component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100,730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146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104,288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85,871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220,317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188,233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Gamer and Creator Peripherals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gross margin of the Gamer and Creator Peripherals segment increased by 490 bps for the three months ended June 30, 2026 as compared to the same period last year. The increase was primarily attributable to a 595 bps benefit from lower tariff costs, reflecting a refund of duties paid under tariffs imposed pursuant to the IEEPA and a 115 bps decrease in promotional costs. These increases were partially offset by a 125 bps decrease from higher excess and obsolete inventory provision as compared to the prior year period, a 70 bps decrease from higher licensing costs, and a 70 bps decrease from higher costs to process and rework inventory returns.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gross margin of the Gamer and Creator Peripherals segment increased by 200 bps for the six months ended June 30, 2026 as compared to the same period last year. The increase was primarily attributable to a 200 bps benefit from lower tariff costs related to the IEEPA tariff refund, and a 185 bps improvement from favorable product mix. These increases were partially offset by a 125 bps decrease from lower royalty income, a 35 bps decrease from lower inventory absorption, and a 30 bps decrease from higher freight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Gaming Components and Systems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gross margin of the Gaming Components and Systems segment increased by 570 bps for the three months ended June 30, 2026 as compared to the same period last year. The increase was primarily attributable to a 405 bps benefit from lower tariff costs, reflecting a refund of duties paid under tariffs imposed pursuant to the IEEPA, a 180 bps decrease in freight costs, a 75 bps decrease in costs to process and rework inventory returns and warranty costs, and a 70 bps improvement from favorable product mix. These increases were partially offset by a 150 bps decrease from lower inventory absorption and higher product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gross margin of the Gaming Components and Systems segment increased by 630 bps for the six months ended June 30, 2026 as compared to the same period last year. The increase was primarily attributable to a 295 bps improvement from favorable product mix, a 150 bps benefit from lower tariff costs related to the IEEPA tariff refund, a 140 bps decrease in freight costs, and a 120 bps decrease in promotional costs. These increases were partially offset by a 75 bps decrease from lower inventory absorption.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financed our operations and acquisitions through cash from operations, and when necessary, through debt facilities and issuance of equity securities. As of June 30, 2026, our principal sources of liquidity were cash and restricted cash, in aggregate of $193.9 million, and our borrowing capacity under the June 2030 Revolving Facility (as defined under “Capital Resources” below) of $99.6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uses of cash generally include purchases of inventory, payroll and other operating expenses related to the development and marketing of our products, capital expenditures, repayments of debt and related interest, income tax payments, share repurchases, future investments in business and technology, and selective mergers and acquisitions.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anticipated cash flows from operations based on our current business outlook, combined with our current levels of cash balances at June 30, 2026, supplemented with the borrowing capacity under our June 2030 Revolving Facility, if and as needed, will be sufficient to fund our principal uses of cash for at least the next twelve months. In the longer term, liquidity will depend to a great extent on our future revenues and our ability to appropriately manage our costs based on the demand for our products. We may require additional funding and need or choose to raise the required funds through borrowings or public or private sales of debt or equity securities. The sale of additional equity would result in additional dilution to our stockholders. The incurrence of debt financing would result in debt service obligations and the instruments governing such debt could require operating and financial covenants that would restrict our operations. There can be no assurance that any such equity or debt financing will be available on favorable terms, or at all.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periods presented (in thousands):</w:t>
      </w:r>
    </w:p>
    <w:tbl>
      <w:tblPr>
        <w:tblW w:w="5464" w:type="dxa"/>
        <w:jc w:val="left"/>
        <w:tblInd w:w="0" w:type="dxa"/>
        <w:tblLayout w:type="fixed"/>
        <w:tblCellMar>
          <w:top w:w="28" w:type="dxa"/>
          <w:left w:w="28" w:type="dxa"/>
          <w:bottom w:w="28" w:type="dxa"/>
          <w:right w:w="28" w:type="dxa"/>
        </w:tblCellMar>
      </w:tblPr>
      <w:tblGrid>
        <w:gridCol w:w="2656"/>
        <w:gridCol w:w="146"/>
        <w:gridCol w:w="211"/>
        <w:gridCol w:w="781"/>
        <w:gridCol w:w="166"/>
        <w:gridCol w:w="146"/>
        <w:gridCol w:w="211"/>
        <w:gridCol w:w="736"/>
        <w:gridCol w:w="4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48,943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(47,033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Flows from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for the six months ended June 30, 2026 was $104.6 million and consisted of net income of $22.2 million, adjusted for non-cash items of $33.6 million and a net cash inflow of $48.8 million from changes in our net operating assets and liabilities. The non-cash adjustments primarily consisted of $18.6 million of amortization of intangibles, $12.6 million of stock-based compensation expense, and $7.2 million of depreciation, partially offset by a $6.4 million net deferred tax benefit. The net cash inflow from changes in our net operating assets and liabilities was primarily related to a $73.1 million decrease in accounts receivable and a $38.9 million decrease in inventories, partially offset by a $33.7 million decrease in accounts payable due to lower inventory purchases, the timing of vendor payments and mix of vendor terms, and a $29.5 million decrease in other liabilities and 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operating activities for the six months ended June 30, 2025 was $48.9 million and consisted of non-cash adjustments of $49.4 million, a net cash inflow of $30.1 million from changes in our net operating assets and liabilities, partially offset by a net loss of $30.6 million. The non-cash adjustments primarily consisted of amortization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intangibles, depreciation, stock-based compensation expense, and the reversal of the Fanatec Acquisition bargain purchase gain previously recognized in the year ended December 31, 2024. The net cash inflow from changes in our net operating assets and liabilities was primarily related to an increase in accounts payable due to timing of payments and higher inventory purchases, as well as a decrease in accounts receivable due to timing of collections, partially offset by cash outflows from an increase in inventories as we stocked up inventory in the United States in anticipation of tariffs, as well as a decrease in other liabilities and accrued expenses primarily due to a reduction in the accruals needed for customer incentives programs and sales returns with lower revenues in the quarter ended June 30, 2025 as compared to the quarter ended December 31, 2024.</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Flows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was $6.4 million for the six months ended June 30, 2026 for capital expenditures.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investing activities was $5.8 million for the six months ended June 30, 2025 for capital expenditures.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Cash Flows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financing activities was $2.6 million for the six months ended June 30, 2026 and consisted of $3.1 million repayment of debt and debt issuance costs, $5.0 million of repurchases of common stock, $0.8 million payment of taxes related to net share settlement of equity awards, and $0.2 million payment of dividends to noncontrolling interest, partially offset by $6.5 million proceeds received from the issuance of shares through employee equity incentive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used in financing activities was $47.0 million for the six months ended June 30, 2025 and consisted of $49.0 million repayment of debt, $1.0 million payment of taxes related to net share settlement of equity awards, and $0.5 million payment of dividends to noncontrolling interest, partially offset by $3.4 million proceeds received from the issuance of shares through the employee equity incentive plans.</w:t>
      </w:r>
    </w:p>
    <w:p>
      <w:pPr>
        <w:pStyle w:val="TextBody"/>
        <w:bidi w:val="0"/>
        <w:spacing w:before="240" w:after="283"/>
        <w:jc w:val="left"/>
        <w:rPr>
          <w:rFonts w:ascii="Times New Roman" w:hAnsi="Times New Roman"/>
          <w:sz w:val="20"/>
        </w:rPr>
      </w:pPr>
      <w:r>
        <w:rPr>
          <w:rFonts w:ascii="Times New Roman" w:hAnsi="Times New Roman"/>
          <w:b/>
          <w:i/>
          <w:color w:val="000000"/>
          <w:sz w:val="20"/>
        </w:rPr>
        <w:t>Capital Resources</w:t>
      </w:r>
      <w:r>
        <w:rPr>
          <w:rFonts w:ascii="Times New Roman" w:hAnsi="Times New Roman"/>
          <w:color w:val="000000"/>
          <w:sz w:val="20"/>
        </w:rPr>
        <w:t xml:space="preserve"> </w:t>
      </w:r>
    </w:p>
    <w:p>
      <w:pPr>
        <w:pStyle w:val="TextBody"/>
        <w:bidi w:val="0"/>
        <w:spacing w:before="160" w:after="120"/>
        <w:jc w:val="left"/>
        <w:rPr>
          <w:rFonts w:ascii="Times New Roman" w:hAnsi="Times New Roman"/>
          <w:color w:val="000000"/>
          <w:sz w:val="20"/>
        </w:rPr>
      </w:pPr>
      <w:r>
        <w:rPr>
          <w:rFonts w:ascii="Times New Roman" w:hAnsi="Times New Roman"/>
          <w:color w:val="000000"/>
          <w:sz w:val="20"/>
        </w:rPr>
        <w:t>On June 30, 2025, we entered into an Amended and Restated Credit Agreement (the “Amended and Restated Credit Agreement”) with Bank of America, N.A. (“BofA”) to refinance our prior first lien credit and guaranty agreement with BofA, entered into on September 3, 2021. The Amended and Restated Credit Agreement provides for total commitments of $225.0 million, consisting of a $100.0 million five-year revolving credit facility maturing on June 30, 2030 (the “June 2030 Revolving Facility”) and a $125.0 million five-year term loan facility maturing on June 30, 2030 (the “June 2030 Term Loan”). The Amended and Restated Credit Agreement also permits, subject to conditions stated therein, additional incremental facilities in a maximum aggregate principal amount not to exceed $125.0 million.</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The Amended and Restated Credit Agreement has a variable rate structure. According to the provisions of the Amended and Restated Credit Agreement, the June 2030 Term Loan and June 2030 Revolving Facility each bears interest at our election, at either (a) term Secured Overnight Financing Rate (“SOFR”) plus a percentage spread (ranging from 1.50% to 2.50%) based on our total net leverage ratio or (b) the base rate (as described in the Amended and Restated Credit Agreement as the greatest of (i) Bank of America’s prime rate, (ii) the federal funds rate plus 0.50% and (iii) one-month term SOFR plus 1.0%) plus a percentage spread (ranging from 0.50% to 1.50%) based on the total net leverage ratio.</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30, 2026, the Board of Directors authorized us to repurchase up to $50 million of our outstanding shares of common stock representing our first repurchase authorization. The repurchase program was effective immediately, does not have an expiration date and is subject to market conditions, applicable laws and regulatory guidelines. The timing and amount of any repurchases will depend on a variety of factors, and the program may be suspended or discontinued at any time and without prior notice.</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There were no share repurchases for the three months ended June 30, 2026. As of June 30, 2026, approximately $45.0 million remained available under this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Contractual Cash and Other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contractual cash and other obligations as of June 30, 2026 (in thousands):</w:t>
      </w:r>
    </w:p>
    <w:tbl>
      <w:tblPr>
        <w:tblW w:w="9936" w:type="dxa"/>
        <w:jc w:val="left"/>
        <w:tblInd w:w="0" w:type="dxa"/>
        <w:tblLayout w:type="fixed"/>
        <w:tblCellMar>
          <w:top w:w="28" w:type="dxa"/>
          <w:left w:w="28" w:type="dxa"/>
          <w:bottom w:w="28" w:type="dxa"/>
          <w:right w:w="28" w:type="dxa"/>
        </w:tblCellMar>
      </w:tblPr>
      <w:tblGrid>
        <w:gridCol w:w="3481"/>
        <w:gridCol w:w="146"/>
        <w:gridCol w:w="211"/>
        <w:gridCol w:w="781"/>
        <w:gridCol w:w="146"/>
        <w:gridCol w:w="146"/>
        <w:gridCol w:w="211"/>
        <w:gridCol w:w="781"/>
        <w:gridCol w:w="146"/>
        <w:gridCol w:w="146"/>
        <w:gridCol w:w="211"/>
        <w:gridCol w:w="676"/>
        <w:gridCol w:w="146"/>
        <w:gridCol w:w="146"/>
        <w:gridCol w:w="211"/>
        <w:gridCol w:w="781"/>
        <w:gridCol w:w="146"/>
        <w:gridCol w:w="146"/>
        <w:gridCol w:w="211"/>
        <w:gridCol w:w="676"/>
        <w:gridCol w:w="3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Due by 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1-3</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w:t>
              <w:br/>
              <w:t>5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Debt principal and interest payments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Inventory-related purchase obligations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Operating lease obligations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purchase obligations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125,189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Amounts represent the principal cash payments as of June 30, 2026 of our June 2030 Term Loan based on the repayment schedule according to the Amended and Restated Credit Agreement and the expected interest payments associated with the June 2030 Term Loan. See Note 6, “Debt” to our condensed consolidated financial statements for more information.</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Amounts represent an estimate of purchase obligations related to inventory.</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Amounts represent contractual obligations from our operating leases for offices and warehouse spaces.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(4)</w:t>
      </w:r>
    </w:p>
    <w:p>
      <w:pPr>
        <w:pStyle w:val="TextBody"/>
        <w:bidi w:val="0"/>
        <w:jc w:val="left"/>
        <w:rPr>
          <w:rFonts w:ascii="Times New Roman" w:hAnsi="Times New Roman"/>
          <w:color w:val="000000"/>
          <w:sz w:val="18"/>
        </w:rPr>
      </w:pPr>
      <w:r>
        <w:rPr>
          <w:rFonts w:ascii="Times New Roman" w:hAnsi="Times New Roman"/>
          <w:color w:val="000000"/>
          <w:sz w:val="18"/>
        </w:rPr>
        <w:t>Amounts represent non-cancelable obligations related to capital expenditures, software licenses, marketing and other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$1.2 million in non-current income tax payable, including interest and penalties, related to our income tax liability for uncertain tax positions. At this time, we are unable to make a reasonably reliable estimate of the timing of payments in individual years in connection with these tax liabilities; therefore, such amounts are not included in the contractual cash obligation table above.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critical accounting policy is defined as one that has both a material impact on our financial condition and results of operations and requires us to make difficult, complex and/or subjective judgments, often as a result of the need to make estimates about matters that are inherently uncertain. Our condensed consolidated financial statements are prepared in accordance with U.S. generally accepted accounting principles (“GAAP”), which requires us to make estimates, judgments and assumptions that affect the reported amounts of assets and liabilities and the disclosure of contingent liabilities at the date of the condensed consolidated financial statements, as well as the reported amounts of revenue and expenses during the reporting periods. Our estimates are based on our historical experience and on various other factors that we believe to be applicable and evaluate them on an ongoing basis to ensure they remain reasonable under current conditions. Actual results may differ significantly from those estimates, which could have a material impact on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policies and estimates during the six months ended June 30, 2026 as compared to the critical accounting policies and estimates described in our Management’s Discussion and Analysis of Financial Condition and Results of Operations included in our Annual Report on Form 10-K for the year ended December 31, 2025 filed with the SEC on February 25,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2 to the condensed consolidated financial statements included in this Quarterly Report on Form 10-Q for recent accounting pronouncements adopted and to be adopted.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cash and restricted cash of $193.9 million, which consisted primarily of bank deposits. Our cash is held for working capital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under the Amended and Restated Credit Agreement, we had $118.8 million (face value) outstanding on the June 2030 Term Loan which bears interest at variable market rates, primarily SOFR. A significant change in these market rates may adversely affect our operating results. As of June 30, 2026, a hypothetical 100 basis point change in interest rates would result in a change to the annual interest expense by approximately $1.2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Approximately 21.6% of our net revenue for the six months ended June 30, 2026 was denominated in foreign currencies, primarily the Euro, and to a lesser extent, the British Pound. Any unfavorable movement in the exchange rate between U.S. dollars and the currencies in which we conduct sales in foreign countries could have an adverse impact on our net revenue and gross margins as we may have to adjust local currency product pricing due to competitive pressures if there is significant volatility in foreign currency exchange rates. Our operating expenses are denominated in the currencies of the countries in which our operations are located, which are primarily in the United States, Germany, United Kingdom, Taiwan, and China. Our operating results and cash flows are, therefore, subject to fluctuations due to changes in foreign currency exchange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enter into forward currency contracts to reduce the short-term effects of currency fluctuations on Euro and British Pound denominated cash, accounts receivable, and intercompany receivable and payable balances. These forward contracts generally mature within two to four months, and we do not enter into foreign currency forward contracts for trading purposes. The outstanding notional principal amount was $20.5 million and $28.5 million as of June 30, 2026 and December 31, 2025, respectively. The gains or losses on these contracts are recognized in earnings based on the changes in fair value of the foreign currency forward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 impact of changes in foreign currency rates, including the net gains or (losses) on the forward currency contracts, recognized in other expense, net was $(1.0) million and $(3.4) million for the six months ended June 30, 2026 and 2025, respectively. A hypothetical ten percent change in exchange rates between foreign currencies and the U.S. dollar would increase or decrease our gains or losses on foreign currency exchange of approximately $1.3 million in our condensed consolidated financial statements for the six months ended June 30,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Limitations on Effectiveness of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principal executive officer and our principal financial officer, has evaluated the effectiveness of our disclosure controls and procedures as of the end of the period covered by this Quarterly Report on Form 10-Q.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this evaluation, our chief executive officer and chief financial officer concluded that, as of June 30, 2026,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that occurred during the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14" w:name="part_iior_information"/>
      <w:bookmarkEnd w:id="14"/>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15" w:name="item_1_legal_proceedings"/>
      <w:bookmarkEnd w:id="15"/>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from time to time be involved in various legal proceedings of a character normally incident to the ordinary course of our business. Although the outcome of any pending matters, and the amount, if any, of our ultimate liability and any other forms of remedies with respect to these matters, cannot be determined or predicted with certainty, we do not believe that the ultimate outcome of these matters will have a material adverse effect on our business, results of operations or financial condition.</w:t>
      </w:r>
    </w:p>
    <w:p>
      <w:pPr>
        <w:pStyle w:val="TextBody"/>
        <w:bidi w:val="0"/>
        <w:spacing w:before="240" w:after="283"/>
        <w:jc w:val="left"/>
        <w:rPr>
          <w:rFonts w:ascii="Times New Roman" w:hAnsi="Times New Roman"/>
          <w:b/>
          <w:color w:val="000000"/>
          <w:sz w:val="20"/>
        </w:rPr>
      </w:pPr>
      <w:bookmarkStart w:id="16" w:name="item_ia_risk_factor"/>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disclosed under the heading “Risk Factors” in Part I, Item 1A of our Annual Report on Form 10-K for the year ended December 31, 2025 the risk factors that materially affect our business, financial condition or results of operations. There have been no material changes from the risk factors previously disclosed. You should carefully consider the risk factors set forth in our Annual Report on Form 10-K for the year ended December 31, 2025 and the other information set forth elsewhere in this Quarterly Report on Form 10-Q. The risks that we describe in our public filings are not the only risks we may face. Additional risks and uncertainties not currently known to us or that we currently deem to be immaterial also may materially adversely effect on our business, financial condition and/or future operating results.</w:t>
      </w:r>
    </w:p>
    <w:p>
      <w:pPr>
        <w:pStyle w:val="TextBody"/>
        <w:bidi w:val="0"/>
        <w:spacing w:before="240" w:after="283"/>
        <w:jc w:val="left"/>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share repurchases during the three months ended June 30, 2026.</w:t>
      </w:r>
    </w:p>
    <w:p>
      <w:pPr>
        <w:pStyle w:val="TextBody"/>
        <w:bidi w:val="0"/>
        <w:spacing w:before="240" w:after="283"/>
        <w:jc w:val="left"/>
        <w:rPr>
          <w:rFonts w:ascii="Times New Roman" w:hAnsi="Times New Roman"/>
          <w:sz w:val="20"/>
        </w:rPr>
      </w:pPr>
      <w:bookmarkStart w:id="18" w:name="item_3_defaults_upon_senior_securities"/>
      <w:bookmarkEnd w:id="18"/>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20" w:name="item_5_other_information"/>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None.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None of our directors or officers (as defined in Rule 16a-1 under the Exchange Act) adopted, modified or terminated a Rule 10b5-1 trading arrangement or non-Rule 10b5-1 trading arrangement during the three months ended June 30, 2026, as such terms are defined under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2"/>
        <w:gridCol w:w="146"/>
        <w:gridCol w:w="5084"/>
        <w:gridCol w:w="794"/>
        <w:gridCol w:w="146"/>
        <w:gridCol w:w="446"/>
        <w:gridCol w:w="109"/>
        <w:gridCol w:w="109"/>
        <w:gridCol w:w="109"/>
        <w:gridCol w:w="631"/>
        <w:gridCol w:w="109"/>
        <w:gridCol w:w="146"/>
        <w:gridCol w:w="659"/>
        <w:gridCol w:w="146"/>
        <w:gridCol w:w="829"/>
      </w:tblGrid>
      <w:tr>
        <w:trPr/>
        <w:tc>
          <w:tcPr>
            <w:tcW w:w="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7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08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64" w:type="dxa"/>
            <w:gridSpan w:val="9"/>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 by</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2"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08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7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1"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2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Filed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8" w:type="dxa"/>
            <w:gridSpan w:val="2"/>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Second 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noBreakHyphen/>
              <w:t>K</w:t>
            </w:r>
          </w:p>
        </w:tc>
        <w:tc>
          <w:tcPr>
            <w:tcW w:w="2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09/25/2020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8" w:type="dxa"/>
            <w:gridSpan w:val="2"/>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noBreakHyphen/>
              <w:t>K</w:t>
            </w:r>
          </w:p>
        </w:tc>
        <w:tc>
          <w:tcPr>
            <w:tcW w:w="2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09/25/2020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8" w:type="dxa"/>
            <w:gridSpan w:val="2"/>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common stock certificate of Registrant.</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2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09/18/2020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8" w:type="dxa"/>
            <w:gridSpan w:val="2"/>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Investor Rights Agreement, by and between Corsair Gaming, Inc. and Corsair Group (Cayman), 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2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11/10/2020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8" w:type="dxa"/>
            <w:gridSpan w:val="2"/>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Description of Corsair’s Securities Registered Pursuant to Section 12 of the Securities Exchange Act of 1934.</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2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03/11/2021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8" w:type="dxa"/>
            <w:gridSpan w:val="2"/>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Registration Rights Agreement, by and between Corsair Gaming, Inc. and Corsair Group (Cayman), LP.</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2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09/14/2020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8" w:type="dxa"/>
            <w:gridSpan w:val="2"/>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Amended and Restated Credit Agreement, dated as of June 30, 2025, by and among Corsair Gaming, Inc., as the borrower, certain of its subsidiaries as guarantors, and Bank of America N.A., as administrative agent, swingline lender and L/C issuer.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8</w:t>
              <w:noBreakHyphen/>
              <w:t>K</w:t>
            </w:r>
          </w:p>
          <w:p>
            <w:pPr>
              <w:pStyle w:val="TableContents"/>
              <w:bidi w:val="0"/>
              <w:spacing w:before="0" w:after="283"/>
              <w:jc w:val="left"/>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3"/>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10.1</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07/02/2025</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8" w:type="dxa"/>
            <w:gridSpan w:val="2"/>
            <w:tcBorders/>
            <w:tcMar>
              <w:top w:w="0" w:type="dxa"/>
              <w:left w:w="0" w:type="dxa"/>
              <w:bottom w:w="0" w:type="dxa"/>
              <w:right w:w="0" w:type="dxa"/>
            </w:tcMar>
            <w:vAlign w:val="center"/>
          </w:tcPr>
          <w:p>
            <w:pPr>
              <w:pStyle w:val="TableContents"/>
              <w:bidi w:val="0"/>
              <w:spacing w:before="0" w:after="283"/>
              <w:jc w:val="left"/>
              <w:rPr/>
            </w:pPr>
            <w:hyperlink w:anchor="crsr-ex31_1.htm">
              <w:r>
                <w:rPr>
                  <w:rStyle w:val="InternetLink"/>
                  <w:rFonts w:ascii="Times New Roman" w:hAnsi="Times New Roman"/>
                  <w:color w:val="0000FF"/>
                  <w:sz w:val="20"/>
                  <w:u w:val="single"/>
                </w:rPr>
                <w:t>Certification of Principal Executive Officer under Securities Exchange Act Rule 13a</w:t>
                <w:noBreakHyphen/>
                <w:t>14(a) and 15d</w:t>
                <w:noBreakHyphen/>
                <w:t>14(a).</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8" w:type="dxa"/>
            <w:gridSpan w:val="2"/>
            <w:tcBorders/>
            <w:tcMar>
              <w:top w:w="0" w:type="dxa"/>
              <w:left w:w="0" w:type="dxa"/>
              <w:bottom w:w="0" w:type="dxa"/>
              <w:right w:w="0" w:type="dxa"/>
            </w:tcMar>
            <w:vAlign w:val="center"/>
          </w:tcPr>
          <w:p>
            <w:pPr>
              <w:pStyle w:val="TableContents"/>
              <w:bidi w:val="0"/>
              <w:spacing w:before="0" w:after="283"/>
              <w:jc w:val="left"/>
              <w:rPr/>
            </w:pPr>
            <w:hyperlink w:anchor="crsr-ex31_2.htm">
              <w:r>
                <w:rPr>
                  <w:rStyle w:val="InternetLink"/>
                  <w:rFonts w:ascii="Times New Roman" w:hAnsi="Times New Roman"/>
                  <w:color w:val="0000FF"/>
                  <w:sz w:val="20"/>
                  <w:u w:val="single"/>
                </w:rPr>
                <w:t>Certification of Principal Financial Officer under Securities Exchange Act Rule 13a</w:t>
                <w:noBreakHyphen/>
                <w:t>14(a) and 15d</w:t>
                <w:noBreakHyphen/>
                <w:t>14(a).</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8" w:type="dxa"/>
            <w:gridSpan w:val="2"/>
            <w:tcBorders/>
            <w:tcMar>
              <w:top w:w="0" w:type="dxa"/>
              <w:left w:w="0" w:type="dxa"/>
              <w:bottom w:w="0" w:type="dxa"/>
              <w:right w:w="0" w:type="dxa"/>
            </w:tcMar>
            <w:vAlign w:val="center"/>
          </w:tcPr>
          <w:p>
            <w:pPr>
              <w:pStyle w:val="TableContents"/>
              <w:bidi w:val="0"/>
              <w:spacing w:before="0" w:after="283"/>
              <w:jc w:val="left"/>
              <w:rPr/>
            </w:pPr>
            <w:hyperlink w:anchor="crsr-ex32_1.htm">
              <w:r>
                <w:rPr>
                  <w:rStyle w:val="InternetLink"/>
                  <w:rFonts w:ascii="Times New Roman" w:hAnsi="Times New Roman"/>
                  <w:color w:val="0000FF"/>
                  <w:sz w:val="20"/>
                  <w:u w:val="single"/>
                </w:rPr>
                <w:t>Certifications of Principal Executive Officer and Principal Financial Officer pursuant to 18 U.S.C. 1350 and Securities Exchange Act Rule 13a</w:t>
                <w:noBreakHyphen/>
                <w:t>14(b).</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7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8"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849" w:type="dxa"/>
            <w:gridSpan w:val="3"/>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6"/>
        <w:gridCol w:w="9979"/>
      </w:tblGrid>
      <w:tr>
        <w:trPr/>
        <w:tc>
          <w:tcPr>
            <w:tcW w:w="226" w:type="dxa"/>
            <w:tcBorders/>
            <w:vAlign w:val="center"/>
          </w:tcPr>
          <w:p>
            <w:pPr>
              <w:pStyle w:val="TableContents"/>
              <w:bidi w:val="0"/>
              <w:spacing w:before="0" w:after="283"/>
              <w:jc w:val="left"/>
              <w:rPr>
                <w:sz w:val="4"/>
                <w:szCs w:val="4"/>
              </w:rPr>
            </w:pPr>
            <w:r>
              <w:rPr>
                <w:sz w:val="4"/>
                <w:szCs w:val="4"/>
              </w:rPr>
            </w:r>
          </w:p>
        </w:tc>
        <w:tc>
          <w:tcPr>
            <w:tcW w:w="9979"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20"/>
              </w:rPr>
            </w:pPr>
            <w:r>
              <w:rPr>
                <w:rFonts w:ascii="Times New Roman" w:hAnsi="Times New Roman"/>
                <w:color w:val="000000"/>
                <w:sz w:val="20"/>
              </w:rPr>
              <w:t>*</w:t>
            </w:r>
          </w:p>
        </w:tc>
        <w:tc>
          <w:tcPr>
            <w:tcW w:w="9979"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The certification attached as Exhibit 32.1 that accompanies this Quarterly Report on Form 10-Q is not deemed filed with the SEC and is not to be incorporated by reference into any filing of Corsair Gaming, Inc. under the Securities Act of 1933, as amended, or the Securities Exchange Act of 1934, as amended, whether made before or after the date of this Quarterly Report on Form 10-Q, irrespective of any general incorporation language contained in such filing.</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672" w:type="dxa"/>
        <w:jc w:val="left"/>
        <w:tblInd w:w="0" w:type="dxa"/>
        <w:tblLayout w:type="fixed"/>
        <w:tblCellMar>
          <w:top w:w="28" w:type="dxa"/>
          <w:left w:w="28" w:type="dxa"/>
          <w:bottom w:w="28" w:type="dxa"/>
          <w:right w:w="28" w:type="dxa"/>
        </w:tblCellMar>
      </w:tblPr>
      <w:tblGrid>
        <w:gridCol w:w="1846"/>
        <w:gridCol w:w="109"/>
        <w:gridCol w:w="406"/>
        <w:gridCol w:w="53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7" w:type="dxa"/>
            <w:gridSpan w:val="2"/>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Corsair Gaming, Inc.</w:t>
            </w:r>
          </w:p>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Gordon Mattingly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Gordon Mattingly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p>
            <w:pPr>
              <w:pStyle w:val="TableContents"/>
              <w:bidi w:val="0"/>
              <w:jc w:val="center"/>
              <w:rPr/>
            </w:pPr>
            <w:r>
              <w:rPr/>
              <w:t> </w:t>
            </w:r>
          </w:p>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Corsair Gaming, Inc. | Q2 2026 Form 10-Q | 36</w:t>
      </w:r>
    </w:p>
    <w:p>
      <w:pPr>
        <w:pStyle w:val="HorizontalLine"/>
        <w:pBdr>
          <w:bottom w:val="double" w:sz="2" w:space="0" w:color="808080"/>
        </w:pBdr>
        <w:bidi w:val="0"/>
        <w:spacing w:before="0" w:after="283"/>
        <w:jc w:val="left"/>
        <w:rPr/>
      </w:pPr>
      <w:r>
        <w:rPr/>
      </w:r>
    </w:p>
    <w:p>
      <w:pPr>
        <w:pStyle w:val="TextBody"/>
        <w:bidi w:val="0"/>
        <w:jc w:val="left"/>
        <w:rPr/>
      </w:pPr>
      <w:bookmarkStart w:id="23" w:name="crsr-ex31_1.htm"/>
      <w:bookmarkStart w:id="24" w:name="kscrsrex31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Thi L. La,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Corsair Gaming,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867" w:type="dxa"/>
        <w:jc w:val="left"/>
        <w:tblInd w:w="0" w:type="dxa"/>
        <w:tblLayout w:type="fixed"/>
        <w:tblCellMar>
          <w:top w:w="28" w:type="dxa"/>
          <w:left w:w="28" w:type="dxa"/>
          <w:bottom w:w="28" w:type="dxa"/>
          <w:right w:w="28" w:type="dxa"/>
        </w:tblCellMar>
      </w:tblPr>
      <w:tblGrid>
        <w:gridCol w:w="1846"/>
        <w:gridCol w:w="109"/>
        <w:gridCol w:w="406"/>
        <w:gridCol w:w="250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Thi L. La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Thi L. La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crsr-ex31_2.htm"/>
      <w:bookmarkStart w:id="26" w:name="kscrsrex31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Gordon Mattingly,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Corsair Gaming,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pPr>
      <w:r>
        <w:rPr/>
        <w:t> </w:t>
      </w:r>
    </w:p>
    <w:tbl>
      <w:tblPr>
        <w:tblW w:w="7672" w:type="dxa"/>
        <w:jc w:val="left"/>
        <w:tblInd w:w="0" w:type="dxa"/>
        <w:tblLayout w:type="fixed"/>
        <w:tblCellMar>
          <w:top w:w="28" w:type="dxa"/>
          <w:left w:w="28" w:type="dxa"/>
          <w:bottom w:w="28" w:type="dxa"/>
          <w:right w:w="28" w:type="dxa"/>
        </w:tblCellMar>
      </w:tblPr>
      <w:tblGrid>
        <w:gridCol w:w="1846"/>
        <w:gridCol w:w="109"/>
        <w:gridCol w:w="406"/>
        <w:gridCol w:w="53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Gordon Mattingly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Gordon Mattingly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crsr-ex32_1.htm"/>
      <w:bookmarkStart w:id="28" w:name="kscrsrex32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CERTIFICATIONS OF CHIEF EXECUTIVE OFFICER AND CHIEF FINANCIAL OFFICER</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Corsair Gaming, Inc. (the “Company”) on Form 10-Q for the quarter ended June 30, 2026 (the “Report”), Thi L. La, Chief Executive Officer of the Company, and Gordon Mattingly, Chief Financial Officer of the Company, each certify, to the best of his knowledge, pursuant to 18 U.S.C. Section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867" w:type="dxa"/>
        <w:jc w:val="left"/>
        <w:tblInd w:w="0" w:type="dxa"/>
        <w:tblLayout w:type="fixed"/>
        <w:tblCellMar>
          <w:top w:w="28" w:type="dxa"/>
          <w:left w:w="28" w:type="dxa"/>
          <w:bottom w:w="28" w:type="dxa"/>
          <w:right w:w="28" w:type="dxa"/>
        </w:tblCellMar>
      </w:tblPr>
      <w:tblGrid>
        <w:gridCol w:w="1846"/>
        <w:gridCol w:w="109"/>
        <w:gridCol w:w="406"/>
        <w:gridCol w:w="250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Thi L. La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Thi L. La</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7672" w:type="dxa"/>
        <w:jc w:val="left"/>
        <w:tblInd w:w="0" w:type="dxa"/>
        <w:tblLayout w:type="fixed"/>
        <w:tblCellMar>
          <w:top w:w="28" w:type="dxa"/>
          <w:left w:w="28" w:type="dxa"/>
          <w:bottom w:w="28" w:type="dxa"/>
          <w:right w:w="28" w:type="dxa"/>
        </w:tblCellMar>
      </w:tblPr>
      <w:tblGrid>
        <w:gridCol w:w="1846"/>
        <w:gridCol w:w="109"/>
        <w:gridCol w:w="406"/>
        <w:gridCol w:w="53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3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Gordon Mattingly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Gordon Mattingly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3759/000119312520254569/d65933dex31.htm" TargetMode="External"/><Relationship Id="rId3" Type="http://schemas.openxmlformats.org/officeDocument/2006/relationships/hyperlink" Target="https://www.sec.gov/Archives/edgar/data/1743759/000119312520254569/d65933dex32.htm" TargetMode="External"/><Relationship Id="rId4" Type="http://schemas.openxmlformats.org/officeDocument/2006/relationships/hyperlink" Target="https://www.sec.gov/Archives/edgar/data/1743759/000119312520248527/d507744dex42.htm" TargetMode="External"/><Relationship Id="rId5" Type="http://schemas.openxmlformats.org/officeDocument/2006/relationships/hyperlink" Target="https://www.sec.gov/Archives/edgar/data/1743759/000156459020052867/crsr-ex42_448.htm" TargetMode="External"/><Relationship Id="rId6" Type="http://schemas.openxmlformats.org/officeDocument/2006/relationships/hyperlink" Target="https://www.sec.gov/Archives/edgar/data/0001743759/000156459021012507/crsr-ex43_1280.htm" TargetMode="External"/><Relationship Id="rId7" Type="http://schemas.openxmlformats.org/officeDocument/2006/relationships/hyperlink" Target="https://www.sec.gov/Archives/edgar/data/0001743759/000119312520244634/d507744dex44.htm" TargetMode="External"/><Relationship Id="rId8" Type="http://schemas.openxmlformats.org/officeDocument/2006/relationships/hyperlink" Target="https://www.sec.gov/Archives/edgar/data/1743759/000095017025092527/crsr-ex10_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19551</Words>
  <Characters>106343</Characters>
  <CharactersWithSpaces>127893</CharactersWithSpaces>
  <Paragraphs>7603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