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92075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3" w:lineRule="exact"/>
        <w:rPr>
          <w:sz w:val="24"/>
          <w:szCs w:val="24"/>
          <w:color w:val="auto"/>
        </w:rPr>
      </w:pPr>
    </w:p>
    <w:p>
      <w:pPr>
        <w:ind w:left="3860" w:right="2540" w:hanging="3839"/>
        <w:spacing w:after="0" w:line="407" w:lineRule="auto"/>
        <w:tabs>
          <w:tab w:leader="none" w:pos="486"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jc w:val="center"/>
        <w:spacing w:after="0"/>
        <w:rPr>
          <w:sz w:val="20"/>
          <w:szCs w:val="20"/>
          <w:color w:val="auto"/>
        </w:rPr>
      </w:pPr>
      <w:r>
        <w:rPr>
          <w:rFonts w:ascii="Arial" w:cs="Arial" w:eastAsia="Arial" w:hAnsi="Arial"/>
          <w:sz w:val="16"/>
          <w:szCs w:val="16"/>
          <w:b w:val="1"/>
          <w:bCs w:val="1"/>
          <w:color w:val="auto"/>
        </w:rPr>
        <w:t>OR</w:t>
      </w:r>
    </w:p>
    <w:p>
      <w:pPr>
        <w:spacing w:after="0" w:line="126" w:lineRule="exact"/>
        <w:rPr>
          <w:sz w:val="24"/>
          <w:szCs w:val="24"/>
          <w:color w:val="auto"/>
        </w:rPr>
      </w:pPr>
    </w:p>
    <w:p>
      <w:pPr>
        <w:ind w:left="3720" w:right="2520" w:hanging="3699"/>
        <w:spacing w:after="0" w:line="413" w:lineRule="auto"/>
        <w:tabs>
          <w:tab w:leader="none" w:pos="478"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 to _________</w:t>
      </w:r>
    </w:p>
    <w:p>
      <w:pPr>
        <w:ind w:left="434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88900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14" w:lineRule="exact"/>
        <w:rPr>
          <w:sz w:val="24"/>
          <w:szCs w:val="24"/>
          <w:color w:val="auto"/>
        </w:rPr>
      </w:pPr>
    </w:p>
    <w:p>
      <w:pPr>
        <w:jc w:val="center"/>
        <w:ind w:left="3820"/>
        <w:spacing w:after="0"/>
        <w:rPr>
          <w:sz w:val="20"/>
          <w:szCs w:val="20"/>
          <w:color w:val="auto"/>
        </w:rPr>
      </w:pPr>
      <w:r>
        <w:rPr>
          <w:rFonts w:ascii="Arial" w:cs="Arial" w:eastAsia="Arial" w:hAnsi="Arial"/>
          <w:sz w:val="36"/>
          <w:szCs w:val="36"/>
          <w:b w:val="1"/>
          <w:bCs w:val="1"/>
          <w:color w:val="auto"/>
        </w:rPr>
        <w:t>Corsair Gaming, Inc.</w:t>
      </w:r>
    </w:p>
    <w:p>
      <w:pPr>
        <w:spacing w:after="0" w:line="72"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5"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Delaware</w:t>
      </w:r>
    </w:p>
    <w:p>
      <w:pPr>
        <w:spacing w:after="0" w:line="35" w:lineRule="exact"/>
        <w:rPr>
          <w:sz w:val="24"/>
          <w:szCs w:val="24"/>
          <w:color w:val="auto"/>
        </w:rPr>
      </w:pPr>
    </w:p>
    <w:p>
      <w:pPr>
        <w:ind w:left="2060"/>
        <w:spacing w:after="0"/>
        <w:rPr>
          <w:sz w:val="20"/>
          <w:szCs w:val="20"/>
          <w:color w:val="auto"/>
        </w:rPr>
      </w:pPr>
      <w:r>
        <w:rPr>
          <w:rFonts w:ascii="Arial" w:cs="Arial" w:eastAsia="Arial" w:hAnsi="Arial"/>
          <w:sz w:val="13"/>
          <w:szCs w:val="13"/>
          <w:color w:val="auto"/>
        </w:rPr>
        <w:t>(State or Other Jurisdiction of</w:t>
      </w:r>
    </w:p>
    <w:p>
      <w:pPr>
        <w:ind w:left="2040"/>
        <w:spacing w:after="0" w:line="237" w:lineRule="auto"/>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82-2335306</w:t>
      </w:r>
    </w:p>
    <w:p>
      <w:pPr>
        <w:spacing w:after="0" w:line="76" w:lineRule="exact"/>
        <w:rPr>
          <w:sz w:val="24"/>
          <w:szCs w:val="24"/>
          <w:color w:val="auto"/>
        </w:rPr>
      </w:pPr>
    </w:p>
    <w:p>
      <w:pPr>
        <w:ind w:left="40"/>
        <w:spacing w:after="0"/>
        <w:rPr>
          <w:sz w:val="20"/>
          <w:szCs w:val="20"/>
          <w:color w:val="auto"/>
        </w:rPr>
      </w:pPr>
      <w:r>
        <w:rPr>
          <w:rFonts w:ascii="Arial" w:cs="Arial" w:eastAsia="Arial" w:hAnsi="Arial"/>
          <w:sz w:val="12"/>
          <w:szCs w:val="12"/>
          <w:color w:val="auto"/>
        </w:rPr>
        <w:t>(I.R.S. Employer</w:t>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Identification No.)</w:t>
      </w:r>
    </w:p>
    <w:p>
      <w:pPr>
        <w:spacing w:after="0" w:line="131" w:lineRule="exact"/>
        <w:rPr>
          <w:sz w:val="24"/>
          <w:szCs w:val="24"/>
          <w:color w:val="auto"/>
        </w:rPr>
      </w:pPr>
    </w:p>
    <w:p>
      <w:pPr>
        <w:sectPr>
          <w:pgSz w:w="11900" w:h="16838" w:orient="portrait"/>
          <w:cols w:equalWidth="0" w:num="2">
            <w:col w:w="7420" w:space="540"/>
            <w:col w:w="3280"/>
          </w:cols>
          <w:pgMar w:left="320" w:top="229" w:right="339" w:bottom="1440" w:gutter="0" w:footer="0" w:header="0"/>
          <w:type w:val="continuous"/>
        </w:sectPr>
      </w:pPr>
    </w:p>
    <w:p>
      <w:pPr>
        <w:ind w:left="4540"/>
        <w:spacing w:after="0"/>
        <w:rPr>
          <w:sz w:val="20"/>
          <w:szCs w:val="20"/>
          <w:color w:val="auto"/>
        </w:rPr>
      </w:pPr>
      <w:r>
        <w:rPr>
          <w:rFonts w:ascii="Arial" w:cs="Arial" w:eastAsia="Arial" w:hAnsi="Arial"/>
          <w:sz w:val="18"/>
          <w:szCs w:val="18"/>
          <w:b w:val="1"/>
          <w:bCs w:val="1"/>
          <w:color w:val="auto"/>
        </w:rPr>
        <w:t>115 N. McCarthy Boulevard</w:t>
      </w:r>
    </w:p>
    <w:p>
      <w:pPr>
        <w:spacing w:after="0" w:line="49"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Milpitas, CA 95035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657-8747</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50800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(Former name, former address and former fiscal year,</w:t>
      </w:r>
    </w:p>
    <w:p>
      <w:pPr>
        <w:jc w:val="center"/>
        <w:spacing w:after="0" w:line="237" w:lineRule="auto"/>
        <w:rPr>
          <w:sz w:val="20"/>
          <w:szCs w:val="20"/>
          <w:color w:val="auto"/>
        </w:rPr>
      </w:pPr>
      <w:r>
        <w:rPr>
          <w:rFonts w:ascii="Arial" w:cs="Arial" w:eastAsia="Arial" w:hAnsi="Arial"/>
          <w:sz w:val="13"/>
          <w:szCs w:val="13"/>
          <w:color w:val="auto"/>
        </w:rPr>
        <w:t>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45720</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3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120" w:type="dxa"/>
            <w:vAlign w:val="bottom"/>
          </w:tcPr>
          <w:p>
            <w:pPr>
              <w:spacing w:after="0"/>
              <w:rPr>
                <w:sz w:val="14"/>
                <w:szCs w:val="1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Symbol(s)</w:t>
            </w:r>
          </w:p>
        </w:tc>
        <w:tc>
          <w:tcPr>
            <w:tcW w:w="120" w:type="dxa"/>
            <w:vAlign w:val="bottom"/>
          </w:tcPr>
          <w:p>
            <w:pPr>
              <w:spacing w:after="0"/>
              <w:rPr>
                <w:sz w:val="14"/>
                <w:szCs w:val="1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Name of each exchange on which registered</w:t>
            </w:r>
          </w:p>
        </w:tc>
      </w:tr>
      <w:tr>
        <w:trPr>
          <w:trHeight w:val="206"/>
        </w:trPr>
        <w:tc>
          <w:tcPr>
            <w:tcW w:w="3940" w:type="dxa"/>
            <w:vAlign w:val="bottom"/>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12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Arial" w:cs="Arial" w:eastAsia="Arial" w:hAnsi="Arial"/>
                <w:sz w:val="16"/>
                <w:szCs w:val="16"/>
                <w:color w:val="auto"/>
                <w:w w:val="88"/>
              </w:rPr>
              <w:t>CRSR</w:t>
            </w:r>
          </w:p>
        </w:tc>
        <w:tc>
          <w:tcPr>
            <w:tcW w:w="120" w:type="dxa"/>
            <w:vAlign w:val="bottom"/>
          </w:tcPr>
          <w:p>
            <w:pPr>
              <w:spacing w:after="0"/>
              <w:rPr>
                <w:sz w:val="17"/>
                <w:szCs w:val="17"/>
                <w:color w:val="auto"/>
              </w:rPr>
            </w:pPr>
          </w:p>
        </w:tc>
        <w:tc>
          <w:tcPr>
            <w:tcW w:w="392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131" w:lineRule="exact"/>
        <w:rPr>
          <w:sz w:val="24"/>
          <w:szCs w:val="24"/>
          <w:color w:val="auto"/>
        </w:rPr>
      </w:pPr>
    </w:p>
    <w:p>
      <w:pPr>
        <w:ind w:right="20" w:firstLine="509"/>
        <w:spacing w:after="0" w:line="21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0" w:lineRule="exact"/>
        <w:rPr>
          <w:sz w:val="24"/>
          <w:szCs w:val="24"/>
          <w:color w:val="auto"/>
        </w:rPr>
      </w:pPr>
    </w:p>
    <w:p>
      <w:pPr>
        <w:ind w:firstLine="50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8" w:lineRule="exact"/>
        <w:rPr>
          <w:sz w:val="24"/>
          <w:szCs w:val="24"/>
          <w:color w:val="auto"/>
        </w:rPr>
      </w:pPr>
    </w:p>
    <w:p>
      <w:pPr>
        <w:jc w:val="both"/>
        <w:ind w:right="26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060" w:type="dxa"/>
            <w:vAlign w:val="bottom"/>
          </w:tcPr>
          <w:p>
            <w:pPr>
              <w:ind w:left="300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8" w:lineRule="exact"/>
        <w:rPr>
          <w:sz w:val="24"/>
          <w:szCs w:val="24"/>
          <w:color w:val="auto"/>
        </w:rPr>
      </w:pPr>
    </w:p>
    <w:p>
      <w:pPr>
        <w:jc w:val="both"/>
        <w:ind w:right="80" w:firstLine="50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20"/>
        <w:spacing w:after="0" w:line="27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25, 2023, the registrant had 102,978,569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30"/>
          </w:tcPr>
          <w:p>
            <w:pPr>
              <w:spacing w:after="0"/>
              <w:rPr>
                <w:sz w:val="20"/>
                <w:szCs w:val="20"/>
                <w:color w:val="auto"/>
              </w:rPr>
            </w:pPr>
            <w:r>
              <w:rPr>
                <w:rFonts w:ascii="Arial" w:cs="Arial" w:eastAsia="Arial" w:hAnsi="Arial"/>
                <w:sz w:val="18"/>
                <w:szCs w:val="18"/>
                <w:b w:val="1"/>
                <w:bCs w:val="1"/>
                <w:color w:val="0000EE"/>
              </w:rPr>
              <w:t>Table of Contents</w:t>
            </w:r>
          </w:p>
        </w:tc>
        <w:tc>
          <w:tcPr>
            <w:tcW w:w="780" w:type="dxa"/>
            <w:vAlign w:val="bottom"/>
          </w:tcPr>
          <w:p>
            <w:pPr>
              <w:spacing w:after="0"/>
              <w:rPr>
                <w:sz w:val="17"/>
                <w:szCs w:val="17"/>
                <w:color w:val="auto"/>
              </w:rPr>
            </w:pPr>
          </w:p>
        </w:tc>
      </w:tr>
      <w:tr>
        <w:trPr>
          <w:trHeight w:val="964"/>
        </w:trPr>
        <w:tc>
          <w:tcPr>
            <w:tcW w:w="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80" w:type="dxa"/>
            <w:vAlign w:val="bottom"/>
            <w:gridSpan w:val="11"/>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4"/>
                <w:szCs w:val="24"/>
                <w:color w:val="auto"/>
              </w:rPr>
            </w:pPr>
          </w:p>
        </w:tc>
      </w:tr>
      <w:tr>
        <w:trPr>
          <w:trHeight w:val="46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w:t>
            </w:r>
          </w:p>
        </w:tc>
      </w:tr>
      <w:tr>
        <w:trPr>
          <w:trHeight w:val="175"/>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PART I.</w:t>
            </w:r>
          </w:p>
        </w:tc>
        <w:tc>
          <w:tcPr>
            <w:tcW w:w="2260" w:type="dxa"/>
            <w:vAlign w:val="bottom"/>
            <w:tcBorders>
              <w:bottom w:val="single" w:sz="8" w:color="0000FF"/>
            </w:tcBorders>
            <w:gridSpan w:val="14"/>
          </w:tcPr>
          <w:p>
            <w:pPr>
              <w:spacing w:after="0" w:line="176" w:lineRule="exact"/>
              <w:rPr>
                <w:sz w:val="20"/>
                <w:szCs w:val="20"/>
                <w:color w:val="auto"/>
              </w:rPr>
            </w:pPr>
            <w:r>
              <w:rPr>
                <w:rFonts w:ascii="Arial" w:cs="Arial" w:eastAsia="Arial" w:hAnsi="Arial"/>
                <w:sz w:val="18"/>
                <w:szCs w:val="18"/>
                <w:color w:val="0000FF"/>
                <w:w w:val="99"/>
              </w:rPr>
              <w:t>FINANCIAL INFORMATION</w:t>
            </w:r>
          </w:p>
        </w:tc>
        <w:tc>
          <w:tcPr>
            <w:tcW w:w="7040" w:type="dxa"/>
            <w:vAlign w:val="bottom"/>
            <w:gridSpan w:val="13"/>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7"/>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7"/>
          </w:tcPr>
          <w:p>
            <w:pPr>
              <w:spacing w:after="0"/>
              <w:rPr>
                <w:sz w:val="20"/>
                <w:szCs w:val="20"/>
                <w:color w:val="auto"/>
              </w:rPr>
            </w:pPr>
            <w:r>
              <w:rPr>
                <w:rFonts w:ascii="Arial" w:cs="Arial" w:eastAsia="Arial" w:hAnsi="Arial"/>
                <w:sz w:val="18"/>
                <w:szCs w:val="18"/>
                <w:color w:val="0000FF"/>
                <w:w w:val="92"/>
              </w:rPr>
              <w:t>Condensed Consolidated Statements of Operations - Three and Nine Months Ended September 30, 2023 and September 30,</w:t>
            </w:r>
          </w:p>
        </w:tc>
        <w:tc>
          <w:tcPr>
            <w:tcW w:w="7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0000FF"/>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84"/>
              </w:rPr>
              <w:t>2022</w:t>
            </w:r>
          </w:p>
        </w:tc>
        <w:tc>
          <w:tcPr>
            <w:tcW w:w="20" w:type="dxa"/>
            <w:vAlign w:val="bottom"/>
            <w:tcBorders>
              <w:top w:val="single" w:sz="8" w:color="0000FF"/>
              <w:bottom w:val="single" w:sz="8" w:color="0000EE"/>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58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89"/>
              </w:rPr>
              <w:t>Condensed Consolidated Statements of Comprehensive Loss - Three and Nine Months Ended September 30, 2023 and</w:t>
            </w:r>
          </w:p>
        </w:tc>
        <w:tc>
          <w:tcPr>
            <w:tcW w:w="72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27"/>
          </w:tcPr>
          <w:p>
            <w:pPr>
              <w:spacing w:after="0" w:line="195" w:lineRule="exact"/>
              <w:rPr>
                <w:sz w:val="20"/>
                <w:szCs w:val="20"/>
                <w:color w:val="auto"/>
              </w:rPr>
            </w:pPr>
            <w:r>
              <w:rPr>
                <w:rFonts w:ascii="Arial" w:cs="Arial" w:eastAsia="Arial" w:hAnsi="Arial"/>
                <w:sz w:val="18"/>
                <w:szCs w:val="18"/>
                <w:color w:val="0000FF"/>
              </w:rPr>
              <w:t>September 30, 2022</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74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8"/>
              </w:rPr>
              <w:t>Condensed Consolidated Balance Sheets - As of September 30, 2023 and December 31, 2022</w:t>
            </w:r>
          </w:p>
        </w:tc>
        <w:tc>
          <w:tcPr>
            <w:tcW w:w="20" w:type="dxa"/>
            <w:vAlign w:val="bottom"/>
            <w:tcBorders>
              <w:bottom w:val="single" w:sz="8" w:color="0000EE"/>
            </w:tcBorders>
          </w:tcPr>
          <w:p>
            <w:pPr>
              <w:spacing w:after="0"/>
              <w:rPr>
                <w:sz w:val="18"/>
                <w:szCs w:val="18"/>
                <w:color w:val="auto"/>
              </w:rPr>
            </w:pPr>
          </w:p>
        </w:tc>
        <w:tc>
          <w:tcPr>
            <w:tcW w:w="25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56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89"/>
              </w:rPr>
              <w:t>Condensed Consolidated Statements of Stockholders' Equity - Three and Nine Months Ended September 30, 2023 and</w:t>
            </w:r>
          </w:p>
        </w:tc>
        <w:tc>
          <w:tcPr>
            <w:tcW w:w="74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Borders>
              <w:bottom w:val="single" w:sz="8" w:color="0000EE"/>
            </w:tcBorders>
            <w:gridSpan w:val="10"/>
          </w:tcPr>
          <w:p>
            <w:pPr>
              <w:spacing w:after="0" w:line="195" w:lineRule="exact"/>
              <w:rPr>
                <w:sz w:val="20"/>
                <w:szCs w:val="20"/>
                <w:color w:val="auto"/>
              </w:rPr>
            </w:pPr>
            <w:r>
              <w:rPr>
                <w:rFonts w:ascii="Arial" w:cs="Arial" w:eastAsia="Arial" w:hAnsi="Arial"/>
                <w:sz w:val="18"/>
                <w:szCs w:val="18"/>
                <w:color w:val="0000FF"/>
                <w:w w:val="90"/>
              </w:rPr>
              <w:t>September 30, 2022</w:t>
            </w:r>
          </w:p>
        </w:tc>
        <w:tc>
          <w:tcPr>
            <w:tcW w:w="7800" w:type="dxa"/>
            <w:vAlign w:val="bottom"/>
            <w:gridSpan w:val="17"/>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7"/>
          </w:tcPr>
          <w:p>
            <w:pPr>
              <w:spacing w:after="0"/>
              <w:rPr>
                <w:sz w:val="20"/>
                <w:szCs w:val="20"/>
                <w:color w:val="auto"/>
              </w:rPr>
            </w:pPr>
            <w:r>
              <w:rPr>
                <w:rFonts w:ascii="Arial" w:cs="Arial" w:eastAsia="Arial" w:hAnsi="Arial"/>
                <w:sz w:val="18"/>
                <w:szCs w:val="18"/>
                <w:color w:val="0000FF"/>
                <w:w w:val="96"/>
              </w:rPr>
              <w:t>Condensed Consolidated Statements of Cash Flows – Nine Months Ended September 30, 2023 and September 30, 2022</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4620" w:type="dxa"/>
            <w:vAlign w:val="bottom"/>
            <w:tcBorders>
              <w:top w:val="single" w:sz="8" w:color="0000FF"/>
            </w:tcBorders>
            <w:gridSpan w:val="8"/>
          </w:tcPr>
          <w:p>
            <w:pPr>
              <w:spacing w:after="0"/>
              <w:rPr>
                <w:sz w:val="18"/>
                <w:szCs w:val="18"/>
                <w:color w:val="auto"/>
              </w:rPr>
            </w:pPr>
          </w:p>
        </w:tc>
        <w:tc>
          <w:tcPr>
            <w:tcW w:w="6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94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7"/>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8"/>
              </w:rPr>
              <w:t>Legal Proceedings</w:t>
            </w:r>
          </w:p>
        </w:tc>
        <w:tc>
          <w:tcPr>
            <w:tcW w:w="540" w:type="dxa"/>
            <w:vAlign w:val="bottom"/>
            <w:tcBorders>
              <w:top w:val="single" w:sz="8" w:color="0000FF"/>
            </w:tcBorders>
            <w:gridSpan w:val="5"/>
          </w:tcPr>
          <w:p>
            <w:pPr>
              <w:spacing w:after="0"/>
              <w:rPr>
                <w:sz w:val="18"/>
                <w:szCs w:val="18"/>
                <w:color w:val="auto"/>
              </w:rPr>
            </w:pPr>
          </w:p>
        </w:tc>
        <w:tc>
          <w:tcPr>
            <w:tcW w:w="74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2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Defaults Upon Senior Securities</w:t>
            </w:r>
          </w:p>
        </w:tc>
        <w:tc>
          <w:tcPr>
            <w:tcW w:w="496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4"/>
          </w:tcPr>
          <w:p>
            <w:pPr>
              <w:spacing w:after="0"/>
              <w:rPr>
                <w:sz w:val="18"/>
                <w:szCs w:val="18"/>
                <w:color w:val="auto"/>
              </w:rPr>
            </w:pPr>
          </w:p>
        </w:tc>
        <w:tc>
          <w:tcPr>
            <w:tcW w:w="698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Other Information</w:t>
            </w:r>
          </w:p>
        </w:tc>
        <w:tc>
          <w:tcPr>
            <w:tcW w:w="798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27"/>
          </w:tcPr>
          <w:p>
            <w:pPr>
              <w:spacing w:after="0"/>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9"/>
        </w:trPr>
        <w:tc>
          <w:tcPr>
            <w:tcW w:w="20" w:type="dxa"/>
            <w:vAlign w:val="bottom"/>
          </w:tcPr>
          <w:p>
            <w:pPr>
              <w:spacing w:after="0"/>
              <w:rPr>
                <w:sz w:val="18"/>
                <w:szCs w:val="18"/>
                <w:color w:val="auto"/>
              </w:rPr>
            </w:pPr>
          </w:p>
        </w:tc>
        <w:tc>
          <w:tcPr>
            <w:tcW w:w="7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Signatures</w:t>
            </w:r>
          </w:p>
        </w:tc>
        <w:tc>
          <w:tcPr>
            <w:tcW w:w="38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4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and relate to matters such as our industry and the markets we operate in,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spacing w:after="0" w:line="85"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general economic conditions and supply chain issues. We believe that these factors include but are not limited to those described under the heading “Risk Factors” in Part I, Item 1A of our Annual Report on Form 10-K for the year ended December 31, 2022.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jc w:val="right"/>
              <w:ind w:right="67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2360" w:type="dxa"/>
            <w:vAlign w:val="bottom"/>
            <w:gridSpan w:val="5"/>
          </w:tcPr>
          <w:p>
            <w:pPr>
              <w:jc w:val="right"/>
              <w:ind w:right="581"/>
              <w:spacing w:after="0"/>
              <w:rPr>
                <w:sz w:val="20"/>
                <w:szCs w:val="20"/>
                <w:color w:val="auto"/>
              </w:rPr>
            </w:pPr>
            <w:r>
              <w:rPr>
                <w:rFonts w:ascii="Arial" w:cs="Arial" w:eastAsia="Arial" w:hAnsi="Arial"/>
                <w:sz w:val="16"/>
                <w:szCs w:val="16"/>
                <w:b w:val="1"/>
                <w:bCs w:val="1"/>
                <w:color w:val="auto"/>
              </w:rPr>
              <w:t>Nine Months Ended</w:t>
            </w:r>
          </w:p>
        </w:tc>
      </w:tr>
      <w:tr>
        <w:trPr>
          <w:trHeight w:val="223"/>
        </w:trPr>
        <w:tc>
          <w:tcPr>
            <w:tcW w:w="5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20"/>
                <w:szCs w:val="20"/>
                <w:color w:val="auto"/>
              </w:rPr>
            </w:pPr>
          </w:p>
        </w:tc>
      </w:tr>
      <w:tr>
        <w:trPr>
          <w:trHeight w:val="240"/>
        </w:trPr>
        <w:tc>
          <w:tcPr>
            <w:tcW w:w="5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363,193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311,769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1,042,589</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976,368</w:t>
            </w:r>
          </w:p>
        </w:tc>
        <w:tc>
          <w:tcPr>
            <w:tcW w:w="100" w:type="dxa"/>
            <w:vAlign w:val="bottom"/>
            <w:shd w:val="clear" w:color="auto" w:fill="CFF0FC"/>
          </w:tcPr>
          <w:p>
            <w:pPr>
              <w:spacing w:after="0"/>
              <w:rPr>
                <w:sz w:val="21"/>
                <w:szCs w:val="21"/>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273,840</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240,209</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785,000</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777,593</w:t>
            </w:r>
          </w:p>
        </w:tc>
        <w:tc>
          <w:tcPr>
            <w:tcW w:w="100" w:type="dxa"/>
            <w:vAlign w:val="bottom"/>
          </w:tcPr>
          <w:p>
            <w:pPr>
              <w:spacing w:after="0"/>
              <w:rPr>
                <w:sz w:val="21"/>
                <w:szCs w:val="21"/>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89,353</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71,560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257,589</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198,775</w:t>
            </w:r>
          </w:p>
        </w:tc>
        <w:tc>
          <w:tcPr>
            <w:tcW w:w="100" w:type="dxa"/>
            <w:vAlign w:val="bottom"/>
            <w:shd w:val="clear" w:color="auto" w:fill="CFF0FC"/>
          </w:tcPr>
          <w:p>
            <w:pPr>
              <w:spacing w:after="0"/>
              <w:rPr>
                <w:sz w:val="20"/>
                <w:szCs w:val="20"/>
                <w:color w:val="auto"/>
              </w:rPr>
            </w:pP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Sales, general and administrative</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74,000</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66,932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211,482</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216,456</w:t>
            </w:r>
          </w:p>
        </w:tc>
        <w:tc>
          <w:tcPr>
            <w:tcW w:w="100" w:type="dxa"/>
            <w:vAlign w:val="bottom"/>
            <w:shd w:val="clear" w:color="auto" w:fill="CFF0FC"/>
          </w:tcPr>
          <w:p>
            <w:pPr>
              <w:spacing w:after="0"/>
              <w:rPr>
                <w:sz w:val="21"/>
                <w:szCs w:val="21"/>
                <w:color w:val="auto"/>
              </w:rPr>
            </w:pPr>
          </w:p>
        </w:tc>
      </w:tr>
      <w:tr>
        <w:trPr>
          <w:trHeight w:val="243"/>
        </w:trPr>
        <w:tc>
          <w:tcPr>
            <w:tcW w:w="5880" w:type="dxa"/>
            <w:vAlign w:val="bottom"/>
          </w:tcPr>
          <w:p>
            <w:pPr>
              <w:ind w:left="120"/>
              <w:spacing w:after="0"/>
              <w:rPr>
                <w:sz w:val="20"/>
                <w:szCs w:val="20"/>
                <w:color w:val="auto"/>
              </w:rPr>
            </w:pPr>
            <w:r>
              <w:rPr>
                <w:rFonts w:ascii="Arial" w:cs="Arial" w:eastAsia="Arial" w:hAnsi="Arial"/>
                <w:sz w:val="18"/>
                <w:szCs w:val="18"/>
                <w:color w:val="auto"/>
              </w:rPr>
              <w:t>Product development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16,111</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15,616</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48,542</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50,752</w:t>
            </w:r>
          </w:p>
        </w:tc>
        <w:tc>
          <w:tcPr>
            <w:tcW w:w="100" w:type="dxa"/>
            <w:vAlign w:val="bottom"/>
          </w:tcPr>
          <w:p>
            <w:pPr>
              <w:spacing w:after="0"/>
              <w:rPr>
                <w:sz w:val="21"/>
                <w:szCs w:val="21"/>
                <w:color w:val="auto"/>
              </w:rPr>
            </w:pPr>
          </w:p>
        </w:tc>
      </w:tr>
      <w:tr>
        <w:trPr>
          <w:trHeight w:val="236"/>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90,111</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82,548</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260,024</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267,208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9"/>
                <w:szCs w:val="19"/>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(758 )</w:t>
            </w:r>
          </w:p>
        </w:tc>
        <w:tc>
          <w:tcPr>
            <w:tcW w:w="36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(10,988 )</w:t>
            </w:r>
          </w:p>
        </w:tc>
        <w:tc>
          <w:tcPr>
            <w:tcW w:w="2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(2,435 )</w:t>
            </w:r>
          </w:p>
        </w:tc>
        <w:tc>
          <w:tcPr>
            <w:tcW w:w="3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(68,433 )</w:t>
            </w:r>
          </w:p>
        </w:tc>
      </w:tr>
      <w:tr>
        <w:trPr>
          <w:trHeight w:val="24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88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(2,529 )</w:t>
            </w:r>
          </w:p>
        </w:tc>
        <w:tc>
          <w:tcPr>
            <w:tcW w:w="36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(2,734 )</w:t>
            </w:r>
          </w:p>
        </w:tc>
        <w:tc>
          <w:tcPr>
            <w:tcW w:w="2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(7,875 )</w:t>
            </w:r>
          </w:p>
        </w:tc>
        <w:tc>
          <w:tcPr>
            <w:tcW w:w="3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(5,689 )</w:t>
            </w:r>
          </w:p>
        </w:tc>
      </w:tr>
      <w:tr>
        <w:trPr>
          <w:trHeight w:val="249"/>
        </w:trPr>
        <w:tc>
          <w:tcPr>
            <w:tcW w:w="5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(1,326 )</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FF0FC"/>
          </w:tcPr>
          <w:p>
            <w:pPr>
              <w:spacing w:after="0"/>
              <w:rPr>
                <w:sz w:val="21"/>
                <w:szCs w:val="2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24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(2,225 )</w:t>
            </w:r>
          </w:p>
        </w:tc>
        <w:tc>
          <w:tcPr>
            <w:tcW w:w="36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(1,072 )</w:t>
            </w:r>
          </w:p>
        </w:tc>
        <w:tc>
          <w:tcPr>
            <w:tcW w:w="2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(9,201 )</w:t>
            </w:r>
          </w:p>
        </w:tc>
        <w:tc>
          <w:tcPr>
            <w:tcW w:w="3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(3,893 )</w:t>
            </w:r>
          </w:p>
        </w:tc>
      </w:tr>
      <w:tr>
        <w:trPr>
          <w:trHeight w:val="236"/>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(11,636</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(72,326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588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tcPr>
          <w:p>
            <w:pPr>
              <w:spacing w:after="0"/>
              <w:rPr>
                <w:sz w:val="21"/>
                <w:szCs w:val="21"/>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(8,613</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(61,064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5880" w:type="dxa"/>
            <w:vAlign w:val="bottom"/>
          </w:tcPr>
          <w:p>
            <w:pPr>
              <w:ind w:left="120"/>
              <w:spacing w:after="0"/>
              <w:rPr>
                <w:sz w:val="20"/>
                <w:szCs w:val="20"/>
                <w:color w:val="auto"/>
              </w:rPr>
            </w:pPr>
            <w:r>
              <w:rPr>
                <w:rFonts w:ascii="Arial" w:cs="Arial" w:eastAsia="Arial" w:hAnsi="Arial"/>
                <w:sz w:val="18"/>
                <w:szCs w:val="18"/>
                <w:color w:val="auto"/>
              </w:rPr>
              <w:t>Less: Net income attributable to noncontrolling interest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r>
      <w:tr>
        <w:trPr>
          <w:trHeight w:val="276"/>
        </w:trPr>
        <w:tc>
          <w:tcPr>
            <w:tcW w:w="58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loss attributable to Corsair Gaming, Inc.</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303"/>
        </w:trPr>
        <w:tc>
          <w:tcPr>
            <w:tcW w:w="5880" w:type="dxa"/>
            <w:vAlign w:val="bottom"/>
          </w:tcPr>
          <w:p>
            <w:pPr>
              <w:ind w:left="20"/>
              <w:spacing w:after="0"/>
              <w:rPr>
                <w:sz w:val="20"/>
                <w:szCs w:val="20"/>
                <w:color w:val="auto"/>
              </w:rPr>
            </w:pPr>
            <w:r>
              <w:rPr>
                <w:rFonts w:ascii="Arial" w:cs="Arial" w:eastAsia="Arial" w:hAnsi="Arial"/>
                <w:sz w:val="18"/>
                <w:szCs w:val="18"/>
                <w:color w:val="auto"/>
              </w:rPr>
              <w:t>Calculation of net loss per share attributable to common stockholders of</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8"/>
                <w:szCs w:val="18"/>
                <w:color w:val="auto"/>
              </w:rPr>
              <w:t>Corsair Gaming, Inc.:</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attributable to Corsair Gaming, Inc.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(3,079 )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(6,211 )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(9,571 )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(61,097 )</w:t>
            </w:r>
          </w:p>
        </w:tc>
      </w:tr>
      <w:tr>
        <w:trPr>
          <w:trHeight w:val="243"/>
        </w:trPr>
        <w:tc>
          <w:tcPr>
            <w:tcW w:w="5880" w:type="dxa"/>
            <w:vAlign w:val="bottom"/>
          </w:tcPr>
          <w:p>
            <w:pPr>
              <w:ind w:left="120"/>
              <w:spacing w:after="0"/>
              <w:rPr>
                <w:sz w:val="20"/>
                <w:szCs w:val="20"/>
                <w:color w:val="auto"/>
              </w:rPr>
            </w:pPr>
            <w:r>
              <w:rPr>
                <w:rFonts w:ascii="Arial" w:cs="Arial" w:eastAsia="Arial" w:hAnsi="Arial"/>
                <w:sz w:val="18"/>
                <w:szCs w:val="18"/>
                <w:color w:val="auto"/>
              </w:rPr>
              <w:t>Change in redemption value of redeemable noncontrolling interest</w:t>
            </w:r>
          </w:p>
        </w:tc>
        <w:tc>
          <w:tcPr>
            <w:tcW w:w="240" w:type="dxa"/>
            <w:vAlign w:val="bottom"/>
          </w:tcPr>
          <w:p>
            <w:pPr>
              <w:spacing w:after="0"/>
              <w:rPr>
                <w:sz w:val="21"/>
                <w:szCs w:val="21"/>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(2,690 )</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6,535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(12,330 )</w:t>
            </w:r>
          </w:p>
        </w:tc>
      </w:tr>
      <w:tr>
        <w:trPr>
          <w:trHeight w:val="276"/>
        </w:trPr>
        <w:tc>
          <w:tcPr>
            <w:tcW w:w="58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loss attributable to common stockholders of Corsair Gaming, Inc.</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303"/>
        </w:trPr>
        <w:tc>
          <w:tcPr>
            <w:tcW w:w="5880" w:type="dxa"/>
            <w:vAlign w:val="bottom"/>
          </w:tcPr>
          <w:p>
            <w:pPr>
              <w:ind w:left="20"/>
              <w:spacing w:after="0"/>
              <w:rPr>
                <w:sz w:val="20"/>
                <w:szCs w:val="20"/>
                <w:color w:val="auto"/>
              </w:rPr>
            </w:pPr>
            <w:r>
              <w:rPr>
                <w:rFonts w:ascii="Arial" w:cs="Arial" w:eastAsia="Arial" w:hAnsi="Arial"/>
                <w:sz w:val="18"/>
                <w:szCs w:val="18"/>
                <w:color w:val="auto"/>
                <w:w w:val="97"/>
              </w:rPr>
              <w:t>Net loss per share attributable to common stockholders of Corsair Gaming,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8"/>
                <w:szCs w:val="18"/>
                <w:color w:val="auto"/>
              </w:rPr>
              <w:t>Inc.:</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(0.03 )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(0.09 )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(0.03 )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(0.77 )</w:t>
            </w:r>
          </w:p>
        </w:tc>
      </w:tr>
      <w:tr>
        <w:trPr>
          <w:trHeight w:val="236"/>
        </w:trPr>
        <w:tc>
          <w:tcPr>
            <w:tcW w:w="58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(0.03 )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(0.09 )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(0.03 )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(0.77 )</w:t>
            </w:r>
          </w:p>
        </w:tc>
      </w:tr>
      <w:tr>
        <w:trPr>
          <w:trHeight w:val="24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880" w:type="dxa"/>
            <w:vAlign w:val="bottom"/>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102,863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95,858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102,288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95,537</w:t>
            </w:r>
          </w:p>
        </w:tc>
        <w:tc>
          <w:tcPr>
            <w:tcW w:w="100" w:type="dxa"/>
            <w:vAlign w:val="bottom"/>
          </w:tcPr>
          <w:p>
            <w:pPr>
              <w:spacing w:after="0"/>
              <w:rPr>
                <w:sz w:val="20"/>
                <w:szCs w:val="20"/>
                <w:color w:val="auto"/>
              </w:rPr>
            </w:pPr>
          </w:p>
        </w:tc>
      </w:tr>
      <w:tr>
        <w:trPr>
          <w:trHeight w:val="249"/>
        </w:trPr>
        <w:tc>
          <w:tcPr>
            <w:tcW w:w="5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102,863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95,858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102,288</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95,537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-3595370</wp:posOffset>
            </wp:positionV>
            <wp:extent cx="76835"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-3595370</wp:posOffset>
            </wp:positionV>
            <wp:extent cx="685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-3595370</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-3595370</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-2970530</wp:posOffset>
            </wp:positionV>
            <wp:extent cx="7683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-2970530</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-2970530</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-2970530</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-2011680</wp:posOffset>
            </wp:positionV>
            <wp:extent cx="2671445" cy="385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71445" cy="38544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-1155065</wp:posOffset>
            </wp:positionV>
            <wp:extent cx="2671445" cy="385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71445" cy="38544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69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2360" w:type="dxa"/>
            <w:vAlign w:val="bottom"/>
            <w:gridSpan w:val="5"/>
          </w:tcPr>
          <w:p>
            <w:pPr>
              <w:jc w:val="right"/>
              <w:ind w:right="58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(2,886 )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(5,945 )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(8,613 )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(61,064 )</w:t>
            </w: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gain (loss):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4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Foreign currency translation adjustments, net of tax benefit of $102 and</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$520 for the three months ended September 30, 2023 and 2022, respectively,</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and $148 and $507 for the nine months ended September 30, 2023 and 2022,</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(2,986 )</w:t>
            </w:r>
          </w:p>
        </w:tc>
        <w:tc>
          <w:tcPr>
            <w:tcW w:w="3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(5,761 )</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(13,173 )</w:t>
            </w:r>
          </w:p>
        </w:tc>
        <w:tc>
          <w:tcPr>
            <w:tcW w:w="0" w:type="dxa"/>
            <w:vAlign w:val="bottom"/>
          </w:tcPr>
          <w:p>
            <w:pPr>
              <w:spacing w:after="0"/>
              <w:rPr>
                <w:sz w:val="1"/>
                <w:szCs w:val="1"/>
                <w:color w:val="auto"/>
              </w:rPr>
            </w:pPr>
          </w:p>
        </w:tc>
      </w:tr>
      <w:tr>
        <w:trPr>
          <w:trHeight w:val="215"/>
        </w:trPr>
        <w:tc>
          <w:tcPr>
            <w:tcW w:w="5840" w:type="dxa"/>
            <w:vAlign w:val="bottom"/>
          </w:tcPr>
          <w:p>
            <w:pPr>
              <w:ind w:left="160"/>
              <w:spacing w:after="0"/>
              <w:rPr>
                <w:sz w:val="20"/>
                <w:szCs w:val="20"/>
                <w:color w:val="auto"/>
              </w:rPr>
            </w:pPr>
            <w:r>
              <w:rPr>
                <w:rFonts w:ascii="Arial" w:cs="Arial" w:eastAsia="Arial" w:hAnsi="Arial"/>
                <w:sz w:val="18"/>
                <w:szCs w:val="18"/>
                <w:color w:val="auto"/>
                <w:w w:val="93"/>
              </w:rPr>
              <w:t>Unrealized foreign exchange loss from long-term intercompany loans, net of</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w w:val="92"/>
              </w:rPr>
              <w:t>tax (expense) benefit of nil and $53 for the three months ended September 30,</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w w:val="94"/>
              </w:rPr>
              <w:t>2023 and 2022, respectively, and $(127) and $127 for the nine months ended</w:t>
            </w:r>
          </w:p>
        </w:tc>
        <w:tc>
          <w:tcPr>
            <w:tcW w:w="260" w:type="dxa"/>
            <w:vAlign w:val="bottom"/>
          </w:tcPr>
          <w:p>
            <w:pPr>
              <w:spacing w:after="0"/>
              <w:rPr>
                <w:sz w:val="18"/>
                <w:szCs w:val="18"/>
                <w:color w:val="auto"/>
              </w:rPr>
            </w:pPr>
          </w:p>
        </w:tc>
        <w:tc>
          <w:tcPr>
            <w:tcW w:w="11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(152 )</w:t>
            </w:r>
          </w:p>
        </w:tc>
        <w:tc>
          <w:tcPr>
            <w:tcW w:w="380" w:type="dxa"/>
            <w:vAlign w:val="bottom"/>
          </w:tcPr>
          <w:p>
            <w:pPr>
              <w:spacing w:after="0"/>
              <w:rPr>
                <w:sz w:val="18"/>
                <w:szCs w:val="18"/>
                <w:color w:val="auto"/>
              </w:rPr>
            </w:pPr>
          </w:p>
        </w:tc>
        <w:tc>
          <w:tcPr>
            <w:tcW w:w="100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(273 )</w:t>
            </w:r>
          </w:p>
        </w:tc>
        <w:tc>
          <w:tcPr>
            <w:tcW w:w="240" w:type="dxa"/>
            <w:vAlign w:val="bottom"/>
          </w:tcPr>
          <w:p>
            <w:pPr>
              <w:spacing w:after="0"/>
              <w:rPr>
                <w:sz w:val="18"/>
                <w:szCs w:val="18"/>
                <w:color w:val="auto"/>
              </w:rPr>
            </w:pPr>
          </w:p>
        </w:tc>
        <w:tc>
          <w:tcPr>
            <w:tcW w:w="1120" w:type="dxa"/>
            <w:vAlign w:val="bottom"/>
            <w:gridSpan w:val="2"/>
            <w:vMerge w:val="restart"/>
          </w:tcPr>
          <w:p>
            <w:pPr>
              <w:jc w:val="right"/>
              <w:ind w:right="81"/>
              <w:spacing w:after="0"/>
              <w:rPr>
                <w:sz w:val="20"/>
                <w:szCs w:val="20"/>
                <w:color w:val="auto"/>
              </w:rPr>
            </w:pPr>
            <w:r>
              <w:rPr>
                <w:rFonts w:ascii="Arial" w:cs="Arial" w:eastAsia="Arial" w:hAnsi="Arial"/>
                <w:sz w:val="18"/>
                <w:szCs w:val="18"/>
                <w:color w:val="auto"/>
              </w:rPr>
              <w:t>(174 )</w:t>
            </w:r>
          </w:p>
        </w:tc>
        <w:tc>
          <w:tcPr>
            <w:tcW w:w="38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(645 )</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September 30, 2023 and 2022, respectively.</w:t>
            </w:r>
          </w:p>
        </w:tc>
        <w:tc>
          <w:tcPr>
            <w:tcW w:w="2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(8,721</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(74,882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w w:val="98"/>
              </w:rPr>
              <w:t>Less: Comprehensive income (loss) attributable to noncontrolling interest</w:t>
            </w:r>
          </w:p>
        </w:tc>
        <w:tc>
          <w:tcPr>
            <w:tcW w:w="260" w:type="dxa"/>
            <w:vAlign w:val="bottom"/>
          </w:tcPr>
          <w:p>
            <w:pPr>
              <w:spacing w:after="0"/>
              <w:rPr>
                <w:sz w:val="21"/>
                <w:szCs w:val="21"/>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(7 )</w:t>
            </w:r>
          </w:p>
        </w:tc>
        <w:tc>
          <w:tcPr>
            <w:tcW w:w="380" w:type="dxa"/>
            <w:vAlign w:val="bottom"/>
          </w:tcPr>
          <w:p>
            <w:pPr>
              <w:spacing w:after="0"/>
              <w:rPr>
                <w:sz w:val="21"/>
                <w:szCs w:val="21"/>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(265 )</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(962 )</w:t>
            </w:r>
          </w:p>
        </w:tc>
        <w:tc>
          <w:tcPr>
            <w:tcW w:w="0" w:type="dxa"/>
            <w:vAlign w:val="bottom"/>
          </w:tcPr>
          <w:p>
            <w:pPr>
              <w:spacing w:after="0"/>
              <w:rPr>
                <w:sz w:val="1"/>
                <w:szCs w:val="1"/>
                <w:color w:val="auto"/>
              </w:rPr>
            </w:pPr>
          </w:p>
        </w:tc>
      </w:tr>
      <w:tr>
        <w:trPr>
          <w:trHeight w:val="276"/>
        </w:trPr>
        <w:tc>
          <w:tcPr>
            <w:tcW w:w="58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Comprehensive loss attributable to Corsair Gaming, Inc.</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(73,920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-24765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w w:val="96"/>
              </w:rPr>
              <w:t>September 30,</w:t>
            </w:r>
          </w:p>
        </w:tc>
        <w:tc>
          <w:tcPr>
            <w:tcW w:w="18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6"/>
              </w:rPr>
              <w:t>December 31,</w:t>
            </w:r>
          </w:p>
        </w:tc>
      </w:tr>
      <w:tr>
        <w:trPr>
          <w:trHeight w:val="223"/>
        </w:trPr>
        <w:tc>
          <w:tcPr>
            <w:tcW w:w="7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7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86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144,891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151,180</w:t>
            </w:r>
          </w:p>
        </w:tc>
        <w:tc>
          <w:tcPr>
            <w:tcW w:w="100" w:type="dxa"/>
            <w:vAlign w:val="bottom"/>
            <w:shd w:val="clear" w:color="auto" w:fill="CFF0FC"/>
          </w:tcPr>
          <w:p>
            <w:pPr>
              <w:spacing w:after="0"/>
              <w:rPr>
                <w:sz w:val="21"/>
                <w:szCs w:val="21"/>
                <w:color w:val="auto"/>
              </w:rPr>
            </w:pPr>
          </w:p>
        </w:tc>
      </w:tr>
      <w:tr>
        <w:trPr>
          <w:trHeight w:val="236"/>
        </w:trPr>
        <w:tc>
          <w:tcPr>
            <w:tcW w:w="78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0"/>
                <w:szCs w:val="20"/>
                <w:color w:val="auto"/>
              </w:rPr>
            </w:pPr>
          </w:p>
        </w:tc>
      </w:tr>
      <w:tr>
        <w:trPr>
          <w:trHeight w:val="24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251,079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235,656</w:t>
            </w:r>
          </w:p>
        </w:tc>
        <w:tc>
          <w:tcPr>
            <w:tcW w:w="100" w:type="dxa"/>
            <w:vAlign w:val="bottom"/>
            <w:shd w:val="clear" w:color="auto" w:fill="CFF0FC"/>
          </w:tcPr>
          <w:p>
            <w:pPr>
              <w:spacing w:after="0"/>
              <w:rPr>
                <w:sz w:val="21"/>
                <w:szCs w:val="21"/>
                <w:color w:val="auto"/>
              </w:rPr>
            </w:pPr>
          </w:p>
        </w:tc>
      </w:tr>
      <w:tr>
        <w:trPr>
          <w:trHeight w:val="236"/>
        </w:trPr>
        <w:tc>
          <w:tcPr>
            <w:tcW w:w="78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235,556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192,717</w:t>
            </w:r>
          </w:p>
        </w:tc>
        <w:tc>
          <w:tcPr>
            <w:tcW w:w="100" w:type="dxa"/>
            <w:vAlign w:val="bottom"/>
          </w:tcPr>
          <w:p>
            <w:pPr>
              <w:spacing w:after="0"/>
              <w:rPr>
                <w:sz w:val="20"/>
                <w:szCs w:val="20"/>
                <w:color w:val="auto"/>
              </w:rPr>
            </w:pPr>
          </w:p>
        </w:tc>
      </w:tr>
      <w:tr>
        <w:trPr>
          <w:trHeight w:val="249"/>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45,206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86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679,373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622,793</w:t>
            </w:r>
          </w:p>
        </w:tc>
        <w:tc>
          <w:tcPr>
            <w:tcW w:w="100" w:type="dxa"/>
            <w:vAlign w:val="bottom"/>
          </w:tcPr>
          <w:p>
            <w:pPr>
              <w:spacing w:after="0"/>
              <w:rPr>
                <w:sz w:val="19"/>
                <w:szCs w:val="19"/>
                <w:color w:val="auto"/>
              </w:rPr>
            </w:pPr>
          </w:p>
        </w:tc>
      </w:tr>
      <w:tr>
        <w:trPr>
          <w:trHeight w:val="249"/>
        </w:trPr>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 noncurrent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FF0FC"/>
          </w:tcPr>
          <w:p>
            <w:pPr>
              <w:spacing w:after="0"/>
              <w:rPr>
                <w:sz w:val="21"/>
                <w:szCs w:val="21"/>
                <w:color w:val="auto"/>
              </w:rPr>
            </w:pPr>
          </w:p>
        </w:tc>
      </w:tr>
      <w:tr>
        <w:trPr>
          <w:trHeight w:val="236"/>
        </w:trPr>
        <w:tc>
          <w:tcPr>
            <w:tcW w:w="786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33,070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34,927</w:t>
            </w:r>
          </w:p>
        </w:tc>
        <w:tc>
          <w:tcPr>
            <w:tcW w:w="100" w:type="dxa"/>
            <w:vAlign w:val="bottom"/>
          </w:tcPr>
          <w:p>
            <w:pPr>
              <w:spacing w:after="0"/>
              <w:rPr>
                <w:sz w:val="20"/>
                <w:szCs w:val="20"/>
                <w:color w:val="auto"/>
              </w:rPr>
            </w:pPr>
          </w:p>
        </w:tc>
      </w:tr>
      <w:tr>
        <w:trPr>
          <w:trHeight w:val="249"/>
        </w:trPr>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354,865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347,747</w:t>
            </w:r>
          </w:p>
        </w:tc>
        <w:tc>
          <w:tcPr>
            <w:tcW w:w="100" w:type="dxa"/>
            <w:vAlign w:val="bottom"/>
            <w:shd w:val="clear" w:color="auto" w:fill="CFF0FC"/>
          </w:tcPr>
          <w:p>
            <w:pPr>
              <w:spacing w:after="0"/>
              <w:rPr>
                <w:sz w:val="21"/>
                <w:szCs w:val="21"/>
                <w:color w:val="auto"/>
              </w:rPr>
            </w:pPr>
          </w:p>
        </w:tc>
      </w:tr>
      <w:tr>
        <w:trPr>
          <w:trHeight w:val="236"/>
        </w:trPr>
        <w:tc>
          <w:tcPr>
            <w:tcW w:w="786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196,493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216,255</w:t>
            </w:r>
          </w:p>
        </w:tc>
        <w:tc>
          <w:tcPr>
            <w:tcW w:w="100" w:type="dxa"/>
            <w:vAlign w:val="bottom"/>
          </w:tcPr>
          <w:p>
            <w:pPr>
              <w:spacing w:after="0"/>
              <w:rPr>
                <w:sz w:val="20"/>
                <w:szCs w:val="20"/>
                <w:color w:val="auto"/>
              </w:rPr>
            </w:pPr>
          </w:p>
        </w:tc>
      </w:tr>
      <w:tr>
        <w:trPr>
          <w:trHeight w:val="249"/>
        </w:trPr>
        <w:tc>
          <w:tcPr>
            <w:tcW w:w="78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74,110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1,338,149</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1,297,245</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7860" w:type="dxa"/>
            <w:vAlign w:val="bottom"/>
          </w:tcPr>
          <w:p>
            <w:pPr>
              <w:ind w:left="1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Debt maturing within one year, net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6,495</w:t>
            </w:r>
          </w:p>
        </w:tc>
        <w:tc>
          <w:tcPr>
            <w:tcW w:w="100" w:type="dxa"/>
            <w:vAlign w:val="bottom"/>
            <w:shd w:val="clear" w:color="auto" w:fill="CFF0FC"/>
          </w:tcPr>
          <w:p>
            <w:pPr>
              <w:spacing w:after="0"/>
              <w:rPr>
                <w:sz w:val="21"/>
                <w:szCs w:val="21"/>
                <w:color w:val="auto"/>
              </w:rPr>
            </w:pPr>
          </w:p>
        </w:tc>
      </w:tr>
      <w:tr>
        <w:trPr>
          <w:trHeight w:val="236"/>
        </w:trPr>
        <w:tc>
          <w:tcPr>
            <w:tcW w:w="78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215,456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172,033</w:t>
            </w:r>
          </w:p>
        </w:tc>
        <w:tc>
          <w:tcPr>
            <w:tcW w:w="100" w:type="dxa"/>
            <w:vAlign w:val="bottom"/>
          </w:tcPr>
          <w:p>
            <w:pPr>
              <w:spacing w:after="0"/>
              <w:rPr>
                <w:sz w:val="20"/>
                <w:szCs w:val="20"/>
                <w:color w:val="auto"/>
              </w:rPr>
            </w:pPr>
          </w:p>
        </w:tc>
      </w:tr>
      <w:tr>
        <w:trPr>
          <w:trHeight w:val="249"/>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liabilities and accrued expenses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167,136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860" w:type="dxa"/>
            <w:vAlign w:val="bottom"/>
          </w:tcPr>
          <w:p>
            <w:pPr>
              <w:ind w:left="1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394,722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342,998</w:t>
            </w:r>
          </w:p>
        </w:tc>
        <w:tc>
          <w:tcPr>
            <w:tcW w:w="100" w:type="dxa"/>
            <w:vAlign w:val="bottom"/>
          </w:tcPr>
          <w:p>
            <w:pPr>
              <w:spacing w:after="0"/>
              <w:rPr>
                <w:sz w:val="19"/>
                <w:szCs w:val="19"/>
                <w:color w:val="auto"/>
              </w:rPr>
            </w:pPr>
          </w:p>
        </w:tc>
      </w:tr>
      <w:tr>
        <w:trPr>
          <w:trHeight w:val="249"/>
        </w:trPr>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Long-term debt, net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210,573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232,170</w:t>
            </w:r>
          </w:p>
        </w:tc>
        <w:tc>
          <w:tcPr>
            <w:tcW w:w="100" w:type="dxa"/>
            <w:vAlign w:val="bottom"/>
            <w:shd w:val="clear" w:color="auto" w:fill="CFF0FC"/>
          </w:tcPr>
          <w:p>
            <w:pPr>
              <w:spacing w:after="0"/>
              <w:rPr>
                <w:sz w:val="21"/>
                <w:szCs w:val="21"/>
                <w:color w:val="auto"/>
              </w:rPr>
            </w:pPr>
          </w:p>
        </w:tc>
      </w:tr>
      <w:tr>
        <w:trPr>
          <w:trHeight w:val="236"/>
        </w:trPr>
        <w:tc>
          <w:tcPr>
            <w:tcW w:w="7860" w:type="dxa"/>
            <w:vAlign w:val="bottom"/>
          </w:tcPr>
          <w:p>
            <w:pPr>
              <w:ind w:left="12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15,415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18,054</w:t>
            </w:r>
          </w:p>
        </w:tc>
        <w:tc>
          <w:tcPr>
            <w:tcW w:w="100" w:type="dxa"/>
            <w:vAlign w:val="bottom"/>
          </w:tcPr>
          <w:p>
            <w:pPr>
              <w:spacing w:after="0"/>
              <w:rPr>
                <w:sz w:val="20"/>
                <w:szCs w:val="20"/>
                <w:color w:val="auto"/>
              </w:rPr>
            </w:pPr>
          </w:p>
        </w:tc>
      </w:tr>
      <w:tr>
        <w:trPr>
          <w:trHeight w:val="249"/>
        </w:trPr>
        <w:tc>
          <w:tcPr>
            <w:tcW w:w="78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 liabilities, noncurrent</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42,764</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663,474</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641,811</w:t>
            </w:r>
          </w:p>
        </w:tc>
        <w:tc>
          <w:tcPr>
            <w:tcW w:w="100" w:type="dxa"/>
            <w:vAlign w:val="bottom"/>
          </w:tcPr>
          <w:p>
            <w:pPr>
              <w:spacing w:after="0"/>
              <w:rPr>
                <w:sz w:val="20"/>
                <w:szCs w:val="20"/>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9)</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Temporary equity</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Redeemable noncontrolling interest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21,367</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Permanent equity</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Corsair Gaming, Inc. stockholders’ equity:</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860" w:type="dxa"/>
            <w:vAlign w:val="bottom"/>
          </w:tcPr>
          <w:p>
            <w:pPr>
              <w:ind w:left="200"/>
              <w:spacing w:after="0"/>
              <w:rPr>
                <w:sz w:val="20"/>
                <w:szCs w:val="20"/>
                <w:color w:val="auto"/>
              </w:rPr>
            </w:pPr>
            <w:r>
              <w:rPr>
                <w:rFonts w:ascii="Arial" w:cs="Arial" w:eastAsia="Arial" w:hAnsi="Arial"/>
                <w:sz w:val="18"/>
                <w:szCs w:val="18"/>
                <w:color w:val="auto"/>
                <w:w w:val="91"/>
              </w:rPr>
              <w:t>Preferred stock, $0.0001 par value: 5,000 shares authorized, nil and nil shares issued and outstanding as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860" w:type="dxa"/>
            <w:vAlign w:val="bottom"/>
          </w:tcPr>
          <w:p>
            <w:pPr>
              <w:ind w:left="200"/>
              <w:spacing w:after="0"/>
              <w:rPr>
                <w:sz w:val="20"/>
                <w:szCs w:val="20"/>
                <w:color w:val="auto"/>
              </w:rPr>
            </w:pPr>
            <w:r>
              <w:rPr>
                <w:rFonts w:ascii="Arial" w:cs="Arial" w:eastAsia="Arial" w:hAnsi="Arial"/>
                <w:sz w:val="18"/>
                <w:szCs w:val="18"/>
                <w:color w:val="auto"/>
              </w:rPr>
              <w:t>of September 30, 2023 and December 31, 2022, respectively</w:t>
            </w:r>
          </w:p>
        </w:tc>
        <w:tc>
          <w:tcPr>
            <w:tcW w:w="20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Common stock, $0.0001 par value: 300,000 shares authorized, 102,968 and 101,385 shares issued and</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as of September 30, 2023 and December 31, 2022, respectively</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1"/>
                <w:szCs w:val="21"/>
                <w:color w:val="auto"/>
              </w:rPr>
            </w:pPr>
          </w:p>
        </w:tc>
      </w:tr>
      <w:tr>
        <w:trPr>
          <w:trHeight w:val="236"/>
        </w:trPr>
        <w:tc>
          <w:tcPr>
            <w:tcW w:w="78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622,428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593,486</w:t>
            </w:r>
          </w:p>
        </w:tc>
        <w:tc>
          <w:tcPr>
            <w:tcW w:w="100" w:type="dxa"/>
            <w:vAlign w:val="bottom"/>
          </w:tcPr>
          <w:p>
            <w:pPr>
              <w:spacing w:after="0"/>
              <w:rPr>
                <w:sz w:val="20"/>
                <w:szCs w:val="20"/>
                <w:color w:val="auto"/>
              </w:rPr>
            </w:pPr>
          </w:p>
        </w:tc>
      </w:tr>
      <w:tr>
        <w:trPr>
          <w:trHeight w:val="24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37,223</w:t>
            </w:r>
          </w:p>
        </w:tc>
        <w:tc>
          <w:tcPr>
            <w:tcW w:w="100" w:type="dxa"/>
            <w:vAlign w:val="bottom"/>
            <w:shd w:val="clear" w:color="auto" w:fill="CFF0FC"/>
          </w:tcPr>
          <w:p>
            <w:pPr>
              <w:spacing w:after="0"/>
              <w:rPr>
                <w:sz w:val="21"/>
                <w:szCs w:val="2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(6,699 )</w:t>
            </w:r>
          </w:p>
        </w:tc>
        <w:tc>
          <w:tcPr>
            <w:tcW w:w="18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(6,881 )</w:t>
            </w:r>
          </w:p>
        </w:tc>
      </w:tr>
      <w:tr>
        <w:trPr>
          <w:trHeight w:val="236"/>
        </w:trPr>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Corsair Gaming, Inc. stockholders’ equity</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649,926</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623,838</w:t>
            </w:r>
          </w:p>
        </w:tc>
        <w:tc>
          <w:tcPr>
            <w:tcW w:w="100" w:type="dxa"/>
            <w:vAlign w:val="bottom"/>
            <w:shd w:val="clear" w:color="auto" w:fill="CFF0FC"/>
          </w:tcPr>
          <w:p>
            <w:pPr>
              <w:spacing w:after="0"/>
              <w:rPr>
                <w:sz w:val="20"/>
                <w:szCs w:val="20"/>
                <w:color w:val="auto"/>
              </w:rPr>
            </w:pPr>
          </w:p>
        </w:tc>
      </w:tr>
      <w:tr>
        <w:trPr>
          <w:trHeight w:val="243"/>
        </w:trPr>
        <w:tc>
          <w:tcPr>
            <w:tcW w:w="7860" w:type="dxa"/>
            <w:vAlign w:val="bottom"/>
          </w:tcPr>
          <w:p>
            <w:pPr>
              <w:ind w:left="120"/>
              <w:spacing w:after="0"/>
              <w:rPr>
                <w:sz w:val="20"/>
                <w:szCs w:val="20"/>
                <w:color w:val="auto"/>
              </w:rPr>
            </w:pPr>
            <w:r>
              <w:rPr>
                <w:rFonts w:ascii="Arial" w:cs="Arial" w:eastAsia="Arial" w:hAnsi="Arial"/>
                <w:sz w:val="18"/>
                <w:szCs w:val="18"/>
                <w:color w:val="auto"/>
              </w:rPr>
              <w:t>Nonredeemable noncontrolling interest</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21"/>
                <w:szCs w:val="21"/>
                <w:color w:val="auto"/>
              </w:rPr>
            </w:pPr>
          </w:p>
        </w:tc>
      </w:tr>
      <w:tr>
        <w:trPr>
          <w:trHeight w:val="236"/>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permanent equity</w:t>
            </w: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660,028</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634,067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color w:val="auto"/>
              </w:rPr>
              <w:t>Total liabilities, temporary equity and permanent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1,338,149</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1,297,245</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-5170805</wp:posOffset>
            </wp:positionV>
            <wp:extent cx="6858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-5170805</wp:posOffset>
            </wp:positionV>
            <wp:extent cx="6858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-4237990</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-4237990</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-3278505</wp:posOffset>
            </wp:positionV>
            <wp:extent cx="685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-3278505</wp:posOffset>
            </wp:positionV>
            <wp:extent cx="685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-2653665</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-2653665</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-187960</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418"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6"/>
                <w:szCs w:val="16"/>
                <w:b w:val="1"/>
                <w:bCs w:val="1"/>
                <w:color w:val="auto"/>
                <w:w w:val="91"/>
              </w:rPr>
              <w:t>Three Months Ended September 30, 2023</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Corsair</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w:t>
            </w: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Gaming,</w:t>
            </w: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Nonredee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3"/>
          </w:tcPr>
          <w:p>
            <w:pPr>
              <w:ind w:left="20"/>
              <w:spacing w:after="0"/>
              <w:rPr>
                <w:sz w:val="20"/>
                <w:szCs w:val="20"/>
                <w:color w:val="auto"/>
              </w:rPr>
            </w:pPr>
            <w:r>
              <w:rPr>
                <w:rFonts w:ascii="Arial" w:cs="Arial" w:eastAsia="Arial" w:hAnsi="Arial"/>
                <w:sz w:val="16"/>
                <w:szCs w:val="16"/>
                <w:b w:val="1"/>
                <w:bCs w:val="1"/>
                <w:color w:val="auto"/>
              </w:rPr>
              <w:t>Addition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ed Other</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Inc.</w:t>
            </w:r>
          </w:p>
        </w:tc>
        <w:tc>
          <w:tcPr>
            <w:tcW w:w="12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mable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1360" w:type="dxa"/>
            <w:vAlign w:val="bottom"/>
            <w:gridSpan w:val="4"/>
            <w:vMerge w:val="restart"/>
          </w:tcPr>
          <w:p>
            <w:pPr>
              <w:jc w:val="right"/>
              <w:ind w:right="5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al</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Comprehe</w:t>
            </w: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Stockholder</w:t>
            </w: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Noncontrol</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8"/>
        </w:trPr>
        <w:tc>
          <w:tcPr>
            <w:tcW w:w="3520" w:type="dxa"/>
            <w:vAlign w:val="bottom"/>
          </w:tcPr>
          <w:p>
            <w:pPr>
              <w:spacing w:after="0"/>
              <w:rPr>
                <w:sz w:val="18"/>
                <w:szCs w:val="18"/>
                <w:color w:val="auto"/>
              </w:rPr>
            </w:pPr>
          </w:p>
        </w:tc>
        <w:tc>
          <w:tcPr>
            <w:tcW w:w="1360" w:type="dxa"/>
            <w:vAlign w:val="bottom"/>
            <w:tcBorders>
              <w:bottom w:val="single" w:sz="8" w:color="auto"/>
            </w:tcBorders>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Paid-in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Retained</w:t>
            </w: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2"/>
              </w:rPr>
              <w:t>nsive</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4"/>
              </w:rPr>
              <w:t>s’</w:t>
            </w:r>
          </w:p>
        </w:tc>
        <w:tc>
          <w:tcPr>
            <w:tcW w:w="12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ling</w:t>
            </w: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Permanent</w:t>
            </w:r>
          </w:p>
        </w:tc>
        <w:tc>
          <w:tcPr>
            <w:tcW w:w="0" w:type="dxa"/>
            <w:vAlign w:val="bottom"/>
          </w:tcPr>
          <w:p>
            <w:pPr>
              <w:spacing w:after="0"/>
              <w:rPr>
                <w:sz w:val="1"/>
                <w:szCs w:val="1"/>
                <w:color w:val="auto"/>
              </w:rPr>
            </w:pPr>
          </w:p>
        </w:tc>
      </w:tr>
      <w:tr>
        <w:trPr>
          <w:trHeight w:val="198"/>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Amoun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3"/>
              </w:rPr>
              <w:t>Shares</w:t>
            </w:r>
          </w:p>
        </w:tc>
        <w:tc>
          <w:tcPr>
            <w:tcW w:w="18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t</w:t>
            </w:r>
          </w:p>
        </w:tc>
        <w:tc>
          <w:tcPr>
            <w:tcW w:w="260" w:type="dxa"/>
            <w:vAlign w:val="bottom"/>
          </w:tcPr>
          <w:p>
            <w:pPr>
              <w:spacing w:after="0"/>
              <w:rPr>
                <w:sz w:val="19"/>
                <w:szCs w:val="19"/>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7"/>
              </w:rPr>
              <w:t>Earnings</w:t>
            </w: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0"/>
              </w:rPr>
              <w:t>Loss</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Equity</w:t>
            </w:r>
          </w:p>
        </w:tc>
        <w:tc>
          <w:tcPr>
            <w:tcW w:w="12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1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102,74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614,67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of June 30, 2023</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37,266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(3,761 )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648,186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(3,079 )</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(3,079 )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(3,000 )</w:t>
            </w: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(2,938 )</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(2,938 )</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(82 )</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(3,020 )</w:t>
            </w:r>
          </w:p>
        </w:tc>
        <w:tc>
          <w:tcPr>
            <w:tcW w:w="0" w:type="dxa"/>
            <w:vAlign w:val="bottom"/>
          </w:tcPr>
          <w:p>
            <w:pPr>
              <w:spacing w:after="0"/>
              <w:rPr>
                <w:sz w:val="1"/>
                <w:szCs w:val="1"/>
                <w:color w:val="auto"/>
              </w:rPr>
            </w:pPr>
          </w:p>
        </w:tc>
      </w:tr>
      <w:tr>
        <w:trPr>
          <w:trHeight w:val="206"/>
        </w:trPr>
        <w:tc>
          <w:tcPr>
            <w:tcW w:w="3520" w:type="dxa"/>
            <w:vAlign w:val="bottom"/>
          </w:tcPr>
          <w:p>
            <w:pPr>
              <w:ind w:left="20"/>
              <w:spacing w:after="0"/>
              <w:rPr>
                <w:sz w:val="20"/>
                <w:szCs w:val="20"/>
                <w:color w:val="auto"/>
              </w:rPr>
            </w:pPr>
            <w:r>
              <w:rPr>
                <w:rFonts w:ascii="Arial" w:cs="Arial" w:eastAsia="Arial" w:hAnsi="Arial"/>
                <w:sz w:val="16"/>
                <w:szCs w:val="16"/>
                <w:color w:val="auto"/>
              </w:rPr>
              <w:t>Dividend paid to nonredeemable noncontrolling</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6"/>
                <w:szCs w:val="16"/>
                <w:color w:val="auto"/>
              </w:rPr>
              <w:t>interest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(400 )</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(400 )</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in connection with</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equity incentive plans</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20"/>
              <w:spacing w:after="0"/>
              <w:rPr>
                <w:sz w:val="20"/>
                <w:szCs w:val="20"/>
                <w:color w:val="auto"/>
              </w:rPr>
            </w:pPr>
            <w:r>
              <w:rPr>
                <w:rFonts w:ascii="Arial" w:cs="Arial" w:eastAsia="Arial" w:hAnsi="Arial"/>
                <w:sz w:val="16"/>
                <w:szCs w:val="16"/>
                <w:color w:val="auto"/>
              </w:rPr>
              <w:t>Shares withheld related to net share settlement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(31 )</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(531 )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(531 )</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(531 )</w:t>
            </w:r>
          </w:p>
        </w:tc>
        <w:tc>
          <w:tcPr>
            <w:tcW w:w="0" w:type="dxa"/>
            <w:vAlign w:val="bottom"/>
          </w:tcPr>
          <w:p>
            <w:pPr>
              <w:spacing w:after="0"/>
              <w:rPr>
                <w:sz w:val="1"/>
                <w:szCs w:val="1"/>
                <w:color w:val="auto"/>
              </w:rPr>
            </w:pPr>
          </w:p>
        </w:tc>
      </w:tr>
      <w:tr>
        <w:trPr>
          <w:trHeight w:val="23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7,877</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102,96</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622,42</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20" w:type="dxa"/>
            <w:vAlign w:val="bottom"/>
          </w:tcPr>
          <w:p>
            <w:pPr>
              <w:ind w:left="20"/>
              <w:spacing w:after="0"/>
              <w:rPr>
                <w:sz w:val="20"/>
                <w:szCs w:val="20"/>
                <w:color w:val="auto"/>
              </w:rPr>
            </w:pPr>
            <w:r>
              <w:rPr>
                <w:rFonts w:ascii="Arial" w:cs="Arial" w:eastAsia="Arial" w:hAnsi="Arial"/>
                <w:sz w:val="16"/>
                <w:szCs w:val="16"/>
                <w:color w:val="auto"/>
              </w:rPr>
              <w:t>Balance as of September 30, 2023</w:t>
            </w: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34,187</w:t>
            </w:r>
          </w:p>
        </w:tc>
        <w:tc>
          <w:tcPr>
            <w:tcW w:w="2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(6,699 )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649,926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10,102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660,028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5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6"/>
                <w:szCs w:val="16"/>
                <w:b w:val="1"/>
                <w:bCs w:val="1"/>
                <w:color w:val="auto"/>
                <w:w w:val="91"/>
              </w:rPr>
              <w:t>Three Months Ended September 30, 2022</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Corsair</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Accumulat</w:t>
            </w: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Gaming,</w:t>
            </w: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Nonredee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5"/>
              </w:rPr>
              <w:t>Addition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ed Other</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Inc.</w:t>
            </w:r>
          </w:p>
        </w:tc>
        <w:tc>
          <w:tcPr>
            <w:tcW w:w="12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mable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1360" w:type="dxa"/>
            <w:vAlign w:val="bottom"/>
            <w:gridSpan w:val="4"/>
            <w:vMerge w:val="restart"/>
          </w:tcPr>
          <w:p>
            <w:pPr>
              <w:jc w:val="right"/>
              <w:ind w:right="5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al</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Comprehe</w:t>
            </w: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Stockholder</w:t>
            </w: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Noncontrol</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8"/>
        </w:trPr>
        <w:tc>
          <w:tcPr>
            <w:tcW w:w="3520" w:type="dxa"/>
            <w:vAlign w:val="bottom"/>
          </w:tcPr>
          <w:p>
            <w:pPr>
              <w:spacing w:after="0"/>
              <w:rPr>
                <w:sz w:val="18"/>
                <w:szCs w:val="18"/>
                <w:color w:val="auto"/>
              </w:rPr>
            </w:pPr>
          </w:p>
        </w:tc>
        <w:tc>
          <w:tcPr>
            <w:tcW w:w="1360" w:type="dxa"/>
            <w:vAlign w:val="bottom"/>
            <w:tcBorders>
              <w:bottom w:val="single" w:sz="8" w:color="auto"/>
            </w:tcBorders>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Paid-in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Retained</w:t>
            </w: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2"/>
              </w:rPr>
              <w:t>nsive</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4"/>
              </w:rPr>
              <w:t>s’</w:t>
            </w:r>
          </w:p>
        </w:tc>
        <w:tc>
          <w:tcPr>
            <w:tcW w:w="12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ling</w:t>
            </w: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Permanent</w:t>
            </w:r>
          </w:p>
        </w:tc>
        <w:tc>
          <w:tcPr>
            <w:tcW w:w="0" w:type="dxa"/>
            <w:vAlign w:val="bottom"/>
          </w:tcPr>
          <w:p>
            <w:pPr>
              <w:spacing w:after="0"/>
              <w:rPr>
                <w:sz w:val="1"/>
                <w:szCs w:val="1"/>
                <w:color w:val="auto"/>
              </w:rPr>
            </w:pPr>
          </w:p>
        </w:tc>
      </w:tr>
      <w:tr>
        <w:trPr>
          <w:trHeight w:val="198"/>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Amoun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3"/>
              </w:rPr>
              <w:t>Shares</w:t>
            </w:r>
          </w:p>
        </w:tc>
        <w:tc>
          <w:tcPr>
            <w:tcW w:w="18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t</w:t>
            </w:r>
          </w:p>
        </w:tc>
        <w:tc>
          <w:tcPr>
            <w:tcW w:w="260" w:type="dxa"/>
            <w:vAlign w:val="bottom"/>
          </w:tcPr>
          <w:p>
            <w:pPr>
              <w:spacing w:after="0"/>
              <w:rPr>
                <w:sz w:val="19"/>
                <w:szCs w:val="19"/>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7"/>
              </w:rPr>
              <w:t>Earnings</w:t>
            </w: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0"/>
              </w:rPr>
              <w:t>Loss</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Equity</w:t>
            </w:r>
          </w:p>
        </w:tc>
        <w:tc>
          <w:tcPr>
            <w:tcW w:w="12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1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498,74</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of June 30, 2022</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95,780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(7,660 )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524,712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(6,211 )</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(6,211 )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(6,102 )</w:t>
            </w: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(5,503 )</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(5,503 )</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(217 )</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(5,720 )</w:t>
            </w:r>
          </w:p>
        </w:tc>
        <w:tc>
          <w:tcPr>
            <w:tcW w:w="0" w:type="dxa"/>
            <w:vAlign w:val="bottom"/>
          </w:tcPr>
          <w:p>
            <w:pPr>
              <w:spacing w:after="0"/>
              <w:rPr>
                <w:sz w:val="1"/>
                <w:szCs w:val="1"/>
                <w:color w:val="auto"/>
              </w:rPr>
            </w:pPr>
          </w:p>
        </w:tc>
      </w:tr>
      <w:tr>
        <w:trPr>
          <w:trHeight w:val="206"/>
        </w:trPr>
        <w:tc>
          <w:tcPr>
            <w:tcW w:w="3520" w:type="dxa"/>
            <w:vAlign w:val="bottom"/>
          </w:tcPr>
          <w:p>
            <w:pPr>
              <w:ind w:left="20"/>
              <w:spacing w:after="0"/>
              <w:rPr>
                <w:sz w:val="20"/>
                <w:szCs w:val="20"/>
                <w:color w:val="auto"/>
              </w:rPr>
            </w:pPr>
            <w:r>
              <w:rPr>
                <w:rFonts w:ascii="Arial" w:cs="Arial" w:eastAsia="Arial" w:hAnsi="Arial"/>
                <w:sz w:val="16"/>
                <w:szCs w:val="16"/>
                <w:color w:val="auto"/>
              </w:rPr>
              <w:t>Change in redemption value of redeemable</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(2,690 )</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(2,690 )</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(2,690 )</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in connection with</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equity incentive plans</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20"/>
              <w:spacing w:after="0"/>
              <w:rPr>
                <w:sz w:val="20"/>
                <w:szCs w:val="20"/>
                <w:color w:val="auto"/>
              </w:rPr>
            </w:pPr>
            <w:r>
              <w:rPr>
                <w:rFonts w:ascii="Arial" w:cs="Arial" w:eastAsia="Arial" w:hAnsi="Arial"/>
                <w:sz w:val="16"/>
                <w:szCs w:val="16"/>
                <w:color w:val="auto"/>
              </w:rPr>
              <w:t>Shares withheld related to net share settlement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(25 )</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(402 )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(402 )</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(402 )</w:t>
            </w:r>
          </w:p>
        </w:tc>
        <w:tc>
          <w:tcPr>
            <w:tcW w:w="0" w:type="dxa"/>
            <w:vAlign w:val="bottom"/>
          </w:tcPr>
          <w:p>
            <w:pPr>
              <w:spacing w:after="0"/>
              <w:rPr>
                <w:sz w:val="1"/>
                <w:szCs w:val="1"/>
                <w:color w:val="auto"/>
              </w:rPr>
            </w:pPr>
          </w:p>
        </w:tc>
      </w:tr>
      <w:tr>
        <w:trPr>
          <w:trHeight w:val="23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504,63</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20" w:type="dxa"/>
            <w:vAlign w:val="bottom"/>
          </w:tcPr>
          <w:p>
            <w:pPr>
              <w:ind w:left="20"/>
              <w:spacing w:after="0"/>
              <w:rPr>
                <w:sz w:val="20"/>
                <w:szCs w:val="20"/>
                <w:color w:val="auto"/>
              </w:rPr>
            </w:pPr>
            <w:r>
              <w:rPr>
                <w:rFonts w:ascii="Arial" w:cs="Arial" w:eastAsia="Arial" w:hAnsi="Arial"/>
                <w:sz w:val="16"/>
                <w:szCs w:val="16"/>
                <w:color w:val="auto"/>
              </w:rPr>
              <w:t>Balance as of September 30, 2022</w:t>
            </w:r>
          </w:p>
        </w:tc>
        <w:tc>
          <w:tcPr>
            <w:tcW w:w="580" w:type="dxa"/>
            <w:vAlign w:val="bottom"/>
          </w:tcPr>
          <w:p>
            <w:pPr>
              <w:jc w:val="right"/>
              <w:spacing w:after="0"/>
              <w:rPr>
                <w:sz w:val="20"/>
                <w:szCs w:val="20"/>
                <w:color w:val="auto"/>
              </w:rPr>
            </w:pPr>
            <w:r>
              <w:rPr>
                <w:rFonts w:ascii="Arial" w:cs="Arial" w:eastAsia="Arial" w:hAnsi="Arial"/>
                <w:sz w:val="16"/>
                <w:szCs w:val="16"/>
                <w:color w:val="auto"/>
              </w:rPr>
              <w:t>95,950</w:t>
            </w:r>
          </w:p>
        </w:tc>
        <w:tc>
          <w:tcPr>
            <w:tcW w:w="2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24,720</w:t>
            </w:r>
          </w:p>
        </w:tc>
        <w:tc>
          <w:tcPr>
            <w:tcW w:w="2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(13,163 )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516,200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10,792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526,992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-3595370</wp:posOffset>
            </wp:positionV>
            <wp:extent cx="76835" cy="307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-3595370</wp:posOffset>
            </wp:positionV>
            <wp:extent cx="76835" cy="307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-3595370</wp:posOffset>
            </wp:positionV>
            <wp:extent cx="76835" cy="307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-3595370</wp:posOffset>
            </wp:positionV>
            <wp:extent cx="68580" cy="307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-3595370</wp:posOffset>
            </wp:positionV>
            <wp:extent cx="68580" cy="307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-3595370</wp:posOffset>
            </wp:positionV>
            <wp:extent cx="68580" cy="307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-3595370</wp:posOffset>
            </wp:positionV>
            <wp:extent cx="68580" cy="307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-3595370</wp:posOffset>
            </wp:positionV>
            <wp:extent cx="68580" cy="307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-307340</wp:posOffset>
            </wp:positionV>
            <wp:extent cx="76835" cy="307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-307340</wp:posOffset>
            </wp:positionV>
            <wp:extent cx="76835" cy="307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-307340</wp:posOffset>
            </wp:positionV>
            <wp:extent cx="76835" cy="307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-307340</wp:posOffset>
            </wp:positionV>
            <wp:extent cx="68580" cy="307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-307340</wp:posOffset>
            </wp:positionV>
            <wp:extent cx="68580" cy="307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-307340</wp:posOffset>
            </wp:positionV>
            <wp:extent cx="68580" cy="307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-307340</wp:posOffset>
            </wp:positionV>
            <wp:extent cx="68580" cy="307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307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30797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10"/>
          </w:tcPr>
          <w:p>
            <w:pPr>
              <w:jc w:val="right"/>
              <w:ind w:right="500"/>
              <w:spacing w:after="0"/>
              <w:rPr>
                <w:sz w:val="20"/>
                <w:szCs w:val="20"/>
                <w:color w:val="auto"/>
              </w:rPr>
            </w:pPr>
            <w:r>
              <w:rPr>
                <w:rFonts w:ascii="Arial" w:cs="Arial" w:eastAsia="Arial" w:hAnsi="Arial"/>
                <w:sz w:val="16"/>
                <w:szCs w:val="16"/>
                <w:b w:val="1"/>
                <w:bCs w:val="1"/>
                <w:color w:val="auto"/>
                <w:w w:val="92"/>
              </w:rPr>
              <w:t>Nine Months Ended September 30, 2023</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Corsair</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w:t>
            </w: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Gaming,</w:t>
            </w: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Nonredee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3"/>
          </w:tcPr>
          <w:p>
            <w:pPr>
              <w:ind w:left="20"/>
              <w:spacing w:after="0"/>
              <w:rPr>
                <w:sz w:val="20"/>
                <w:szCs w:val="20"/>
                <w:color w:val="auto"/>
              </w:rPr>
            </w:pPr>
            <w:r>
              <w:rPr>
                <w:rFonts w:ascii="Arial" w:cs="Arial" w:eastAsia="Arial" w:hAnsi="Arial"/>
                <w:sz w:val="16"/>
                <w:szCs w:val="16"/>
                <w:b w:val="1"/>
                <w:bCs w:val="1"/>
                <w:color w:val="auto"/>
              </w:rPr>
              <w:t>Addition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ed Other</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Inc.</w:t>
            </w:r>
          </w:p>
        </w:tc>
        <w:tc>
          <w:tcPr>
            <w:tcW w:w="12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mable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1360" w:type="dxa"/>
            <w:vAlign w:val="bottom"/>
            <w:gridSpan w:val="4"/>
            <w:vMerge w:val="restart"/>
          </w:tcPr>
          <w:p>
            <w:pPr>
              <w:jc w:val="right"/>
              <w:ind w:right="5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Comprehe</w:t>
            </w: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Stockholder</w:t>
            </w: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Noncontrol</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8"/>
        </w:trPr>
        <w:tc>
          <w:tcPr>
            <w:tcW w:w="3520" w:type="dxa"/>
            <w:vAlign w:val="bottom"/>
          </w:tcPr>
          <w:p>
            <w:pPr>
              <w:spacing w:after="0"/>
              <w:rPr>
                <w:sz w:val="18"/>
                <w:szCs w:val="18"/>
                <w:color w:val="auto"/>
              </w:rPr>
            </w:pPr>
          </w:p>
        </w:tc>
        <w:tc>
          <w:tcPr>
            <w:tcW w:w="1360" w:type="dxa"/>
            <w:vAlign w:val="bottom"/>
            <w:tcBorders>
              <w:bottom w:val="single" w:sz="8" w:color="auto"/>
            </w:tcBorders>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Paid-in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Retained</w:t>
            </w: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2"/>
              </w:rPr>
              <w:t>nsive</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4"/>
              </w:rPr>
              <w:t>s’</w:t>
            </w:r>
          </w:p>
        </w:tc>
        <w:tc>
          <w:tcPr>
            <w:tcW w:w="12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ling</w:t>
            </w: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Permanent</w:t>
            </w:r>
          </w:p>
        </w:tc>
        <w:tc>
          <w:tcPr>
            <w:tcW w:w="0" w:type="dxa"/>
            <w:vAlign w:val="bottom"/>
          </w:tcPr>
          <w:p>
            <w:pPr>
              <w:spacing w:after="0"/>
              <w:rPr>
                <w:sz w:val="1"/>
                <w:szCs w:val="1"/>
                <w:color w:val="auto"/>
              </w:rPr>
            </w:pPr>
          </w:p>
        </w:tc>
      </w:tr>
      <w:tr>
        <w:trPr>
          <w:trHeight w:val="198"/>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Amoun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3"/>
              </w:rPr>
              <w:t>Shares</w:t>
            </w:r>
          </w:p>
        </w:tc>
        <w:tc>
          <w:tcPr>
            <w:tcW w:w="18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t</w:t>
            </w:r>
          </w:p>
        </w:tc>
        <w:tc>
          <w:tcPr>
            <w:tcW w:w="260" w:type="dxa"/>
            <w:vAlign w:val="bottom"/>
          </w:tcPr>
          <w:p>
            <w:pPr>
              <w:spacing w:after="0"/>
              <w:rPr>
                <w:sz w:val="19"/>
                <w:szCs w:val="19"/>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7"/>
              </w:rPr>
              <w:t>Earnings</w:t>
            </w: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0"/>
              </w:rPr>
              <w:t>Loss</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Equity</w:t>
            </w:r>
          </w:p>
        </w:tc>
        <w:tc>
          <w:tcPr>
            <w:tcW w:w="12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1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593,48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of December 31, 2022</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(6,881 )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623,838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(9,571 )</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(9,571 )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(9,179 )</w:t>
            </w: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(119 )</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20"/>
              <w:spacing w:after="0"/>
              <w:rPr>
                <w:sz w:val="20"/>
                <w:szCs w:val="20"/>
                <w:color w:val="auto"/>
              </w:rPr>
            </w:pPr>
            <w:r>
              <w:rPr>
                <w:rFonts w:ascii="Arial" w:cs="Arial" w:eastAsia="Arial" w:hAnsi="Arial"/>
                <w:sz w:val="16"/>
                <w:szCs w:val="16"/>
                <w:color w:val="auto"/>
              </w:rPr>
              <w:t>Change in redemption value of redeemable</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 paid to nonredeemable noncontrolling</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(400 )</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(400 )</w:t>
            </w:r>
          </w:p>
        </w:tc>
        <w:tc>
          <w:tcPr>
            <w:tcW w:w="0" w:type="dxa"/>
            <w:vAlign w:val="bottom"/>
          </w:tcPr>
          <w:p>
            <w:pPr>
              <w:spacing w:after="0"/>
              <w:rPr>
                <w:sz w:val="1"/>
                <w:szCs w:val="1"/>
                <w:color w:val="auto"/>
              </w:rPr>
            </w:pPr>
          </w:p>
        </w:tc>
      </w:tr>
      <w:tr>
        <w:trPr>
          <w:trHeight w:val="206"/>
        </w:trPr>
        <w:tc>
          <w:tcPr>
            <w:tcW w:w="3520" w:type="dxa"/>
            <w:vAlign w:val="bottom"/>
          </w:tcPr>
          <w:p>
            <w:pPr>
              <w:ind w:left="20"/>
              <w:spacing w:after="0"/>
              <w:rPr>
                <w:sz w:val="20"/>
                <w:szCs w:val="20"/>
                <w:color w:val="auto"/>
              </w:rPr>
            </w:pPr>
            <w:r>
              <w:rPr>
                <w:rFonts w:ascii="Arial" w:cs="Arial" w:eastAsia="Arial" w:hAnsi="Arial"/>
                <w:sz w:val="16"/>
                <w:szCs w:val="16"/>
                <w:color w:val="auto"/>
              </w:rPr>
              <w:t>Issuance of common stock in connection with</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6"/>
                <w:szCs w:val="16"/>
                <w:color w:val="auto"/>
              </w:rPr>
              <w:t>employee equity incentive plans</w:t>
            </w:r>
          </w:p>
        </w:tc>
        <w:tc>
          <w:tcPr>
            <w:tcW w:w="580" w:type="dxa"/>
            <w:vAlign w:val="bottom"/>
          </w:tcPr>
          <w:p>
            <w:pPr>
              <w:jc w:val="right"/>
              <w:spacing w:after="0"/>
              <w:rPr>
                <w:sz w:val="20"/>
                <w:szCs w:val="20"/>
                <w:color w:val="auto"/>
              </w:rPr>
            </w:pPr>
            <w:r>
              <w:rPr>
                <w:rFonts w:ascii="Arial" w:cs="Arial" w:eastAsia="Arial" w:hAnsi="Arial"/>
                <w:sz w:val="16"/>
                <w:szCs w:val="16"/>
                <w:color w:val="auto"/>
              </w:rPr>
              <w:t>1,666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Shares withheld related to net share settlement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(83 )</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(1,318 )</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(1,318 )</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(1,318 )</w:t>
            </w:r>
          </w:p>
        </w:tc>
        <w:tc>
          <w:tcPr>
            <w:tcW w:w="0" w:type="dxa"/>
            <w:vAlign w:val="bottom"/>
          </w:tcPr>
          <w:p>
            <w:pPr>
              <w:spacing w:after="0"/>
              <w:rPr>
                <w:sz w:val="1"/>
                <w:szCs w:val="1"/>
                <w:color w:val="auto"/>
              </w:rPr>
            </w:pPr>
          </w:p>
        </w:tc>
      </w:tr>
      <w:tr>
        <w:trPr>
          <w:trHeight w:val="226"/>
        </w:trPr>
        <w:tc>
          <w:tcPr>
            <w:tcW w:w="35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23,470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102,96</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622,42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of September 30, 2023</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34,187</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(6,699 )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649,926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660,028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5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0"/>
          </w:tcPr>
          <w:p>
            <w:pPr>
              <w:jc w:val="right"/>
              <w:ind w:right="500"/>
              <w:spacing w:after="0"/>
              <w:rPr>
                <w:sz w:val="20"/>
                <w:szCs w:val="20"/>
                <w:color w:val="auto"/>
              </w:rPr>
            </w:pPr>
            <w:r>
              <w:rPr>
                <w:rFonts w:ascii="Arial" w:cs="Arial" w:eastAsia="Arial" w:hAnsi="Arial"/>
                <w:sz w:val="16"/>
                <w:szCs w:val="16"/>
                <w:b w:val="1"/>
                <w:bCs w:val="1"/>
                <w:color w:val="auto"/>
                <w:w w:val="92"/>
              </w:rPr>
              <w:t>Nine Months Ended September 30, 2022</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Corsair</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Accumulat</w:t>
            </w: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Gaming,</w:t>
            </w: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Nonredee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Addition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ed Other</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Inc.</w:t>
            </w:r>
          </w:p>
        </w:tc>
        <w:tc>
          <w:tcPr>
            <w:tcW w:w="12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mable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1360" w:type="dxa"/>
            <w:vAlign w:val="bottom"/>
            <w:gridSpan w:val="4"/>
            <w:vMerge w:val="restart"/>
          </w:tcPr>
          <w:p>
            <w:pPr>
              <w:jc w:val="right"/>
              <w:ind w:right="5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Comprehe</w:t>
            </w: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Stockholder</w:t>
            </w: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Noncontrol</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8"/>
        </w:trPr>
        <w:tc>
          <w:tcPr>
            <w:tcW w:w="3520" w:type="dxa"/>
            <w:vAlign w:val="bottom"/>
          </w:tcPr>
          <w:p>
            <w:pPr>
              <w:spacing w:after="0"/>
              <w:rPr>
                <w:sz w:val="18"/>
                <w:szCs w:val="18"/>
                <w:color w:val="auto"/>
              </w:rPr>
            </w:pPr>
          </w:p>
        </w:tc>
        <w:tc>
          <w:tcPr>
            <w:tcW w:w="1360" w:type="dxa"/>
            <w:vAlign w:val="bottom"/>
            <w:tcBorders>
              <w:bottom w:val="single" w:sz="8" w:color="auto"/>
            </w:tcBorders>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Paid-in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Retained</w:t>
            </w: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2"/>
              </w:rPr>
              <w:t>nsive</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4"/>
              </w:rPr>
              <w:t>s’</w:t>
            </w:r>
          </w:p>
        </w:tc>
        <w:tc>
          <w:tcPr>
            <w:tcW w:w="12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ling</w:t>
            </w: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Permanent</w:t>
            </w:r>
          </w:p>
        </w:tc>
        <w:tc>
          <w:tcPr>
            <w:tcW w:w="0" w:type="dxa"/>
            <w:vAlign w:val="bottom"/>
          </w:tcPr>
          <w:p>
            <w:pPr>
              <w:spacing w:after="0"/>
              <w:rPr>
                <w:sz w:val="1"/>
                <w:szCs w:val="1"/>
                <w:color w:val="auto"/>
              </w:rPr>
            </w:pPr>
          </w:p>
        </w:tc>
      </w:tr>
      <w:tr>
        <w:trPr>
          <w:trHeight w:val="198"/>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Amoun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3"/>
              </w:rPr>
              <w:t>Shares</w:t>
            </w:r>
          </w:p>
        </w:tc>
        <w:tc>
          <w:tcPr>
            <w:tcW w:w="18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t</w:t>
            </w:r>
          </w:p>
        </w:tc>
        <w:tc>
          <w:tcPr>
            <w:tcW w:w="260" w:type="dxa"/>
            <w:vAlign w:val="bottom"/>
          </w:tcPr>
          <w:p>
            <w:pPr>
              <w:spacing w:after="0"/>
              <w:rPr>
                <w:sz w:val="19"/>
                <w:szCs w:val="19"/>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7"/>
              </w:rPr>
              <w:t>Earnings</w:t>
            </w: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0"/>
              </w:rPr>
              <w:t>Loss</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Equity</w:t>
            </w:r>
          </w:p>
        </w:tc>
        <w:tc>
          <w:tcPr>
            <w:tcW w:w="12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1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470,36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of December 31, 2021</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98,147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(340 )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568,180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20"/>
              <w:spacing w:after="0"/>
              <w:rPr>
                <w:sz w:val="20"/>
                <w:szCs w:val="20"/>
                <w:color w:val="auto"/>
              </w:rPr>
            </w:pPr>
            <w:r>
              <w:rPr>
                <w:rFonts w:ascii="Arial" w:cs="Arial" w:eastAsia="Arial" w:hAnsi="Arial"/>
                <w:sz w:val="16"/>
                <w:szCs w:val="16"/>
                <w:color w:val="auto"/>
                <w:w w:val="99"/>
              </w:rPr>
              <w:t>Issuance of common stock in relation to business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6"/>
                <w:szCs w:val="16"/>
                <w:color w:val="auto"/>
              </w:rPr>
              <w:t>acquisition</w:t>
            </w:r>
          </w:p>
        </w:tc>
        <w:tc>
          <w:tcPr>
            <w:tcW w:w="580" w:type="dxa"/>
            <w:vAlign w:val="bottom"/>
          </w:tcPr>
          <w:p>
            <w:pPr>
              <w:jc w:val="right"/>
              <w:spacing w:after="0"/>
              <w:rPr>
                <w:sz w:val="20"/>
                <w:szCs w:val="20"/>
                <w:color w:val="auto"/>
              </w:rPr>
            </w:pPr>
            <w:r>
              <w:rPr>
                <w:rFonts w:ascii="Arial" w:cs="Arial" w:eastAsia="Arial" w:hAnsi="Arial"/>
                <w:sz w:val="16"/>
                <w:szCs w:val="16"/>
                <w:color w:val="auto"/>
              </w:rPr>
              <w:t>690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14,504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Noncontrolling interest from business combination</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12,084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(61,097 )</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(61,097 )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(61,083 )</w:t>
            </w: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(12,823 )</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(12,823 )</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(406 )</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(13,229 )</w:t>
            </w:r>
          </w:p>
        </w:tc>
        <w:tc>
          <w:tcPr>
            <w:tcW w:w="0" w:type="dxa"/>
            <w:vAlign w:val="bottom"/>
          </w:tcPr>
          <w:p>
            <w:pPr>
              <w:spacing w:after="0"/>
              <w:rPr>
                <w:sz w:val="1"/>
                <w:szCs w:val="1"/>
                <w:color w:val="auto"/>
              </w:rPr>
            </w:pPr>
          </w:p>
        </w:tc>
      </w:tr>
      <w:tr>
        <w:trPr>
          <w:trHeight w:val="206"/>
        </w:trPr>
        <w:tc>
          <w:tcPr>
            <w:tcW w:w="3520" w:type="dxa"/>
            <w:vAlign w:val="bottom"/>
          </w:tcPr>
          <w:p>
            <w:pPr>
              <w:ind w:left="20"/>
              <w:spacing w:after="0"/>
              <w:rPr>
                <w:sz w:val="20"/>
                <w:szCs w:val="20"/>
                <w:color w:val="auto"/>
              </w:rPr>
            </w:pPr>
            <w:r>
              <w:rPr>
                <w:rFonts w:ascii="Arial" w:cs="Arial" w:eastAsia="Arial" w:hAnsi="Arial"/>
                <w:sz w:val="16"/>
                <w:szCs w:val="16"/>
                <w:color w:val="auto"/>
              </w:rPr>
              <w:t>Change in redemption value of redeemable</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(12,330 )</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(12,330 )</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(12,330 )</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 paid to nonredeemable noncontrolling</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(900 )</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(900 )</w:t>
            </w:r>
          </w:p>
        </w:tc>
        <w:tc>
          <w:tcPr>
            <w:tcW w:w="0" w:type="dxa"/>
            <w:vAlign w:val="bottom"/>
          </w:tcPr>
          <w:p>
            <w:pPr>
              <w:spacing w:after="0"/>
              <w:rPr>
                <w:sz w:val="1"/>
                <w:szCs w:val="1"/>
                <w:color w:val="auto"/>
              </w:rPr>
            </w:pPr>
          </w:p>
        </w:tc>
      </w:tr>
      <w:tr>
        <w:trPr>
          <w:trHeight w:val="206"/>
        </w:trPr>
        <w:tc>
          <w:tcPr>
            <w:tcW w:w="3520" w:type="dxa"/>
            <w:vAlign w:val="bottom"/>
          </w:tcPr>
          <w:p>
            <w:pPr>
              <w:ind w:left="20"/>
              <w:spacing w:after="0"/>
              <w:rPr>
                <w:sz w:val="20"/>
                <w:szCs w:val="20"/>
                <w:color w:val="auto"/>
              </w:rPr>
            </w:pPr>
            <w:r>
              <w:rPr>
                <w:rFonts w:ascii="Arial" w:cs="Arial" w:eastAsia="Arial" w:hAnsi="Arial"/>
                <w:sz w:val="16"/>
                <w:szCs w:val="16"/>
                <w:color w:val="auto"/>
              </w:rPr>
              <w:t>Issuance of common stock in connection with</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6"/>
                <w:szCs w:val="16"/>
                <w:color w:val="auto"/>
              </w:rPr>
              <w:t>employee equity incentive plans</w:t>
            </w:r>
          </w:p>
        </w:tc>
        <w:tc>
          <w:tcPr>
            <w:tcW w:w="580" w:type="dxa"/>
            <w:vAlign w:val="bottom"/>
          </w:tcPr>
          <w:p>
            <w:pPr>
              <w:jc w:val="right"/>
              <w:spacing w:after="0"/>
              <w:rPr>
                <w:sz w:val="20"/>
                <w:szCs w:val="20"/>
                <w:color w:val="auto"/>
              </w:rPr>
            </w:pPr>
            <w:r>
              <w:rPr>
                <w:rFonts w:ascii="Arial" w:cs="Arial" w:eastAsia="Arial" w:hAnsi="Arial"/>
                <w:sz w:val="16"/>
                <w:szCs w:val="16"/>
                <w:color w:val="auto"/>
              </w:rPr>
              <w:t>822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Shares withheld related to net share settlement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(72 )</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(1,379 )</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(1,379 )</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(1,379 )</w:t>
            </w:r>
          </w:p>
        </w:tc>
        <w:tc>
          <w:tcPr>
            <w:tcW w:w="0" w:type="dxa"/>
            <w:vAlign w:val="bottom"/>
          </w:tcPr>
          <w:p>
            <w:pPr>
              <w:spacing w:after="0"/>
              <w:rPr>
                <w:sz w:val="1"/>
                <w:szCs w:val="1"/>
                <w:color w:val="auto"/>
              </w:rPr>
            </w:pPr>
          </w:p>
        </w:tc>
      </w:tr>
      <w:tr>
        <w:trPr>
          <w:trHeight w:val="226"/>
        </w:trPr>
        <w:tc>
          <w:tcPr>
            <w:tcW w:w="35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17,012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504,63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of September 30, 2022</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95,950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24,720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(13,163 )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516,200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526,992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-4023995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-4006850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-4023995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-4006850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-4023995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-4006850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-4023995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-4006850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-4023995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-4006850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-4023995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-4006850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-4023995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-4006850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-4023995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-4006850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-24765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-7620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-24765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-7620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-24765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-7620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41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60" w:type="dxa"/>
            <w:vAlign w:val="bottom"/>
          </w:tcPr>
          <w:p>
            <w:pPr>
              <w:jc w:val="center"/>
              <w:ind w:left="3691"/>
              <w:spacing w:after="0"/>
              <w:rPr>
                <w:sz w:val="20"/>
                <w:szCs w:val="20"/>
                <w:color w:val="auto"/>
              </w:rPr>
            </w:pPr>
            <w:r>
              <w:rPr>
                <w:rFonts w:ascii="Arial" w:cs="Arial" w:eastAsia="Arial" w:hAnsi="Arial"/>
                <w:sz w:val="16"/>
                <w:szCs w:val="16"/>
                <w:b w:val="1"/>
                <w:bCs w:val="1"/>
                <w:color w:val="auto"/>
                <w:w w:val="94"/>
              </w:rPr>
              <w:t>Corsair Gaming, Inc.</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460" w:type="dxa"/>
            <w:vAlign w:val="bottom"/>
          </w:tcPr>
          <w:p>
            <w:pPr>
              <w:jc w:val="center"/>
              <w:ind w:left="3691"/>
              <w:spacing w:after="0"/>
              <w:rPr>
                <w:sz w:val="20"/>
                <w:szCs w:val="20"/>
                <w:color w:val="auto"/>
              </w:rPr>
            </w:pPr>
            <w:r>
              <w:rPr>
                <w:rFonts w:ascii="Arial" w:cs="Arial" w:eastAsia="Arial" w:hAnsi="Arial"/>
                <w:sz w:val="16"/>
                <w:szCs w:val="16"/>
                <w:b w:val="1"/>
                <w:bCs w:val="1"/>
                <w:color w:val="auto"/>
                <w:w w:val="88"/>
              </w:rPr>
              <w:t>Condensed Consolidated Statements of Cash Flows</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460" w:type="dxa"/>
            <w:vAlign w:val="bottom"/>
          </w:tcPr>
          <w:p>
            <w:pPr>
              <w:jc w:val="center"/>
              <w:ind w:left="3691"/>
              <w:spacing w:after="0"/>
              <w:rPr>
                <w:sz w:val="20"/>
                <w:szCs w:val="20"/>
                <w:color w:val="auto"/>
              </w:rPr>
            </w:pPr>
            <w:r>
              <w:rPr>
                <w:rFonts w:ascii="Arial" w:cs="Arial" w:eastAsia="Arial" w:hAnsi="Arial"/>
                <w:sz w:val="16"/>
                <w:szCs w:val="16"/>
                <w:b w:val="1"/>
                <w:bCs w:val="1"/>
                <w:color w:val="auto"/>
                <w:w w:val="91"/>
              </w:rPr>
              <w:t>(Unaudited, in thousands)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Nine Months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4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6"/>
                <w:szCs w:val="16"/>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r>
      <w:tr>
        <w:trPr>
          <w:trHeight w:val="65"/>
        </w:trPr>
        <w:tc>
          <w:tcPr>
            <w:tcW w:w="74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(8,613 )</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(61,064 )</w:t>
            </w:r>
          </w:p>
        </w:tc>
      </w:tr>
      <w:tr>
        <w:trPr>
          <w:trHeight w:val="249"/>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4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23,245</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16,877</w:t>
            </w:r>
          </w:p>
        </w:tc>
        <w:tc>
          <w:tcPr>
            <w:tcW w:w="100" w:type="dxa"/>
            <w:vAlign w:val="bottom"/>
          </w:tcPr>
          <w:p>
            <w:pPr>
              <w:spacing w:after="0"/>
              <w:rPr>
                <w:sz w:val="20"/>
                <w:szCs w:val="20"/>
                <w:color w:val="auto"/>
              </w:rPr>
            </w:pPr>
          </w:p>
        </w:tc>
      </w:tr>
      <w:tr>
        <w:trPr>
          <w:trHeight w:val="249"/>
        </w:trPr>
        <w:tc>
          <w:tcPr>
            <w:tcW w:w="7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Depreciation</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9,016</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7,695</w:t>
            </w:r>
          </w:p>
        </w:tc>
        <w:tc>
          <w:tcPr>
            <w:tcW w:w="100" w:type="dxa"/>
            <w:vAlign w:val="bottom"/>
            <w:shd w:val="clear" w:color="auto" w:fill="CFF0FC"/>
          </w:tcPr>
          <w:p>
            <w:pPr>
              <w:spacing w:after="0"/>
              <w:rPr>
                <w:sz w:val="21"/>
                <w:szCs w:val="21"/>
                <w:color w:val="auto"/>
              </w:rPr>
            </w:pPr>
          </w:p>
        </w:tc>
      </w:tr>
      <w:tr>
        <w:trPr>
          <w:trHeight w:val="236"/>
        </w:trPr>
        <w:tc>
          <w:tcPr>
            <w:tcW w:w="746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29,005</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33,924</w:t>
            </w:r>
          </w:p>
        </w:tc>
        <w:tc>
          <w:tcPr>
            <w:tcW w:w="100" w:type="dxa"/>
            <w:vAlign w:val="bottom"/>
          </w:tcPr>
          <w:p>
            <w:pPr>
              <w:spacing w:after="0"/>
              <w:rPr>
                <w:sz w:val="20"/>
                <w:szCs w:val="20"/>
                <w:color w:val="auto"/>
              </w:rPr>
            </w:pPr>
          </w:p>
        </w:tc>
      </w:tr>
      <w:tr>
        <w:trPr>
          <w:trHeight w:val="249"/>
        </w:trPr>
        <w:tc>
          <w:tcPr>
            <w:tcW w:w="7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Deferred income taxes</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(7,724 )</w:t>
            </w:r>
          </w:p>
        </w:tc>
        <w:tc>
          <w:tcPr>
            <w:tcW w:w="6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(19,552 )</w:t>
            </w:r>
          </w:p>
        </w:tc>
      </w:tr>
      <w:tr>
        <w:trPr>
          <w:trHeight w:val="236"/>
        </w:trPr>
        <w:tc>
          <w:tcPr>
            <w:tcW w:w="7460" w:type="dxa"/>
            <w:vAlign w:val="bottom"/>
          </w:tcPr>
          <w:p>
            <w:pPr>
              <w:ind w:left="16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2,493</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0"/>
                <w:szCs w:val="20"/>
                <w:color w:val="auto"/>
              </w:rPr>
            </w:pPr>
          </w:p>
        </w:tc>
      </w:tr>
      <w:tr>
        <w:trPr>
          <w:trHeight w:val="249"/>
        </w:trPr>
        <w:tc>
          <w:tcPr>
            <w:tcW w:w="7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46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106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(18,070 )</w:t>
            </w: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133,362</w:t>
            </w:r>
          </w:p>
        </w:tc>
        <w:tc>
          <w:tcPr>
            <w:tcW w:w="100" w:type="dxa"/>
            <w:vAlign w:val="bottom"/>
          </w:tcPr>
          <w:p>
            <w:pPr>
              <w:spacing w:after="0"/>
              <w:rPr>
                <w:sz w:val="20"/>
                <w:szCs w:val="20"/>
                <w:color w:val="auto"/>
              </w:rPr>
            </w:pPr>
          </w:p>
        </w:tc>
      </w:tr>
      <w:tr>
        <w:trPr>
          <w:trHeight w:val="249"/>
        </w:trPr>
        <w:tc>
          <w:tcPr>
            <w:tcW w:w="74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Inventories</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97"/>
              </w:rPr>
              <w:t>(35,452 )</w:t>
            </w: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54,371</w:t>
            </w:r>
          </w:p>
        </w:tc>
        <w:tc>
          <w:tcPr>
            <w:tcW w:w="100" w:type="dxa"/>
            <w:vAlign w:val="bottom"/>
            <w:shd w:val="clear" w:color="auto" w:fill="CFF0FC"/>
          </w:tcPr>
          <w:p>
            <w:pPr>
              <w:spacing w:after="0"/>
              <w:rPr>
                <w:sz w:val="21"/>
                <w:szCs w:val="21"/>
                <w:color w:val="auto"/>
              </w:rPr>
            </w:pPr>
          </w:p>
        </w:tc>
      </w:tr>
      <w:tr>
        <w:trPr>
          <w:trHeight w:val="236"/>
        </w:trPr>
        <w:tc>
          <w:tcPr>
            <w:tcW w:w="7460" w:type="dxa"/>
            <w:vAlign w:val="bottom"/>
          </w:tcPr>
          <w:p>
            <w:pPr>
              <w:ind w:left="300"/>
              <w:spacing w:after="0"/>
              <w:rPr>
                <w:sz w:val="20"/>
                <w:szCs w:val="20"/>
                <w:color w:val="auto"/>
              </w:rPr>
            </w:pPr>
            <w:r>
              <w:rPr>
                <w:rFonts w:ascii="Arial" w:cs="Arial" w:eastAsia="Arial" w:hAnsi="Arial"/>
                <w:sz w:val="18"/>
                <w:szCs w:val="18"/>
                <w:color w:val="auto"/>
              </w:rPr>
              <w:t>Prepaid expenses and other assets</w:t>
            </w:r>
          </w:p>
        </w:tc>
        <w:tc>
          <w:tcPr>
            <w:tcW w:w="106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(4,551 )</w:t>
            </w:r>
          </w:p>
        </w:tc>
        <w:tc>
          <w:tcPr>
            <w:tcW w:w="6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(7,132 )</w:t>
            </w:r>
          </w:p>
        </w:tc>
      </w:tr>
      <w:tr>
        <w:trPr>
          <w:trHeight w:val="249"/>
        </w:trPr>
        <w:tc>
          <w:tcPr>
            <w:tcW w:w="74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38,287</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(74,091 )</w:t>
            </w:r>
          </w:p>
        </w:tc>
      </w:tr>
      <w:tr>
        <w:trPr>
          <w:trHeight w:val="243"/>
        </w:trPr>
        <w:tc>
          <w:tcPr>
            <w:tcW w:w="7460" w:type="dxa"/>
            <w:vAlign w:val="bottom"/>
          </w:tcPr>
          <w:p>
            <w:pPr>
              <w:ind w:left="300"/>
              <w:spacing w:after="0"/>
              <w:rPr>
                <w:sz w:val="20"/>
                <w:szCs w:val="20"/>
                <w:color w:val="auto"/>
              </w:rPr>
            </w:pPr>
            <w:r>
              <w:rPr>
                <w:rFonts w:ascii="Arial" w:cs="Arial" w:eastAsia="Arial" w:hAnsi="Arial"/>
                <w:sz w:val="18"/>
                <w:szCs w:val="18"/>
                <w:color w:val="auto"/>
              </w:rPr>
              <w:t>Other liabilities and accrued expenses</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4,424</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(41,243 )</w:t>
            </w:r>
          </w:p>
        </w:tc>
      </w:tr>
      <w:tr>
        <w:trPr>
          <w:trHeight w:val="236"/>
        </w:trPr>
        <w:tc>
          <w:tcPr>
            <w:tcW w:w="746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32,060</w:t>
            </w:r>
          </w:p>
        </w:tc>
        <w:tc>
          <w:tcPr>
            <w:tcW w:w="3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Acquisition of business, net of cash acquired</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97"/>
              </w:rPr>
              <w:t>(14,220 )</w:t>
            </w:r>
          </w:p>
        </w:tc>
        <w:tc>
          <w:tcPr>
            <w:tcW w:w="6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(19,534 )</w:t>
            </w:r>
          </w:p>
        </w:tc>
      </w:tr>
      <w:tr>
        <w:trPr>
          <w:trHeight w:val="236"/>
        </w:trPr>
        <w:tc>
          <w:tcPr>
            <w:tcW w:w="7460" w:type="dxa"/>
            <w:vAlign w:val="bottom"/>
          </w:tcPr>
          <w:p>
            <w:pPr>
              <w:ind w:left="160"/>
              <w:spacing w:after="0"/>
              <w:rPr>
                <w:sz w:val="20"/>
                <w:szCs w:val="20"/>
                <w:color w:val="auto"/>
              </w:rPr>
            </w:pPr>
            <w:r>
              <w:rPr>
                <w:rFonts w:ascii="Arial" w:cs="Arial" w:eastAsia="Arial" w:hAnsi="Arial"/>
                <w:sz w:val="18"/>
                <w:szCs w:val="18"/>
                <w:color w:val="auto"/>
              </w:rPr>
              <w:t>Payment of deferred consideration</w:t>
            </w:r>
          </w:p>
        </w:tc>
        <w:tc>
          <w:tcPr>
            <w:tcW w:w="1060" w:type="dxa"/>
            <w:vAlign w:val="bottom"/>
          </w:tcPr>
          <w:p>
            <w:pPr>
              <w:spacing w:after="0"/>
              <w:rPr>
                <w:sz w:val="20"/>
                <w:szCs w:val="20"/>
                <w:color w:val="auto"/>
              </w:rPr>
            </w:pPr>
          </w:p>
        </w:tc>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(95 )</w:t>
            </w:r>
          </w:p>
        </w:tc>
      </w:tr>
      <w:tr>
        <w:trPr>
          <w:trHeight w:val="249"/>
        </w:trPr>
        <w:tc>
          <w:tcPr>
            <w:tcW w:w="7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Purchase of property and equipment</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97"/>
              </w:rPr>
              <w:t>(10,784 )</w:t>
            </w:r>
          </w:p>
        </w:tc>
        <w:tc>
          <w:tcPr>
            <w:tcW w:w="6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(19,850 )</w:t>
            </w: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Investment in available-for-sale convertible note</w:t>
            </w:r>
          </w:p>
        </w:tc>
        <w:tc>
          <w:tcPr>
            <w:tcW w:w="1060" w:type="dxa"/>
            <w:vAlign w:val="bottom"/>
          </w:tcPr>
          <w:p>
            <w:pPr>
              <w:spacing w:after="0"/>
              <w:rPr>
                <w:sz w:val="21"/>
                <w:szCs w:val="21"/>
                <w:color w:val="auto"/>
              </w:rPr>
            </w:pPr>
          </w:p>
        </w:tc>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36"/>
        </w:trPr>
        <w:tc>
          <w:tcPr>
            <w:tcW w:w="746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(25,004</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2"/>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Repayment of debt and debt issuance costs</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97"/>
              </w:rPr>
              <w:t>(16,250 )</w:t>
            </w:r>
          </w:p>
        </w:tc>
        <w:tc>
          <w:tcPr>
            <w:tcW w:w="6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(4,017 )</w:t>
            </w:r>
          </w:p>
        </w:tc>
      </w:tr>
      <w:tr>
        <w:trPr>
          <w:trHeight w:val="236"/>
        </w:trPr>
        <w:tc>
          <w:tcPr>
            <w:tcW w:w="7460" w:type="dxa"/>
            <w:vAlign w:val="bottom"/>
          </w:tcPr>
          <w:p>
            <w:pPr>
              <w:ind w:left="160"/>
              <w:spacing w:after="0"/>
              <w:rPr>
                <w:sz w:val="20"/>
                <w:szCs w:val="20"/>
                <w:color w:val="auto"/>
              </w:rPr>
            </w:pPr>
            <w:r>
              <w:rPr>
                <w:rFonts w:ascii="Arial" w:cs="Arial" w:eastAsia="Arial" w:hAnsi="Arial"/>
                <w:sz w:val="18"/>
                <w:szCs w:val="18"/>
                <w:color w:val="auto"/>
              </w:rPr>
              <w:t>Borrowing from line of credit</w:t>
            </w:r>
          </w:p>
        </w:tc>
        <w:tc>
          <w:tcPr>
            <w:tcW w:w="1060" w:type="dxa"/>
            <w:vAlign w:val="bottom"/>
          </w:tcPr>
          <w:p>
            <w:pPr>
              <w:spacing w:after="0"/>
              <w:rPr>
                <w:sz w:val="20"/>
                <w:szCs w:val="20"/>
                <w:color w:val="auto"/>
              </w:rPr>
            </w:pPr>
          </w:p>
        </w:tc>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626,000</w:t>
            </w:r>
          </w:p>
        </w:tc>
        <w:tc>
          <w:tcPr>
            <w:tcW w:w="100" w:type="dxa"/>
            <w:vAlign w:val="bottom"/>
          </w:tcPr>
          <w:p>
            <w:pPr>
              <w:spacing w:after="0"/>
              <w:rPr>
                <w:sz w:val="20"/>
                <w:szCs w:val="20"/>
                <w:color w:val="auto"/>
              </w:rPr>
            </w:pPr>
          </w:p>
        </w:tc>
      </w:tr>
      <w:tr>
        <w:trPr>
          <w:trHeight w:val="249"/>
        </w:trPr>
        <w:tc>
          <w:tcPr>
            <w:tcW w:w="7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Repayment of line of credit</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(626,000 )</w:t>
            </w:r>
          </w:p>
        </w:tc>
      </w:tr>
      <w:tr>
        <w:trPr>
          <w:trHeight w:val="236"/>
        </w:trPr>
        <w:tc>
          <w:tcPr>
            <w:tcW w:w="7460" w:type="dxa"/>
            <w:vAlign w:val="bottom"/>
          </w:tcPr>
          <w:p>
            <w:pPr>
              <w:ind w:left="160"/>
              <w:spacing w:after="0"/>
              <w:rPr>
                <w:sz w:val="20"/>
                <w:szCs w:val="20"/>
                <w:color w:val="auto"/>
              </w:rPr>
            </w:pPr>
            <w:r>
              <w:rPr>
                <w:rFonts w:ascii="Arial" w:cs="Arial" w:eastAsia="Arial" w:hAnsi="Arial"/>
                <w:sz w:val="18"/>
                <w:szCs w:val="18"/>
                <w:color w:val="auto"/>
              </w:rPr>
              <w:t>Payment of other offering costs</w:t>
            </w:r>
          </w:p>
        </w:tc>
        <w:tc>
          <w:tcPr>
            <w:tcW w:w="106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(497 )</w:t>
            </w:r>
          </w:p>
        </w:tc>
        <w:tc>
          <w:tcPr>
            <w:tcW w:w="60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Payment of contingent consideration</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(950 )</w:t>
            </w:r>
          </w:p>
        </w:tc>
        <w:tc>
          <w:tcPr>
            <w:tcW w:w="6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(438 )</w:t>
            </w:r>
          </w:p>
        </w:tc>
      </w:tr>
      <w:tr>
        <w:trPr>
          <w:trHeight w:val="236"/>
        </w:trPr>
        <w:tc>
          <w:tcPr>
            <w:tcW w:w="7460" w:type="dxa"/>
            <w:vAlign w:val="bottom"/>
          </w:tcPr>
          <w:p>
            <w:pPr>
              <w:ind w:left="160"/>
              <w:spacing w:after="0"/>
              <w:rPr>
                <w:sz w:val="20"/>
                <w:szCs w:val="20"/>
                <w:color w:val="auto"/>
              </w:rPr>
            </w:pPr>
            <w:r>
              <w:rPr>
                <w:rFonts w:ascii="Arial" w:cs="Arial" w:eastAsia="Arial" w:hAnsi="Arial"/>
                <w:sz w:val="18"/>
                <w:szCs w:val="18"/>
                <w:color w:val="auto"/>
              </w:rPr>
              <w:t>Proceeds from issuance of shares through employee equity incentive plans</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6,790</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20"/>
                <w:szCs w:val="20"/>
                <w:color w:val="auto"/>
              </w:rPr>
            </w:pPr>
          </w:p>
        </w:tc>
      </w:tr>
      <w:tr>
        <w:trPr>
          <w:trHeight w:val="249"/>
        </w:trPr>
        <w:tc>
          <w:tcPr>
            <w:tcW w:w="7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Payment of taxes related to net share settlement of equity awards</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(1,318 )</w:t>
            </w:r>
          </w:p>
        </w:tc>
        <w:tc>
          <w:tcPr>
            <w:tcW w:w="6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(1,399 )</w:t>
            </w: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Dividends paid to noncontrolling interest</w:t>
            </w:r>
          </w:p>
        </w:tc>
        <w:tc>
          <w:tcPr>
            <w:tcW w:w="1060" w:type="dxa"/>
            <w:vAlign w:val="bottom"/>
          </w:tcPr>
          <w:p>
            <w:pPr>
              <w:spacing w:after="0"/>
              <w:rPr>
                <w:sz w:val="21"/>
                <w:szCs w:val="21"/>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(980 )</w:t>
            </w:r>
          </w:p>
        </w:tc>
        <w:tc>
          <w:tcPr>
            <w:tcW w:w="6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(2,205 )</w:t>
            </w:r>
          </w:p>
        </w:tc>
      </w:tr>
      <w:tr>
        <w:trPr>
          <w:trHeight w:val="236"/>
        </w:trPr>
        <w:tc>
          <w:tcPr>
            <w:tcW w:w="746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06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(141 )</w:t>
            </w:r>
          </w:p>
        </w:tc>
        <w:tc>
          <w:tcPr>
            <w:tcW w:w="6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(4,434 )</w:t>
            </w:r>
          </w:p>
        </w:tc>
      </w:tr>
      <w:tr>
        <w:trPr>
          <w:trHeight w:val="236"/>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and restricted cash</w:t>
            </w:r>
          </w:p>
        </w:tc>
        <w:tc>
          <w:tcPr>
            <w:tcW w:w="10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(6,290</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Cash and restricted cash at the beginning of the period</w:t>
            </w:r>
          </w:p>
        </w:tc>
        <w:tc>
          <w:tcPr>
            <w:tcW w:w="10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154,060</w:t>
            </w:r>
          </w:p>
        </w:tc>
        <w:tc>
          <w:tcPr>
            <w:tcW w:w="3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65,380</w:t>
            </w:r>
          </w:p>
        </w:tc>
        <w:tc>
          <w:tcPr>
            <w:tcW w:w="100" w:type="dxa"/>
            <w:vAlign w:val="bottom"/>
          </w:tcPr>
          <w:p>
            <w:pPr>
              <w:spacing w:after="0"/>
              <w:rPr>
                <w:sz w:val="21"/>
                <w:szCs w:val="21"/>
                <w:color w:val="auto"/>
              </w:rPr>
            </w:pPr>
          </w:p>
        </w:tc>
      </w:tr>
      <w:tr>
        <w:trPr>
          <w:trHeight w:val="276"/>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restricted cash at the end of the period</w:t>
            </w: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147,770</w:t>
            </w:r>
          </w:p>
        </w:tc>
        <w:tc>
          <w:tcPr>
            <w:tcW w:w="30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61,682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disclosures:</w:t>
            </w: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12,742</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5,406</w:t>
            </w:r>
          </w:p>
        </w:tc>
        <w:tc>
          <w:tcPr>
            <w:tcW w:w="100" w:type="dxa"/>
            <w:vAlign w:val="bottom"/>
            <w:shd w:val="clear" w:color="auto" w:fill="CFF0FC"/>
          </w:tcPr>
          <w:p>
            <w:pPr>
              <w:spacing w:after="0"/>
              <w:rPr>
                <w:sz w:val="21"/>
                <w:szCs w:val="2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Cash paid for income taxes, net</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4,457</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20"/>
                <w:szCs w:val="20"/>
                <w:color w:val="auto"/>
              </w:rPr>
            </w:pPr>
          </w:p>
        </w:tc>
      </w:tr>
      <w:tr>
        <w:trPr>
          <w:trHeight w:val="249"/>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460" w:type="dxa"/>
            <w:vAlign w:val="bottom"/>
          </w:tcPr>
          <w:p>
            <w:pPr>
              <w:ind w:left="160"/>
              <w:spacing w:after="0"/>
              <w:rPr>
                <w:sz w:val="20"/>
                <w:szCs w:val="20"/>
                <w:color w:val="auto"/>
              </w:rPr>
            </w:pPr>
            <w:r>
              <w:rPr>
                <w:rFonts w:ascii="Arial" w:cs="Arial" w:eastAsia="Arial" w:hAnsi="Arial"/>
                <w:sz w:val="18"/>
                <w:szCs w:val="18"/>
                <w:color w:val="auto"/>
              </w:rPr>
              <w:t>Equipment purchased and unpaid at period end</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1,203</w:t>
            </w:r>
          </w:p>
        </w:tc>
        <w:tc>
          <w:tcPr>
            <w:tcW w:w="30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0"/>
                <w:szCs w:val="20"/>
                <w:color w:val="auto"/>
              </w:rPr>
            </w:pPr>
          </w:p>
        </w:tc>
      </w:tr>
      <w:tr>
        <w:trPr>
          <w:trHeight w:val="249"/>
        </w:trPr>
        <w:tc>
          <w:tcPr>
            <w:tcW w:w="7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FF0FC"/>
          </w:tcPr>
          <w:p>
            <w:pPr>
              <w:spacing w:after="0"/>
              <w:rPr>
                <w:sz w:val="21"/>
                <w:szCs w:val="21"/>
                <w:color w:val="auto"/>
              </w:rPr>
            </w:pPr>
          </w:p>
        </w:tc>
      </w:tr>
      <w:tr>
        <w:trPr>
          <w:trHeight w:val="230"/>
        </w:trPr>
        <w:tc>
          <w:tcPr>
            <w:tcW w:w="7460" w:type="dxa"/>
            <w:vAlign w:val="bottom"/>
          </w:tcPr>
          <w:p>
            <w:pPr>
              <w:ind w:left="160"/>
              <w:spacing w:after="0"/>
              <w:rPr>
                <w:sz w:val="20"/>
                <w:szCs w:val="20"/>
                <w:color w:val="auto"/>
              </w:rPr>
            </w:pPr>
            <w:r>
              <w:rPr>
                <w:rFonts w:ascii="Arial" w:cs="Arial" w:eastAsia="Arial" w:hAnsi="Arial"/>
                <w:sz w:val="18"/>
                <w:szCs w:val="18"/>
                <w:color w:val="auto"/>
              </w:rPr>
              <w:t>Issuance of common stock relating to business acquisition</w:t>
            </w:r>
          </w:p>
        </w:tc>
        <w:tc>
          <w:tcPr>
            <w:tcW w:w="1060" w:type="dxa"/>
            <w:vAlign w:val="bottom"/>
          </w:tcPr>
          <w:p>
            <w:pPr>
              <w:spacing w:after="0"/>
              <w:rPr>
                <w:sz w:val="20"/>
                <w:szCs w:val="20"/>
                <w:color w:val="auto"/>
              </w:rPr>
            </w:pPr>
          </w:p>
        </w:tc>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14,505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-4238625</wp:posOffset>
            </wp:positionV>
            <wp:extent cx="76835"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-4238625</wp:posOffset>
            </wp:positionV>
            <wp:extent cx="6858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-3296285</wp:posOffset>
            </wp:positionV>
            <wp:extent cx="76835"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-3296285</wp:posOffset>
            </wp:positionV>
            <wp:extent cx="68580"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-1737995</wp:posOffset>
            </wp:positionV>
            <wp:extent cx="7683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-1737995</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-1096010</wp:posOffset>
            </wp:positionV>
            <wp:extent cx="1318895"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18895" cy="179705"/>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11240"/>
          </w:cols>
          <w:pgMar w:left="320" w:top="418"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color w:val="auto"/>
        </w:rPr>
        <w:t>Corsair Gaming, Inc., a Delaware corporation, together with its subsidiaries (collectively, “Corsair” the “Company”, “we”, “us”, or “our”), is a global provider and innovator of high-performance gear for gamers, streamers and content creators, many of which build their own PCs using our components.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Corsair is organized into two reportable segments:</w:t>
      </w:r>
    </w:p>
    <w:p>
      <w:pPr>
        <w:spacing w:after="0" w:line="113" w:lineRule="exact"/>
        <w:rPr>
          <w:sz w:val="20"/>
          <w:szCs w:val="20"/>
          <w:color w:val="auto"/>
        </w:rPr>
      </w:pPr>
    </w:p>
    <w:p>
      <w:pPr>
        <w:ind w:left="1260" w:right="100" w:hanging="368"/>
        <w:spacing w:after="0" w:line="265" w:lineRule="auto"/>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Gamer and creator peripherals</w:t>
      </w:r>
      <w:r>
        <w:rPr>
          <w:rFonts w:ascii="Arial" w:cs="Arial" w:eastAsia="Arial" w:hAnsi="Arial"/>
          <w:sz w:val="18"/>
          <w:szCs w:val="18"/>
          <w:color w:val="auto"/>
        </w:rPr>
        <w:t>. Includes our high-performance gaming keyboards, mice, headsets, controllers, and our streaming gear,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includes capture cards, Stream Decks, USB microphones, our Facecam streaming cameras, studio accessories and EpocCam software, among others.</w:t>
      </w:r>
    </w:p>
    <w:p>
      <w:pPr>
        <w:spacing w:after="0" w:line="69" w:lineRule="exact"/>
        <w:rPr>
          <w:rFonts w:ascii="Arial" w:cs="Arial" w:eastAsia="Arial" w:hAnsi="Arial"/>
          <w:sz w:val="18"/>
          <w:szCs w:val="18"/>
          <w:color w:val="auto"/>
        </w:rPr>
      </w:pPr>
    </w:p>
    <w:p>
      <w:pPr>
        <w:ind w:left="1260" w:right="420" w:hanging="368"/>
        <w:spacing w:after="0" w:line="346" w:lineRule="auto"/>
        <w:tabs>
          <w:tab w:leader="none" w:pos="1260" w:val="left"/>
        </w:tabs>
        <w:numPr>
          <w:ilvl w:val="1"/>
          <w:numId w:val="3"/>
        </w:numPr>
        <w:rPr>
          <w:rFonts w:ascii="Arial" w:cs="Arial" w:eastAsia="Arial" w:hAnsi="Arial"/>
          <w:sz w:val="16"/>
          <w:szCs w:val="16"/>
          <w:color w:val="auto"/>
        </w:rPr>
      </w:pPr>
      <w:r>
        <w:rPr>
          <w:rFonts w:ascii="Arial" w:cs="Arial" w:eastAsia="Arial" w:hAnsi="Arial"/>
          <w:sz w:val="16"/>
          <w:szCs w:val="16"/>
          <w:b w:val="1"/>
          <w:bCs w:val="1"/>
          <w:color w:val="auto"/>
        </w:rPr>
        <w:t>Gaming components and systems</w:t>
      </w:r>
      <w:r>
        <w:rPr>
          <w:rFonts w:ascii="Arial" w:cs="Arial" w:eastAsia="Arial" w:hAnsi="Arial"/>
          <w:sz w:val="16"/>
          <w:szCs w:val="16"/>
          <w:color w:val="auto"/>
        </w:rPr>
        <w:t>. Includes our high-performance power supply units, or PSUs, cooling solutions, computer cases,</w:t>
      </w:r>
      <w:r>
        <w:rPr>
          <w:rFonts w:ascii="Arial" w:cs="Arial" w:eastAsia="Arial" w:hAnsi="Arial"/>
          <w:sz w:val="16"/>
          <w:szCs w:val="16"/>
          <w:b w:val="1"/>
          <w:bCs w:val="1"/>
          <w:color w:val="auto"/>
        </w:rPr>
        <w:t xml:space="preserve"> </w:t>
      </w:r>
      <w:r>
        <w:rPr>
          <w:rFonts w:ascii="Arial" w:cs="Arial" w:eastAsia="Arial" w:hAnsi="Arial"/>
          <w:sz w:val="16"/>
          <w:szCs w:val="16"/>
          <w:color w:val="auto"/>
        </w:rPr>
        <w:t>DRAM modules, as well as high-end prebuilt and custom-built gaming PCs and laptops, and gaming monitors, among others.</w:t>
      </w:r>
    </w:p>
    <w:p>
      <w:pPr>
        <w:spacing w:after="0" w:line="116" w:lineRule="exact"/>
        <w:rPr>
          <w:rFonts w:ascii="Arial" w:cs="Arial" w:eastAsia="Arial" w:hAnsi="Arial"/>
          <w:sz w:val="16"/>
          <w:szCs w:val="16"/>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60" w:firstLine="509"/>
        <w:spacing w:after="0" w:line="301" w:lineRule="auto"/>
        <w:rPr>
          <w:sz w:val="20"/>
          <w:szCs w:val="20"/>
          <w:color w:val="auto"/>
        </w:rPr>
      </w:pPr>
      <w:r>
        <w:rPr>
          <w:rFonts w:ascii="Arial" w:cs="Arial" w:eastAsia="Arial" w:hAnsi="Arial"/>
          <w:sz w:val="16"/>
          <w:szCs w:val="16"/>
          <w:color w:val="auto"/>
        </w:rPr>
        <w:t>Our interim condensed consolidated financial statements have been prepared in accordance with U.S. generally accepted accounting principles (“U.S. GAAP”) and applicable rules and regulations of the U.S. Securities and Exchange Commission (“SEC”) regarding interim financial reporting. The accounting policies we follow are set forth in Part II, Item 8, Note 2, “Significant Accounting Policies”, of the Notes to the Consolidated Financial Statements included in our Annual Report on Form 10K for the year ended December 31, 2022 which was filed with the SEC on February 27, 2023.</w:t>
      </w:r>
    </w:p>
    <w:p>
      <w:pPr>
        <w:spacing w:after="0" w:line="48"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condensed consolidated balance sheet as of December 31, 2022,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consolidated financial statements should be read in conjunction with our consolidated financial statements and notes thereto for the year ended December 31, 2022, included in our Annual Report on Form 10-K.</w:t>
      </w:r>
    </w:p>
    <w:p>
      <w:pPr>
        <w:spacing w:after="0" w:line="83"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The interim condensed consolidated financial statements have been prepared on the same basis as the audited consolidated financial statements, and in management’s opinion, include all adjustments, which consist of only normal recurring adjustments necessary for the fair statement of our condensed consolidated balance sheet as of September 30, 2023 and our results of operations for the three and nine months ended September 30, 2023 and 2022. The results for the three and nine months ended September 30, 2023 are not necessarily indicative of the results expected for the current fiscal year or any other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The accompanying condensed consolidated financial statements include the accounts of Corsair and its wholly-owned subsidiaries. All intercompany accounts and transactions have been eliminated in consolidation. For consolidated entities where we own less than 100% of the equity, our consolidated net comprehensive income (loss) is reduced by the portion attributable to the noncontrolling interest.</w:t>
      </w:r>
    </w:p>
    <w:p>
      <w:pPr>
        <w:spacing w:after="0" w:line="75"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In determining whether an entity is considered a controlled entity, we apply the VIE (Variable Interest Entity) and VOE (voting interest entity) models. 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p>
    <w:p>
      <w:pPr>
        <w:spacing w:after="0" w:line="7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On January 1, 2022 (the “Closing” or “Closing Date”), we completed the acquisition of a 51% ownership stake in Elgato iDisplay Holdings LTD. and its related companies (together “iDisplay”). (See Note 5, “Business Combination - iDisplay Acquisition” for more details on the iDisplay Acquisition). We have determined that iDisplay does not qualify as a VIE and Corsair has a controlling financial interest in iDisplay under the VOE model and therefore, iDisplay’s results of operations are fully consolidated with Corsair with effect from January 1, 2022.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and deferred income tax. These estimates and assumptions are based on management’s best estimates and judgment. Management evaluates its estimates and assumptions on an ongoing basis using historical experience and other factors, including the potential impacts from the events in the current economic environment as well as the potential impacts from geopolitical events. We adjust such estimates and assumptions when facts and circumstances dictate. The extent to which the current macroeconomic factors and the development of the geopolitical unrest will impact our business going forward depends on numerous dynamic factors that we cannot reliably predict. Actual results could differ materially from those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are available in active markets for identical assets or liabilities as of the measurement date.</w:t>
      </w:r>
    </w:p>
    <w:p>
      <w:pPr>
        <w:spacing w:after="0" w:line="90" w:lineRule="exact"/>
        <w:rPr>
          <w:sz w:val="20"/>
          <w:szCs w:val="20"/>
          <w:color w:val="auto"/>
        </w:rPr>
      </w:pPr>
    </w:p>
    <w:p>
      <w:pPr>
        <w:jc w:val="both"/>
        <w:ind w:right="300" w:firstLine="509"/>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—Pricing inputs are other than quoted prices in active market, which are either directly or indirectly observable as of the report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these securities includes investments for which quoted prices are available but traded less frequently and investments that are fair valued using other securities, the parameters of which can be directly observed.</w:t>
      </w:r>
    </w:p>
    <w:p>
      <w:pPr>
        <w:spacing w:after="0" w:line="34" w:lineRule="exact"/>
        <w:rPr>
          <w:sz w:val="20"/>
          <w:szCs w:val="20"/>
          <w:color w:val="auto"/>
        </w:rPr>
      </w:pPr>
    </w:p>
    <w:p>
      <w:pPr>
        <w:ind w:right="80" w:firstLine="509"/>
        <w:spacing w:after="0" w:line="325"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—Securities that have little to no pricing observability as of the report date. These securities are measured using management’s best estimate</w:t>
      </w:r>
      <w:r>
        <w:rPr>
          <w:rFonts w:ascii="Arial" w:cs="Arial" w:eastAsia="Arial" w:hAnsi="Arial"/>
          <w:sz w:val="16"/>
          <w:szCs w:val="16"/>
          <w:i w:val="1"/>
          <w:iCs w:val="1"/>
          <w:color w:val="auto"/>
        </w:rPr>
        <w:t xml:space="preserve"> </w:t>
      </w:r>
      <w:r>
        <w:rPr>
          <w:rFonts w:ascii="Arial" w:cs="Arial" w:eastAsia="Arial" w:hAnsi="Arial"/>
          <w:sz w:val="16"/>
          <w:szCs w:val="16"/>
          <w:color w:val="auto"/>
        </w:rPr>
        <w:t>of fair value, where the inputs into the determination of fair value are not observable and require significant management judgment or estimation.</w:t>
      </w:r>
    </w:p>
    <w:p>
      <w:pPr>
        <w:spacing w:after="0" w:line="1"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Fair value accounting is applied to all financial assets and liabilities that are recognized or disclosed at fair value in our condensed consolidated financial statements on a recurring basis. Our financial instruments, including cash, restricted cash, accounts receivable, accounts payable, borrowings from credit lines and other liabilities and accrued expenses approximate fair value due to their short-term maturities. The following tables summarize our financial assets and liabilities that were measured at fair value on a recurring basis, and indicate the fair value hierarchy of the valuation inputs utilized to determine such fair value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September 30, 2023</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61"/>
        </w:trPr>
        <w:tc>
          <w:tcPr>
            <w:tcW w:w="5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100" w:type="dxa"/>
            <w:vAlign w:val="bottom"/>
          </w:tcPr>
          <w:p>
            <w:pPr>
              <w:ind w:left="20"/>
              <w:spacing w:after="0" w:line="243" w:lineRule="exact"/>
              <w:rPr>
                <w:sz w:val="20"/>
                <w:szCs w:val="20"/>
                <w:color w:val="auto"/>
              </w:rPr>
            </w:pPr>
            <w:r>
              <w:rPr>
                <w:rFonts w:ascii="Arial" w:cs="Arial" w:eastAsia="Arial" w:hAnsi="Arial"/>
                <w:sz w:val="18"/>
                <w:szCs w:val="18"/>
                <w:color w:val="auto"/>
              </w:rPr>
              <w:t>Foreign currency forward contracts</w:t>
            </w:r>
            <w:r>
              <w:rPr>
                <w:rFonts w:ascii="Arial" w:cs="Arial" w:eastAsia="Arial" w:hAnsi="Arial"/>
                <w:sz w:val="24"/>
                <w:szCs w:val="24"/>
                <w:color w:val="auto"/>
                <w:vertAlign w:val="superscript"/>
              </w:rPr>
              <w:t>(1)</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528</w:t>
            </w:r>
          </w:p>
        </w:tc>
        <w:tc>
          <w:tcPr>
            <w:tcW w:w="1200" w:type="dxa"/>
            <w:vAlign w:val="bottom"/>
            <w:gridSpan w:val="2"/>
          </w:tcPr>
          <w:p>
            <w:pPr>
              <w:jc w:val="right"/>
              <w:ind w:right="777"/>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r>
      <w:tr>
        <w:trPr>
          <w:trHeight w:val="270"/>
        </w:trPr>
        <w:tc>
          <w:tcPr>
            <w:tcW w:w="5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1040" w:type="dxa"/>
            <w:vAlign w:val="bottom"/>
            <w:tcBorders>
              <w:top w:val="single" w:sz="8" w:color="auto"/>
              <w:bottom w:val="single" w:sz="8" w:color="auto"/>
            </w:tcBorders>
            <w:shd w:val="clear" w:color="auto" w:fill="CFF0FC"/>
          </w:tcPr>
          <w:p>
            <w:pPr>
              <w:jc w:val="right"/>
              <w:ind w:right="855"/>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top w:val="single" w:sz="8" w:color="auto"/>
              <w:bottom w:val="single" w:sz="8" w:color="auto"/>
            </w:tcBorders>
            <w:shd w:val="clear" w:color="auto" w:fill="CFF0FC"/>
          </w:tcPr>
          <w:p>
            <w:pPr>
              <w:jc w:val="right"/>
              <w:ind w:right="82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528</w:t>
            </w:r>
          </w:p>
        </w:tc>
        <w:tc>
          <w:tcPr>
            <w:tcW w:w="2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top w:val="single" w:sz="8" w:color="auto"/>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65"/>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5100" w:type="dxa"/>
            <w:vAlign w:val="bottom"/>
            <w:tcBorders>
              <w:bottom w:val="single" w:sz="8" w:color="CFF0FC"/>
            </w:tcBorders>
            <w:shd w:val="clear" w:color="auto" w:fill="CFF0FC"/>
          </w:tcPr>
          <w:p>
            <w:pPr>
              <w:ind w:left="20"/>
              <w:spacing w:after="0" w:line="249" w:lineRule="exact"/>
              <w:rPr>
                <w:sz w:val="20"/>
                <w:szCs w:val="20"/>
                <w:color w:val="auto"/>
              </w:rPr>
            </w:pPr>
            <w:r>
              <w:rPr>
                <w:rFonts w:ascii="Arial" w:cs="Arial" w:eastAsia="Arial" w:hAnsi="Arial"/>
                <w:sz w:val="18"/>
                <w:szCs w:val="18"/>
                <w:color w:val="auto"/>
              </w:rPr>
              <w:t>Foreign currency forward contracts</w:t>
            </w:r>
            <w:r>
              <w:rPr>
                <w:rFonts w:ascii="Arial" w:cs="Arial" w:eastAsia="Arial" w:hAnsi="Arial"/>
                <w:sz w:val="24"/>
                <w:szCs w:val="24"/>
                <w:color w:val="auto"/>
                <w:vertAlign w:val="superscript"/>
              </w:rPr>
              <w:t>(1)</w:t>
            </w:r>
          </w:p>
        </w:tc>
        <w:tc>
          <w:tcPr>
            <w:tcW w:w="1040" w:type="dxa"/>
            <w:vAlign w:val="bottom"/>
            <w:tcBorders>
              <w:bottom w:val="single" w:sz="8" w:color="auto"/>
            </w:tcBorders>
            <w:shd w:val="clear" w:color="auto" w:fill="CFF0FC"/>
          </w:tcPr>
          <w:p>
            <w:pPr>
              <w:jc w:val="right"/>
              <w:ind w:right="855"/>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2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1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51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 xml:space="preserve">December 31, 2022 </w:t>
            </w:r>
            <w:r>
              <w:rPr>
                <w:rFonts w:ascii="Arial" w:cs="Arial" w:eastAsia="Arial" w:hAnsi="Arial"/>
                <w:sz w:val="19"/>
                <w:szCs w:val="19"/>
                <w:b w:val="1"/>
                <w:bCs w:val="1"/>
                <w:color w:val="auto"/>
                <w:vertAlign w:val="superscript"/>
              </w:rPr>
              <w:t>(3)</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69"/>
        </w:trPr>
        <w:tc>
          <w:tcPr>
            <w:tcW w:w="5100" w:type="dxa"/>
            <w:vAlign w:val="bottom"/>
          </w:tcPr>
          <w:p>
            <w:pPr>
              <w:spacing w:after="0"/>
              <w:rPr>
                <w:sz w:val="14"/>
                <w:szCs w:val="14"/>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61"/>
        </w:trPr>
        <w:tc>
          <w:tcPr>
            <w:tcW w:w="5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193"/>
        </w:trPr>
        <w:tc>
          <w:tcPr>
            <w:tcW w:w="5100" w:type="dxa"/>
            <w:vAlign w:val="bottom"/>
          </w:tcPr>
          <w:p>
            <w:pPr>
              <w:ind w:left="20"/>
              <w:spacing w:after="0" w:line="193" w:lineRule="exact"/>
              <w:rPr>
                <w:sz w:val="20"/>
                <w:szCs w:val="20"/>
                <w:color w:val="auto"/>
              </w:rPr>
            </w:pPr>
            <w:r>
              <w:rPr>
                <w:rFonts w:ascii="Arial" w:cs="Arial" w:eastAsia="Arial" w:hAnsi="Arial"/>
                <w:sz w:val="18"/>
                <w:szCs w:val="18"/>
                <w:color w:val="auto"/>
              </w:rPr>
              <w:t>Deferred cash consideration in connection with a business</w:t>
            </w: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6"/>
        </w:trPr>
        <w:tc>
          <w:tcPr>
            <w:tcW w:w="5100" w:type="dxa"/>
            <w:vAlign w:val="bottom"/>
          </w:tcPr>
          <w:p>
            <w:pPr>
              <w:ind w:left="20"/>
              <w:spacing w:after="0" w:line="265" w:lineRule="exact"/>
              <w:rPr>
                <w:sz w:val="20"/>
                <w:szCs w:val="20"/>
                <w:color w:val="auto"/>
              </w:rPr>
            </w:pPr>
            <w:r>
              <w:rPr>
                <w:rFonts w:ascii="Arial" w:cs="Arial" w:eastAsia="Arial" w:hAnsi="Arial"/>
                <w:sz w:val="18"/>
                <w:szCs w:val="18"/>
                <w:color w:val="auto"/>
              </w:rPr>
              <w:t>acquisition—SCUF</w:t>
            </w:r>
            <w:r>
              <w:rPr>
                <w:rFonts w:ascii="Arial" w:cs="Arial" w:eastAsia="Arial" w:hAnsi="Arial"/>
                <w:sz w:val="24"/>
                <w:szCs w:val="24"/>
                <w:color w:val="auto"/>
                <w:vertAlign w:val="superscript"/>
              </w:rPr>
              <w:t>(2)</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77"/>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954</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3"/>
                <w:szCs w:val="23"/>
                <w:color w:val="auto"/>
              </w:rPr>
            </w:pPr>
          </w:p>
        </w:tc>
      </w:tr>
      <w:tr>
        <w:trPr>
          <w:trHeight w:val="243"/>
        </w:trPr>
        <w:tc>
          <w:tcPr>
            <w:tcW w:w="5100" w:type="dxa"/>
            <w:vAlign w:val="bottom"/>
            <w:tcBorders>
              <w:bottom w:val="single" w:sz="8" w:color="CFF0FC"/>
            </w:tcBorders>
            <w:shd w:val="clear" w:color="auto" w:fill="CFF0FC"/>
          </w:tcPr>
          <w:p>
            <w:pPr>
              <w:ind w:left="20"/>
              <w:spacing w:after="0" w:line="243" w:lineRule="exact"/>
              <w:rPr>
                <w:sz w:val="20"/>
                <w:szCs w:val="20"/>
                <w:color w:val="auto"/>
              </w:rPr>
            </w:pPr>
            <w:r>
              <w:rPr>
                <w:rFonts w:ascii="Arial" w:cs="Arial" w:eastAsia="Arial" w:hAnsi="Arial"/>
                <w:sz w:val="18"/>
                <w:szCs w:val="18"/>
                <w:color w:val="auto"/>
              </w:rPr>
              <w:t>Foreign currency forward contracts</w:t>
            </w:r>
            <w:r>
              <w:rPr>
                <w:rFonts w:ascii="Arial" w:cs="Arial" w:eastAsia="Arial" w:hAnsi="Arial"/>
                <w:sz w:val="24"/>
                <w:szCs w:val="24"/>
                <w:color w:val="auto"/>
                <w:vertAlign w:val="superscript"/>
              </w:rPr>
              <w:t>(1)</w:t>
            </w:r>
          </w:p>
        </w:tc>
        <w:tc>
          <w:tcPr>
            <w:tcW w:w="10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484</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1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484</w:t>
            </w:r>
          </w:p>
        </w:tc>
        <w:tc>
          <w:tcPr>
            <w:tcW w:w="1200" w:type="dxa"/>
            <w:vAlign w:val="bottom"/>
            <w:gridSpan w:val="2"/>
          </w:tcPr>
          <w:p>
            <w:pPr>
              <w:jc w:val="right"/>
              <w:ind w:right="777"/>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954</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-1805940</wp:posOffset>
            </wp:positionV>
            <wp:extent cx="3056890" cy="3340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56890" cy="33401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-1318260</wp:posOffset>
            </wp:positionV>
            <wp:extent cx="7683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-1318260</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-1318260</wp:posOffset>
            </wp:positionV>
            <wp:extent cx="685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-1318260</wp:posOffset>
            </wp:positionV>
            <wp:extent cx="6858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-187960</wp:posOffset>
            </wp:positionV>
            <wp:extent cx="7683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-187960</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51" w:lineRule="exact"/>
        <w:rPr>
          <w:sz w:val="20"/>
          <w:szCs w:val="20"/>
          <w:color w:val="auto"/>
        </w:rPr>
      </w:pPr>
    </w:p>
    <w:p>
      <w:pPr>
        <w:ind w:left="840" w:right="60" w:hanging="368"/>
        <w:spacing w:after="0" w:line="292" w:lineRule="auto"/>
        <w:tabs>
          <w:tab w:leader="none" w:pos="840" w:val="left"/>
        </w:tabs>
        <w:numPr>
          <w:ilvl w:val="0"/>
          <w:numId w:val="4"/>
        </w:numPr>
        <w:rPr>
          <w:rFonts w:ascii="Arial" w:cs="Arial" w:eastAsia="Arial" w:hAnsi="Arial"/>
          <w:sz w:val="14"/>
          <w:szCs w:val="14"/>
          <w:color w:val="auto"/>
        </w:rPr>
      </w:pPr>
      <w:r>
        <w:rPr>
          <w:rFonts w:ascii="Arial" w:cs="Arial" w:eastAsia="Arial" w:hAnsi="Arial"/>
          <w:sz w:val="16"/>
          <w:szCs w:val="16"/>
          <w:color w:val="auto"/>
        </w:rPr>
        <w:t>The fair values of the forward contracts were based on similar exchange traded derivatives and the related asset or liability is included within Level 2 of the fair value hierarchy.</w:t>
      </w:r>
    </w:p>
    <w:p>
      <w:pPr>
        <w:sectPr>
          <w:pgSz w:w="11900" w:h="16838" w:orient="portrait"/>
          <w:cols w:equalWidth="0" w:num="1">
            <w:col w:w="11240"/>
          </w:cols>
          <w:pgMar w:left="320" w:top="364" w:right="3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40" w:right="160" w:hanging="368"/>
        <w:spacing w:after="0" w:line="302" w:lineRule="auto"/>
        <w:tabs>
          <w:tab w:leader="none" w:pos="840" w:val="left"/>
        </w:tabs>
        <w:numPr>
          <w:ilvl w:val="1"/>
          <w:numId w:val="5"/>
        </w:numPr>
        <w:rPr>
          <w:rFonts w:ascii="Arial" w:cs="Arial" w:eastAsia="Arial" w:hAnsi="Arial"/>
          <w:sz w:val="13"/>
          <w:szCs w:val="13"/>
          <w:color w:val="auto"/>
        </w:rPr>
      </w:pPr>
      <w:r>
        <w:rPr>
          <w:rFonts w:ascii="Arial" w:cs="Arial" w:eastAsia="Arial" w:hAnsi="Arial"/>
          <w:sz w:val="14"/>
          <w:szCs w:val="14"/>
          <w:color w:val="auto"/>
        </w:rPr>
        <w:t>In December 2019, one of our subsidiaries entered into an Agreement and Plan of Merger with Scuf Holdings, Inc. and its subsidiaries (collectively, “SCUF”) and acquired 100% of their equity interests (the “SCUF Acquisition”). The fair value of the SCUF contingent consideration was determined based on the estimates of acquired tax benefits owed to SCUF’s sellers according to the merger agreement, and these estimates represent a level 3 fair value measurement. The $1.0 million liability as of December 31, 2022 was finalized in the fourth quarter of 2022, and this amount was paid in the first quarter of 2023.</w:t>
      </w:r>
    </w:p>
    <w:p>
      <w:pPr>
        <w:spacing w:after="0" w:line="2" w:lineRule="exact"/>
        <w:rPr>
          <w:rFonts w:ascii="Arial" w:cs="Arial" w:eastAsia="Arial" w:hAnsi="Arial"/>
          <w:sz w:val="13"/>
          <w:szCs w:val="13"/>
          <w:color w:val="auto"/>
        </w:rPr>
      </w:pPr>
    </w:p>
    <w:p>
      <w:pPr>
        <w:ind w:left="840" w:hanging="368"/>
        <w:spacing w:after="0"/>
        <w:tabs>
          <w:tab w:leader="none" w:pos="840" w:val="left"/>
        </w:tabs>
        <w:numPr>
          <w:ilvl w:val="1"/>
          <w:numId w:val="5"/>
        </w:numPr>
        <w:rPr>
          <w:rFonts w:ascii="Arial" w:cs="Arial" w:eastAsia="Arial" w:hAnsi="Arial"/>
          <w:sz w:val="14"/>
          <w:szCs w:val="14"/>
          <w:color w:val="auto"/>
        </w:rPr>
      </w:pPr>
      <w:r>
        <w:rPr>
          <w:rFonts w:ascii="Arial" w:cs="Arial" w:eastAsia="Arial" w:hAnsi="Arial"/>
          <w:sz w:val="16"/>
          <w:szCs w:val="16"/>
          <w:color w:val="auto"/>
        </w:rPr>
        <w:t>The balances as of December 31, 2022 of our financial assets that were measured at fair value on a recurring basis were not material.</w:t>
      </w:r>
    </w:p>
    <w:p>
      <w:pPr>
        <w:spacing w:after="0" w:line="221" w:lineRule="exact"/>
        <w:rPr>
          <w:rFonts w:ascii="Arial" w:cs="Arial" w:eastAsia="Arial" w:hAnsi="Arial"/>
          <w:sz w:val="14"/>
          <w:szCs w:val="14"/>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From time to time, we enter into derivative instruments such as foreign currency forward contracts, to minimize the short-term impact of foreign currency exchange rate fluctuations on certain foreign currency denominated assets and liabilities, and interest rate cap contracts, to minimize our exposure to interest rate movements on our variable rate debts. The derivative instruments are recorded at fair value in prepaid expenses and other current assets or other liabilities and accrued expenses on the condensed consolidated balance sheets. We do not designate such instruments as hedges for accounting purposes; accordingly, changes in the value of these contracts are recognized in each reporting period in other (expense) income, net in the condensed consolidated statements of operations. We do not enter into derivative instruments for trading purposes.</w:t>
      </w:r>
    </w:p>
    <w:p>
      <w:pPr>
        <w:spacing w:after="0" w:line="55"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The foreign currency forward contracts generally mature within two to four months. The notional principal amount of outstanding foreign exchange forward contracts was $32.1 million and $23.4 million as of September 30, 2023 and December 31, 2022, respectively. The net fair value gains (losses) recognized in other (expense) income, net in relation to these derivative instruments was $0.8 million and $1.5 million for the three months ended September 30, 2023 and 2022, respectively, and was $0.2 million and $4.1 million for the nine months ended September 30, 2023 and 2022,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iDisplay Acquisition</w:t>
      </w:r>
    </w:p>
    <w:p>
      <w:pPr>
        <w:spacing w:after="0" w:line="117"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On January 1, 2022, we completed the acquisition of a 51% ownership stake in iDisplay (the “iDisplay Acquisition”), a leader in electronic development and design specializing in display technology, headquartered in Taiwan.</w:t>
      </w:r>
    </w:p>
    <w:p>
      <w:pPr>
        <w:spacing w:after="0" w:line="62"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fair value consideration for iDisplay was $36.4 million, including $21.9 million in cash and the issuance of 690,333 shares of our common stock with a fair value of $14.5 million at Closing Date. The consideration was reduced for the effective 51% settlement of a pre-existing contractual accounts payable balance owed to iDisplay of $3.5 million. The iDisplay Acquisition has allowed us to direct the development and integration of iDisplay’s display-based touch-screen technologies into our products for creators, gamers and streamers. iDisplay’s results of operations are fully consolidated with Corsair with effect from January 1, 2022.</w:t>
      </w:r>
    </w:p>
    <w:p>
      <w:pPr>
        <w:spacing w:after="0" w:line="83"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acquisition-related costs are included in sales, general and administrative expenses in our condensed consolidated statements of operations and the amounts incurred in the three and nine months ended September 30, 2022 were not material. There were no additional acquisition-related costs incurred after 2022.</w:t>
      </w:r>
    </w:p>
    <w:p>
      <w:pPr>
        <w:spacing w:after="0" w:line="75"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seller of iDisplay (the “iDisplay Seller”) has retained a 49% noncontrolling interest in iDisplay. Under the Shareholders Agreement between Corsair and the iDisplay Seller, a put option was provided to the iDisplay Seller and a call option was provided to Corsair for the option to transfer (i) 14% ownership interest in iDisplay to Corsair upon the first anniversary of the Closing and (ii) an additional 15% of ownership interest in iDisplay to Corsair upon the second anniversary of the Closing. Both put and call options expire on January 1, 2025. The exercise price of the put option and the call option is based on multiples of iDisplay’s trailing twelve-month earnings before interest, income tax, depreciation and amortization (“TTM EBITDA”) less any debt. The 29% noncontrolling interest subject to the put option is considered a redeemable noncontrolling interest (“RNCI”). See Note 15, “Redeemable Noncontrolling Interest” for more information regarding such RNCI.</w:t>
      </w:r>
    </w:p>
    <w:p>
      <w:pPr>
        <w:spacing w:after="0" w:line="73" w:lineRule="exact"/>
        <w:rPr>
          <w:sz w:val="20"/>
          <w:szCs w:val="20"/>
          <w:color w:val="auto"/>
        </w:rPr>
      </w:pPr>
    </w:p>
    <w:p>
      <w:pPr>
        <w:ind w:right="400" w:firstLine="509"/>
        <w:spacing w:after="0" w:line="341" w:lineRule="auto"/>
        <w:rPr>
          <w:sz w:val="20"/>
          <w:szCs w:val="20"/>
          <w:color w:val="auto"/>
        </w:rPr>
      </w:pPr>
      <w:r>
        <w:rPr>
          <w:rFonts w:ascii="Arial" w:cs="Arial" w:eastAsia="Arial" w:hAnsi="Arial"/>
          <w:sz w:val="16"/>
          <w:szCs w:val="16"/>
          <w:color w:val="auto"/>
        </w:rPr>
        <w:t>The fair value of the 49% noncontrolling interest was estimated to be $29.6 million. The control premium was based on an analysis considering similar market transactions involving control premiums, as well as factors specific to iDisplay, including its significant customer concentration.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0" w:firstLine="509"/>
        <w:spacing w:after="0" w:line="254" w:lineRule="auto"/>
        <w:rPr>
          <w:sz w:val="20"/>
          <w:szCs w:val="20"/>
          <w:color w:val="auto"/>
        </w:rPr>
      </w:pPr>
      <w:r>
        <w:rPr>
          <w:rFonts w:ascii="Arial" w:cs="Arial" w:eastAsia="Arial" w:hAnsi="Arial"/>
          <w:sz w:val="18"/>
          <w:szCs w:val="18"/>
          <w:color w:val="auto"/>
        </w:rPr>
        <w:t>Subsequent to the iDisplay Acquisition Closing Date, we recorded measurement period adjustments which increased goodwill by $1.0 million and decreased identifiable intangible assets and deferred liabilities by $1.1 million and $0.1 million, respectively. The final allocation of the iDisplay Acquisition purchase consideration to the estimated fair value of the assets acquired and liabilities assumed at the acquisition date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Amounts</w:t>
            </w:r>
          </w:p>
        </w:tc>
      </w:tr>
      <w:tr>
        <w:trPr>
          <w:trHeight w:val="61"/>
        </w:trPr>
        <w:tc>
          <w:tcPr>
            <w:tcW w:w="900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7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CFF0FC"/>
          </w:tcPr>
          <w:p>
            <w:pPr>
              <w:spacing w:after="0"/>
              <w:rPr>
                <w:sz w:val="21"/>
                <w:szCs w:val="21"/>
                <w:color w:val="auto"/>
              </w:rPr>
            </w:pPr>
          </w:p>
        </w:tc>
      </w:tr>
      <w:tr>
        <w:trPr>
          <w:trHeight w:val="236"/>
        </w:trPr>
        <w:tc>
          <w:tcPr>
            <w:tcW w:w="90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Pr>
          <w:p>
            <w:pPr>
              <w:spacing w:after="0"/>
              <w:rPr>
                <w:sz w:val="20"/>
                <w:szCs w:val="20"/>
                <w:color w:val="auto"/>
              </w:rPr>
            </w:pPr>
          </w:p>
        </w:tc>
      </w:tr>
      <w:tr>
        <w:trPr>
          <w:trHeight w:val="24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100" w:type="dxa"/>
            <w:vAlign w:val="bottom"/>
            <w:shd w:val="clear" w:color="auto" w:fill="CFF0FC"/>
          </w:tcPr>
          <w:p>
            <w:pPr>
              <w:spacing w:after="0"/>
              <w:rPr>
                <w:sz w:val="21"/>
                <w:szCs w:val="21"/>
                <w:color w:val="auto"/>
              </w:rPr>
            </w:pPr>
          </w:p>
        </w:tc>
      </w:tr>
      <w:tr>
        <w:trPr>
          <w:trHeight w:val="236"/>
        </w:trPr>
        <w:tc>
          <w:tcPr>
            <w:tcW w:w="9000" w:type="dxa"/>
            <w:vAlign w:val="bottom"/>
          </w:tcPr>
          <w:p>
            <w:pPr>
              <w:ind w:left="20"/>
              <w:spacing w:after="0"/>
              <w:rPr>
                <w:sz w:val="20"/>
                <w:szCs w:val="20"/>
                <w:color w:val="auto"/>
              </w:rPr>
            </w:pPr>
            <w:r>
              <w:rPr>
                <w:rFonts w:ascii="Arial" w:cs="Arial" w:eastAsia="Arial" w:hAnsi="Arial"/>
                <w:sz w:val="18"/>
                <w:szCs w:val="18"/>
                <w:color w:val="auto"/>
              </w:rPr>
              <w:t>Prepaid and other assets</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r>
      <w:tr>
        <w:trPr>
          <w:trHeight w:val="24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4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21"/>
                <w:szCs w:val="21"/>
                <w:color w:val="auto"/>
              </w:rPr>
            </w:pPr>
          </w:p>
        </w:tc>
      </w:tr>
      <w:tr>
        <w:trPr>
          <w:trHeight w:val="236"/>
        </w:trPr>
        <w:tc>
          <w:tcPr>
            <w:tcW w:w="90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r>
      <w:tr>
        <w:trPr>
          <w:trHeight w:val="24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Identifiable intangible assets</w:t>
            </w:r>
          </w:p>
        </w:tc>
        <w:tc>
          <w:tcPr>
            <w:tcW w:w="4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34,200</w:t>
            </w:r>
          </w:p>
        </w:tc>
        <w:tc>
          <w:tcPr>
            <w:tcW w:w="100" w:type="dxa"/>
            <w:vAlign w:val="bottom"/>
            <w:shd w:val="clear" w:color="auto" w:fill="CFF0FC"/>
          </w:tcPr>
          <w:p>
            <w:pPr>
              <w:spacing w:after="0"/>
              <w:rPr>
                <w:sz w:val="21"/>
                <w:szCs w:val="21"/>
                <w:color w:val="auto"/>
              </w:rPr>
            </w:pPr>
          </w:p>
        </w:tc>
      </w:tr>
      <w:tr>
        <w:trPr>
          <w:trHeight w:val="236"/>
        </w:trPr>
        <w:tc>
          <w:tcPr>
            <w:tcW w:w="900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32,987</w:t>
            </w:r>
          </w:p>
        </w:tc>
        <w:tc>
          <w:tcPr>
            <w:tcW w:w="100" w:type="dxa"/>
            <w:vAlign w:val="bottom"/>
          </w:tcPr>
          <w:p>
            <w:pPr>
              <w:spacing w:after="0"/>
              <w:rPr>
                <w:sz w:val="20"/>
                <w:szCs w:val="20"/>
                <w:color w:val="auto"/>
              </w:rPr>
            </w:pPr>
          </w:p>
        </w:tc>
      </w:tr>
      <w:tr>
        <w:trPr>
          <w:trHeight w:val="236"/>
        </w:trPr>
        <w:tc>
          <w:tcPr>
            <w:tcW w:w="9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assets acquired</w:t>
            </w:r>
          </w:p>
        </w:tc>
        <w:tc>
          <w:tcPr>
            <w:tcW w:w="44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0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(5,106 )</w:t>
            </w:r>
          </w:p>
        </w:tc>
      </w:tr>
      <w:tr>
        <w:trPr>
          <w:trHeight w:val="24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4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(4,561 )</w:t>
            </w:r>
          </w:p>
        </w:tc>
      </w:tr>
      <w:tr>
        <w:trPr>
          <w:trHeight w:val="236"/>
        </w:trPr>
        <w:tc>
          <w:tcPr>
            <w:tcW w:w="900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44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(731 )</w:t>
            </w:r>
          </w:p>
        </w:tc>
      </w:tr>
      <w:tr>
        <w:trPr>
          <w:trHeight w:val="243"/>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4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(360 )</w:t>
            </w:r>
          </w:p>
        </w:tc>
      </w:tr>
      <w:tr>
        <w:trPr>
          <w:trHeight w:val="20"/>
        </w:trPr>
        <w:tc>
          <w:tcPr>
            <w:tcW w:w="90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9000" w:type="dxa"/>
            <w:vAlign w:val="bottom"/>
          </w:tcPr>
          <w:p>
            <w:pPr>
              <w:ind w:left="120"/>
              <w:spacing w:after="0"/>
              <w:rPr>
                <w:sz w:val="20"/>
                <w:szCs w:val="20"/>
                <w:color w:val="auto"/>
              </w:rPr>
            </w:pPr>
            <w:r>
              <w:rPr>
                <w:rFonts w:ascii="Arial" w:cs="Arial" w:eastAsia="Arial" w:hAnsi="Arial"/>
                <w:sz w:val="18"/>
                <w:szCs w:val="18"/>
                <w:color w:val="auto"/>
              </w:rPr>
              <w:t>Total liabilities assumed</w:t>
            </w:r>
          </w:p>
        </w:tc>
        <w:tc>
          <w:tcPr>
            <w:tcW w:w="44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(10,758 )</w:t>
            </w:r>
          </w:p>
        </w:tc>
      </w:tr>
      <w:tr>
        <w:trPr>
          <w:trHeight w:val="242"/>
        </w:trPr>
        <w:tc>
          <w:tcPr>
            <w:tcW w:w="9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assets acquired</w:t>
            </w:r>
          </w:p>
        </w:tc>
        <w:tc>
          <w:tcPr>
            <w:tcW w:w="440" w:type="dxa"/>
            <w:vAlign w:val="bottom"/>
            <w:tcBorders>
              <w:top w:val="single" w:sz="8" w:color="auto"/>
            </w:tcBorders>
            <w:shd w:val="clear" w:color="auto" w:fill="CFF0FC"/>
          </w:tcPr>
          <w:p>
            <w:pPr>
              <w:spacing w:after="0"/>
              <w:rPr>
                <w:sz w:val="21"/>
                <w:szCs w:val="21"/>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65,974</w:t>
            </w:r>
          </w:p>
        </w:tc>
        <w:tc>
          <w:tcPr>
            <w:tcW w:w="100" w:type="dxa"/>
            <w:vAlign w:val="bottom"/>
            <w:shd w:val="clear" w:color="auto" w:fill="CFF0FC"/>
          </w:tcPr>
          <w:p>
            <w:pPr>
              <w:spacing w:after="0"/>
              <w:rPr>
                <w:sz w:val="21"/>
                <w:szCs w:val="21"/>
                <w:color w:val="auto"/>
              </w:rPr>
            </w:pPr>
          </w:p>
        </w:tc>
      </w:tr>
      <w:tr>
        <w:trPr>
          <w:trHeight w:val="236"/>
        </w:trPr>
        <w:tc>
          <w:tcPr>
            <w:tcW w:w="90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44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(29,606 )</w:t>
            </w:r>
          </w:p>
        </w:tc>
      </w:tr>
      <w:tr>
        <w:trPr>
          <w:trHeight w:val="276"/>
        </w:trPr>
        <w:tc>
          <w:tcPr>
            <w:tcW w:w="9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Fair value of consideration transferred</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36,368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1"/>
        </w:trPr>
        <w:tc>
          <w:tcPr>
            <w:tcW w:w="9000" w:type="dxa"/>
            <w:vAlign w:val="bottom"/>
          </w:tcPr>
          <w:p>
            <w:pPr>
              <w:ind w:left="20"/>
              <w:spacing w:after="0"/>
              <w:rPr>
                <w:sz w:val="20"/>
                <w:szCs w:val="20"/>
                <w:color w:val="auto"/>
              </w:rPr>
            </w:pPr>
            <w:r>
              <w:rPr>
                <w:rFonts w:ascii="Arial" w:cs="Arial" w:eastAsia="Arial" w:hAnsi="Arial"/>
                <w:sz w:val="18"/>
                <w:szCs w:val="18"/>
                <w:color w:val="auto"/>
              </w:rPr>
              <w:t>Purchase consideration:</w:t>
            </w: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9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21,864</w:t>
            </w:r>
          </w:p>
        </w:tc>
        <w:tc>
          <w:tcPr>
            <w:tcW w:w="100" w:type="dxa"/>
            <w:vAlign w:val="bottom"/>
            <w:shd w:val="clear" w:color="auto" w:fill="CFF0FC"/>
          </w:tcPr>
          <w:p>
            <w:pPr>
              <w:spacing w:after="0"/>
              <w:rPr>
                <w:sz w:val="21"/>
                <w:szCs w:val="21"/>
                <w:color w:val="auto"/>
              </w:rPr>
            </w:pPr>
          </w:p>
        </w:tc>
      </w:tr>
      <w:tr>
        <w:trPr>
          <w:trHeight w:val="236"/>
        </w:trPr>
        <w:tc>
          <w:tcPr>
            <w:tcW w:w="9000" w:type="dxa"/>
            <w:vAlign w:val="bottom"/>
          </w:tcPr>
          <w:p>
            <w:pPr>
              <w:ind w:left="120"/>
              <w:spacing w:after="0"/>
              <w:rPr>
                <w:sz w:val="20"/>
                <w:szCs w:val="20"/>
                <w:color w:val="auto"/>
              </w:rPr>
            </w:pPr>
            <w:r>
              <w:rPr>
                <w:rFonts w:ascii="Arial" w:cs="Arial" w:eastAsia="Arial" w:hAnsi="Arial"/>
                <w:sz w:val="18"/>
                <w:szCs w:val="18"/>
                <w:color w:val="auto"/>
              </w:rPr>
              <w:t>Corsair common stock</w:t>
            </w:r>
          </w:p>
        </w:tc>
        <w:tc>
          <w:tcPr>
            <w:tcW w:w="4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14,504</w:t>
            </w:r>
          </w:p>
        </w:tc>
        <w:tc>
          <w:tcPr>
            <w:tcW w:w="100" w:type="dxa"/>
            <w:vAlign w:val="bottom"/>
          </w:tcPr>
          <w:p>
            <w:pPr>
              <w:spacing w:after="0"/>
              <w:rPr>
                <w:sz w:val="20"/>
                <w:szCs w:val="20"/>
                <w:color w:val="auto"/>
              </w:rPr>
            </w:pPr>
          </w:p>
        </w:tc>
      </w:tr>
      <w:tr>
        <w:trPr>
          <w:trHeight w:val="276"/>
        </w:trPr>
        <w:tc>
          <w:tcPr>
            <w:tcW w:w="9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Fair value of consideration transferred</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-2037080</wp:posOffset>
            </wp:positionV>
            <wp:extent cx="68580"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273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2736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The fair value of certain working capital related items, including accounts receivable, prepaid and other assets, accounts payable and accrued liabilities, as well as the fair value of property and equipment approximated their book values at the date of the iDisplay Acquisition. The fair value of the inventories was estimated by major category, at net realizable value, which we believe approximates the price a market participant could achieve in a current sale. The difference between the fair value of the inventories and the book value recorded by iDisplay on the acquisition date was not material.</w:t>
      </w:r>
    </w:p>
    <w:p>
      <w:pPr>
        <w:spacing w:after="0" w:line="48"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goodwill recognized for the iDisplay Acquisition, which is the excess of the purchase consideration over the fair value of the identifiable intangible assets and the net tangible assets and liabilities acquired, has been estimated to be $33.0 million, of which $29.3 million and $3.7 million are assigned to our gamer and creator peripherals reporting unit and gaming component and systems reporting unit, respectively. We believe goodwill represents the strengthening of our supply chain with display-based touch-screen technologies into our products for creators, gamers and streamers, and the ability to design and generate new technologies to enhance the features of our products.</w:t>
      </w:r>
    </w:p>
    <w:p>
      <w:pPr>
        <w:spacing w:after="0" w:line="67" w:lineRule="exact"/>
        <w:rPr>
          <w:sz w:val="20"/>
          <w:szCs w:val="20"/>
          <w:color w:val="auto"/>
        </w:rPr>
      </w:pPr>
    </w:p>
    <w:p>
      <w:pPr>
        <w:ind w:right="60" w:firstLine="509"/>
        <w:spacing w:after="0" w:line="341" w:lineRule="auto"/>
        <w:rPr>
          <w:sz w:val="20"/>
          <w:szCs w:val="20"/>
          <w:color w:val="auto"/>
        </w:rPr>
      </w:pPr>
      <w:r>
        <w:rPr>
          <w:rFonts w:ascii="Arial" w:cs="Arial" w:eastAsia="Arial" w:hAnsi="Arial"/>
          <w:sz w:val="16"/>
          <w:szCs w:val="16"/>
          <w:color w:val="auto"/>
        </w:rPr>
        <w:t>A portion of the identifiable intangible assets are not deductible for tax purposes for which a $4.6 million deferred tax liability has been estimated at the date of acquisition for the difference between the book and tax bases of these assets. The goodwill is not deductible for tax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identified intangible assets</w:t>
      </w:r>
    </w:p>
    <w:p>
      <w:pPr>
        <w:spacing w:after="0" w:line="117" w:lineRule="exact"/>
        <w:rPr>
          <w:sz w:val="20"/>
          <w:szCs w:val="20"/>
          <w:color w:val="auto"/>
        </w:rPr>
      </w:pPr>
    </w:p>
    <w:p>
      <w:pPr>
        <w:ind w:right="440" w:firstLine="509"/>
        <w:spacing w:after="0" w:line="258" w:lineRule="auto"/>
        <w:rPr>
          <w:sz w:val="20"/>
          <w:szCs w:val="20"/>
          <w:color w:val="auto"/>
        </w:rPr>
      </w:pPr>
      <w:r>
        <w:rPr>
          <w:rFonts w:ascii="Arial" w:cs="Arial" w:eastAsia="Arial" w:hAnsi="Arial"/>
          <w:sz w:val="18"/>
          <w:szCs w:val="18"/>
          <w:color w:val="auto"/>
        </w:rPr>
        <w:t>The following table summarizes the valuation of the identifiable intangible assets acquired in the iDisplay Acquisition and the estimate of their respective useful lives as of the Closing Date, including subsequent measurement period adjustments:</w:t>
      </w:r>
    </w:p>
    <w:tbl>
      <w:tblPr>
        <w:tblLayout w:type="fixed"/>
        <w:tblInd w:w="0" w:type="dxa"/>
        <w:tblCellMar>
          <w:top w:w="0" w:type="dxa"/>
          <w:left w:w="0" w:type="dxa"/>
          <w:bottom w:w="0" w:type="dxa"/>
          <w:right w:w="0" w:type="dxa"/>
        </w:tblCellMar>
      </w:tblPr>
      <w:tr>
        <w:trPr>
          <w:trHeight w:val="140"/>
        </w:trPr>
        <w:tc>
          <w:tcPr>
            <w:tcW w:w="7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Valuation</w:t>
            </w:r>
          </w:p>
        </w:tc>
        <w:tc>
          <w:tcPr>
            <w:tcW w:w="240" w:type="dxa"/>
            <w:vAlign w:val="bottom"/>
          </w:tcPr>
          <w:p>
            <w:pPr>
              <w:spacing w:after="0"/>
              <w:rPr>
                <w:sz w:val="12"/>
                <w:szCs w:val="12"/>
                <w:color w:val="auto"/>
              </w:rPr>
            </w:pPr>
          </w:p>
        </w:tc>
        <w:tc>
          <w:tcPr>
            <w:tcW w:w="17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3"/>
              </w:rPr>
              <w:t>Useful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ind w:right="336"/>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7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 portfolio</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80" w:type="dxa"/>
            <w:vAlign w:val="bottom"/>
          </w:tcPr>
          <w:p>
            <w:pPr>
              <w:ind w:left="20"/>
              <w:spacing w:after="0"/>
              <w:rPr>
                <w:sz w:val="20"/>
                <w:szCs w:val="20"/>
                <w:color w:val="auto"/>
              </w:rPr>
            </w:pPr>
            <w:r>
              <w:rPr>
                <w:rFonts w:ascii="Arial" w:cs="Arial" w:eastAsia="Arial" w:hAnsi="Arial"/>
                <w:sz w:val="18"/>
                <w:szCs w:val="18"/>
                <w:color w:val="auto"/>
              </w:rPr>
              <w:t>Supplier relationships</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22,300</w:t>
            </w:r>
          </w:p>
        </w:tc>
        <w:tc>
          <w:tcPr>
            <w:tcW w:w="20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120"/>
              <w:spacing w:after="0"/>
              <w:rPr>
                <w:sz w:val="20"/>
                <w:szCs w:val="20"/>
                <w:color w:val="auto"/>
              </w:rPr>
            </w:pPr>
            <w:r>
              <w:rPr>
                <w:rFonts w:ascii="Arial" w:cs="Arial" w:eastAsia="Arial" w:hAnsi="Arial"/>
                <w:sz w:val="18"/>
                <w:szCs w:val="18"/>
                <w:color w:val="auto"/>
              </w:rPr>
              <w:t>Total identifiable intangible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34,200</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-187960</wp:posOffset>
            </wp:positionV>
            <wp:extent cx="685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The fair value of patent portfolio was estimated using the relief from royalty approach and the economic useful life was determined based on the average product life cycle of the products manufactured by iDisplay. The supplier relationships intangible asset represents the value assigned to the relationship iDisplay had established over the years with a broad network of suppliers and</w:t>
      </w:r>
    </w:p>
    <w:p>
      <w:pPr>
        <w:sectPr>
          <w:pgSz w:w="11900" w:h="16838" w:orient="portrait"/>
          <w:cols w:equalWidth="0" w:num="1">
            <w:col w:w="11240"/>
          </w:cols>
          <w:pgMar w:left="320" w:top="418"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OEMs that have been crucial to the quality and magnitude of iDisplay manufacturing capability. The fair value of supplier relationships was estimated using the multi-period excess earnings approach and the economic useful life was determined to be aligned with the estimated useful life of the developed technology acquired from iDisplay. The developed technology intangible asset represents unpatented propriety technologies, such as hardware designs and architectures and process technologies used in the on-going research and design of the products manufactured by iDisplay. The fair value of developed technology was estimated using the income approach and the economic useful life was based on the technology cycle of the products manufactured, as well as the cash flows anticipated over the forecasted periods. The valuations of the intangible assets were calculated with the assistance of a third-party valuation firm. The fair values of these intangibles were valued based on long-term cash flow projections, which we consider to be Level 3 inputs.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Drop Acquisition</w:t>
      </w:r>
    </w:p>
    <w:p>
      <w:pPr>
        <w:spacing w:after="0" w:line="117" w:lineRule="exact"/>
        <w:rPr>
          <w:sz w:val="20"/>
          <w:szCs w:val="20"/>
          <w:color w:val="auto"/>
        </w:rPr>
      </w:pPr>
    </w:p>
    <w:p>
      <w:pPr>
        <w:ind w:right="120" w:firstLine="509"/>
        <w:spacing w:after="0" w:line="291" w:lineRule="auto"/>
        <w:rPr>
          <w:sz w:val="20"/>
          <w:szCs w:val="20"/>
          <w:color w:val="auto"/>
        </w:rPr>
      </w:pPr>
      <w:r>
        <w:rPr>
          <w:rFonts w:ascii="Arial" w:cs="Arial" w:eastAsia="Arial" w:hAnsi="Arial"/>
          <w:sz w:val="16"/>
          <w:szCs w:val="16"/>
          <w:color w:val="auto"/>
        </w:rPr>
        <w:t>On July 14, 2023 (the “Acquisition Date”), we completed the acquisition of the assets and business of Massdrop Inc. (“Drop”), including the assumption of trade payables and certain accrued liabilities (the "Drop Acquisition") for a cash purchase consideration of approximately $14.2 million, net of $0.6 million of cash acquired. The acquisition-related costs are included in sales, general and administrative expenses in our condensed consolidated statements of operations and the amounts incurred in the three and nine months ended September 30, 2023 were not material. Drop, a community-based e-commerce company headquartered in San Francisco, California, specializes in customized DIY keyboards and keycaps. We expect this acquisition to give Corsair a leading presence in the personalized keyboards market which is one of the fastest growing trends in the gaming peripheral space as well as allow us to offer specialized Corsair and Elgato products to the enthusiast community that Drop is engaged with.</w:t>
      </w:r>
    </w:p>
    <w:p>
      <w:pPr>
        <w:spacing w:after="0" w:line="57"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auto"/>
        </w:rPr>
        <w:t>The Drop Acquisition was accounted for as a business combination under the acquisition method of accounting. The fair values assigned to assets acquired and liabilities assumed are based on management's best estimates and assumptions. Our purchase accounting is preliminary as of the date of this Quarterly Report on Form 10-Q, pending finalization of the purchase consideration which is subject to working capital settlement expected to be finalized in the fourth quarter of 2023, and the related completeness of certain assumed liabilities. We expect to finalize the purchase accounting as soon as practicable, but not later than one year from the acquisition date, and do not expect material purchase accounting adjustments in future periods. Drop’s results of operations are included in our condensed consolidated statements of operations with effect from July 14, 2023.</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preliminary allocation of the purchase consideration to the assets acquired and liabilities assumed at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Acquisition Date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Amounts</w:t>
            </w:r>
          </w:p>
        </w:tc>
      </w:tr>
      <w:tr>
        <w:trPr>
          <w:trHeight w:val="61"/>
        </w:trPr>
        <w:tc>
          <w:tcPr>
            <w:tcW w:w="900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7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21"/>
                <w:szCs w:val="21"/>
                <w:color w:val="auto"/>
              </w:rPr>
            </w:pPr>
          </w:p>
        </w:tc>
      </w:tr>
      <w:tr>
        <w:trPr>
          <w:trHeight w:val="236"/>
        </w:trPr>
        <w:tc>
          <w:tcPr>
            <w:tcW w:w="90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7,559</w:t>
            </w:r>
          </w:p>
        </w:tc>
        <w:tc>
          <w:tcPr>
            <w:tcW w:w="100" w:type="dxa"/>
            <w:vAlign w:val="bottom"/>
          </w:tcPr>
          <w:p>
            <w:pPr>
              <w:spacing w:after="0"/>
              <w:rPr>
                <w:sz w:val="20"/>
                <w:szCs w:val="20"/>
                <w:color w:val="auto"/>
              </w:rPr>
            </w:pPr>
          </w:p>
        </w:tc>
      </w:tr>
      <w:tr>
        <w:trPr>
          <w:trHeight w:val="24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and other assets</w:t>
            </w:r>
          </w:p>
        </w:tc>
        <w:tc>
          <w:tcPr>
            <w:tcW w:w="4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FF0FC"/>
          </w:tcPr>
          <w:p>
            <w:pPr>
              <w:spacing w:after="0"/>
              <w:rPr>
                <w:sz w:val="21"/>
                <w:szCs w:val="21"/>
                <w:color w:val="auto"/>
              </w:rPr>
            </w:pPr>
          </w:p>
        </w:tc>
      </w:tr>
      <w:tr>
        <w:trPr>
          <w:trHeight w:val="236"/>
        </w:trPr>
        <w:tc>
          <w:tcPr>
            <w:tcW w:w="90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r>
      <w:tr>
        <w:trPr>
          <w:trHeight w:val="24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Identifiable intangible assets</w:t>
            </w:r>
          </w:p>
        </w:tc>
        <w:tc>
          <w:tcPr>
            <w:tcW w:w="4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9,160</w:t>
            </w:r>
          </w:p>
        </w:tc>
        <w:tc>
          <w:tcPr>
            <w:tcW w:w="100" w:type="dxa"/>
            <w:vAlign w:val="bottom"/>
            <w:shd w:val="clear" w:color="auto" w:fill="CFF0FC"/>
          </w:tcPr>
          <w:p>
            <w:pPr>
              <w:spacing w:after="0"/>
              <w:rPr>
                <w:sz w:val="21"/>
                <w:szCs w:val="21"/>
                <w:color w:val="auto"/>
              </w:rPr>
            </w:pPr>
          </w:p>
        </w:tc>
      </w:tr>
      <w:tr>
        <w:trPr>
          <w:trHeight w:val="236"/>
        </w:trPr>
        <w:tc>
          <w:tcPr>
            <w:tcW w:w="900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20"/>
                <w:szCs w:val="20"/>
                <w:color w:val="auto"/>
              </w:rPr>
            </w:pPr>
          </w:p>
        </w:tc>
      </w:tr>
      <w:tr>
        <w:trPr>
          <w:trHeight w:val="24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(7,165 )</w:t>
            </w:r>
          </w:p>
        </w:tc>
      </w:tr>
      <w:tr>
        <w:trPr>
          <w:trHeight w:val="236"/>
        </w:trPr>
        <w:tc>
          <w:tcPr>
            <w:tcW w:w="900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44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(3,511 )</w:t>
            </w:r>
          </w:p>
        </w:tc>
      </w:tr>
      <w:tr>
        <w:trPr>
          <w:trHeight w:val="276"/>
        </w:trPr>
        <w:tc>
          <w:tcPr>
            <w:tcW w:w="9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Purchase consideration, net of cash acquired</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The fair value of certain working capital related items, including accounts receivable, prepaid and other assets, accounts payable and accrued liabilities, as well as the fair value of property and equipment approximated their book values at the Acquisition Date. The fair value of the inventories was estimated by major category, at net realizable value, which we believe approximates the price a market participant could achieve in a current sale. The difference between the fair value of the Drop inventories and the book value recorded on the Acquisition Date was $2.0 million, and it will be recognized in cost of revenue in the condensed consolidated statements of operations upon the sale of the acquired inventory.</w:t>
      </w:r>
    </w:p>
    <w:p>
      <w:pPr>
        <w:spacing w:after="0" w:line="67"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The goodwill of $7.0 million represents the expansion of our market presence by utilizing Drop's strength in direct consumer reach as well as the ability to expand the customizable keyboard and keycap market. The goodwill is deductible for tax purposes and is assigned to our gamer and creator peripherals reporting unit.</w:t>
      </w:r>
    </w:p>
    <w:p>
      <w:pPr>
        <w:spacing w:after="0" w:line="75"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$9.2 million identifiable intangible assets acquired include developed technology of $5.2 million, trade name of $2.3 million and domain name of $1.7 million. The fair values of the identified intangible assets were estimated primarily using the income approach and were based on inputs that are not observable in the market which we consider to be Level 3 inputs. These intangible assets are being amortized over their estimated useful lives, ranging from 5 to 15 years, using the straight-line method of amortization. The identifiable intangible assets acquired are deductible for tax purposes.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98"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Pro forma financial information is not included because the effects of the Drop Acquisition were not material to our condensed consolidated statements of operations for the periods presented.</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amount of goodwill by reportable segment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Gaming</w:t>
            </w:r>
          </w:p>
        </w:tc>
        <w:tc>
          <w:tcPr>
            <w:tcW w:w="340" w:type="dxa"/>
            <w:vAlign w:val="bottom"/>
          </w:tcPr>
          <w:p>
            <w:pPr>
              <w:spacing w:after="0"/>
              <w:rPr>
                <w:sz w:val="14"/>
                <w:szCs w:val="14"/>
                <w:color w:val="auto"/>
              </w:rPr>
            </w:pPr>
          </w:p>
        </w:tc>
        <w:tc>
          <w:tcPr>
            <w:tcW w:w="1540" w:type="dxa"/>
            <w:vAlign w:val="bottom"/>
            <w:vMerge w:val="restart"/>
          </w:tcPr>
          <w:p>
            <w:pPr>
              <w:jc w:val="center"/>
              <w:ind w:right="238"/>
              <w:spacing w:after="0"/>
              <w:rPr>
                <w:sz w:val="20"/>
                <w:szCs w:val="20"/>
                <w:color w:val="auto"/>
              </w:rPr>
            </w:pPr>
            <w:r>
              <w:rPr>
                <w:rFonts w:ascii="Arial" w:cs="Arial" w:eastAsia="Arial" w:hAnsi="Arial"/>
                <w:sz w:val="14"/>
                <w:szCs w:val="14"/>
                <w:b w:val="1"/>
                <w:bCs w:val="1"/>
                <w:color w:val="auto"/>
                <w:w w:val="95"/>
              </w:rPr>
              <w:t>Gamer and</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Components</w:t>
            </w:r>
          </w:p>
        </w:tc>
        <w:tc>
          <w:tcPr>
            <w:tcW w:w="3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and</w:t>
            </w:r>
          </w:p>
        </w:tc>
        <w:tc>
          <w:tcPr>
            <w:tcW w:w="340" w:type="dxa"/>
            <w:vAlign w:val="bottom"/>
          </w:tcPr>
          <w:p>
            <w:pPr>
              <w:spacing w:after="0"/>
              <w:rPr>
                <w:sz w:val="12"/>
                <w:szCs w:val="12"/>
                <w:color w:val="auto"/>
              </w:rPr>
            </w:pPr>
          </w:p>
        </w:tc>
        <w:tc>
          <w:tcPr>
            <w:tcW w:w="154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Creator</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vMerge w:val="restart"/>
          </w:tcPr>
          <w:p>
            <w:pPr>
              <w:jc w:val="right"/>
              <w:ind w:right="69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83"/>
              </w:rPr>
              <w:t>Systems</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4"/>
              </w:rPr>
              <w:t>Peripherals</w:t>
            </w: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740" w:type="dxa"/>
            <w:vAlign w:val="bottom"/>
            <w:gridSpan w:val="2"/>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148,931</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198,816</w:t>
            </w:r>
          </w:p>
        </w:tc>
        <w:tc>
          <w:tcPr>
            <w:tcW w:w="7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80" w:type="dxa"/>
            <w:vAlign w:val="bottom"/>
          </w:tcPr>
          <w:p>
            <w:pPr>
              <w:ind w:left="120"/>
              <w:spacing w:after="0"/>
              <w:rPr>
                <w:sz w:val="20"/>
                <w:szCs w:val="20"/>
                <w:color w:val="auto"/>
              </w:rPr>
            </w:pPr>
            <w:r>
              <w:rPr>
                <w:rFonts w:ascii="Arial" w:cs="Arial" w:eastAsia="Arial" w:hAnsi="Arial"/>
                <w:sz w:val="18"/>
                <w:szCs w:val="18"/>
                <w:color w:val="auto"/>
              </w:rPr>
              <w:t>Addition from business acquisition</w:t>
            </w:r>
          </w:p>
        </w:tc>
        <w:tc>
          <w:tcPr>
            <w:tcW w:w="340" w:type="dxa"/>
            <w:vAlign w:val="bottom"/>
          </w:tcPr>
          <w:p>
            <w:pPr>
              <w:spacing w:after="0"/>
              <w:rPr>
                <w:sz w:val="20"/>
                <w:szCs w:val="20"/>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7,007</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Effect of foreign currency exchange rates</w:t>
            </w:r>
          </w:p>
        </w:tc>
        <w:tc>
          <w:tcPr>
            <w:tcW w:w="34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(42 )</w:t>
            </w:r>
          </w:p>
        </w:tc>
        <w:tc>
          <w:tcPr>
            <w:tcW w:w="3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September 30, 2023</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148,889</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205,976</w:t>
            </w:r>
          </w:p>
        </w:tc>
        <w:tc>
          <w:tcPr>
            <w:tcW w:w="30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354,865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-187960</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-187960</wp:posOffset>
            </wp:positionV>
            <wp:extent cx="685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is a summary of intangible assets, net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September 30, 2023</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060" w:type="dxa"/>
            <w:vAlign w:val="bottom"/>
          </w:tcPr>
          <w:p>
            <w:pPr>
              <w:jc w:val="center"/>
              <w:ind w:right="155"/>
              <w:spacing w:after="0" w:line="133"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88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47,477</w:t>
            </w:r>
          </w:p>
        </w:tc>
        <w:tc>
          <w:tcPr>
            <w:tcW w:w="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24,088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8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33,825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8,395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25,430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29,735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218,445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133,301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85,144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218,542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116,919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80" w:type="dxa"/>
            <w:vAlign w:val="bottom"/>
          </w:tcPr>
          <w:p>
            <w:pPr>
              <w:ind w:left="20"/>
              <w:spacing w:after="0"/>
              <w:rPr>
                <w:sz w:val="20"/>
                <w:szCs w:val="20"/>
                <w:color w:val="auto"/>
              </w:rPr>
            </w:pPr>
            <w:r>
              <w:rPr>
                <w:rFonts w:ascii="Arial" w:cs="Arial" w:eastAsia="Arial" w:hAnsi="Arial"/>
                <w:sz w:val="18"/>
                <w:szCs w:val="18"/>
                <w:color w:val="auto"/>
              </w:rPr>
              <w:t>Patent portfolio</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33,573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15,283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18,290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33,198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11,764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Supplier relationships</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4,144</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6,129</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0"/>
              <w:spacing w:after="0"/>
              <w:rPr>
                <w:sz w:val="20"/>
                <w:szCs w:val="20"/>
                <w:color w:val="auto"/>
              </w:rPr>
            </w:pPr>
            <w:r>
              <w:rPr>
                <w:rFonts w:ascii="Arial" w:cs="Arial" w:eastAsia="Arial" w:hAnsi="Arial"/>
                <w:sz w:val="18"/>
                <w:szCs w:val="18"/>
                <w:color w:val="auto"/>
              </w:rPr>
              <w:t>Total finite-life intangibles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339,170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178,123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161,047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341,330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160,594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Indefinite life trade name</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374,616</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178,123</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196,493</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376,849</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160,594</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216,255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-658495</wp:posOffset>
            </wp:positionV>
            <wp:extent cx="76835"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-658495</wp:posOffset>
            </wp:positionV>
            <wp:extent cx="76835"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-658495</wp:posOffset>
            </wp:positionV>
            <wp:extent cx="68580"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-658495</wp:posOffset>
            </wp:positionV>
            <wp:extent cx="68580"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-658495</wp:posOffset>
            </wp:positionV>
            <wp:extent cx="68580"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-24765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-7620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-24765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-7620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920" w:firstLine="509"/>
        <w:spacing w:after="0" w:line="277" w:lineRule="auto"/>
        <w:rPr>
          <w:sz w:val="20"/>
          <w:szCs w:val="20"/>
          <w:color w:val="auto"/>
        </w:rPr>
      </w:pPr>
      <w:r>
        <w:rPr>
          <w:rFonts w:ascii="Arial" w:cs="Arial" w:eastAsia="Arial" w:hAnsi="Arial"/>
          <w:sz w:val="18"/>
          <w:szCs w:val="18"/>
          <w:color w:val="auto"/>
        </w:rPr>
        <w:t>In the year after an identified intangible asset becomes fully amortized, we remove the fully amortized balances from the gross asset and accumulated amortization amounts from the table above.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amortization expense of intangible assets as of September 30, 2023 is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jc w:val="right"/>
              <w:ind w:right="1372"/>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5"/>
                <w:szCs w:val="15"/>
                <w:color w:val="auto"/>
              </w:rPr>
            </w:pPr>
          </w:p>
        </w:tc>
      </w:tr>
      <w:tr>
        <w:trPr>
          <w:trHeight w:val="61"/>
        </w:trPr>
        <w:tc>
          <w:tcPr>
            <w:tcW w:w="3480" w:type="dxa"/>
            <w:vAlign w:val="bottom"/>
          </w:tcPr>
          <w:p>
            <w:pPr>
              <w:spacing w:after="0"/>
              <w:rPr>
                <w:sz w:val="5"/>
                <w:szCs w:val="5"/>
                <w:color w:val="auto"/>
              </w:rPr>
            </w:pPr>
          </w:p>
        </w:tc>
        <w:tc>
          <w:tcPr>
            <w:tcW w:w="4960" w:type="dxa"/>
            <w:vAlign w:val="bottom"/>
            <w:gridSpan w:val="2"/>
          </w:tcPr>
          <w:p>
            <w:pPr>
              <w:spacing w:after="0"/>
              <w:rPr>
                <w:sz w:val="5"/>
                <w:szCs w:val="5"/>
                <w:color w:val="auto"/>
              </w:rPr>
            </w:pPr>
          </w:p>
        </w:tc>
        <w:tc>
          <w:tcPr>
            <w:tcW w:w="27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496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2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9,471</w:t>
            </w:r>
          </w:p>
        </w:tc>
        <w:tc>
          <w:tcPr>
            <w:tcW w:w="100" w:type="dxa"/>
            <w:vAlign w:val="bottom"/>
            <w:shd w:val="clear" w:color="auto" w:fill="CFF0FC"/>
          </w:tcPr>
          <w:p>
            <w:pPr>
              <w:spacing w:after="0"/>
              <w:rPr>
                <w:sz w:val="21"/>
                <w:szCs w:val="21"/>
                <w:color w:val="auto"/>
              </w:rPr>
            </w:pPr>
          </w:p>
        </w:tc>
      </w:tr>
      <w:tr>
        <w:trPr>
          <w:trHeight w:val="236"/>
        </w:trPr>
        <w:tc>
          <w:tcPr>
            <w:tcW w:w="3480" w:type="dxa"/>
            <w:vAlign w:val="bottom"/>
          </w:tcPr>
          <w:p>
            <w:pPr>
              <w:ind w:left="20"/>
              <w:spacing w:after="0"/>
              <w:rPr>
                <w:sz w:val="20"/>
                <w:szCs w:val="20"/>
                <w:color w:val="auto"/>
              </w:rPr>
            </w:pPr>
            <w:r>
              <w:rPr>
                <w:rFonts w:ascii="Arial" w:cs="Arial" w:eastAsia="Arial" w:hAnsi="Arial"/>
                <w:sz w:val="18"/>
                <w:szCs w:val="18"/>
                <w:color w:val="auto"/>
              </w:rPr>
              <w:t>2024</w:t>
            </w:r>
          </w:p>
        </w:tc>
        <w:tc>
          <w:tcPr>
            <w:tcW w:w="4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37,847</w:t>
            </w:r>
          </w:p>
        </w:tc>
        <w:tc>
          <w:tcPr>
            <w:tcW w:w="100" w:type="dxa"/>
            <w:vAlign w:val="bottom"/>
          </w:tcPr>
          <w:p>
            <w:pPr>
              <w:spacing w:after="0"/>
              <w:rPr>
                <w:sz w:val="20"/>
                <w:szCs w:val="20"/>
                <w:color w:val="auto"/>
              </w:rPr>
            </w:pPr>
          </w:p>
        </w:tc>
      </w:tr>
      <w:tr>
        <w:trPr>
          <w:trHeight w:val="24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37,478</w:t>
            </w:r>
          </w:p>
        </w:tc>
        <w:tc>
          <w:tcPr>
            <w:tcW w:w="100" w:type="dxa"/>
            <w:vAlign w:val="bottom"/>
            <w:shd w:val="clear" w:color="auto" w:fill="CFF0FC"/>
          </w:tcPr>
          <w:p>
            <w:pPr>
              <w:spacing w:after="0"/>
              <w:rPr>
                <w:sz w:val="21"/>
                <w:szCs w:val="21"/>
                <w:color w:val="auto"/>
              </w:rPr>
            </w:pPr>
          </w:p>
        </w:tc>
      </w:tr>
      <w:tr>
        <w:trPr>
          <w:trHeight w:val="236"/>
        </w:trPr>
        <w:tc>
          <w:tcPr>
            <w:tcW w:w="3480" w:type="dxa"/>
            <w:vAlign w:val="bottom"/>
          </w:tcPr>
          <w:p>
            <w:pPr>
              <w:ind w:left="20"/>
              <w:spacing w:after="0"/>
              <w:rPr>
                <w:sz w:val="20"/>
                <w:szCs w:val="20"/>
                <w:color w:val="auto"/>
              </w:rPr>
            </w:pPr>
            <w:r>
              <w:rPr>
                <w:rFonts w:ascii="Arial" w:cs="Arial" w:eastAsia="Arial" w:hAnsi="Arial"/>
                <w:sz w:val="18"/>
                <w:szCs w:val="18"/>
                <w:color w:val="auto"/>
              </w:rPr>
              <w:t>2026</w:t>
            </w:r>
          </w:p>
        </w:tc>
        <w:tc>
          <w:tcPr>
            <w:tcW w:w="4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34,176</w:t>
            </w:r>
          </w:p>
        </w:tc>
        <w:tc>
          <w:tcPr>
            <w:tcW w:w="100" w:type="dxa"/>
            <w:vAlign w:val="bottom"/>
          </w:tcPr>
          <w:p>
            <w:pPr>
              <w:spacing w:after="0"/>
              <w:rPr>
                <w:sz w:val="20"/>
                <w:szCs w:val="20"/>
                <w:color w:val="auto"/>
              </w:rPr>
            </w:pPr>
          </w:p>
        </w:tc>
      </w:tr>
      <w:tr>
        <w:trPr>
          <w:trHeight w:val="24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24,591</w:t>
            </w:r>
          </w:p>
        </w:tc>
        <w:tc>
          <w:tcPr>
            <w:tcW w:w="100" w:type="dxa"/>
            <w:vAlign w:val="bottom"/>
            <w:shd w:val="clear" w:color="auto" w:fill="CFF0FC"/>
          </w:tcPr>
          <w:p>
            <w:pPr>
              <w:spacing w:after="0"/>
              <w:rPr>
                <w:sz w:val="21"/>
                <w:szCs w:val="2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1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17,484</w:t>
            </w:r>
          </w:p>
        </w:tc>
        <w:tc>
          <w:tcPr>
            <w:tcW w:w="100" w:type="dxa"/>
            <w:vAlign w:val="bottom"/>
          </w:tcPr>
          <w:p>
            <w:pPr>
              <w:spacing w:after="0"/>
              <w:rPr>
                <w:sz w:val="21"/>
                <w:szCs w:val="21"/>
                <w:color w:val="auto"/>
              </w:rPr>
            </w:pPr>
          </w:p>
        </w:tc>
      </w:tr>
      <w:tr>
        <w:trPr>
          <w:trHeight w:val="276"/>
        </w:trPr>
        <w:tc>
          <w:tcPr>
            <w:tcW w:w="3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41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2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3480" w:type="dxa"/>
            <w:vAlign w:val="bottom"/>
          </w:tcPr>
          <w:p>
            <w:pPr>
              <w:spacing w:after="0"/>
              <w:rPr>
                <w:sz w:val="24"/>
                <w:szCs w:val="24"/>
                <w:color w:val="auto"/>
              </w:rPr>
            </w:pPr>
          </w:p>
        </w:tc>
        <w:tc>
          <w:tcPr>
            <w:tcW w:w="4180" w:type="dxa"/>
            <w:vAlign w:val="bottom"/>
          </w:tcPr>
          <w:p>
            <w:pPr>
              <w:jc w:val="right"/>
              <w:ind w:right="1850"/>
              <w:spacing w:after="0"/>
              <w:rPr>
                <w:sz w:val="20"/>
                <w:szCs w:val="20"/>
                <w:color w:val="auto"/>
              </w:rPr>
            </w:pPr>
            <w:r>
              <w:rPr>
                <w:rFonts w:ascii="Arial" w:cs="Arial" w:eastAsia="Arial" w:hAnsi="Arial"/>
                <w:sz w:val="18"/>
                <w:szCs w:val="18"/>
                <w:color w:val="auto"/>
              </w:rPr>
              <w:t>13</w:t>
            </w:r>
          </w:p>
        </w:tc>
        <w:tc>
          <w:tcPr>
            <w:tcW w:w="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Balance Sheet Components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the components of certain balance sheet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2023</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61"/>
        </w:trPr>
        <w:tc>
          <w:tcPr>
            <w:tcW w:w="7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144,891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151,180</w:t>
            </w:r>
          </w:p>
        </w:tc>
        <w:tc>
          <w:tcPr>
            <w:tcW w:w="100" w:type="dxa"/>
            <w:vAlign w:val="bottom"/>
            <w:shd w:val="clear" w:color="auto" w:fill="CFF0FC"/>
          </w:tcPr>
          <w:p>
            <w:pPr>
              <w:spacing w:after="0"/>
              <w:rPr>
                <w:sz w:val="21"/>
                <w:szCs w:val="21"/>
                <w:color w:val="auto"/>
              </w:rPr>
            </w:pP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Restricted cash—short term</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2,641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0"/>
                <w:szCs w:val="20"/>
                <w:color w:val="auto"/>
              </w:rPr>
            </w:pPr>
          </w:p>
        </w:tc>
      </w:tr>
      <w:tr>
        <w:trPr>
          <w:trHeight w:val="249"/>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cash—noncurrent</w:t>
            </w:r>
          </w:p>
        </w:tc>
        <w:tc>
          <w:tcPr>
            <w:tcW w:w="2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120"/>
              <w:spacing w:after="0"/>
              <w:rPr>
                <w:sz w:val="20"/>
                <w:szCs w:val="20"/>
                <w:color w:val="auto"/>
              </w:rPr>
            </w:pPr>
            <w:r>
              <w:rPr>
                <w:rFonts w:ascii="Arial" w:cs="Arial" w:eastAsia="Arial" w:hAnsi="Arial"/>
                <w:sz w:val="18"/>
                <w:szCs w:val="18"/>
                <w:color w:val="auto"/>
              </w:rPr>
              <w:t>Total cash and restricted cash</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147,770</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154,060</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3"/>
        </w:trPr>
        <w:tc>
          <w:tcPr>
            <w:tcW w:w="7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2023</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74"/>
        </w:trPr>
        <w:tc>
          <w:tcPr>
            <w:tcW w:w="7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173,001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145,380</w:t>
            </w:r>
          </w:p>
        </w:tc>
        <w:tc>
          <w:tcPr>
            <w:tcW w:w="100" w:type="dxa"/>
            <w:vAlign w:val="bottom"/>
            <w:shd w:val="clear" w:color="auto" w:fill="CFF0FC"/>
          </w:tcPr>
          <w:p>
            <w:pPr>
              <w:spacing w:after="0"/>
              <w:rPr>
                <w:sz w:val="21"/>
                <w:szCs w:val="21"/>
                <w:color w:val="auto"/>
              </w:rPr>
            </w:pP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Due from Factor</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79,596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91,061</w:t>
            </w:r>
          </w:p>
        </w:tc>
        <w:tc>
          <w:tcPr>
            <w:tcW w:w="100" w:type="dxa"/>
            <w:vAlign w:val="bottom"/>
          </w:tcPr>
          <w:p>
            <w:pPr>
              <w:spacing w:after="0"/>
              <w:rPr>
                <w:sz w:val="20"/>
                <w:szCs w:val="20"/>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doubtful accounts</w:t>
            </w:r>
          </w:p>
        </w:tc>
        <w:tc>
          <w:tcPr>
            <w:tcW w:w="26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(1,518 )</w:t>
            </w: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(785 )</w:t>
            </w:r>
          </w:p>
        </w:tc>
      </w:tr>
      <w:tr>
        <w:trPr>
          <w:trHeight w:val="236"/>
        </w:trPr>
        <w:tc>
          <w:tcPr>
            <w:tcW w:w="75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251,079</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235,656</w:t>
            </w:r>
          </w:p>
        </w:tc>
        <w:tc>
          <w:tcPr>
            <w:tcW w:w="100" w:type="dxa"/>
            <w:vAlign w:val="bottom"/>
            <w:tcBorders>
              <w:top w:val="single" w:sz="8" w:color="CFF0FC"/>
            </w:tcBorders>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-1309370</wp:posOffset>
            </wp:positionV>
            <wp:extent cx="6858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-1309370</wp:posOffset>
            </wp:positionV>
            <wp:extent cx="6858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-187960</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On September 29, 2022, one of our fully consolidated subsidiaries entered into an accounts receivable factoring agreement (“Factoring Agreement”) with a third-party financial institution (“Factor”). Pursuant to the terms of the arrangement, we sell certain of our customer receivables on a non-recourse basis to the Factor. Proceeds from factoring the accounts receivable are due upon collection of payments from the customers, but upon our request, the Factor may, at their sole discretion, remit a portion of the proceeds to us prior to their collection of payments from the customers. Our obligations to the Factor arising from the Factoring Agreement are secured by certain assets of our subsidiary. In the three and nine months ended September 30, 2023, we sold receivables of $97.9 million and $265.4 million to the Factor, respectively, and we also received cash proceeds of $89.3 million and $276.2 million from the Factor, respectively. In the three months ended September 30, 2022, we sold receivables and received cash proceeds of $66.3 million and $40.6 million, respectively. The cost of factoring is included in sales, general and administrative expenses in our condensed consolidated statements of operations and the amounts incurred in the three and nine months ended September 30, 2023 and 2022 were immaterial. The Factoring Agreement was terminated on October 2, 2023 and we no longer sell our customers' receivables to the Factor. The balance from the Factor as of September 30, 2023 will be collected before December 31, 2023.</w:t>
      </w:r>
    </w:p>
    <w:p>
      <w:pPr>
        <w:spacing w:after="0" w:line="71"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Besides the Factor, one other customer represented 24.4% and 23.4% of our accounts receivable, net balance as of September 30, 2023 and December 31, 2022,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2023</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74"/>
        </w:trPr>
        <w:tc>
          <w:tcPr>
            <w:tcW w:w="7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55,016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49,926</w:t>
            </w:r>
          </w:p>
        </w:tc>
        <w:tc>
          <w:tcPr>
            <w:tcW w:w="100" w:type="dxa"/>
            <w:vAlign w:val="bottom"/>
            <w:shd w:val="clear" w:color="auto" w:fill="CFF0FC"/>
          </w:tcPr>
          <w:p>
            <w:pPr>
              <w:spacing w:after="0"/>
              <w:rPr>
                <w:sz w:val="21"/>
                <w:szCs w:val="21"/>
                <w:color w:val="auto"/>
              </w:rPr>
            </w:pP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10,081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170,459</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235,556</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192,717</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9"/>
        </w:trPr>
        <w:tc>
          <w:tcPr>
            <w:tcW w:w="7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2023</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74"/>
        </w:trPr>
        <w:tc>
          <w:tcPr>
            <w:tcW w:w="7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Manufacturing equipment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32,684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28,993</w:t>
            </w:r>
          </w:p>
        </w:tc>
        <w:tc>
          <w:tcPr>
            <w:tcW w:w="100" w:type="dxa"/>
            <w:vAlign w:val="bottom"/>
            <w:shd w:val="clear" w:color="auto" w:fill="CFF0FC"/>
          </w:tcPr>
          <w:p>
            <w:pPr>
              <w:spacing w:after="0"/>
              <w:rPr>
                <w:sz w:val="21"/>
                <w:szCs w:val="21"/>
                <w:color w:val="auto"/>
              </w:rPr>
            </w:pP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19,579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18,903</w:t>
            </w:r>
          </w:p>
        </w:tc>
        <w:tc>
          <w:tcPr>
            <w:tcW w:w="100" w:type="dxa"/>
            <w:vAlign w:val="bottom"/>
          </w:tcPr>
          <w:p>
            <w:pPr>
              <w:spacing w:after="0"/>
              <w:rPr>
                <w:sz w:val="20"/>
                <w:szCs w:val="20"/>
                <w:color w:val="auto"/>
              </w:rPr>
            </w:pPr>
          </w:p>
        </w:tc>
      </w:tr>
      <w:tr>
        <w:trPr>
          <w:trHeight w:val="249"/>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software and office equipment</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16,205</w:t>
            </w:r>
          </w:p>
        </w:tc>
        <w:tc>
          <w:tcPr>
            <w:tcW w:w="100" w:type="dxa"/>
            <w:vAlign w:val="bottom"/>
            <w:shd w:val="clear" w:color="auto" w:fill="CFF0FC"/>
          </w:tcPr>
          <w:p>
            <w:pPr>
              <w:spacing w:after="0"/>
              <w:rPr>
                <w:sz w:val="21"/>
                <w:szCs w:val="21"/>
                <w:color w:val="auto"/>
              </w:rPr>
            </w:pP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w:t>
            </w:r>
          </w:p>
        </w:tc>
        <w:tc>
          <w:tcPr>
            <w:tcW w:w="100" w:type="dxa"/>
            <w:vAlign w:val="bottom"/>
          </w:tcPr>
          <w:p>
            <w:pPr>
              <w:spacing w:after="0"/>
              <w:rPr>
                <w:sz w:val="20"/>
                <w:szCs w:val="20"/>
                <w:color w:val="auto"/>
              </w:rPr>
            </w:pPr>
          </w:p>
        </w:tc>
      </w:tr>
      <w:tr>
        <w:trPr>
          <w:trHeight w:val="242"/>
        </w:trPr>
        <w:tc>
          <w:tcPr>
            <w:tcW w:w="7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property and equipment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67,378</w:t>
            </w:r>
          </w:p>
        </w:tc>
        <w:tc>
          <w:tcPr>
            <w:tcW w:w="100" w:type="dxa"/>
            <w:vAlign w:val="bottom"/>
            <w:shd w:val="clear" w:color="auto" w:fill="CFF0FC"/>
          </w:tcPr>
          <w:p>
            <w:pPr>
              <w:spacing w:after="0"/>
              <w:rPr>
                <w:sz w:val="21"/>
                <w:szCs w:val="21"/>
                <w:color w:val="auto"/>
              </w:rPr>
            </w:pP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(40,883 )</w:t>
            </w:r>
          </w:p>
        </w:tc>
        <w:tc>
          <w:tcPr>
            <w:tcW w:w="26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(32,451 )</w:t>
            </w:r>
          </w:p>
        </w:tc>
      </w:tr>
      <w:tr>
        <w:trPr>
          <w:trHeight w:val="276"/>
        </w:trPr>
        <w:tc>
          <w:tcPr>
            <w:tcW w:w="7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33,070</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34,927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-1780540</wp:posOffset>
            </wp:positionV>
            <wp:extent cx="6858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-1780540</wp:posOffset>
            </wp:positionV>
            <wp:extent cx="6858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7480" w:type="dxa"/>
            <w:vAlign w:val="bottom"/>
          </w:tcPr>
          <w:p>
            <w:pPr>
              <w:spacing w:after="0"/>
              <w:rPr>
                <w:sz w:val="6"/>
                <w:szCs w:val="6"/>
                <w:color w:val="auto"/>
              </w:rPr>
            </w:pPr>
          </w:p>
        </w:tc>
        <w:tc>
          <w:tcPr>
            <w:tcW w:w="260" w:type="dxa"/>
            <w:vAlign w:val="bottom"/>
            <w:gridSpan w:val="2"/>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w:t>
            </w: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38,593</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8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28,560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6,957</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74,110</w:t>
            </w:r>
          </w:p>
        </w:tc>
        <w:tc>
          <w:tcPr>
            <w:tcW w:w="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7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24"/>
                <w:szCs w:val="2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7480" w:type="dxa"/>
            <w:vAlign w:val="bottom"/>
          </w:tcPr>
          <w:p>
            <w:pPr>
              <w:spacing w:after="0"/>
              <w:rPr>
                <w:sz w:val="6"/>
                <w:szCs w:val="6"/>
                <w:color w:val="auto"/>
              </w:rPr>
            </w:pPr>
          </w:p>
        </w:tc>
        <w:tc>
          <w:tcPr>
            <w:tcW w:w="260" w:type="dxa"/>
            <w:vAlign w:val="bottom"/>
            <w:gridSpan w:val="2"/>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reserves for customer incentive programs</w:t>
            </w: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54,926</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80" w:type="dxa"/>
            <w:vAlign w:val="bottom"/>
          </w:tcPr>
          <w:p>
            <w:pPr>
              <w:ind w:left="20"/>
              <w:spacing w:after="0"/>
              <w:rPr>
                <w:sz w:val="20"/>
                <w:szCs w:val="20"/>
                <w:color w:val="auto"/>
              </w:rPr>
            </w:pPr>
            <w:r>
              <w:rPr>
                <w:rFonts w:ascii="Arial" w:cs="Arial" w:eastAsia="Arial" w:hAnsi="Arial"/>
                <w:sz w:val="18"/>
                <w:szCs w:val="18"/>
                <w:color w:val="auto"/>
              </w:rPr>
              <w:t>Accrued reserves for sales return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31,473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and related expense</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17,764</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80" w:type="dxa"/>
            <w:vAlign w:val="bottom"/>
          </w:tcPr>
          <w:p>
            <w:pPr>
              <w:ind w:left="20"/>
              <w:spacing w:after="0"/>
              <w:rPr>
                <w:sz w:val="20"/>
                <w:szCs w:val="20"/>
                <w:color w:val="auto"/>
              </w:rPr>
            </w:pPr>
            <w:r>
              <w:rPr>
                <w:rFonts w:ascii="Arial" w:cs="Arial" w:eastAsia="Arial" w:hAnsi="Arial"/>
                <w:sz w:val="18"/>
                <w:szCs w:val="18"/>
                <w:color w:val="auto"/>
              </w:rPr>
              <w:t>Operating lease liabilities, current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10,543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8,439</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80" w:type="dxa"/>
            <w:vAlign w:val="bottom"/>
          </w:tcPr>
          <w:p>
            <w:pPr>
              <w:ind w:left="20"/>
              <w:spacing w:after="0"/>
              <w:rPr>
                <w:sz w:val="20"/>
                <w:szCs w:val="20"/>
                <w:color w:val="auto"/>
              </w:rPr>
            </w:pPr>
            <w:r>
              <w:rPr>
                <w:rFonts w:ascii="Arial" w:cs="Arial" w:eastAsia="Arial" w:hAnsi="Arial"/>
                <w:sz w:val="18"/>
                <w:szCs w:val="18"/>
                <w:color w:val="auto"/>
              </w:rPr>
              <w:t>Sales tax and value added tax payable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7,953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freight expenses</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7,831</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4,469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23,738</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80" w:type="dxa"/>
            <w:vAlign w:val="bottom"/>
          </w:tcPr>
          <w:p>
            <w:pPr>
              <w:ind w:left="200"/>
              <w:spacing w:after="0"/>
              <w:rPr>
                <w:sz w:val="20"/>
                <w:szCs w:val="20"/>
                <w:color w:val="auto"/>
              </w:rPr>
            </w:pPr>
            <w:r>
              <w:rPr>
                <w:rFonts w:ascii="Arial" w:cs="Arial" w:eastAsia="Arial" w:hAnsi="Arial"/>
                <w:sz w:val="18"/>
                <w:szCs w:val="18"/>
                <w:color w:val="auto"/>
              </w:rPr>
              <w:t>Other liabilities and accrued expenses</w:t>
            </w:r>
          </w:p>
        </w:tc>
        <w:tc>
          <w:tcPr>
            <w:tcW w:w="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167,136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7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24"/>
                <w:szCs w:val="2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7480" w:type="dxa"/>
            <w:vAlign w:val="bottom"/>
          </w:tcPr>
          <w:p>
            <w:pPr>
              <w:spacing w:after="0"/>
              <w:rPr>
                <w:sz w:val="6"/>
                <w:szCs w:val="6"/>
                <w:color w:val="auto"/>
              </w:rPr>
            </w:pPr>
          </w:p>
        </w:tc>
        <w:tc>
          <w:tcPr>
            <w:tcW w:w="260" w:type="dxa"/>
            <w:vAlign w:val="bottom"/>
            <w:gridSpan w:val="2"/>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39,918</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80" w:type="dxa"/>
            <w:vAlign w:val="bottom"/>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2,846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 liabilities, noncurrent</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42,764</w:t>
            </w: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48,589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748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tcPr>
          <w:p>
            <w:pPr>
              <w:ind w:left="520"/>
              <w:spacing w:after="0"/>
              <w:rPr>
                <w:sz w:val="20"/>
                <w:szCs w:val="20"/>
                <w:color w:val="auto"/>
              </w:rPr>
            </w:pPr>
            <w:r>
              <w:rPr>
                <w:rFonts w:ascii="Arial" w:cs="Arial" w:eastAsia="Arial" w:hAnsi="Arial"/>
                <w:sz w:val="18"/>
                <w:szCs w:val="18"/>
                <w:color w:val="auto"/>
              </w:rPr>
              <w:t>Our debt consisted of the following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4"/>
            <w:vMerge w:val="restart"/>
          </w:tcPr>
          <w:p>
            <w:pPr>
              <w:jc w:val="center"/>
              <w:ind w:right="58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24"/>
                <w:szCs w:val="24"/>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39"/>
        </w:trPr>
        <w:tc>
          <w:tcPr>
            <w:tcW w:w="7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7480" w:type="dxa"/>
            <w:vAlign w:val="bottom"/>
          </w:tcPr>
          <w:p>
            <w:pPr>
              <w:spacing w:after="0"/>
              <w:rPr>
                <w:sz w:val="6"/>
                <w:szCs w:val="6"/>
                <w:color w:val="auto"/>
              </w:rPr>
            </w:pPr>
          </w:p>
        </w:tc>
        <w:tc>
          <w:tcPr>
            <w:tcW w:w="260" w:type="dxa"/>
            <w:vAlign w:val="bottom"/>
            <w:gridSpan w:val="2"/>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Loan (variable rate) due September 2026</w:t>
            </w: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223,750</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7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80" w:type="dxa"/>
            <w:vAlign w:val="bottom"/>
          </w:tcPr>
          <w:p>
            <w:pPr>
              <w:ind w:left="20"/>
              <w:spacing w:after="0"/>
              <w:rPr>
                <w:sz w:val="20"/>
                <w:szCs w:val="20"/>
                <w:color w:val="auto"/>
              </w:rPr>
            </w:pPr>
            <w:r>
              <w:rPr>
                <w:rFonts w:ascii="Arial" w:cs="Arial" w:eastAsia="Arial" w:hAnsi="Arial"/>
                <w:sz w:val="18"/>
                <w:szCs w:val="18"/>
                <w:color w:val="auto"/>
              </w:rPr>
              <w:t>Debt discount and issuance cost, net of amortization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3"/>
          </w:tcPr>
          <w:p>
            <w:pPr>
              <w:jc w:val="right"/>
              <w:ind w:right="200"/>
              <w:spacing w:after="0"/>
              <w:rPr>
                <w:sz w:val="20"/>
                <w:szCs w:val="20"/>
                <w:color w:val="auto"/>
              </w:rPr>
            </w:pPr>
            <w:r>
              <w:rPr>
                <w:rFonts w:ascii="Arial" w:cs="Arial" w:eastAsia="Arial" w:hAnsi="Arial"/>
                <w:sz w:val="18"/>
                <w:szCs w:val="18"/>
                <w:color w:val="auto"/>
              </w:rPr>
              <w:t>(1,047 )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(1,335 )</w:t>
            </w:r>
          </w:p>
        </w:tc>
        <w:tc>
          <w:tcPr>
            <w:tcW w:w="0" w:type="dxa"/>
            <w:vAlign w:val="bottom"/>
          </w:tcPr>
          <w:p>
            <w:pPr>
              <w:spacing w:after="0"/>
              <w:rPr>
                <w:sz w:val="1"/>
                <w:szCs w:val="1"/>
                <w:color w:val="auto"/>
              </w:rPr>
            </w:pPr>
          </w:p>
        </w:tc>
      </w:tr>
      <w:tr>
        <w:trPr>
          <w:trHeight w:val="242"/>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debt, net</w:t>
            </w:r>
          </w:p>
        </w:tc>
        <w:tc>
          <w:tcPr>
            <w:tcW w:w="2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222,703</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80" w:type="dxa"/>
            <w:vAlign w:val="bottom"/>
          </w:tcPr>
          <w:p>
            <w:pPr>
              <w:ind w:left="200"/>
              <w:spacing w:after="0"/>
              <w:rPr>
                <w:sz w:val="20"/>
                <w:szCs w:val="20"/>
                <w:color w:val="auto"/>
              </w:rPr>
            </w:pPr>
            <w:r>
              <w:rPr>
                <w:rFonts w:ascii="Arial" w:cs="Arial" w:eastAsia="Arial" w:hAnsi="Arial"/>
                <w:sz w:val="18"/>
                <w:szCs w:val="18"/>
                <w:color w:val="auto"/>
              </w:rPr>
              <w:t>Less: debt maturing within one year, net</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210,573</w:t>
            </w:r>
          </w:p>
        </w:tc>
        <w:tc>
          <w:tcPr>
            <w:tcW w:w="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232,170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-4973955</wp:posOffset>
            </wp:positionV>
            <wp:extent cx="6858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-4973955</wp:posOffset>
            </wp:positionV>
            <wp:extent cx="6858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-2927985</wp:posOffset>
            </wp:positionV>
            <wp:extent cx="6858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-2927985</wp:posOffset>
            </wp:positionV>
            <wp:extent cx="6858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-1797685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-1780540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-1797685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-1780540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On September 3, 2021, we entered into a new Credit Agreement (as amended, the “Credit Agreement”) which provides for a $100.0 million five-year revolving credit facility (“Revolving Facility”) and a $250.0 million five-year term loan facility (“Term Loan”), with each maturing in September 2026. The Credit Agreement also permits, subject to conditions stated therein, additional incremental facilities in a maximum aggregate principal amount not to exceed $250.0 million. We may prepay the Term Loan and the Revolving Facility at any time without premium or penalty. We prepaid $3.75 million and $12.5 million of the Term Loan principal in the year ended December 31, 2022 and in the nine months ended September 30, 2023, respectively.</w:t>
      </w:r>
    </w:p>
    <w:p>
      <w:pPr>
        <w:spacing w:after="0" w:line="5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Term Loan and Revolving Facility under the Credit Agreement initially carried interest at the Company’s election at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net leverage ratio. The Credit Agreement also requires the payment of a commitment fee on the daily unused portion of the Revolving Facility, which initially ranged from 0.2% to 0.35% based on our total net leverage ratio.</w:t>
      </w:r>
    </w:p>
    <w:p>
      <w:pPr>
        <w:spacing w:after="0" w:line="67"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The Credit Agreement contains covenants with which we must comply during the term of the agreement, which we believe are ordinary and standard for agreements of this nature. The financial covenants include the maintenance of a maximum Consolidated</w:t>
      </w:r>
    </w:p>
    <w:p>
      <w:pPr>
        <w:sectPr>
          <w:pgSz w:w="11900" w:h="16838" w:orient="portrait"/>
          <w:cols w:equalWidth="0" w:num="1">
            <w:col w:w="11240"/>
          </w:cols>
          <w:pgMar w:left="320" w:top="364"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Total Net Leverage Ratio of 3.0 to 1.0 and a minimum Consolidated Interest Coverage Ratio of 3.0 to 1.0 (as defined in the Credit Agreement). The Credit Agreement also includes events of default customary for facilities of this nature and upon the occurrence of such events of default, among other things, all outstanding amounts under the Credit Agreement may be accelerated and/or the lenders’ commitments terminated. In addition, upon the occurrence of certain events of default, the interest on the Term loan and Revolving Facility can be increased by 2.0%.</w:t>
      </w:r>
    </w:p>
    <w:p>
      <w:pPr>
        <w:spacing w:after="0" w:line="62"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75"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On June 30, 2022, we entered into a First Amendment of the Credit Agreement (“First Amendment”), which among other changes resulted in the Bloomberg Short-Term Bank Yield Index rate (“BSBY”) being utilized as a replacement rate for LIBOR. Consequently, following the First Amendment, the Term Loan and Revolving Facility will each bear interest at the Company’s election at either (a)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In addition, pursuant to the First Amendment, the maximum permitted Consolidated Total Net Leverage Ratio was also amended to increase to 3.5 to 1.0 between the quarters ending September 30, 2022 through and including March 31, 2023, and such ratio will revert to 3.0 to 1.0 from the quarter ended June 30, 2023 and each quarter thereafter, provided that, upon the occurrence of a Qualified Acquisition (as defined in the Credit Agreement), such ratio can be increased to 3.5 to 1.0 temporarily provided all the requirements set forth in the Credit Agreement are met. Additionally, the commitment fee on the unused portion of the Revolving Facility was amended to range from 0.2% to 0.4% based on our total net leverage ratio.</w:t>
      </w:r>
    </w:p>
    <w:p>
      <w:pPr>
        <w:spacing w:after="0" w:line="58"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On September 29, 2022, we entered into an accounts receivable Factoring Agreement with a Factor. See Note 7 “Balance Sheet Components – Accounts Receivable, Net” for additional information on the Factoring Agreement. In connection with the Factoring Agreement, we also entered into (i) a Second Amendment (“Second Amendment”) to the Credit Agreement to permit the transactions contemplated by the Factoring Agreement and (ii) an Assignment of Factoring Proceeds and Intercreditor Agreement with the Factor and the administrative agent under the Credit Agreement to establish the respective rights of the Factor and the Credit Agreement Agent in and to the related factoring collateral.</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November 28, 2022, we entered into a Third Amendment (“Third Amendment”) to the Credit Agreement that provides for, among other things,</w:t>
      </w:r>
    </w:p>
    <w:p>
      <w:pPr>
        <w:spacing w:after="0" w:line="46" w:lineRule="exact"/>
        <w:rPr>
          <w:sz w:val="20"/>
          <w:szCs w:val="20"/>
          <w:color w:val="auto"/>
        </w:rPr>
      </w:pPr>
    </w:p>
    <w:p>
      <w:pPr>
        <w:ind w:firstLine="8"/>
        <w:spacing w:after="0" w:line="267" w:lineRule="auto"/>
        <w:tabs>
          <w:tab w:leader="none" w:pos="215"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decrease in the required minimum Consolidated Interest Coverage Ratio to 2.50 to 1.00 for the quarters ending on and after March 31, 2023 through and including December 31, 2023, (ii) an increase in the maximum permitted Consolidated Total Net Leverage Ratio to 3.75 to 1.00 for the quarters ending December 31, 2022 and March 31, 2023, stepping down to 3.50 to 1.00 for the quarter ending June 30, 2023, and 3.25 to 1.00 for the quarters ending September 30, 2023 and December 31, 2023, and (iii) a modified pricing grid providing for an increased margin (ranging from 1.50% per annum to 3.25% per annum for loans bearing interest at the BSBY rate, and 0.50% per annum to 2.25% per annum for loans bearing interest at the base rate, in each case depending on the Company’s total net leverage ratio) for the period of December 31, 2022 through December 31, 2023. Additionally, the commitment fee on the unused portion of the Revolving Facility was amended to range from 0.25% to 0.5% based on our total net leverage ratio, for the period of December 31, 2022 through December 31, 2023. According to the provision in the Third Amendment, with effect from January 1, 2024, the aforementioned amended terms will revert back to the terms as amended by the First Amendment, including the required minimum Consolidated Interest Coverage Ratio, the required maximum permitted Consolidated Total Net Leverage Ratio, the interest rate margin and the commitment fee on the unused portion of the Revolving Facility.</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First, Second and Third Amendment were accounted for as debt modifications.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2023, we were not in default under the Credit Agreement.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2023 and December 31, 2022, we had $100.0 million unused capacity under the Revolving Facility.</w:t>
      </w:r>
    </w:p>
    <w:p>
      <w:pPr>
        <w:spacing w:after="0" w:line="117"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As of September 30, 2023 and December 31, 2022, the carrying value of our Term Loan was $222.7 million and $238.7 million, respectively. The estimated fair value of the Term Loan as of September 30, 2023, which we have classified as a Level 2 financial instrument, was approximately $221.7 million.</w:t>
      </w:r>
    </w:p>
    <w:p>
      <w:pPr>
        <w:spacing w:after="0" w:line="75" w:lineRule="exact"/>
        <w:rPr>
          <w:sz w:val="20"/>
          <w:szCs w:val="20"/>
          <w:color w:val="auto"/>
        </w:rPr>
      </w:pPr>
    </w:p>
    <w:p>
      <w:pPr>
        <w:ind w:right="120" w:firstLine="509"/>
        <w:spacing w:after="0" w:line="341" w:lineRule="auto"/>
        <w:rPr>
          <w:sz w:val="20"/>
          <w:szCs w:val="20"/>
          <w:color w:val="auto"/>
        </w:rPr>
      </w:pPr>
      <w:r>
        <w:rPr>
          <w:rFonts w:ascii="Arial" w:cs="Arial" w:eastAsia="Arial" w:hAnsi="Arial"/>
          <w:sz w:val="16"/>
          <w:szCs w:val="16"/>
          <w:color w:val="auto"/>
        </w:rPr>
        <w:t>The effective interest rate inclusive of the debt discount and debt issuance costs was approximately 7.4% and 3.8% for the three months ended September 30, 2023 and 2022, respectively, and was approximately 7.3% and 2.5% for the nine months ended September 30, 2023 and 2022, respectively.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interest expense, net recognized for all periods presented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9"/>
          </w:tcPr>
          <w:p>
            <w:pPr>
              <w:ind w:left="20"/>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 Agreement:</w:t>
            </w: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80" w:type="dxa"/>
            <w:vAlign w:val="bottom"/>
          </w:tcPr>
          <w:p>
            <w:pPr>
              <w:ind w:left="120"/>
              <w:spacing w:after="0"/>
              <w:rPr>
                <w:sz w:val="20"/>
                <w:szCs w:val="20"/>
                <w:color w:val="auto"/>
              </w:rPr>
            </w:pPr>
            <w:r>
              <w:rPr>
                <w:rFonts w:ascii="Arial" w:cs="Arial" w:eastAsia="Arial" w:hAnsi="Arial"/>
                <w:sz w:val="18"/>
                <w:szCs w:val="18"/>
                <w:color w:val="auto"/>
              </w:rPr>
              <w:t>Contractual interest expense for Term Loan</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4,050</w:t>
            </w:r>
          </w:p>
        </w:tc>
        <w:tc>
          <w:tcPr>
            <w:tcW w:w="140" w:type="dxa"/>
            <w:vAlign w:val="bottom"/>
          </w:tcPr>
          <w:p>
            <w:pPr>
              <w:spacing w:after="0"/>
              <w:rPr>
                <w:sz w:val="20"/>
                <w:szCs w:val="20"/>
                <w:color w:val="auto"/>
              </w:rPr>
            </w:pPr>
          </w:p>
        </w:tc>
        <w:tc>
          <w:tcPr>
            <w:tcW w:w="840" w:type="dxa"/>
            <w:vAlign w:val="bottom"/>
            <w:gridSpan w:val="2"/>
          </w:tcPr>
          <w:p>
            <w:pPr>
              <w:jc w:val="center"/>
              <w:ind w:right="322"/>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2,129</w:t>
            </w:r>
          </w:p>
        </w:tc>
        <w:tc>
          <w:tcPr>
            <w:tcW w:w="800" w:type="dxa"/>
            <w:vAlign w:val="bottom"/>
            <w:gridSpan w:val="2"/>
          </w:tcPr>
          <w:p>
            <w:pPr>
              <w:jc w:val="right"/>
              <w:ind w:right="35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12,372</w:t>
            </w:r>
          </w:p>
        </w:tc>
        <w:tc>
          <w:tcPr>
            <w:tcW w:w="1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Contractual interest expense for Revolving Facility</w:t>
            </w: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80" w:type="dxa"/>
            <w:vAlign w:val="bottom"/>
          </w:tcPr>
          <w:p>
            <w:pPr>
              <w:ind w:left="120"/>
              <w:spacing w:after="0"/>
              <w:rPr>
                <w:sz w:val="20"/>
                <w:szCs w:val="20"/>
                <w:color w:val="auto"/>
              </w:rPr>
            </w:pPr>
            <w:r>
              <w:rPr>
                <w:rFonts w:ascii="Arial" w:cs="Arial" w:eastAsia="Arial" w:hAnsi="Arial"/>
                <w:sz w:val="18"/>
                <w:szCs w:val="18"/>
                <w:color w:val="auto"/>
              </w:rPr>
              <w:t>Amortization of debt discount and issuance cost</w:t>
            </w:r>
          </w:p>
        </w:tc>
        <w:tc>
          <w:tcPr>
            <w:tcW w:w="8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interest expense</w:t>
            </w:r>
          </w:p>
        </w:tc>
        <w:tc>
          <w:tcPr>
            <w:tcW w:w="8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84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(1,742 )</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5"/>
          </w:tcPr>
          <w:p>
            <w:pPr>
              <w:jc w:val="right"/>
              <w:ind w:right="20"/>
              <w:spacing w:after="0"/>
              <w:rPr>
                <w:sz w:val="20"/>
                <w:szCs w:val="20"/>
                <w:color w:val="auto"/>
              </w:rPr>
            </w:pPr>
            <w:r>
              <w:rPr>
                <w:rFonts w:ascii="Arial" w:cs="Arial" w:eastAsia="Arial" w:hAnsi="Arial"/>
                <w:sz w:val="18"/>
                <w:szCs w:val="18"/>
                <w:color w:val="auto"/>
                <w:w w:val="90"/>
              </w:rPr>
              <w:t>(5,194 )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4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interest expense, net</w:t>
            </w:r>
          </w:p>
        </w:tc>
        <w:tc>
          <w:tcPr>
            <w:tcW w:w="840" w:type="dxa"/>
            <w:vAlign w:val="bottom"/>
            <w:tcBorders>
              <w:top w:val="single" w:sz="8" w:color="auto"/>
              <w:bottom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2,529</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center"/>
              <w:ind w:right="482"/>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2,734</w:t>
            </w:r>
          </w:p>
        </w:tc>
        <w:tc>
          <w:tcPr>
            <w:tcW w:w="2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jc w:val="right"/>
              <w:ind w:right="359"/>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7,875</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60" w:type="dxa"/>
            <w:vAlign w:val="bottom"/>
            <w:gridSpan w:val="18"/>
          </w:tcPr>
          <w:p>
            <w:pPr>
              <w:ind w:left="520"/>
              <w:spacing w:after="0"/>
              <w:rPr>
                <w:sz w:val="20"/>
                <w:szCs w:val="20"/>
                <w:color w:val="auto"/>
              </w:rPr>
            </w:pPr>
            <w:r>
              <w:rPr>
                <w:rFonts w:ascii="Arial" w:cs="Arial" w:eastAsia="Arial" w:hAnsi="Arial"/>
                <w:sz w:val="18"/>
                <w:szCs w:val="18"/>
                <w:color w:val="auto"/>
                <w:w w:val="89"/>
              </w:rPr>
              <w:t>The estimated future principal payments under our total long-term debt as of September 30, 2023 are as follows (in thousands):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Amounts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2026</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195,625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8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4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future principal payments</w:t>
            </w:r>
          </w:p>
        </w:tc>
        <w:tc>
          <w:tcPr>
            <w:tcW w:w="8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223,750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4980" w:type="dxa"/>
            <w:vAlign w:val="bottom"/>
          </w:tcPr>
          <w:p>
            <w:pPr>
              <w:spacing w:after="0"/>
              <w:rPr>
                <w:sz w:val="20"/>
                <w:szCs w:val="20"/>
                <w:color w:val="auto"/>
              </w:rPr>
            </w:pPr>
            <w:r>
              <w:rPr>
                <w:rFonts w:ascii="Arial" w:cs="Arial" w:eastAsia="Arial" w:hAnsi="Arial"/>
                <w:sz w:val="18"/>
                <w:szCs w:val="18"/>
                <w:b w:val="1"/>
                <w:bCs w:val="1"/>
                <w:color w:val="auto"/>
              </w:rPr>
              <w:t>9. Commitments and Contingencies</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80" w:type="dxa"/>
            <w:vAlign w:val="bottom"/>
          </w:tcPr>
          <w:p>
            <w:pPr>
              <w:spacing w:after="0"/>
              <w:rPr>
                <w:sz w:val="20"/>
                <w:szCs w:val="20"/>
                <w:color w:val="auto"/>
              </w:rPr>
            </w:pPr>
            <w:r>
              <w:rPr>
                <w:rFonts w:ascii="Arial" w:cs="Arial" w:eastAsia="Arial" w:hAnsi="Arial"/>
                <w:sz w:val="18"/>
                <w:szCs w:val="18"/>
                <w:b w:val="1"/>
                <w:bCs w:val="1"/>
                <w:i w:val="1"/>
                <w:iCs w:val="1"/>
                <w:color w:val="auto"/>
              </w:rPr>
              <w:t>Product Warranties</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2"/>
          </w:tcPr>
          <w:p>
            <w:pPr>
              <w:ind w:left="520"/>
              <w:spacing w:after="0"/>
              <w:rPr>
                <w:sz w:val="20"/>
                <w:szCs w:val="20"/>
                <w:color w:val="auto"/>
              </w:rPr>
            </w:pPr>
            <w:r>
              <w:rPr>
                <w:rFonts w:ascii="Arial" w:cs="Arial" w:eastAsia="Arial" w:hAnsi="Arial"/>
                <w:sz w:val="18"/>
                <w:szCs w:val="18"/>
                <w:color w:val="auto"/>
                <w:w w:val="97"/>
              </w:rPr>
              <w:t>Changes in our warranty obligations were as follows (in thousands):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7"/>
            <w:vMerge w:val="restart"/>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8"/>
            <w:vMerge w:val="restart"/>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9"/>
        </w:trPr>
        <w:tc>
          <w:tcPr>
            <w:tcW w:w="4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gridSpan w:val="2"/>
          </w:tcPr>
          <w:p>
            <w:pPr>
              <w:jc w:val="center"/>
              <w:ind w:right="322"/>
              <w:spacing w:after="0"/>
              <w:rPr>
                <w:sz w:val="20"/>
                <w:szCs w:val="20"/>
                <w:color w:val="auto"/>
              </w:rPr>
            </w:pPr>
            <w:r>
              <w:rPr>
                <w:rFonts w:ascii="Arial" w:cs="Arial" w:eastAsia="Arial" w:hAnsi="Arial"/>
                <w:sz w:val="14"/>
                <w:szCs w:val="14"/>
                <w:b w:val="1"/>
                <w:bCs w:val="1"/>
                <w:color w:val="auto"/>
                <w:w w:val="89"/>
              </w:rPr>
              <w:t>2023</w:t>
            </w: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gridSpan w:val="2"/>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83"/>
              </w:rPr>
              <w:t>2023</w:t>
            </w:r>
          </w:p>
        </w:tc>
        <w:tc>
          <w:tcPr>
            <w:tcW w:w="1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80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gridSpan w:val="2"/>
          </w:tcPr>
          <w:p>
            <w:pPr>
              <w:spacing w:after="0"/>
              <w:rPr>
                <w:sz w:val="5"/>
                <w:szCs w:val="5"/>
                <w:color w:val="auto"/>
              </w:rPr>
            </w:pPr>
          </w:p>
        </w:tc>
        <w:tc>
          <w:tcPr>
            <w:tcW w:w="740" w:type="dxa"/>
            <w:vAlign w:val="bottom"/>
            <w:gridSpan w:val="5"/>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of the period</w:t>
            </w:r>
          </w:p>
        </w:tc>
        <w:tc>
          <w:tcPr>
            <w:tcW w:w="8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4,743</w:t>
            </w:r>
          </w:p>
        </w:tc>
        <w:tc>
          <w:tcPr>
            <w:tcW w:w="2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4,765</w:t>
            </w:r>
          </w:p>
        </w:tc>
        <w:tc>
          <w:tcPr>
            <w:tcW w:w="260" w:type="dxa"/>
            <w:vAlign w:val="bottom"/>
            <w:shd w:val="clear" w:color="auto" w:fill="CFF0FC"/>
          </w:tcPr>
          <w:p>
            <w:pPr>
              <w:spacing w:after="0"/>
              <w:rPr>
                <w:sz w:val="21"/>
                <w:szCs w:val="21"/>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7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3,685</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80" w:type="dxa"/>
            <w:vAlign w:val="bottom"/>
          </w:tcPr>
          <w:p>
            <w:pPr>
              <w:ind w:left="200"/>
              <w:spacing w:after="0"/>
              <w:rPr>
                <w:sz w:val="20"/>
                <w:szCs w:val="20"/>
                <w:color w:val="auto"/>
              </w:rPr>
            </w:pPr>
            <w:r>
              <w:rPr>
                <w:rFonts w:ascii="Arial" w:cs="Arial" w:eastAsia="Arial" w:hAnsi="Arial"/>
                <w:sz w:val="18"/>
                <w:szCs w:val="18"/>
                <w:color w:val="auto"/>
              </w:rPr>
              <w:t>Warranty provision related to products shipped</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2,419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6,439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Deductions for warranty claims processed</w:t>
            </w: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(1,514 )</w:t>
            </w: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(1,449 )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gridSpan w:val="6"/>
            <w:shd w:val="clear" w:color="auto" w:fill="CFF0FC"/>
          </w:tcPr>
          <w:p>
            <w:pPr>
              <w:jc w:val="right"/>
              <w:ind w:right="148"/>
              <w:spacing w:after="0"/>
              <w:rPr>
                <w:sz w:val="20"/>
                <w:szCs w:val="20"/>
                <w:color w:val="auto"/>
              </w:rPr>
            </w:pPr>
            <w:r>
              <w:rPr>
                <w:rFonts w:ascii="Arial" w:cs="Arial" w:eastAsia="Arial" w:hAnsi="Arial"/>
                <w:sz w:val="18"/>
                <w:szCs w:val="18"/>
                <w:color w:val="auto"/>
              </w:rPr>
              <w:t>(4,476 )</w:t>
            </w:r>
          </w:p>
        </w:tc>
        <w:tc>
          <w:tcPr>
            <w:tcW w:w="2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(4,804 )</w:t>
            </w:r>
          </w:p>
        </w:tc>
        <w:tc>
          <w:tcPr>
            <w:tcW w:w="0" w:type="dxa"/>
            <w:vAlign w:val="bottom"/>
          </w:tcPr>
          <w:p>
            <w:pPr>
              <w:spacing w:after="0"/>
              <w:rPr>
                <w:sz w:val="1"/>
                <w:szCs w:val="1"/>
                <w:color w:val="auto"/>
              </w:rPr>
            </w:pPr>
          </w:p>
        </w:tc>
      </w:tr>
      <w:tr>
        <w:trPr>
          <w:trHeight w:val="236"/>
        </w:trPr>
        <w:tc>
          <w:tcPr>
            <w:tcW w:w="49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 of period</w:t>
            </w:r>
          </w:p>
        </w:tc>
        <w:tc>
          <w:tcPr>
            <w:tcW w:w="84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5,648</w:t>
            </w:r>
          </w:p>
        </w:tc>
        <w:tc>
          <w:tcPr>
            <w:tcW w:w="20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3,560</w:t>
            </w:r>
          </w:p>
        </w:tc>
        <w:tc>
          <w:tcPr>
            <w:tcW w:w="26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5,648</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-3398520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-3381375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-3398520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-3381375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-3398520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-3381375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-3398520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-3381375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-1874520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-1857375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-187960</wp:posOffset>
            </wp:positionV>
            <wp:extent cx="76835"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-187960</wp:posOffset>
            </wp:positionV>
            <wp:extent cx="6858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-187960</wp:posOffset>
            </wp:positionV>
            <wp:extent cx="6858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ind w:right="600" w:firstLine="509"/>
        <w:spacing w:after="0" w:line="269" w:lineRule="auto"/>
        <w:rPr>
          <w:sz w:val="20"/>
          <w:szCs w:val="20"/>
          <w:color w:val="auto"/>
        </w:rPr>
      </w:pPr>
      <w:r>
        <w:rPr>
          <w:rFonts w:ascii="Arial" w:cs="Arial" w:eastAsia="Arial" w:hAnsi="Arial"/>
          <w:sz w:val="17"/>
          <w:szCs w:val="17"/>
          <w:color w:val="auto"/>
        </w:rPr>
        <w:t>In the normal course of business, we enter into various purchase commitments for goods or services. Our long-term non-cancelable purchase commitments consist primarily of multi-year contractual arrangements relating to subscriptions for cloud computing hosting arrangements for our enterprise resource planning (ERP) system and the related support services as well as marketing sponsorships. Long-term non-cancelable purchase commitments as of September 30, 2023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5"/>
                <w:szCs w:val="15"/>
                <w:color w:val="auto"/>
              </w:rPr>
            </w:pPr>
          </w:p>
        </w:tc>
      </w:tr>
      <w:tr>
        <w:trPr>
          <w:trHeight w:val="61"/>
        </w:trPr>
        <w:tc>
          <w:tcPr>
            <w:tcW w:w="9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20"/>
                <w:szCs w:val="20"/>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9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6"/>
        </w:trPr>
        <w:tc>
          <w:tcPr>
            <w:tcW w:w="9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85"/>
        </w:trPr>
        <w:tc>
          <w:tcPr>
            <w:tcW w:w="9240" w:type="dxa"/>
            <w:vAlign w:val="bottom"/>
          </w:tcPr>
          <w:p>
            <w:pPr>
              <w:ind w:left="520"/>
              <w:spacing w:after="0"/>
              <w:rPr>
                <w:sz w:val="20"/>
                <w:szCs w:val="20"/>
                <w:color w:val="auto"/>
              </w:rPr>
            </w:pPr>
            <w:r>
              <w:rPr>
                <w:rFonts w:ascii="Arial" w:cs="Arial" w:eastAsia="Arial" w:hAnsi="Arial"/>
                <w:sz w:val="18"/>
                <w:szCs w:val="18"/>
                <w:color w:val="auto"/>
                <w:w w:val="94"/>
              </w:rPr>
              <w:t>Our total long term non-cancelable purchase commitments outstanding as of December 31, 2022 were $3.8 million.</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There were no letters of credit outstanding, as of September 30, 2023 and December 31, 2022. No amounts have been drawn upon letters of credit for all periods presented.</w:t>
      </w:r>
    </w:p>
    <w:p>
      <w:pPr>
        <w:sectPr>
          <w:pgSz w:w="11900" w:h="16838" w:orient="portrait"/>
          <w:cols w:equalWidth="0" w:num="1">
            <w:col w:w="11240"/>
          </w:cols>
          <w:pgMar w:left="320" w:top="364"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may from time to time be involved in various claims and legal proceedings of a character normally incident to the ordinary course of business. Litigation can be expensive and disruptive to normal business operations, and the results of complex legal proceedings are difficult to predict, and our view of these matters may change in the future as the litigation and events related thereto unfold. We expense legal fees as incurred and we record a provision for contingent losses when it is both probable that a liability has been incurred and the amount of the loss can be reasonably estimated. Based on currently available information, we believe there are no existing claims or proceedings that are likely to have a material adverse effect on our financial position, or the outcome of these matters is currently not determinable. An unfavorable outcome to any legal matter, if material, could have an adverse effect on our operations or financial position, liquidity of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consolidated balance sheets, statements of operations, or statements of cash flows. We currently have directors’ and officers’ insurance.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ind w:right="140" w:firstLine="509"/>
        <w:spacing w:after="0" w:line="286" w:lineRule="auto"/>
        <w:rPr>
          <w:sz w:val="20"/>
          <w:szCs w:val="20"/>
          <w:color w:val="auto"/>
        </w:rPr>
      </w:pPr>
      <w:r>
        <w:rPr>
          <w:rFonts w:ascii="Arial" w:cs="Arial" w:eastAsia="Arial" w:hAnsi="Arial"/>
          <w:sz w:val="17"/>
          <w:szCs w:val="17"/>
          <w:color w:val="auto"/>
        </w:rPr>
        <w:t>On September 25, 2020, in connection with the closing of the IPO, we filed an Amended and Restated Certificate of Incorporation which increased the authorized shares of common stock for issuance to 300,000,000 and authorized 5,000,000 shares of preferred stock, with a par value of $0.0001 per share, for issuance. There were no shares of preferred stock outstanding as of September 30, 2023 and December 31,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Shelf-Registration Statement</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On July 22, 2022, we filed a shelf registration statement on Form S-3 with the SEC, which was declared effective August 1, 2022 (the “2022 Shelf Registration Statement”). The 2022 Shelf Registration Statement registered securities to be offered by us, in an amount up to $300.0 million, including common stock, preferred stock and warrants. In addition, the 2022 Shelf Registration Statement registered 54,179,559 shares of common stock held by the selling securityholders named in the 2022 Shelf Registration Statement. We will not receive any of the proceeds from the sale of the shares registered by the selling securityholders.</w:t>
      </w:r>
    </w:p>
    <w:p>
      <w:pPr>
        <w:spacing w:after="0" w:line="83"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November 2022, we sold 4,545,455 shares of common stock at a price of $16.50 per share in a registered underwritten public offering pursuant to the 2022 Shelf Registration Statement. Following the partial exercise in December 2022 by the underwriters of their option to purchase additional shares, we sold an additional 500,000 shares. The total proceeds from the underwritten public offering, net of underwriting discounts, commission and offering expenses, were approximately $81.0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Incentive Plans and Stock-Based Compensation</w:t>
      </w:r>
    </w:p>
    <w:p>
      <w:pPr>
        <w:spacing w:after="0" w:line="121"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As of September 30, 2023, we have two active equity incentive plans: the 2020 Equity Incentive Plan and the Employee Stock Purchase Plan (“ESPP”).</w:t>
      </w:r>
    </w:p>
    <w:p>
      <w:pPr>
        <w:spacing w:after="0" w:line="62" w:lineRule="exact"/>
        <w:rPr>
          <w:sz w:val="20"/>
          <w:szCs w:val="20"/>
          <w:color w:val="auto"/>
        </w:rPr>
      </w:pPr>
    </w:p>
    <w:p>
      <w:pPr>
        <w:ind w:right="700" w:firstLine="509"/>
        <w:spacing w:after="0" w:line="258" w:lineRule="auto"/>
        <w:rPr>
          <w:sz w:val="20"/>
          <w:szCs w:val="20"/>
          <w:color w:val="auto"/>
        </w:rPr>
      </w:pPr>
      <w:r>
        <w:rPr>
          <w:rFonts w:ascii="Arial" w:cs="Arial" w:eastAsia="Arial" w:hAnsi="Arial"/>
          <w:sz w:val="18"/>
          <w:szCs w:val="18"/>
          <w:color w:val="auto"/>
        </w:rPr>
        <w:t>The following table summarizes stock-based compensation expense by line item in the condensed consolidated statements of operations (in thousands):</w:t>
      </w:r>
    </w:p>
    <w:tbl>
      <w:tblPr>
        <w:tblLayout w:type="fixed"/>
        <w:tblInd w:w="0" w:type="dxa"/>
        <w:tblCellMar>
          <w:top w:w="0" w:type="dxa"/>
          <w:left w:w="0" w:type="dxa"/>
          <w:bottom w:w="0" w:type="dxa"/>
          <w:right w:w="0" w:type="dxa"/>
        </w:tblCellMar>
      </w:tblPr>
      <w:tr>
        <w:trPr>
          <w:trHeight w:val="140"/>
        </w:trPr>
        <w:tc>
          <w:tcPr>
            <w:tcW w:w="5920" w:type="dxa"/>
            <w:vAlign w:val="bottom"/>
          </w:tcPr>
          <w:p>
            <w:pPr>
              <w:spacing w:after="0"/>
              <w:rPr>
                <w:sz w:val="12"/>
                <w:szCs w:val="12"/>
                <w:color w:val="auto"/>
              </w:rPr>
            </w:pPr>
          </w:p>
        </w:tc>
        <w:tc>
          <w:tcPr>
            <w:tcW w:w="2240" w:type="dxa"/>
            <w:vAlign w:val="bottom"/>
            <w:gridSpan w:val="4"/>
          </w:tcPr>
          <w:p>
            <w:pPr>
              <w:jc w:val="right"/>
              <w:ind w:right="176"/>
              <w:spacing w:after="0" w:line="140" w:lineRule="exact"/>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4"/>
          </w:tcPr>
          <w:p>
            <w:pPr>
              <w:jc w:val="right"/>
              <w:ind w:right="473"/>
              <w:spacing w:after="0" w:line="140"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2"/>
                <w:szCs w:val="12"/>
                <w:color w:val="auto"/>
              </w:rPr>
            </w:pPr>
          </w:p>
        </w:tc>
      </w:tr>
      <w:tr>
        <w:trPr>
          <w:trHeight w:val="185"/>
        </w:trPr>
        <w:tc>
          <w:tcPr>
            <w:tcW w:w="59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61"/>
        </w:trPr>
        <w:tc>
          <w:tcPr>
            <w:tcW w:w="5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740" w:type="dxa"/>
            <w:vAlign w:val="bottom"/>
            <w:shd w:val="clear" w:color="auto" w:fill="CFF0FC"/>
          </w:tcPr>
          <w:p>
            <w:pPr>
              <w:jc w:val="right"/>
              <w:ind w:right="55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060" w:type="dxa"/>
            <w:vAlign w:val="bottom"/>
            <w:gridSpan w:val="2"/>
            <w:shd w:val="clear" w:color="auto" w:fill="CFF0FC"/>
          </w:tcPr>
          <w:p>
            <w:pPr>
              <w:jc w:val="right"/>
              <w:ind w:right="6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w:t>
            </w:r>
          </w:p>
        </w:tc>
        <w:tc>
          <w:tcPr>
            <w:tcW w:w="5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FF0FC"/>
          </w:tcPr>
          <w:p>
            <w:pPr>
              <w:spacing w:after="0"/>
              <w:rPr>
                <w:sz w:val="21"/>
                <w:szCs w:val="21"/>
                <w:color w:val="auto"/>
              </w:rPr>
            </w:pPr>
          </w:p>
        </w:tc>
      </w:tr>
      <w:tr>
        <w:trPr>
          <w:trHeight w:val="236"/>
        </w:trPr>
        <w:tc>
          <w:tcPr>
            <w:tcW w:w="5920" w:type="dxa"/>
            <w:vAlign w:val="bottom"/>
          </w:tcPr>
          <w:p>
            <w:pPr>
              <w:ind w:left="20"/>
              <w:spacing w:after="0"/>
              <w:rPr>
                <w:sz w:val="20"/>
                <w:szCs w:val="20"/>
                <w:color w:val="auto"/>
              </w:rPr>
            </w:pPr>
            <w:r>
              <w:rPr>
                <w:rFonts w:ascii="Arial" w:cs="Arial" w:eastAsia="Arial" w:hAnsi="Arial"/>
                <w:sz w:val="18"/>
                <w:szCs w:val="18"/>
                <w:color w:val="auto"/>
              </w:rPr>
              <w:t>Sales, general and administrative</w:t>
            </w:r>
          </w:p>
        </w:tc>
        <w:tc>
          <w:tcPr>
            <w:tcW w:w="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6,243</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4,505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18,721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13,518</w:t>
            </w:r>
          </w:p>
        </w:tc>
        <w:tc>
          <w:tcPr>
            <w:tcW w:w="100" w:type="dxa"/>
            <w:vAlign w:val="bottom"/>
          </w:tcPr>
          <w:p>
            <w:pPr>
              <w:spacing w:after="0"/>
              <w:rPr>
                <w:sz w:val="20"/>
                <w:szCs w:val="20"/>
                <w:color w:val="auto"/>
              </w:rPr>
            </w:pPr>
          </w:p>
        </w:tc>
      </w:tr>
      <w:tr>
        <w:trPr>
          <w:trHeight w:val="243"/>
        </w:trPr>
        <w:tc>
          <w:tcPr>
            <w:tcW w:w="5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7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1,013</w:t>
            </w:r>
          </w:p>
        </w:tc>
        <w:tc>
          <w:tcPr>
            <w:tcW w:w="2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2"/>
        </w:trPr>
        <w:tc>
          <w:tcPr>
            <w:tcW w:w="5920" w:type="dxa"/>
            <w:vAlign w:val="bottom"/>
          </w:tcPr>
          <w:p>
            <w:pPr>
              <w:ind w:left="200"/>
              <w:spacing w:after="0" w:line="242" w:lineRule="exact"/>
              <w:rPr>
                <w:sz w:val="20"/>
                <w:szCs w:val="20"/>
                <w:color w:val="auto"/>
              </w:rPr>
            </w:pPr>
            <w:r>
              <w:rPr>
                <w:rFonts w:ascii="Arial" w:cs="Arial" w:eastAsia="Arial" w:hAnsi="Arial"/>
                <w:sz w:val="18"/>
                <w:szCs w:val="18"/>
                <w:color w:val="auto"/>
              </w:rPr>
              <w:t xml:space="preserve">Stock-based compensation expense, net of amounts capitalized </w:t>
            </w:r>
            <w:r>
              <w:rPr>
                <w:rFonts w:ascii="Arial" w:cs="Arial" w:eastAsia="Arial" w:hAnsi="Arial"/>
                <w:sz w:val="24"/>
                <w:szCs w:val="24"/>
                <w:color w:val="auto"/>
                <w:vertAlign w:val="superscript"/>
              </w:rPr>
              <w:t>(1)</w:t>
            </w:r>
          </w:p>
        </w:tc>
        <w:tc>
          <w:tcPr>
            <w:tcW w:w="74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7,825</w:t>
            </w:r>
          </w:p>
        </w:tc>
        <w:tc>
          <w:tcPr>
            <w:tcW w:w="260" w:type="dxa"/>
            <w:vAlign w:val="bottom"/>
          </w:tcPr>
          <w:p>
            <w:pPr>
              <w:spacing w:after="0"/>
              <w:rPr>
                <w:sz w:val="21"/>
                <w:szCs w:val="21"/>
                <w:color w:val="auto"/>
              </w:rPr>
            </w:pP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5,643</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23,269</w:t>
            </w:r>
          </w:p>
        </w:tc>
        <w:tc>
          <w:tcPr>
            <w:tcW w:w="2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16,881</w:t>
            </w:r>
          </w:p>
        </w:tc>
        <w:tc>
          <w:tcPr>
            <w:tcW w:w="100" w:type="dxa"/>
            <w:vAlign w:val="bottom"/>
          </w:tcPr>
          <w:p>
            <w:pPr>
              <w:spacing w:after="0"/>
              <w:rPr>
                <w:sz w:val="21"/>
                <w:szCs w:val="21"/>
                <w:color w:val="auto"/>
              </w:rPr>
            </w:pPr>
          </w:p>
        </w:tc>
      </w:tr>
      <w:tr>
        <w:trPr>
          <w:trHeight w:val="20"/>
        </w:trPr>
        <w:tc>
          <w:tcPr>
            <w:tcW w:w="5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benefits related to stock-based compensation expense</w:t>
            </w:r>
          </w:p>
        </w:tc>
        <w:tc>
          <w:tcPr>
            <w:tcW w:w="740" w:type="dxa"/>
            <w:vAlign w:val="bottom"/>
            <w:tcBorders>
              <w:top w:val="single" w:sz="8" w:color="auto"/>
            </w:tcBorders>
            <w:shd w:val="clear" w:color="auto" w:fill="CFF0FC"/>
          </w:tcPr>
          <w:p>
            <w:pPr>
              <w:jc w:val="right"/>
              <w:ind w:right="55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2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-341630</wp:posOffset>
            </wp:positionV>
            <wp:extent cx="76835"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-341630</wp:posOffset>
            </wp:positionV>
            <wp:extent cx="6858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-341630</wp:posOffset>
            </wp:positionV>
            <wp:extent cx="6858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-341630</wp:posOffset>
            </wp:positionV>
            <wp:extent cx="6858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6" w:lineRule="exact"/>
        <w:rPr>
          <w:sz w:val="20"/>
          <w:szCs w:val="20"/>
          <w:color w:val="auto"/>
        </w:rPr>
      </w:pPr>
    </w:p>
    <w:p>
      <w:pPr>
        <w:ind w:left="840" w:right="120" w:hanging="368"/>
        <w:spacing w:after="0" w:line="292" w:lineRule="auto"/>
        <w:tabs>
          <w:tab w:leader="none" w:pos="840" w:val="left"/>
        </w:tabs>
        <w:numPr>
          <w:ilvl w:val="0"/>
          <w:numId w:val="8"/>
        </w:numPr>
        <w:rPr>
          <w:rFonts w:ascii="Arial" w:cs="Arial" w:eastAsia="Arial" w:hAnsi="Arial"/>
          <w:sz w:val="14"/>
          <w:szCs w:val="14"/>
          <w:color w:val="auto"/>
        </w:rPr>
      </w:pPr>
      <w:r>
        <w:rPr>
          <w:rFonts w:ascii="Arial" w:cs="Arial" w:eastAsia="Arial" w:hAnsi="Arial"/>
          <w:sz w:val="16"/>
          <w:szCs w:val="16"/>
          <w:color w:val="auto"/>
        </w:rPr>
        <w:t>Total stock-based compensation expense capitalized in inventory, internally developed software, and cloud computing arrangement implementation costs were not material for each of the periods presented.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40" w:firstLine="509"/>
        <w:spacing w:after="0" w:line="258" w:lineRule="auto"/>
        <w:rPr>
          <w:sz w:val="20"/>
          <w:szCs w:val="20"/>
          <w:color w:val="auto"/>
        </w:rPr>
      </w:pPr>
      <w:r>
        <w:rPr>
          <w:rFonts w:ascii="Arial" w:cs="Arial" w:eastAsia="Arial" w:hAnsi="Arial"/>
          <w:sz w:val="18"/>
          <w:szCs w:val="18"/>
          <w:color w:val="auto"/>
        </w:rPr>
        <w:t>The following table summarizes by type of grant, the total unrecognized stock-based compensation expense and the remaining period over which such expense is expected to be recognized (in thousands, except number of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133"/>
        </w:trPr>
        <w:tc>
          <w:tcPr>
            <w:tcW w:w="7660" w:type="dxa"/>
            <w:vAlign w:val="bottom"/>
          </w:tcPr>
          <w:p>
            <w:pPr>
              <w:spacing w:after="0"/>
              <w:rPr>
                <w:sz w:val="11"/>
                <w:szCs w:val="11"/>
                <w:color w:val="auto"/>
              </w:rPr>
            </w:pPr>
          </w:p>
        </w:tc>
        <w:tc>
          <w:tcPr>
            <w:tcW w:w="158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4"/>
              </w:rPr>
              <w:t>Unrecognized Expense</w:t>
            </w:r>
          </w:p>
        </w:tc>
        <w:tc>
          <w:tcPr>
            <w:tcW w:w="200" w:type="dxa"/>
            <w:vAlign w:val="bottom"/>
          </w:tcPr>
          <w:p>
            <w:pPr>
              <w:spacing w:after="0"/>
              <w:rPr>
                <w:sz w:val="11"/>
                <w:szCs w:val="11"/>
                <w:color w:val="auto"/>
              </w:rPr>
            </w:pPr>
          </w:p>
        </w:tc>
        <w:tc>
          <w:tcPr>
            <w:tcW w:w="1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Remaining weighted</w:t>
            </w:r>
          </w:p>
        </w:tc>
        <w:tc>
          <w:tcPr>
            <w:tcW w:w="0" w:type="dxa"/>
            <w:vAlign w:val="bottom"/>
          </w:tcPr>
          <w:p>
            <w:pPr>
              <w:spacing w:after="0"/>
              <w:rPr>
                <w:sz w:val="1"/>
                <w:szCs w:val="1"/>
                <w:color w:val="auto"/>
              </w:rPr>
            </w:pPr>
          </w:p>
        </w:tc>
      </w:tr>
      <w:tr>
        <w:trPr>
          <w:trHeight w:val="185"/>
        </w:trPr>
        <w:tc>
          <w:tcPr>
            <w:tcW w:w="766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average period (In years)</w:t>
            </w:r>
          </w:p>
        </w:tc>
        <w:tc>
          <w:tcPr>
            <w:tcW w:w="0" w:type="dxa"/>
            <w:vAlign w:val="bottom"/>
          </w:tcPr>
          <w:p>
            <w:pPr>
              <w:spacing w:after="0"/>
              <w:rPr>
                <w:sz w:val="1"/>
                <w:szCs w:val="1"/>
                <w:color w:val="auto"/>
              </w:rPr>
            </w:pPr>
          </w:p>
        </w:tc>
      </w:tr>
      <w:tr>
        <w:trPr>
          <w:trHeight w:val="61"/>
        </w:trPr>
        <w:tc>
          <w:tcPr>
            <w:tcW w:w="7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580" w:type="dxa"/>
            <w:vAlign w:val="bottom"/>
            <w:shd w:val="clear" w:color="auto" w:fill="CFF0FC"/>
          </w:tcPr>
          <w:p>
            <w:pPr>
              <w:jc w:val="right"/>
              <w:ind w:right="39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28,335</w:t>
            </w:r>
          </w:p>
        </w:tc>
        <w:tc>
          <w:tcPr>
            <w:tcW w:w="20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33,710</w:t>
            </w:r>
          </w:p>
        </w:tc>
        <w:tc>
          <w:tcPr>
            <w:tcW w:w="200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4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ESPP</w:t>
            </w:r>
          </w:p>
        </w:tc>
        <w:tc>
          <w:tcPr>
            <w:tcW w:w="5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000" w:type="dxa"/>
            <w:vAlign w:val="bottom"/>
            <w:tcBorders>
              <w:bottom w:val="single" w:sz="8" w:color="CFF0FC"/>
            </w:tcBorders>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Total unrecognized stock-based compensation expense</w:t>
            </w: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62,511</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-187960</wp:posOffset>
            </wp:positionV>
            <wp:extent cx="6858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total intrinsic value of options exercised was $0.6 million and $0.4 million for the three months ended September 30, 2023 and 2022, respectively, and was $10.5 million and $4.4 million for the nine months ended September 30, 2023 and 2022, respectively. The total fair value of restricted stock units vested was $2.9 million and $1.1 million for the three months ended September 30, 2023 and 2022, respectively, and was $11.2 million and $4.0 million for the nine months ended September 30, 2023 and 2022,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calculation of basic and diluted net income (loss) per share (in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4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61"/>
        </w:trPr>
        <w:tc>
          <w:tcPr>
            <w:tcW w:w="5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(2,886 )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(5,945 )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(8,613 )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(61,064 )</w:t>
            </w:r>
          </w:p>
        </w:tc>
      </w:tr>
      <w:tr>
        <w:trPr>
          <w:trHeight w:val="249"/>
        </w:trPr>
        <w:tc>
          <w:tcPr>
            <w:tcW w:w="58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Less: Net income attributable to noncontrolling interest</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880" w:type="dxa"/>
            <w:vAlign w:val="bottom"/>
          </w:tcPr>
          <w:p>
            <w:pPr>
              <w:ind w:left="120"/>
              <w:spacing w:after="0"/>
              <w:rPr>
                <w:sz w:val="20"/>
                <w:szCs w:val="20"/>
                <w:color w:val="auto"/>
              </w:rPr>
            </w:pPr>
            <w:r>
              <w:rPr>
                <w:rFonts w:ascii="Arial" w:cs="Arial" w:eastAsia="Arial" w:hAnsi="Arial"/>
                <w:sz w:val="18"/>
                <w:szCs w:val="18"/>
                <w:color w:val="auto"/>
              </w:rPr>
              <w:t>Net loss attributable to Corsair Gaming, Inc.</w:t>
            </w:r>
          </w:p>
        </w:tc>
        <w:tc>
          <w:tcPr>
            <w:tcW w:w="26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(3,079 )</w:t>
            </w:r>
          </w:p>
        </w:tc>
        <w:tc>
          <w:tcPr>
            <w:tcW w:w="36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(6,211 )</w:t>
            </w:r>
          </w:p>
        </w:tc>
        <w:tc>
          <w:tcPr>
            <w:tcW w:w="26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(9,571 )</w:t>
            </w:r>
          </w:p>
        </w:tc>
        <w:tc>
          <w:tcPr>
            <w:tcW w:w="3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(61,097 )</w:t>
            </w:r>
          </w:p>
        </w:tc>
      </w:tr>
      <w:tr>
        <w:trPr>
          <w:trHeight w:val="249"/>
        </w:trPr>
        <w:tc>
          <w:tcPr>
            <w:tcW w:w="5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 in redemption value of redeemable noncontrolling interest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(2,690 )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6,535</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(12,330 )</w:t>
            </w:r>
          </w:p>
        </w:tc>
      </w:tr>
      <w:tr>
        <w:trPr>
          <w:trHeight w:val="20"/>
        </w:trPr>
        <w:tc>
          <w:tcPr>
            <w:tcW w:w="5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588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 of Corsair Gaming,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(3,079 )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(8,901 )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(3,036 )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(73,427 )</w:t>
            </w:r>
          </w:p>
        </w:tc>
      </w:tr>
      <w:tr>
        <w:trPr>
          <w:trHeight w:val="20"/>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102,863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95,858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102,288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95,537</w:t>
            </w:r>
          </w:p>
        </w:tc>
        <w:tc>
          <w:tcPr>
            <w:tcW w:w="100" w:type="dxa"/>
            <w:vAlign w:val="bottom"/>
          </w:tcPr>
          <w:p>
            <w:pPr>
              <w:spacing w:after="0"/>
              <w:rPr>
                <w:sz w:val="20"/>
                <w:szCs w:val="20"/>
                <w:color w:val="auto"/>
              </w:rPr>
            </w:pPr>
          </w:p>
        </w:tc>
      </w:tr>
      <w:tr>
        <w:trPr>
          <w:trHeight w:val="249"/>
        </w:trPr>
        <w:tc>
          <w:tcPr>
            <w:tcW w:w="588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Effect of dilutive securities </w:t>
            </w:r>
            <w:r>
              <w:rPr>
                <w:rFonts w:ascii="Arial" w:cs="Arial" w:eastAsia="Arial" w:hAnsi="Arial"/>
                <w:sz w:val="24"/>
                <w:szCs w:val="24"/>
                <w:color w:val="auto"/>
                <w:vertAlign w:val="superscript"/>
              </w:rPr>
              <w:t>(1)</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58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diluted weighted-average shares outstanding</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102,863</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95,858</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102,288</w:t>
            </w:r>
          </w:p>
        </w:tc>
        <w:tc>
          <w:tcPr>
            <w:tcW w:w="2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95,537</w:t>
            </w:r>
          </w:p>
        </w:tc>
        <w:tc>
          <w:tcPr>
            <w:tcW w:w="100" w:type="dxa"/>
            <w:vAlign w:val="bottom"/>
            <w:tcBorders>
              <w:top w:val="single" w:sz="8" w:color="CFF0FC"/>
            </w:tcBorders>
          </w:tcPr>
          <w:p>
            <w:pPr>
              <w:spacing w:after="0"/>
              <w:rPr>
                <w:sz w:val="20"/>
                <w:szCs w:val="20"/>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 per share attributable to common stockholders of Corsair</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Gaming, Inc.:</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880" w:type="dxa"/>
            <w:vAlign w:val="bottom"/>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(0.03 )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(0.09 )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(0.03 )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(0.77 )</w:t>
            </w:r>
          </w:p>
        </w:tc>
      </w:tr>
      <w:tr>
        <w:trPr>
          <w:trHeight w:val="20"/>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412"/>
        </w:trPr>
        <w:tc>
          <w:tcPr>
            <w:tcW w:w="5880" w:type="dxa"/>
            <w:vAlign w:val="bottom"/>
          </w:tcPr>
          <w:p>
            <w:pPr>
              <w:ind w:left="20"/>
              <w:spacing w:after="0"/>
              <w:rPr>
                <w:sz w:val="20"/>
                <w:szCs w:val="20"/>
                <w:color w:val="auto"/>
              </w:rPr>
            </w:pPr>
            <w:r>
              <w:rPr>
                <w:rFonts w:ascii="Arial" w:cs="Arial" w:eastAsia="Arial" w:hAnsi="Arial"/>
                <w:sz w:val="18"/>
                <w:szCs w:val="18"/>
                <w:color w:val="auto"/>
              </w:rPr>
              <w:t xml:space="preserve">Anti-dilutive potential common shares </w:t>
            </w:r>
            <w:r>
              <w:rPr>
                <w:rFonts w:ascii="Arial" w:cs="Arial" w:eastAsia="Arial" w:hAnsi="Arial"/>
                <w:sz w:val="26"/>
                <w:szCs w:val="26"/>
                <w:color w:val="auto"/>
                <w:vertAlign w:val="superscript"/>
              </w:rPr>
              <w:t>(1)</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12,290</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11,241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12,290</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10,941</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-2230755</wp:posOffset>
            </wp:positionV>
            <wp:extent cx="76835"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-2230755</wp:posOffset>
            </wp:positionV>
            <wp:extent cx="6858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-2230755</wp:posOffset>
            </wp:positionV>
            <wp:extent cx="68580" cy="162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-2230755</wp:posOffset>
            </wp:positionV>
            <wp:extent cx="68580" cy="162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-1913890</wp:posOffset>
            </wp:positionV>
            <wp:extent cx="7683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-1913890</wp:posOffset>
            </wp:positionV>
            <wp:extent cx="6858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-1913890</wp:posOffset>
            </wp:positionV>
            <wp:extent cx="6858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-1913890</wp:posOffset>
            </wp:positionV>
            <wp:extent cx="6858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-1263015</wp:posOffset>
            </wp:positionV>
            <wp:extent cx="76835" cy="3422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-1263015</wp:posOffset>
            </wp:positionV>
            <wp:extent cx="68580" cy="3422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-1263015</wp:posOffset>
            </wp:positionV>
            <wp:extent cx="68580" cy="3422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-1263015</wp:posOffset>
            </wp:positionV>
            <wp:extent cx="68580" cy="3422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-295275</wp:posOffset>
            </wp:positionV>
            <wp:extent cx="2671445" cy="2825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71445" cy="282575"/>
                    </a:xfrm>
                    <a:prstGeom prst="rect">
                      <a:avLst/>
                    </a:prstGeom>
                    <a:noFill/>
                  </pic:spPr>
                </pic:pic>
              </a:graphicData>
            </a:graphic>
          </wp:anchor>
        </w:drawing>
      </w:r>
    </w:p>
    <w:p>
      <w:pPr>
        <w:spacing w:after="0" w:line="165" w:lineRule="exact"/>
        <w:rPr>
          <w:sz w:val="20"/>
          <w:szCs w:val="20"/>
          <w:color w:val="auto"/>
        </w:rPr>
      </w:pPr>
    </w:p>
    <w:p>
      <w:pPr>
        <w:ind w:left="900" w:hanging="518"/>
        <w:spacing w:after="0"/>
        <w:tabs>
          <w:tab w:leader="none" w:pos="900" w:val="left"/>
        </w:tabs>
        <w:numPr>
          <w:ilvl w:val="1"/>
          <w:numId w:val="9"/>
        </w:numPr>
        <w:rPr>
          <w:rFonts w:ascii="Arial" w:cs="Arial" w:eastAsia="Arial" w:hAnsi="Arial"/>
          <w:sz w:val="14"/>
          <w:szCs w:val="14"/>
          <w:color w:val="auto"/>
        </w:rPr>
      </w:pPr>
      <w:r>
        <w:rPr>
          <w:rFonts w:ascii="Arial" w:cs="Arial" w:eastAsia="Arial" w:hAnsi="Arial"/>
          <w:sz w:val="16"/>
          <w:szCs w:val="16"/>
          <w:color w:val="auto"/>
        </w:rPr>
        <w:t>Potential common share equivalents were not included in the calculation of diluted net loss per share as the effect would have been anti-dilutive.</w:t>
      </w:r>
    </w:p>
    <w:p>
      <w:pPr>
        <w:spacing w:after="0" w:line="225" w:lineRule="exact"/>
        <w:rPr>
          <w:rFonts w:ascii="Arial" w:cs="Arial" w:eastAsia="Arial" w:hAnsi="Arial"/>
          <w:sz w:val="14"/>
          <w:szCs w:val="14"/>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20" w:firstLine="509"/>
        <w:spacing w:after="0" w:line="258" w:lineRule="auto"/>
        <w:rPr>
          <w:sz w:val="20"/>
          <w:szCs w:val="20"/>
          <w:color w:val="auto"/>
        </w:rPr>
      </w:pPr>
      <w:r>
        <w:rPr>
          <w:rFonts w:ascii="Arial" w:cs="Arial" w:eastAsia="Arial" w:hAnsi="Arial"/>
          <w:sz w:val="18"/>
          <w:szCs w:val="18"/>
          <w:color w:val="auto"/>
        </w:rPr>
        <w:t>The table below presents our loss before income taxes, income tax benefit and effective income tax rates for all periods presented (in thousands, except percentages):</w:t>
      </w:r>
    </w:p>
    <w:tbl>
      <w:tblPr>
        <w:tblLayout w:type="fixed"/>
        <w:tblInd w:w="0" w:type="dxa"/>
        <w:tblCellMar>
          <w:top w:w="0" w:type="dxa"/>
          <w:left w:w="0" w:type="dxa"/>
          <w:bottom w:w="0" w:type="dxa"/>
          <w:right w:w="0" w:type="dxa"/>
        </w:tblCellMar>
      </w:tblPr>
      <w:tr>
        <w:trPr>
          <w:trHeight w:val="140"/>
        </w:trPr>
        <w:tc>
          <w:tcPr>
            <w:tcW w:w="5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60" w:type="dxa"/>
            <w:vAlign w:val="bottom"/>
            <w:gridSpan w:val="6"/>
          </w:tcPr>
          <w:p>
            <w:pPr>
              <w:jc w:val="right"/>
              <w:ind w:right="1080"/>
              <w:spacing w:after="0" w:line="140" w:lineRule="exact"/>
              <w:rPr>
                <w:sz w:val="20"/>
                <w:szCs w:val="20"/>
                <w:color w:val="auto"/>
              </w:rPr>
            </w:pPr>
            <w:r>
              <w:rPr>
                <w:rFonts w:ascii="Arial" w:cs="Arial" w:eastAsia="Arial" w:hAnsi="Arial"/>
                <w:sz w:val="14"/>
                <w:szCs w:val="14"/>
                <w:b w:val="1"/>
                <w:bCs w:val="1"/>
                <w:color w:val="auto"/>
              </w:rPr>
              <w:t>Three Months Ended</w:t>
            </w:r>
          </w:p>
        </w:tc>
        <w:tc>
          <w:tcPr>
            <w:tcW w:w="2400" w:type="dxa"/>
            <w:vAlign w:val="bottom"/>
            <w:gridSpan w:val="6"/>
          </w:tcPr>
          <w:p>
            <w:pPr>
              <w:jc w:val="right"/>
              <w:ind w:right="780"/>
              <w:spacing w:after="0" w:line="140" w:lineRule="exact"/>
              <w:rPr>
                <w:sz w:val="20"/>
                <w:szCs w:val="20"/>
                <w:color w:val="auto"/>
              </w:rPr>
            </w:pPr>
            <w:r>
              <w:rPr>
                <w:rFonts w:ascii="Arial" w:cs="Arial" w:eastAsia="Arial" w:hAnsi="Arial"/>
                <w:sz w:val="14"/>
                <w:szCs w:val="14"/>
                <w:b w:val="1"/>
                <w:bCs w:val="1"/>
                <w:color w:val="auto"/>
              </w:rPr>
              <w:t>Nine Months Ended</w:t>
            </w:r>
          </w:p>
        </w:tc>
      </w:tr>
      <w:tr>
        <w:trPr>
          <w:trHeight w:val="185"/>
        </w:trPr>
        <w:tc>
          <w:tcPr>
            <w:tcW w:w="5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5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61"/>
        </w:trPr>
        <w:tc>
          <w:tcPr>
            <w:tcW w:w="5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3"/>
          </w:tcPr>
          <w:p>
            <w:pPr>
              <w:spacing w:after="0"/>
              <w:rPr>
                <w:sz w:val="5"/>
                <w:szCs w:val="5"/>
                <w:color w:val="auto"/>
              </w:rPr>
            </w:pPr>
          </w:p>
        </w:tc>
        <w:tc>
          <w:tcPr>
            <w:tcW w:w="1260" w:type="dxa"/>
            <w:vAlign w:val="bottom"/>
            <w:gridSpan w:val="3"/>
          </w:tcPr>
          <w:p>
            <w:pPr>
              <w:spacing w:after="0"/>
              <w:rPr>
                <w:sz w:val="5"/>
                <w:szCs w:val="5"/>
                <w:color w:val="auto"/>
              </w:rPr>
            </w:pPr>
          </w:p>
        </w:tc>
        <w:tc>
          <w:tcPr>
            <w:tcW w:w="1460" w:type="dxa"/>
            <w:vAlign w:val="bottom"/>
            <w:gridSpan w:val="3"/>
          </w:tcPr>
          <w:p>
            <w:pPr>
              <w:spacing w:after="0"/>
              <w:rPr>
                <w:sz w:val="5"/>
                <w:szCs w:val="5"/>
                <w:color w:val="auto"/>
              </w:rPr>
            </w:pPr>
          </w:p>
        </w:tc>
        <w:tc>
          <w:tcPr>
            <w:tcW w:w="880" w:type="dxa"/>
            <w:vAlign w:val="bottom"/>
            <w:gridSpan w:val="2"/>
          </w:tcPr>
          <w:p>
            <w:pPr>
              <w:spacing w:after="0"/>
              <w:rPr>
                <w:sz w:val="5"/>
                <w:szCs w:val="5"/>
                <w:color w:val="auto"/>
              </w:rPr>
            </w:pPr>
          </w:p>
        </w:tc>
        <w:tc>
          <w:tcPr>
            <w:tcW w:w="60" w:type="dxa"/>
            <w:vAlign w:val="bottom"/>
          </w:tcPr>
          <w:p>
            <w:pPr>
              <w:spacing w:after="0"/>
              <w:rPr>
                <w:sz w:val="5"/>
                <w:szCs w:val="5"/>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(2,983 )   $</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(12,060 )  $</w:t>
            </w:r>
          </w:p>
        </w:tc>
        <w:tc>
          <w:tcPr>
            <w:tcW w:w="14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(11,636 )  $</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(72,326 )</w:t>
            </w:r>
          </w:p>
        </w:tc>
        <w:tc>
          <w:tcPr>
            <w:tcW w:w="60" w:type="dxa"/>
            <w:vAlign w:val="bottom"/>
          </w:tcPr>
          <w:p>
            <w:pPr>
              <w:spacing w:after="0"/>
              <w:rPr>
                <w:sz w:val="21"/>
                <w:szCs w:val="2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6,115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59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3.3 %</w:t>
            </w:r>
          </w:p>
        </w:tc>
        <w:tc>
          <w:tcPr>
            <w:tcW w:w="4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50.7 %</w:t>
            </w:r>
          </w:p>
        </w:tc>
        <w:tc>
          <w:tcPr>
            <w:tcW w:w="2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26.0 %</w:t>
            </w:r>
          </w:p>
        </w:tc>
        <w:tc>
          <w:tcPr>
            <w:tcW w:w="4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7"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w:t>
      </w:r>
    </w:p>
    <w:p>
      <w:pPr>
        <w:sectPr>
          <w:pgSz w:w="11900" w:h="16838" w:orient="portrait"/>
          <w:cols w:equalWidth="0" w:num="1">
            <w:col w:w="11300"/>
          </w:cols>
          <w:pgMar w:left="320" w:top="364" w:right="279" w:bottom="1440" w:gutter="0" w:footer="0" w:header="0"/>
        </w:sectPr>
      </w:pP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64" w:right="27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changes in geographic mix of income and expense, changes in management’s assessment of matters such as the ability to realize deferred tax assets, and changes in tax laws.</w:t>
      </w:r>
    </w:p>
    <w:p>
      <w:pPr>
        <w:spacing w:after="0" w:line="129"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Our effective tax rates were 3.3% and 50.7% for the three months ended September 30, 2023 and 2022, respectively. The decrease in our effective rate in the three-month period was primarily due to a change in the mix of income and losses in the various tax jurisdictions in which we operate, partially offset by provision to return adjustments.</w:t>
      </w:r>
    </w:p>
    <w:p>
      <w:pPr>
        <w:spacing w:after="0" w:line="156"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 xml:space="preserve">Our effective tax rates were 26.0% and 15.6% for the nine months ended September 30, 2023 and 2022, respectively. The increase in our effective rate in the nine-month period was primarily due to an increase in return to provision adjustments and an increase </w:t>
      </w:r>
      <w:r>
        <w:rPr>
          <w:rFonts w:ascii="Arial" w:cs="Arial" w:eastAsia="Arial" w:hAnsi="Arial"/>
          <w:sz w:val="18"/>
          <w:szCs w:val="18"/>
          <w:u w:val="single" w:color="auto"/>
          <w:color w:val="auto"/>
        </w:rPr>
        <w:t>i</w:t>
      </w:r>
      <w:r>
        <w:rPr>
          <w:rFonts w:ascii="Arial" w:cs="Arial" w:eastAsia="Arial" w:hAnsi="Arial"/>
          <w:sz w:val="18"/>
          <w:szCs w:val="18"/>
          <w:color w:val="auto"/>
        </w:rPr>
        <w:t>n windfall tax benefit from stock-based compensation.</w:t>
      </w:r>
    </w:p>
    <w:p>
      <w:pPr>
        <w:spacing w:after="0" w:line="75"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Unrecognized tax benefits were $3.5 million as of September 30, 2023 and $3.6 million as of December 31, 2022, respectively, and if recognized, would favorably affect the effective income tax rate in future periods.</w:t>
      </w:r>
    </w:p>
    <w:p>
      <w:pPr>
        <w:spacing w:after="0" w:line="165" w:lineRule="exact"/>
        <w:rPr>
          <w:sz w:val="20"/>
          <w:szCs w:val="20"/>
          <w:color w:val="auto"/>
        </w:rPr>
      </w:pPr>
    </w:p>
    <w:p>
      <w:pPr>
        <w:ind w:left="520" w:right="8040" w:hanging="512"/>
        <w:spacing w:after="0" w:line="422" w:lineRule="auto"/>
        <w:tabs>
          <w:tab w:leader="none" w:pos="281"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Segment and Geographic Information </w:t>
      </w:r>
      <w:r>
        <w:rPr>
          <w:rFonts w:ascii="Arial" w:cs="Arial" w:eastAsia="Arial" w:hAnsi="Arial"/>
          <w:sz w:val="16"/>
          <w:szCs w:val="16"/>
          <w:color w:val="auto"/>
        </w:rPr>
        <w:t>We have two reportable segments:</w:t>
      </w:r>
    </w:p>
    <w:p>
      <w:pPr>
        <w:ind w:left="1260" w:right="60" w:hanging="368"/>
        <w:spacing w:after="0" w:line="265" w:lineRule="auto"/>
        <w:tabs>
          <w:tab w:leader="none" w:pos="126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Gamer and Creator Peripherals</w:t>
      </w:r>
      <w:r>
        <w:rPr>
          <w:rFonts w:ascii="Arial" w:cs="Arial" w:eastAsia="Arial" w:hAnsi="Arial"/>
          <w:sz w:val="18"/>
          <w:szCs w:val="18"/>
          <w:color w:val="auto"/>
        </w:rPr>
        <w:t>. Includes our high-performance gaming keyboards, mice, headsets, controllers, and our streaming gear,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includes capture cards, Stream Decks, USB microphones, our Facecam streaming cameras, studio accessories and EpocCam software, among others.</w:t>
      </w:r>
    </w:p>
    <w:p>
      <w:pPr>
        <w:spacing w:after="0" w:line="69" w:lineRule="exact"/>
        <w:rPr>
          <w:rFonts w:ascii="Arial" w:cs="Arial" w:eastAsia="Arial" w:hAnsi="Arial"/>
          <w:sz w:val="18"/>
          <w:szCs w:val="18"/>
          <w:color w:val="auto"/>
        </w:rPr>
      </w:pPr>
    </w:p>
    <w:p>
      <w:pPr>
        <w:ind w:left="1260" w:right="380" w:hanging="368"/>
        <w:spacing w:after="0" w:line="346" w:lineRule="auto"/>
        <w:tabs>
          <w:tab w:leader="none" w:pos="1260"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Gaming Components and Systems</w:t>
      </w:r>
      <w:r>
        <w:rPr>
          <w:rFonts w:ascii="Arial" w:cs="Arial" w:eastAsia="Arial" w:hAnsi="Arial"/>
          <w:sz w:val="16"/>
          <w:szCs w:val="16"/>
          <w:color w:val="auto"/>
        </w:rPr>
        <w:t>. Includes our high-performance power supply units, or PSUs, cooling solutions, computer cases,</w:t>
      </w:r>
      <w:r>
        <w:rPr>
          <w:rFonts w:ascii="Arial" w:cs="Arial" w:eastAsia="Arial" w:hAnsi="Arial"/>
          <w:sz w:val="16"/>
          <w:szCs w:val="16"/>
          <w:b w:val="1"/>
          <w:bCs w:val="1"/>
          <w:color w:val="auto"/>
        </w:rPr>
        <w:t xml:space="preserve"> </w:t>
      </w:r>
      <w:r>
        <w:rPr>
          <w:rFonts w:ascii="Arial" w:cs="Arial" w:eastAsia="Arial" w:hAnsi="Arial"/>
          <w:sz w:val="16"/>
          <w:szCs w:val="16"/>
          <w:color w:val="auto"/>
        </w:rPr>
        <w:t>DRAM modules, as well as high-end prebuilt and custom-built gaming PCs and laptops, and gaming monitors, among others.</w:t>
      </w:r>
    </w:p>
    <w:p>
      <w:pPr>
        <w:spacing w:after="0" w:line="13"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The segments are defined as those operations our chief operating decision maker (“CODM”) regularly reviews to analyze performance and allocate resources. Our CODM is determined to be Corsair’s Chief Executive Officer. The results of the reportable segments are derived directly from our reporting system and are based on the methods of internal reporting which are not necessarily in conformity with GAAP. Management measures net revenue and gross profit to evaluate the performance of, and allocate resources to, each of the segments.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the financial information for each reportable segment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8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r>
      <w:tr>
        <w:trPr>
          <w:trHeight w:val="61"/>
        </w:trPr>
        <w:tc>
          <w:tcPr>
            <w:tcW w:w="4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3"/>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revenue</w:t>
            </w: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6"/>
        </w:trPr>
        <w:tc>
          <w:tcPr>
            <w:tcW w:w="4800" w:type="dxa"/>
            <w:vAlign w:val="bottom"/>
          </w:tcPr>
          <w:p>
            <w:pPr>
              <w:ind w:left="20"/>
              <w:spacing w:after="0"/>
              <w:rPr>
                <w:sz w:val="20"/>
                <w:szCs w:val="20"/>
                <w:color w:val="auto"/>
              </w:rPr>
            </w:pPr>
            <w:r>
              <w:rPr>
                <w:rFonts w:ascii="Arial" w:cs="Arial" w:eastAsia="Arial" w:hAnsi="Arial"/>
                <w:sz w:val="18"/>
                <w:szCs w:val="18"/>
                <w:color w:val="auto"/>
              </w:rPr>
              <w:t>Gamer and Creator Peripherals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90,356</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96,848</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258,053</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319,985</w:t>
            </w:r>
          </w:p>
        </w:tc>
        <w:tc>
          <w:tcPr>
            <w:tcW w:w="100" w:type="dxa"/>
            <w:vAlign w:val="bottom"/>
          </w:tcPr>
          <w:p>
            <w:pPr>
              <w:spacing w:after="0"/>
              <w:rPr>
                <w:sz w:val="20"/>
                <w:szCs w:val="20"/>
                <w:color w:val="auto"/>
              </w:rPr>
            </w:pPr>
          </w:p>
        </w:tc>
      </w:tr>
      <w:tr>
        <w:trPr>
          <w:trHeight w:val="243"/>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Gaming Components and Systems</w:t>
            </w: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272,837</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214,921</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784,536</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656,383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800" w:type="dxa"/>
            <w:vAlign w:val="bottom"/>
          </w:tcPr>
          <w:p>
            <w:pPr>
              <w:ind w:left="200"/>
              <w:spacing w:after="0"/>
              <w:rPr>
                <w:sz w:val="20"/>
                <w:szCs w:val="20"/>
                <w:color w:val="auto"/>
              </w:rPr>
            </w:pPr>
            <w:r>
              <w:rPr>
                <w:rFonts w:ascii="Arial" w:cs="Arial" w:eastAsia="Arial" w:hAnsi="Arial"/>
                <w:sz w:val="18"/>
                <w:szCs w:val="18"/>
                <w:color w:val="auto"/>
              </w:rPr>
              <w:t>Total net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363,193</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311,769</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1,042,589</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976,368</w:t>
            </w:r>
          </w:p>
        </w:tc>
        <w:tc>
          <w:tcPr>
            <w:tcW w:w="100" w:type="dxa"/>
            <w:vAlign w:val="bottom"/>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Gross Profit</w:t>
            </w: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6"/>
        </w:trPr>
        <w:tc>
          <w:tcPr>
            <w:tcW w:w="4800" w:type="dxa"/>
            <w:vAlign w:val="bottom"/>
          </w:tcPr>
          <w:p>
            <w:pPr>
              <w:ind w:left="20"/>
              <w:spacing w:after="0"/>
              <w:rPr>
                <w:sz w:val="20"/>
                <w:szCs w:val="20"/>
                <w:color w:val="auto"/>
              </w:rPr>
            </w:pPr>
            <w:r>
              <w:rPr>
                <w:rFonts w:ascii="Arial" w:cs="Arial" w:eastAsia="Arial" w:hAnsi="Arial"/>
                <w:sz w:val="18"/>
                <w:szCs w:val="18"/>
                <w:color w:val="auto"/>
              </w:rPr>
              <w:t>Gamer and Creator Peripherals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29,928</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31,790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82,085</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85,405</w:t>
            </w:r>
          </w:p>
        </w:tc>
        <w:tc>
          <w:tcPr>
            <w:tcW w:w="100" w:type="dxa"/>
            <w:vAlign w:val="bottom"/>
          </w:tcPr>
          <w:p>
            <w:pPr>
              <w:spacing w:after="0"/>
              <w:rPr>
                <w:sz w:val="20"/>
                <w:szCs w:val="20"/>
                <w:color w:val="auto"/>
              </w:rPr>
            </w:pPr>
          </w:p>
        </w:tc>
      </w:tr>
      <w:tr>
        <w:trPr>
          <w:trHeight w:val="243"/>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Gaming Components and Systems</w:t>
            </w: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59,425</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39,770</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175,504</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800" w:type="dxa"/>
            <w:vAlign w:val="bottom"/>
          </w:tcPr>
          <w:p>
            <w:pPr>
              <w:ind w:left="200"/>
              <w:spacing w:after="0"/>
              <w:rPr>
                <w:sz w:val="20"/>
                <w:szCs w:val="20"/>
                <w:color w:val="auto"/>
              </w:rPr>
            </w:pPr>
            <w:r>
              <w:rPr>
                <w:rFonts w:ascii="Arial" w:cs="Arial" w:eastAsia="Arial" w:hAnsi="Arial"/>
                <w:sz w:val="18"/>
                <w:szCs w:val="18"/>
                <w:color w:val="auto"/>
              </w:rPr>
              <w:t>Total gross profit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89,353</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71,560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257,589</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198,775</w:t>
            </w:r>
          </w:p>
        </w:tc>
        <w:tc>
          <w:tcPr>
            <w:tcW w:w="100" w:type="dxa"/>
            <w:vAlign w:val="bottom"/>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-838200</wp:posOffset>
            </wp:positionV>
            <wp:extent cx="7683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-838200</wp:posOffset>
            </wp:positionV>
            <wp:extent cx="6858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-838200</wp:posOffset>
            </wp:positionV>
            <wp:extent cx="6858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-187960</wp:posOffset>
            </wp:positionV>
            <wp:extent cx="76835"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-187960</wp:posOffset>
            </wp:positionV>
            <wp:extent cx="68580"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-187960</wp:posOffset>
            </wp:positionV>
            <wp:extent cx="6858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jc w:val="both"/>
        <w:ind w:right="100" w:firstLine="509"/>
        <w:spacing w:after="0" w:line="277" w:lineRule="auto"/>
        <w:rPr>
          <w:sz w:val="20"/>
          <w:szCs w:val="20"/>
          <w:color w:val="auto"/>
        </w:rPr>
      </w:pPr>
      <w:r>
        <w:rPr>
          <w:rFonts w:ascii="Arial" w:cs="Arial" w:eastAsia="Arial" w:hAnsi="Arial"/>
          <w:sz w:val="18"/>
          <w:szCs w:val="18"/>
          <w:color w:val="auto"/>
        </w:rPr>
        <w:t>The CODM manages assets on a total company basis, not by operating segments; therefore, asset information and capital expenditures by operating segments are not presented.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net revenue by geographic region based on the location of the customer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8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r>
      <w:tr>
        <w:trPr>
          <w:trHeight w:val="61"/>
        </w:trPr>
        <w:tc>
          <w:tcPr>
            <w:tcW w:w="4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3"/>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revenue</w:t>
            </w: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6"/>
        </w:trPr>
        <w:tc>
          <w:tcPr>
            <w:tcW w:w="4800" w:type="dxa"/>
            <w:vAlign w:val="bottom"/>
          </w:tcPr>
          <w:p>
            <w:pPr>
              <w:ind w:left="20"/>
              <w:spacing w:after="0"/>
              <w:rPr>
                <w:sz w:val="20"/>
                <w:szCs w:val="20"/>
                <w:color w:val="auto"/>
              </w:rPr>
            </w:pPr>
            <w:r>
              <w:rPr>
                <w:rFonts w:ascii="Arial" w:cs="Arial" w:eastAsia="Arial" w:hAnsi="Arial"/>
                <w:sz w:val="18"/>
                <w:szCs w:val="18"/>
                <w:color w:val="auto"/>
              </w:rPr>
              <w:t>Americas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181,218</w:t>
            </w:r>
          </w:p>
        </w:tc>
        <w:tc>
          <w:tcPr>
            <w:tcW w:w="8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164,378</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536,143</w:t>
            </w:r>
          </w:p>
        </w:tc>
        <w:tc>
          <w:tcPr>
            <w:tcW w:w="7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506,835</w:t>
            </w:r>
          </w:p>
        </w:tc>
        <w:tc>
          <w:tcPr>
            <w:tcW w:w="100" w:type="dxa"/>
            <w:vAlign w:val="bottom"/>
          </w:tcPr>
          <w:p>
            <w:pPr>
              <w:spacing w:after="0"/>
              <w:rPr>
                <w:sz w:val="20"/>
                <w:szCs w:val="20"/>
                <w:color w:val="auto"/>
              </w:rPr>
            </w:pPr>
          </w:p>
        </w:tc>
      </w:tr>
      <w:tr>
        <w:trPr>
          <w:trHeight w:val="249"/>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Europe and Middle East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132,641</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91,092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351,212</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284,521</w:t>
            </w:r>
          </w:p>
        </w:tc>
        <w:tc>
          <w:tcPr>
            <w:tcW w:w="100" w:type="dxa"/>
            <w:vAlign w:val="bottom"/>
            <w:shd w:val="clear" w:color="auto" w:fill="CFF0FC"/>
          </w:tcPr>
          <w:p>
            <w:pPr>
              <w:spacing w:after="0"/>
              <w:rPr>
                <w:sz w:val="21"/>
                <w:szCs w:val="21"/>
                <w:color w:val="auto"/>
              </w:rPr>
            </w:pPr>
          </w:p>
        </w:tc>
      </w:tr>
      <w:tr>
        <w:trPr>
          <w:trHeight w:val="263"/>
        </w:trPr>
        <w:tc>
          <w:tcPr>
            <w:tcW w:w="480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49,334</w:t>
            </w:r>
          </w:p>
        </w:tc>
        <w:tc>
          <w:tcPr>
            <w:tcW w:w="2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56,299</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155,234</w:t>
            </w:r>
          </w:p>
        </w:tc>
        <w:tc>
          <w:tcPr>
            <w:tcW w:w="26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185,012</w:t>
            </w:r>
          </w:p>
        </w:tc>
        <w:tc>
          <w:tcPr>
            <w:tcW w:w="100" w:type="dxa"/>
            <w:vAlign w:val="bottom"/>
          </w:tcPr>
          <w:p>
            <w:pPr>
              <w:spacing w:after="0"/>
              <w:rPr>
                <w:sz w:val="22"/>
                <w:szCs w:val="22"/>
                <w:color w:val="auto"/>
              </w:rPr>
            </w:pPr>
          </w:p>
        </w:tc>
      </w:tr>
      <w:tr>
        <w:trPr>
          <w:trHeight w:val="263"/>
        </w:trPr>
        <w:tc>
          <w:tcPr>
            <w:tcW w:w="480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net revenue</w:t>
            </w:r>
          </w:p>
        </w:tc>
        <w:tc>
          <w:tcPr>
            <w:tcW w:w="340" w:type="dxa"/>
            <w:vAlign w:val="bottom"/>
            <w:tcBorders>
              <w:top w:val="single" w:sz="8" w:color="CFF0FC"/>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363,193</w:t>
            </w:r>
          </w:p>
        </w:tc>
        <w:tc>
          <w:tcPr>
            <w:tcW w:w="280" w:type="dxa"/>
            <w:vAlign w:val="bottom"/>
            <w:tcBorders>
              <w:top w:val="single" w:sz="8" w:color="CFF0FC"/>
              <w:bottom w:val="single" w:sz="8" w:color="CFF0FC"/>
            </w:tcBorders>
            <w:shd w:val="clear" w:color="auto" w:fill="CFF0FC"/>
          </w:tcPr>
          <w:p>
            <w:pPr>
              <w:spacing w:after="0"/>
              <w:rPr>
                <w:sz w:val="22"/>
                <w:szCs w:val="22"/>
                <w:color w:val="auto"/>
              </w:rPr>
            </w:pPr>
          </w:p>
        </w:tc>
        <w:tc>
          <w:tcPr>
            <w:tcW w:w="520" w:type="dxa"/>
            <w:vAlign w:val="bottom"/>
            <w:tcBorders>
              <w:top w:val="single" w:sz="8" w:color="CFF0FC"/>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311,769</w:t>
            </w:r>
          </w:p>
        </w:tc>
        <w:tc>
          <w:tcPr>
            <w:tcW w:w="260" w:type="dxa"/>
            <w:vAlign w:val="bottom"/>
            <w:tcBorders>
              <w:top w:val="single" w:sz="8" w:color="CFF0FC"/>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1,042,589</w:t>
            </w:r>
          </w:p>
        </w:tc>
        <w:tc>
          <w:tcPr>
            <w:tcW w:w="260" w:type="dxa"/>
            <w:vAlign w:val="bottom"/>
            <w:tcBorders>
              <w:top w:val="single" w:sz="8" w:color="CFF0FC"/>
              <w:bottom w:val="single" w:sz="8" w:color="CFF0FC"/>
            </w:tcBorders>
            <w:shd w:val="clear" w:color="auto" w:fill="CFF0FC"/>
          </w:tcPr>
          <w:p>
            <w:pPr>
              <w:spacing w:after="0"/>
              <w:rPr>
                <w:sz w:val="22"/>
                <w:szCs w:val="22"/>
                <w:color w:val="auto"/>
              </w:rPr>
            </w:pPr>
          </w:p>
        </w:tc>
        <w:tc>
          <w:tcPr>
            <w:tcW w:w="520" w:type="dxa"/>
            <w:vAlign w:val="bottom"/>
            <w:tcBorders>
              <w:top w:val="single" w:sz="8" w:color="CFF0FC"/>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976,368</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-24765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-7620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-187960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right="420" w:firstLine="509"/>
        <w:spacing w:after="0" w:line="286" w:lineRule="auto"/>
        <w:rPr>
          <w:sz w:val="20"/>
          <w:szCs w:val="20"/>
          <w:color w:val="auto"/>
        </w:rPr>
      </w:pPr>
      <w:r>
        <w:rPr>
          <w:rFonts w:ascii="Arial" w:cs="Arial" w:eastAsia="Arial" w:hAnsi="Arial"/>
          <w:sz w:val="17"/>
          <w:szCs w:val="17"/>
          <w:color w:val="auto"/>
        </w:rPr>
        <w:t>Revenues from sales to customers in the United States represented 42.9% and 44.7% for the three months ended September 30, 2023 and 2022, respectively, and represented 45.0% and 44.5% for the nine months ended September 30, 2023 and 2022, respectively. No other countries besides the United States represented 10% or more of total net revenue for each of the periods presented.</w:t>
      </w:r>
    </w:p>
    <w:p>
      <w:pPr>
        <w:sectPr>
          <w:pgSz w:w="11900" w:h="16838" w:orient="portrait"/>
          <w:cols w:equalWidth="0" w:num="1">
            <w:col w:w="11240"/>
          </w:cols>
          <w:pgMar w:left="320" w:top="364"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One customer represented 31.6% and 29.2% of our total net revenue for the three and nine months ended September 30, 2023, respectively, and represented 23.9% and 26.3% of our total net revenue for the same periods last year. Additionally, in the three and nine months ended September 30, 2022, one other customer represented 10.7% and 9.6% of our total net revenue, respectively. No other customer represented 10% or more of our total net revenue for each of the periods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Redeemable Noncontrolling Interest</w:t>
      </w:r>
    </w:p>
    <w:p>
      <w:pPr>
        <w:spacing w:after="0" w:line="121"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Under the Shareholders Agreement between Corsair and the iDisplay Seller a put option was provided to the iDisplay Seller to transfer to Corsair (i) 14% of their ownership interest in iDisplay upon the first anniversary of the Closing Date of the iDisplay Acquisition, and (ii) an additional 15% of their ownership interest in iDisplay upon the second anniversary of the Closing Date. The put option will expire after January 1, 2025. As of September 30, 2023, the iDisplay Seller has not exercised the put option for the transfer of the first 14% of their ownership interest to Corsair.</w:t>
      </w:r>
    </w:p>
    <w:p>
      <w:pPr>
        <w:spacing w:after="0" w:line="6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The exercise price of the put option is based on multiples of iDisplay’s historical TTM EBITDA less any debt. The put option makes this portion of the noncontrolling interest redeemable and therefore, the RNCI is classified as temporary equity on our consolidated balance sheets and carried at the greater of the initial carrying amount, increased or decreased, for the RNCI share of comprehensive income (loss), contributions and distributions, or the redemption value. The change in redemption value is recognized through retained earnings.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RNCI for the periods presented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6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74"/>
        </w:trPr>
        <w:tc>
          <w:tcPr>
            <w:tcW w:w="6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gridSpan w:val="2"/>
          </w:tcPr>
          <w:p>
            <w:pPr>
              <w:spacing w:after="0"/>
              <w:rPr>
                <w:sz w:val="6"/>
                <w:szCs w:val="6"/>
                <w:color w:val="auto"/>
              </w:rPr>
            </w:pPr>
          </w:p>
        </w:tc>
      </w:tr>
      <w:tr>
        <w:trPr>
          <w:trHeight w:val="243"/>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6260" w:type="dxa"/>
            <w:vAlign w:val="bottom"/>
          </w:tcPr>
          <w:p>
            <w:pPr>
              <w:ind w:left="120"/>
              <w:spacing w:after="0"/>
              <w:rPr>
                <w:sz w:val="20"/>
                <w:szCs w:val="20"/>
                <w:color w:val="auto"/>
              </w:rPr>
            </w:pPr>
            <w:r>
              <w:rPr>
                <w:rFonts w:ascii="Arial" w:cs="Arial" w:eastAsia="Arial" w:hAnsi="Arial"/>
                <w:sz w:val="18"/>
                <w:szCs w:val="18"/>
                <w:color w:val="auto"/>
              </w:rPr>
              <w:t>Initial carrying amount estimated at iDisplay's Closing Date</w:t>
            </w:r>
          </w:p>
        </w:tc>
        <w:tc>
          <w:tcPr>
            <w:tcW w:w="26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17,522</w:t>
            </w:r>
          </w:p>
        </w:tc>
        <w:tc>
          <w:tcPr>
            <w:tcW w:w="100" w:type="dxa"/>
            <w:vAlign w:val="bottom"/>
          </w:tcPr>
          <w:p>
            <w:pPr>
              <w:spacing w:after="0"/>
              <w:rPr>
                <w:sz w:val="20"/>
                <w:szCs w:val="20"/>
                <w:color w:val="auto"/>
              </w:rPr>
            </w:pPr>
          </w:p>
        </w:tc>
      </w:tr>
      <w:tr>
        <w:trPr>
          <w:trHeight w:val="249"/>
        </w:trPr>
        <w:tc>
          <w:tcPr>
            <w:tcW w:w="6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Share of net income</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1"/>
                <w:szCs w:val="21"/>
                <w:color w:val="auto"/>
              </w:rPr>
            </w:pPr>
          </w:p>
        </w:tc>
      </w:tr>
      <w:tr>
        <w:trPr>
          <w:trHeight w:val="236"/>
        </w:trPr>
        <w:tc>
          <w:tcPr>
            <w:tcW w:w="6260" w:type="dxa"/>
            <w:vAlign w:val="bottom"/>
          </w:tcPr>
          <w:p>
            <w:pPr>
              <w:ind w:left="120"/>
              <w:spacing w:after="0"/>
              <w:rPr>
                <w:sz w:val="20"/>
                <w:szCs w:val="20"/>
                <w:color w:val="auto"/>
              </w:rPr>
            </w:pPr>
            <w:r>
              <w:rPr>
                <w:rFonts w:ascii="Arial" w:cs="Arial" w:eastAsia="Arial" w:hAnsi="Arial"/>
                <w:sz w:val="18"/>
                <w:szCs w:val="18"/>
                <w:color w:val="auto"/>
              </w:rPr>
              <w:t>Share of other comprehensive loss</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(118 )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(314 )</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(171 )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(589 )</w:t>
            </w:r>
          </w:p>
        </w:tc>
      </w:tr>
      <w:tr>
        <w:trPr>
          <w:trHeight w:val="249"/>
        </w:trPr>
        <w:tc>
          <w:tcPr>
            <w:tcW w:w="6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Dividend paid</w:t>
            </w: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(580 )</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(1,305 )</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(580 )</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(1,305 )</w:t>
            </w:r>
          </w:p>
        </w:tc>
      </w:tr>
      <w:tr>
        <w:trPr>
          <w:trHeight w:val="243"/>
        </w:trPr>
        <w:tc>
          <w:tcPr>
            <w:tcW w:w="6260" w:type="dxa"/>
            <w:vAlign w:val="bottom"/>
          </w:tcPr>
          <w:p>
            <w:pPr>
              <w:ind w:left="120"/>
              <w:spacing w:after="0" w:line="243" w:lineRule="exact"/>
              <w:rPr>
                <w:sz w:val="20"/>
                <w:szCs w:val="20"/>
                <w:color w:val="auto"/>
              </w:rPr>
            </w:pPr>
            <w:r>
              <w:rPr>
                <w:rFonts w:ascii="Arial" w:cs="Arial" w:eastAsia="Arial" w:hAnsi="Arial"/>
                <w:sz w:val="18"/>
                <w:szCs w:val="18"/>
                <w:color w:val="auto"/>
              </w:rPr>
              <w:t xml:space="preserve">Change in redemption value </w:t>
            </w:r>
            <w:r>
              <w:rPr>
                <w:rFonts w:ascii="Arial" w:cs="Arial" w:eastAsia="Arial" w:hAnsi="Arial"/>
                <w:sz w:val="24"/>
                <w:szCs w:val="24"/>
                <w:color w:val="auto"/>
                <w:vertAlign w:val="superscript"/>
              </w:rPr>
              <w:t>(1)</w:t>
            </w:r>
          </w:p>
        </w:tc>
        <w:tc>
          <w:tcPr>
            <w:tcW w:w="260" w:type="dxa"/>
            <w:vAlign w:val="bottom"/>
          </w:tcPr>
          <w:p>
            <w:pPr>
              <w:spacing w:after="0"/>
              <w:rPr>
                <w:sz w:val="21"/>
                <w:szCs w:val="21"/>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(6,535 )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tcPr>
          <w:p>
            <w:pPr>
              <w:spacing w:after="0"/>
              <w:rPr>
                <w:sz w:val="21"/>
                <w:szCs w:val="21"/>
                <w:color w:val="auto"/>
              </w:rPr>
            </w:pPr>
          </w:p>
        </w:tc>
      </w:tr>
      <w:tr>
        <w:trPr>
          <w:trHeight w:val="276"/>
        </w:trPr>
        <w:tc>
          <w:tcPr>
            <w:tcW w:w="6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14,647</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27,977</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14,647</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-24765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-7620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5" w:lineRule="exact"/>
        <w:rPr>
          <w:sz w:val="20"/>
          <w:szCs w:val="20"/>
          <w:color w:val="auto"/>
        </w:rPr>
      </w:pPr>
    </w:p>
    <w:p>
      <w:pPr>
        <w:ind w:left="760" w:right="360" w:hanging="378"/>
        <w:spacing w:after="0" w:line="368" w:lineRule="auto"/>
        <w:tabs>
          <w:tab w:leader="none" w:pos="760" w:val="left"/>
        </w:tabs>
        <w:numPr>
          <w:ilvl w:val="0"/>
          <w:numId w:val="12"/>
        </w:numPr>
        <w:rPr>
          <w:rFonts w:ascii="Arial" w:cs="Arial" w:eastAsia="Arial" w:hAnsi="Arial"/>
          <w:sz w:val="13"/>
          <w:szCs w:val="13"/>
          <w:color w:val="auto"/>
        </w:rPr>
      </w:pPr>
      <w:r>
        <w:rPr>
          <w:rFonts w:ascii="Arial" w:cs="Arial" w:eastAsia="Arial" w:hAnsi="Arial"/>
          <w:sz w:val="14"/>
          <w:szCs w:val="14"/>
          <w:color w:val="auto"/>
        </w:rPr>
        <w:t>These amounts represent increases or (decreases) in redemption value over the carrying value for the respective periods. These amounts were recorded as an offset to retained earnings impacting the net income (loss) used in the calculation of net income (loss) per share attributable for these periods.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0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condensed consolidated financial statements and the related notes included elsewhere in this Quarterly Report on Form 10-Q as well as in conjunction with the Risk Factors set forth in Part I, Item 1A of our Annual Report on Form 10-K for the year ended December 31, 2022, as filed with the United States Securities and Exchange Commission (“SEC”) on February 27, 2023. The following discussion contains forward-looking statements based upon current expectations that involve risks and uncertainties. Our actual results could differ materially from those anticipated in these forward-looking statements as a result of many factors, including but not limited to those discussed under the heading “Risk Factors” in Part I, Item 1A of our Annual Report on Form 10-K for the year ended December 31,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are a leading global provider and innovator of high-performance gear for gamers, streamers and content creators, many of which build their own PCs using our components. Our industry-leading gaming gear helps digital athletes, from casual gamers to committed professionals, perform at their peak across PC or console platforms, and our streaming gear enables streamers and content creators to produce studio-quality content to share with friends or to broadcast to millions of fans. Our PC components products offer our customers multiple options to build their customized gaming and workstation desktop PCs. Our solution is the most complete suite of gear among our major competitors and addresses the most critical components for both game performance and streaming. Our product offering is enhanced by our two proprietary software platforms: iCUE for gamers and the Elgato streaming suite for content creators, including our Stream Deck control software, which provide unified, intuitive performance, and aesthetic control and customization across their respective product families. We also offer digital services to enhance the customer experience by integrating esports, stream deck marketplace, customer care and extended warranty into our product offerings.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group our products into two categories (operating segments):</w:t>
      </w:r>
    </w:p>
    <w:p>
      <w:pPr>
        <w:spacing w:after="0" w:line="113" w:lineRule="exact"/>
        <w:rPr>
          <w:sz w:val="20"/>
          <w:szCs w:val="20"/>
          <w:color w:val="auto"/>
        </w:rPr>
      </w:pPr>
    </w:p>
    <w:p>
      <w:pPr>
        <w:ind w:left="1260" w:right="400" w:hanging="368"/>
        <w:spacing w:after="0" w:line="265"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Gamer and creator peripherals. </w:t>
      </w:r>
      <w:r>
        <w:rPr>
          <w:rFonts w:ascii="Arial" w:cs="Arial" w:eastAsia="Arial" w:hAnsi="Arial"/>
          <w:sz w:val="18"/>
          <w:szCs w:val="18"/>
          <w:color w:val="auto"/>
        </w:rPr>
        <w:t>Includes our high-performance gaming keyboards, mice, headsets, controllers, and streaming gear,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includes capture cards, Stream Decks, USB microphones, our Facecam streaming cameras, studio accessories, and EpocCam software, among others.</w:t>
      </w:r>
    </w:p>
    <w:p>
      <w:pPr>
        <w:spacing w:after="0" w:line="69" w:lineRule="exact"/>
        <w:rPr>
          <w:rFonts w:ascii="Arial" w:cs="Arial" w:eastAsia="Arial" w:hAnsi="Arial"/>
          <w:sz w:val="18"/>
          <w:szCs w:val="18"/>
          <w:color w:val="auto"/>
        </w:rPr>
      </w:pPr>
    </w:p>
    <w:p>
      <w:pPr>
        <w:ind w:left="1260" w:right="140" w:hanging="368"/>
        <w:spacing w:after="0" w:line="346" w:lineRule="auto"/>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Gaming components and systems. </w:t>
      </w:r>
      <w:r>
        <w:rPr>
          <w:rFonts w:ascii="Arial" w:cs="Arial" w:eastAsia="Arial" w:hAnsi="Arial"/>
          <w:sz w:val="16"/>
          <w:szCs w:val="16"/>
          <w:color w:val="auto"/>
        </w:rPr>
        <w:t>Includes our high-performance power supply units, or PSUs, cooling solutions, computer cases, and</w:t>
      </w:r>
      <w:r>
        <w:rPr>
          <w:rFonts w:ascii="Arial" w:cs="Arial" w:eastAsia="Arial" w:hAnsi="Arial"/>
          <w:sz w:val="16"/>
          <w:szCs w:val="16"/>
          <w:b w:val="1"/>
          <w:bCs w:val="1"/>
          <w:color w:val="auto"/>
        </w:rPr>
        <w:t xml:space="preserve"> </w:t>
      </w:r>
      <w:r>
        <w:rPr>
          <w:rFonts w:ascii="Arial" w:cs="Arial" w:eastAsia="Arial" w:hAnsi="Arial"/>
          <w:sz w:val="16"/>
          <w:szCs w:val="16"/>
          <w:color w:val="auto"/>
        </w:rPr>
        <w:t>DRAM modules, as well as high-end prebuilt and custom-built gaming PCs and laptops, and gaming monitors, among others.</w:t>
      </w:r>
    </w:p>
    <w:p>
      <w:pPr>
        <w:spacing w:after="0" w:line="13"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are committed to continuing to grow in our current markets as well as new markets through the development of innovative technologies and by entering into new categories through organic growth or acquisition. In 2022 and 2021, we entered into four new markets, namely the microphones and cameras markets for content creators, the gaming monitors market and prebuilt gaming laptops market for both gamers and content creators. We continue to expand our product portfolio, launching 81 new products in the first nine months of 2023, including our new FLEX OLED bendable monitor, engineered in partnership with LG, and new products in our Stream Deck product family, which further enhances the speed and workflows in streaming and content creation. In addition, with lower priced GPUs coming to market and new game titles being released this year, we believe that the gaming market will continue to grow.</w:t>
      </w:r>
    </w:p>
    <w:p>
      <w:pPr>
        <w:spacing w:after="0" w:line="85"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July 2023, we completed the Drop Acquisition where we acquired Drop's assets and business, including the assumption of trade payables and certain accrued liabilities for a cash purchase consideration of approximately $14.2 million, net of $0.6 million of cash acquired. Drop, a community-based e-commerce company headquartered in San Francisco, California, specializes in customized DIY keyboards and keycaps. We expect this acquisition to give Corsair a leading presence in the personalized keyboards market which is one of the fastest growing trends in the gaming peripheral space as well as allow us to offer specialized Corsair and Elgato products to the enthusiast community that Drop is engaged with. Drop's operating results are included in our gamer and creator peripherals segment with effect from July 14, 2023.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12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Our net revenue for the three and nine months ended September 30, 2023 increased by 16.5% and 6.8%, respectively, as compared to the same periods last year, primarily driven by an increase in sales in our gaming components and systems segment, but partially offset by a decrease in sales in our gamer and peripherals segment.</w:t>
      </w:r>
    </w:p>
    <w:p>
      <w:pPr>
        <w:spacing w:after="0" w:line="75" w:lineRule="exact"/>
        <w:rPr>
          <w:sz w:val="20"/>
          <w:szCs w:val="20"/>
          <w:color w:val="auto"/>
        </w:rPr>
      </w:pPr>
    </w:p>
    <w:p>
      <w:pPr>
        <w:ind w:right="340" w:firstLine="509"/>
        <w:spacing w:after="0" w:line="307" w:lineRule="auto"/>
        <w:rPr>
          <w:sz w:val="20"/>
          <w:szCs w:val="20"/>
          <w:color w:val="auto"/>
        </w:rPr>
      </w:pPr>
      <w:r>
        <w:rPr>
          <w:rFonts w:ascii="Arial" w:cs="Arial" w:eastAsia="Arial" w:hAnsi="Arial"/>
          <w:sz w:val="17"/>
          <w:szCs w:val="17"/>
          <w:color w:val="auto"/>
        </w:rPr>
        <w:t>Our gross margin increased from 23.0% to 24.6% for the three months ended September 30, 2023, as compared to the same period last year, and increased from 20.4% to 24.7% for the nine months ended September 30, 2023, as compared to the same period last year.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As of September 30, 2023, we had cash and restricted cash, in the aggregate of $147.8 million and the principal balance outstanding of the Term Loan was $223.8 million. Cash provided by operations was $32.1 million and $45.1 million in the nine months ended September 30, 2023 and 2022,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Business</w:t>
      </w:r>
    </w:p>
    <w:p>
      <w:pPr>
        <w:spacing w:after="0" w:line="121"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Our results of operations and financial condition are affected by numerous factors, including those discussed under the heading “Risk Factors” in Part I, Item 1A of our Annual Report on Form 10-K for the year ended December 31, 2022 and those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Macroeconomic Conditions</w:t>
      </w:r>
    </w:p>
    <w:p>
      <w:pPr>
        <w:spacing w:after="0" w:line="117"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Our business and financial performance are significantly impacted by worldwide economic conditions. Global macroeconomic challenges, such as the effects of the ongoing war between Russia and Ukraine, supply chain constraints, market uncertainty, and the risk of a recession, volatility in exchange rates, inflationary trends, lingering impacts from the COVID-19 pandemic and evolving dynamics in the global trade environment, have impacted our business and financial performance. Throughout 2022, these conditions adversely impacted our net revenue and resulted in higher cost of sales due to increased shipping and production costs. Such conditions also resulted in excess inventory in our distribution channels that led to our recognizing higher inventory impairment related charges in 2022 in order to rationalize our inventory levels to align with the reduced revenue in the period. These market dynamics, which we expect will continue in the short-term, have created new and different demand dynamics in our markets and have had significant impacts on our financial results.</w:t>
      </w:r>
    </w:p>
    <w:p>
      <w:pPr>
        <w:spacing w:after="0" w:line="88" w:lineRule="exact"/>
        <w:rPr>
          <w:sz w:val="20"/>
          <w:szCs w:val="20"/>
          <w:color w:val="auto"/>
        </w:rPr>
      </w:pPr>
    </w:p>
    <w:p>
      <w:pPr>
        <w:ind w:right="460" w:firstLine="509"/>
        <w:spacing w:after="0" w:line="311" w:lineRule="auto"/>
        <w:rPr>
          <w:sz w:val="20"/>
          <w:szCs w:val="20"/>
          <w:color w:val="auto"/>
        </w:rPr>
      </w:pPr>
      <w:r>
        <w:rPr>
          <w:rFonts w:ascii="Arial" w:cs="Arial" w:eastAsia="Arial" w:hAnsi="Arial"/>
          <w:sz w:val="16"/>
          <w:szCs w:val="16"/>
          <w:color w:val="auto"/>
        </w:rPr>
        <w:t>The extent of the impact of macroeconomic conditions, geopolitical tensions and the lingering effects from the COVID-19 pandemic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fluctuations in Currency Exchange Rate</w:t>
      </w:r>
    </w:p>
    <w:p>
      <w:pPr>
        <w:spacing w:after="0" w:line="117"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We are exposed to fluctuations in foreign currency exchange rates. Some of our international sales are denominated in foreign currencies and any unfavorable movement in the exchange rate between U.S. dollars and the currencies in which we conduct sales in foreign countries may negatively impact our revenue. For example, our net revenue for the year ended December 31, 2022 was in part negatively impacted by the strengthening of the U.S. dollar against the Euro and the British Pound. In addition, we generally pay our employees located outside the United States in the local currency, with a significant portion of those payments being made in Taiwan dollars and Euros. As a result of our foreign sales and operations, we have other expenses, assets and liabilities that are denominated in foreign currencies, in particular the Euro, British Pound, Chinese Yuan and New Taiwan Dollar.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Industry Trends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results of operations and financial condition are impacted by industry trends in the gaming market, including:</w:t>
      </w:r>
    </w:p>
    <w:p>
      <w:pPr>
        <w:spacing w:after="0" w:line="117" w:lineRule="exact"/>
        <w:rPr>
          <w:sz w:val="20"/>
          <w:szCs w:val="20"/>
          <w:color w:val="auto"/>
        </w:rPr>
      </w:pPr>
    </w:p>
    <w:p>
      <w:pPr>
        <w:ind w:left="1260" w:right="20" w:hanging="368"/>
        <w:spacing w:after="0" w:line="293" w:lineRule="auto"/>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Increasing gaming engagement. </w:t>
      </w:r>
      <w:r>
        <w:rPr>
          <w:rFonts w:ascii="Arial" w:cs="Arial" w:eastAsia="Arial" w:hAnsi="Arial"/>
          <w:sz w:val="16"/>
          <w:szCs w:val="16"/>
          <w:color w:val="auto"/>
        </w:rPr>
        <w:t>We believe that gaming’s increasing time share of global entertainment consumption will drive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in spending on both games and gaming gear. Gaming continues to become increasingly social, as streaming viewership becomes more widely adopted with increasing numbers of content creators. This trend, which has accelerated in the past few years experienced a setback in 2022 primarily due to challenging macroeconomic conditions and the ongoing war between Russia and Ukraine. Nonetheless, we have seen some recovery starting from the fourth quarter of 2022. Accordingly, we believe that the acceleration trend will continue in the remainder of 2023 and that we are well-positioned to serve the streaming market with best-in-class tools for content creation.</w:t>
      </w:r>
    </w:p>
    <w:p>
      <w:pPr>
        <w:spacing w:after="0" w:line="54" w:lineRule="exact"/>
        <w:rPr>
          <w:rFonts w:ascii="Arial" w:cs="Arial" w:eastAsia="Arial" w:hAnsi="Arial"/>
          <w:sz w:val="16"/>
          <w:szCs w:val="16"/>
          <w:color w:val="auto"/>
        </w:rPr>
      </w:pPr>
    </w:p>
    <w:p>
      <w:pPr>
        <w:ind w:left="1260" w:hanging="368"/>
        <w:spacing w:after="0" w:line="268"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Introduction of new high-performance computing hardware and sophisticated games</w:t>
      </w:r>
      <w:r>
        <w:rPr>
          <w:rFonts w:ascii="Arial" w:cs="Arial" w:eastAsia="Arial" w:hAnsi="Arial"/>
          <w:sz w:val="17"/>
          <w:szCs w:val="17"/>
          <w:color w:val="auto"/>
        </w:rPr>
        <w:t>. We believe that the introduction of more powerful</w:t>
      </w:r>
      <w:r>
        <w:rPr>
          <w:rFonts w:ascii="Arial" w:cs="Arial" w:eastAsia="Arial" w:hAnsi="Arial"/>
          <w:sz w:val="17"/>
          <w:szCs w:val="17"/>
          <w:i w:val="1"/>
          <w:iCs w:val="1"/>
          <w:color w:val="auto"/>
        </w:rPr>
        <w:t xml:space="preserve"> </w:t>
      </w:r>
      <w:r>
        <w:rPr>
          <w:rFonts w:ascii="Arial" w:cs="Arial" w:eastAsia="Arial" w:hAnsi="Arial"/>
          <w:sz w:val="17"/>
          <w:szCs w:val="17"/>
          <w:color w:val="auto"/>
        </w:rPr>
        <w:t>CPUs and GPUs that place increased demands on other system components, such as memory, power supply or cooling, has a significant effect on increasing the demand for our gear. The shortage of reasonably priced GPUs since the second half of 2021 had a negative impact on our gaming component revenue, but starting from the third quarter of 2022, we saw the availability of reasonably priced GPUs began to normalize which brought along some positive effects to the self-built PC market. In addition, we believe that our business success depends in part on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Product Mix</w:t>
      </w:r>
    </w:p>
    <w:p>
      <w:pPr>
        <w:spacing w:after="0" w:line="117" w:lineRule="exact"/>
        <w:rPr>
          <w:sz w:val="20"/>
          <w:szCs w:val="20"/>
          <w:color w:val="auto"/>
        </w:rPr>
      </w:pPr>
    </w:p>
    <w:p>
      <w:pPr>
        <w:ind w:right="260" w:firstLine="509"/>
        <w:spacing w:after="0" w:line="256" w:lineRule="auto"/>
        <w:rPr>
          <w:sz w:val="20"/>
          <w:szCs w:val="20"/>
          <w:color w:val="auto"/>
        </w:rPr>
      </w:pPr>
      <w:r>
        <w:rPr>
          <w:rFonts w:ascii="Arial" w:cs="Arial" w:eastAsia="Arial" w:hAnsi="Arial"/>
          <w:sz w:val="18"/>
          <w:szCs w:val="18"/>
          <w:color w:val="auto"/>
        </w:rPr>
        <w:t>Our gamer and creator peripherals segment has a higher gross margin than our gaming components and systems segment. 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Customer Concentration</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operate a global sales network that consists primarily of retailers (including e-retailers), as well as distributors we use to access certain retailers. Further, a limited number of retailers and distributors represent a significant portion of our net revenue, with e-retailer Amazon accounting for 29.2% and 26.3% of our net revenue for the nine months ended September 30, 2023 and 2022, respectively, and sales to our ten largest customers accounting for approximately 54.9% and 52.0% of our net revenue for the nine months ended September 30, 2023 and 2022, respectively. Our customers, including Amazon, typically do not enter into long-term agreements to purchase our gear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e-retailers such as Amazon process our packages more efficiently. Further, given our global operations, a significant percentage of our expenses relate to shipping costs. Our ability to effectively optimize these shipping expenses, for example utilizing expensive shipping options such as air freight for smaller packages and more urgent deliveries and more cost-efficient options, such as train or boat, for other shipments, has an impact on our expenses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New Product Introductions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Gamers demand new technology and product features, and we expect our ability to accurately anticipate and meet these demands will be one of the main drivers for any future sales growth and market share expansion. While we intend to continue to develop and release new products, there can be no assurance that our new product introductions will have a favorable impact on our operating results or that customers will choose our new gear over those of our competitors.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Seasonal Sales Trends</w:t>
      </w:r>
    </w:p>
    <w:p>
      <w:pPr>
        <w:spacing w:after="0" w:line="117"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We have experienced and expect to continue to experience seasonal fluctuations in sales due to the buying patterns of our customers and spending patterns of gamers. Our net revenue has generally been lower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quarters due to seasonal sales such as “Black Friday” and “Cyber Monday”, as well as “Singles Day” in China, as retailers tend to make purchases in advance of these sales.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Fluctuations in Integrated Circuits Pricing</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Integrated circuits, or ICs, account for most of the cost of producing our high-performance 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We generate materially all of our net revenue from the sale of gamer and creator peripherals and gaming components and systems to retailers, including online retailers, gamers and distributors worldwide. Our revenue is recognized net of allowances for returns, discounts, sales incentives and any taxes collected from customers.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Cost of revenue consists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inventory write-downs and certain allocated costs related to facilities and information technology, or IT, and personnel-related expenses and other operating expenses related to supply chain logistics.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consist of sales, general and administrative expenses and product development expenses.</w:t>
      </w:r>
    </w:p>
    <w:p>
      <w:pPr>
        <w:spacing w:after="0" w:line="11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i w:val="1"/>
          <w:iCs w:val="1"/>
          <w:color w:val="auto"/>
        </w:rPr>
        <w:t xml:space="preserve">Sales, general and administrative. </w:t>
      </w:r>
      <w:r>
        <w:rPr>
          <w:rFonts w:ascii="Arial" w:cs="Arial" w:eastAsia="Arial" w:hAnsi="Arial"/>
          <w:sz w:val="17"/>
          <w:szCs w:val="17"/>
          <w:color w:val="auto"/>
        </w:rPr>
        <w:t>Sales, general and administrative, or SG&amp;A, expenses represent the largest component of our operating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personnel-related cost and allocated overhead costs. General and administrative costs consist primarily of personnel-related expenses for our finance, legal, human resources, IT and administrative personnel, as well as the costs of professional services related to these functions and allocated overhead costs.</w:t>
      </w:r>
    </w:p>
    <w:p>
      <w:pPr>
        <w:spacing w:after="0" w:line="73"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i w:val="1"/>
          <w:iCs w:val="1"/>
          <w:color w:val="auto"/>
        </w:rPr>
        <w:t>Product development</w:t>
      </w:r>
      <w:r>
        <w:rPr>
          <w:rFonts w:ascii="Arial" w:cs="Arial" w:eastAsia="Arial" w:hAnsi="Arial"/>
          <w:sz w:val="18"/>
          <w:szCs w:val="18"/>
          <w:color w:val="auto"/>
        </w:rPr>
        <w:t>. Product development costs are generally expensed as incurred. Product development costs consist primarily of the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design and testing of new products and improvements to existing products. These costs relate primarily to compensation of personnel and consultants involved with product design, definition, compatibility testing and qualification, as well as depreciation costs of equipment used, prototype material costs and allocated overhead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Interest expense, net consists of interest associated with our debt financing arrangements, including our revolving line of credit, and amortization of debt issuance costs and debt discounts. Interest income earned on our cash and restricted cash balance is included within interest expense, net as an offset to interest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400" w:firstLine="509"/>
        <w:spacing w:after="0" w:line="341" w:lineRule="auto"/>
        <w:rPr>
          <w:sz w:val="20"/>
          <w:szCs w:val="20"/>
          <w:color w:val="auto"/>
        </w:rPr>
      </w:pPr>
      <w:r>
        <w:rPr>
          <w:rFonts w:ascii="Arial" w:cs="Arial" w:eastAsia="Arial" w:hAnsi="Arial"/>
          <w:sz w:val="16"/>
          <w:szCs w:val="16"/>
          <w:color w:val="auto"/>
        </w:rPr>
        <w:t>Other (expense) income, net consists primarily of our foreign currency exchange gains and losses relating to transactions and remeasurement of asset and liability balances denominated in foreign currencies, and net fair value gains and losses from our foreign currency forward contracts.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jc w:val="both"/>
        <w:ind w:right="20" w:firstLine="509"/>
        <w:spacing w:after="0" w:line="301" w:lineRule="auto"/>
        <w:rPr>
          <w:sz w:val="20"/>
          <w:szCs w:val="20"/>
          <w:color w:val="auto"/>
        </w:rPr>
      </w:pPr>
      <w:r>
        <w:rPr>
          <w:rFonts w:ascii="Arial" w:cs="Arial" w:eastAsia="Arial" w:hAnsi="Arial"/>
          <w:sz w:val="16"/>
          <w:szCs w:val="16"/>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pacing w:after="0" w:line="48"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w:t>
      </w:r>
    </w:p>
    <w:p>
      <w:pPr>
        <w:spacing w:after="0" w:line="11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Net income attributable to noncontrolling interest represents the share of the net income of iDisplay attributable to the 49% ownership interest of iDisplay we did not acquire.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0" w:firstLine="509"/>
        <w:spacing w:after="0" w:line="258" w:lineRule="auto"/>
        <w:rPr>
          <w:sz w:val="20"/>
          <w:szCs w:val="20"/>
          <w:color w:val="auto"/>
        </w:rPr>
      </w:pPr>
      <w:r>
        <w:rPr>
          <w:rFonts w:ascii="Arial" w:cs="Arial" w:eastAsia="Arial" w:hAnsi="Arial"/>
          <w:sz w:val="18"/>
          <w:szCs w:val="18"/>
          <w:color w:val="auto"/>
        </w:rPr>
        <w:t>The following tables set forth the components of our condensed consolidated statements of operations, in dollars (thousands) and as a percentage of total net revenue, for each of the periods presented.</w:t>
      </w:r>
    </w:p>
    <w:tbl>
      <w:tblPr>
        <w:tblLayout w:type="fixed"/>
        <w:tblInd w:w="0" w:type="dxa"/>
        <w:tblCellMar>
          <w:top w:w="0" w:type="dxa"/>
          <w:left w:w="0" w:type="dxa"/>
          <w:bottom w:w="0" w:type="dxa"/>
          <w:right w:w="0" w:type="dxa"/>
        </w:tblCellMar>
      </w:tblPr>
      <w:tr>
        <w:trPr>
          <w:trHeight w:val="140"/>
        </w:trPr>
        <w:tc>
          <w:tcPr>
            <w:tcW w:w="5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gridSpan w:val="6"/>
          </w:tcPr>
          <w:p>
            <w:pPr>
              <w:jc w:val="center"/>
              <w:ind w:right="495"/>
              <w:spacing w:after="0" w:line="140" w:lineRule="exact"/>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2"/>
                <w:szCs w:val="12"/>
                <w:color w:val="auto"/>
              </w:rPr>
            </w:pPr>
          </w:p>
        </w:tc>
        <w:tc>
          <w:tcPr>
            <w:tcW w:w="2660" w:type="dxa"/>
            <w:vAlign w:val="bottom"/>
            <w:gridSpan w:val="8"/>
          </w:tcPr>
          <w:p>
            <w:pPr>
              <w:jc w:val="center"/>
              <w:ind w:right="560"/>
              <w:spacing w:after="0" w:line="140" w:lineRule="exact"/>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left="494"/>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ind w:left="474"/>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5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363,193</w:t>
            </w:r>
          </w:p>
        </w:tc>
        <w:tc>
          <w:tcPr>
            <w:tcW w:w="240" w:type="dxa"/>
            <w:vAlign w:val="bottom"/>
            <w:tcBorders>
              <w:lef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311,769</w:t>
            </w:r>
          </w:p>
        </w:tc>
        <w:tc>
          <w:tcPr>
            <w:tcW w:w="24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1,042,589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976,368</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273,840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240,209</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777,593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89,353</w:t>
            </w:r>
          </w:p>
        </w:tc>
        <w:tc>
          <w:tcPr>
            <w:tcW w:w="240" w:type="dxa"/>
            <w:vAlign w:val="bottom"/>
            <w:tcBorders>
              <w:lef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71,560</w:t>
            </w:r>
          </w:p>
        </w:tc>
        <w:tc>
          <w:tcPr>
            <w:tcW w:w="240" w:type="dxa"/>
            <w:vAlign w:val="bottom"/>
            <w:tcBorders>
              <w:right w:val="single" w:sz="8" w:color="CFF0FC"/>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257,589</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198,775</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Sales, general and administrative</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74,000</w:t>
            </w:r>
          </w:p>
        </w:tc>
        <w:tc>
          <w:tcPr>
            <w:tcW w:w="240" w:type="dxa"/>
            <w:vAlign w:val="bottom"/>
            <w:tcBorders>
              <w:lef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66,932</w:t>
            </w:r>
          </w:p>
        </w:tc>
        <w:tc>
          <w:tcPr>
            <w:tcW w:w="24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211,482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216,456</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20"/>
              <w:spacing w:after="0"/>
              <w:rPr>
                <w:sz w:val="20"/>
                <w:szCs w:val="20"/>
                <w:color w:val="auto"/>
              </w:rPr>
            </w:pPr>
            <w:r>
              <w:rPr>
                <w:rFonts w:ascii="Arial" w:cs="Arial" w:eastAsia="Arial" w:hAnsi="Arial"/>
                <w:sz w:val="18"/>
                <w:szCs w:val="18"/>
                <w:color w:val="auto"/>
              </w:rPr>
              <w:t>Product development</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16,111</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15,616</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48,542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90,111</w:t>
            </w:r>
          </w:p>
        </w:tc>
        <w:tc>
          <w:tcPr>
            <w:tcW w:w="240" w:type="dxa"/>
            <w:vAlign w:val="bottom"/>
            <w:tcBorders>
              <w:lef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82,548</w:t>
            </w:r>
          </w:p>
        </w:tc>
        <w:tc>
          <w:tcPr>
            <w:tcW w:w="240" w:type="dxa"/>
            <w:vAlign w:val="bottom"/>
            <w:tcBorders>
              <w:right w:val="single" w:sz="8" w:color="CFF0FC"/>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260,024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267,208</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0"/>
                <w:szCs w:val="20"/>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(758 )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35"/>
              <w:spacing w:after="0"/>
              <w:rPr>
                <w:sz w:val="20"/>
                <w:szCs w:val="20"/>
                <w:color w:val="auto"/>
              </w:rPr>
            </w:pPr>
            <w:r>
              <w:rPr>
                <w:rFonts w:ascii="Arial" w:cs="Arial" w:eastAsia="Arial" w:hAnsi="Arial"/>
                <w:sz w:val="18"/>
                <w:szCs w:val="18"/>
                <w:color w:val="auto"/>
              </w:rPr>
              <w:t>(10,988 )</w:t>
            </w:r>
          </w:p>
        </w:tc>
        <w:tc>
          <w:tcPr>
            <w:tcW w:w="3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(2,435 )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(68,433 )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(expense) income:</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0"/>
                <w:szCs w:val="20"/>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(2,529 )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35"/>
              <w:spacing w:after="0"/>
              <w:rPr>
                <w:sz w:val="20"/>
                <w:szCs w:val="20"/>
                <w:color w:val="auto"/>
              </w:rPr>
            </w:pPr>
            <w:r>
              <w:rPr>
                <w:rFonts w:ascii="Arial" w:cs="Arial" w:eastAsia="Arial" w:hAnsi="Arial"/>
                <w:sz w:val="18"/>
                <w:szCs w:val="18"/>
                <w:color w:val="auto"/>
              </w:rPr>
              <w:t>(2,734 )</w:t>
            </w:r>
          </w:p>
        </w:tc>
        <w:tc>
          <w:tcPr>
            <w:tcW w:w="3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(7,875 )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(5,689 )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Borders>
              <w:lef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24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(1,326 )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260" w:type="dxa"/>
            <w:vAlign w:val="bottom"/>
          </w:tcPr>
          <w:p>
            <w:pPr>
              <w:spacing w:after="0"/>
              <w:rPr>
                <w:sz w:val="20"/>
                <w:szCs w:val="20"/>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(2,225 )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35"/>
              <w:spacing w:after="0"/>
              <w:rPr>
                <w:sz w:val="20"/>
                <w:szCs w:val="20"/>
                <w:color w:val="auto"/>
              </w:rPr>
            </w:pPr>
            <w:r>
              <w:rPr>
                <w:rFonts w:ascii="Arial" w:cs="Arial" w:eastAsia="Arial" w:hAnsi="Arial"/>
                <w:sz w:val="18"/>
                <w:szCs w:val="18"/>
                <w:color w:val="auto"/>
              </w:rPr>
              <w:t>(1,072 )</w:t>
            </w:r>
          </w:p>
        </w:tc>
        <w:tc>
          <w:tcPr>
            <w:tcW w:w="3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(9,201 )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(3,893 )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240" w:type="dxa"/>
            <w:vAlign w:val="bottom"/>
            <w:tcBorders>
              <w:lef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(12,060</w:t>
            </w:r>
          </w:p>
        </w:tc>
        <w:tc>
          <w:tcPr>
            <w:tcW w:w="240" w:type="dxa"/>
            <w:vAlign w:val="bottom"/>
            <w:tcBorders>
              <w:right w:val="single" w:sz="8" w:color="CFF0FC"/>
            </w:tcBorders>
            <w:shd w:val="clear" w:color="auto" w:fill="CFF0FC"/>
          </w:tcPr>
          <w:p>
            <w:pPr>
              <w:jc w:val="right"/>
              <w:ind w:right="135"/>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(11,636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(72,326</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w:t>
            </w:r>
          </w:p>
        </w:tc>
        <w:tc>
          <w:tcPr>
            <w:tcW w:w="240" w:type="dxa"/>
            <w:vAlign w:val="bottom"/>
            <w:tcBorders>
              <w:lef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(5,945</w:t>
            </w:r>
          </w:p>
        </w:tc>
        <w:tc>
          <w:tcPr>
            <w:tcW w:w="240" w:type="dxa"/>
            <w:vAlign w:val="bottom"/>
            <w:tcBorders>
              <w:right w:val="single" w:sz="8" w:color="CFF0FC"/>
            </w:tcBorders>
            <w:shd w:val="clear" w:color="auto" w:fill="CFF0FC"/>
          </w:tcPr>
          <w:p>
            <w:pPr>
              <w:jc w:val="right"/>
              <w:ind w:right="135"/>
              <w:spacing w:after="0"/>
              <w:rPr>
                <w:sz w:val="20"/>
                <w:szCs w:val="20"/>
                <w:color w:val="auto"/>
              </w:rPr>
            </w:pPr>
            <w:r>
              <w:rPr>
                <w:rFonts w:ascii="Arial" w:cs="Arial" w:eastAsia="Arial" w:hAnsi="Arial"/>
                <w:sz w:val="8"/>
                <w:szCs w:val="8"/>
                <w:color w:val="auto"/>
                <w:w w:val="73"/>
              </w:rPr>
              <w:t>)</w:t>
            </w:r>
          </w:p>
        </w:tc>
        <w:tc>
          <w:tcPr>
            <w:tcW w:w="3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(8,613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(61,064</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20"/>
              <w:spacing w:after="0"/>
              <w:rPr>
                <w:sz w:val="20"/>
                <w:szCs w:val="20"/>
                <w:color w:val="auto"/>
              </w:rPr>
            </w:pPr>
            <w:r>
              <w:rPr>
                <w:rFonts w:ascii="Arial" w:cs="Arial" w:eastAsia="Arial" w:hAnsi="Arial"/>
                <w:sz w:val="18"/>
                <w:szCs w:val="18"/>
                <w:color w:val="auto"/>
              </w:rPr>
              <w:t>Less: Net income attributable to noncontrolling interest</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22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loss attributable to Corsair Gaming, Inc.</w:t>
            </w:r>
          </w:p>
        </w:tc>
        <w:tc>
          <w:tcPr>
            <w:tcW w:w="26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(3,079</w:t>
            </w:r>
          </w:p>
        </w:tc>
        <w:tc>
          <w:tcPr>
            <w:tcW w:w="240" w:type="dxa"/>
            <w:vAlign w:val="bottom"/>
            <w:tcBorders>
              <w:left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(6,211</w:t>
            </w:r>
          </w:p>
        </w:tc>
        <w:tc>
          <w:tcPr>
            <w:tcW w:w="240" w:type="dxa"/>
            <w:vAlign w:val="bottom"/>
            <w:tcBorders>
              <w:bottom w:val="single" w:sz="8" w:color="CFF0FC"/>
              <w:right w:val="single" w:sz="8" w:color="CFF0FC"/>
            </w:tcBorders>
            <w:shd w:val="clear" w:color="auto" w:fill="CFF0FC"/>
          </w:tcPr>
          <w:p>
            <w:pPr>
              <w:jc w:val="right"/>
              <w:ind w:right="135"/>
              <w:spacing w:after="0"/>
              <w:rPr>
                <w:sz w:val="20"/>
                <w:szCs w:val="20"/>
                <w:color w:val="auto"/>
              </w:rPr>
            </w:pPr>
            <w:r>
              <w:rPr>
                <w:rFonts w:ascii="Arial" w:cs="Arial" w:eastAsia="Arial" w:hAnsi="Arial"/>
                <w:sz w:val="8"/>
                <w:szCs w:val="8"/>
                <w:color w:val="auto"/>
                <w:w w:val="73"/>
              </w:rPr>
              <w: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(9,571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(61,097</w:t>
            </w: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6"/>
          </w:tcPr>
          <w:p>
            <w:pPr>
              <w:jc w:val="right"/>
              <w:ind w:right="97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8"/>
                <w:szCs w:val="18"/>
                <w:color w:val="auto"/>
              </w:rPr>
            </w:pPr>
          </w:p>
        </w:tc>
        <w:tc>
          <w:tcPr>
            <w:tcW w:w="2660" w:type="dxa"/>
            <w:vAlign w:val="bottom"/>
            <w:gridSpan w:val="8"/>
          </w:tcPr>
          <w:p>
            <w:pPr>
              <w:jc w:val="center"/>
              <w:ind w:right="5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522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2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15"/>
              <w:spacing w:after="0"/>
              <w:rPr>
                <w:sz w:val="20"/>
                <w:szCs w:val="20"/>
                <w:color w:val="auto"/>
              </w:rPr>
            </w:pPr>
            <w:r>
              <w:rPr>
                <w:rFonts w:ascii="Arial" w:cs="Arial" w:eastAsia="Arial" w:hAnsi="Arial"/>
                <w:sz w:val="18"/>
                <w:szCs w:val="18"/>
                <w:color w:val="auto"/>
              </w:rPr>
              <w:t>100.0 %</w:t>
            </w:r>
          </w:p>
        </w:tc>
        <w:tc>
          <w:tcPr>
            <w:tcW w:w="34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56"/>
        </w:trPr>
        <w:tc>
          <w:tcPr>
            <w:tcW w:w="52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Borders>
              <w:lef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Borders>
              <w:right w:val="single" w:sz="8" w:color="CFF0FC"/>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Sales, general and administrative</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Borders>
              <w:lef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20"/>
              <w:spacing w:after="0"/>
              <w:rPr>
                <w:sz w:val="20"/>
                <w:szCs w:val="20"/>
                <w:color w:val="auto"/>
              </w:rPr>
            </w:pPr>
            <w:r>
              <w:rPr>
                <w:rFonts w:ascii="Arial" w:cs="Arial" w:eastAsia="Arial" w:hAnsi="Arial"/>
                <w:sz w:val="18"/>
                <w:szCs w:val="18"/>
                <w:color w:val="auto"/>
              </w:rPr>
              <w:t>Product development</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Borders>
              <w:left w:val="single" w:sz="8" w:color="CFF0FC"/>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9"/>
                <w:szCs w:val="19"/>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95"/>
              <w:spacing w:after="0"/>
              <w:rPr>
                <w:sz w:val="20"/>
                <w:szCs w:val="20"/>
                <w:color w:val="auto"/>
              </w:rPr>
            </w:pPr>
            <w:r>
              <w:rPr>
                <w:rFonts w:ascii="Arial" w:cs="Arial" w:eastAsia="Arial" w:hAnsi="Arial"/>
                <w:sz w:val="18"/>
                <w:szCs w:val="18"/>
                <w:color w:val="auto"/>
              </w:rPr>
              <w:t>(3.5 )</w:t>
            </w: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(expense) income:</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0"/>
                <w:szCs w:val="20"/>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95"/>
              <w:spacing w:after="0"/>
              <w:rPr>
                <w:sz w:val="20"/>
                <w:szCs w:val="20"/>
                <w:color w:val="auto"/>
              </w:rPr>
            </w:pPr>
            <w:r>
              <w:rPr>
                <w:rFonts w:ascii="Arial" w:cs="Arial" w:eastAsia="Arial" w:hAnsi="Arial"/>
                <w:sz w:val="18"/>
                <w:szCs w:val="18"/>
                <w:color w:val="auto"/>
              </w:rPr>
              <w:t>(0.9 )</w:t>
            </w:r>
          </w:p>
        </w:tc>
        <w:tc>
          <w:tcPr>
            <w:tcW w:w="3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lef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4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260" w:type="dxa"/>
            <w:vAlign w:val="bottom"/>
          </w:tcPr>
          <w:p>
            <w:pPr>
              <w:spacing w:after="0"/>
              <w:rPr>
                <w:sz w:val="20"/>
                <w:szCs w:val="20"/>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95"/>
              <w:spacing w:after="0"/>
              <w:rPr>
                <w:sz w:val="20"/>
                <w:szCs w:val="20"/>
                <w:color w:val="auto"/>
              </w:rPr>
            </w:pPr>
            <w:r>
              <w:rPr>
                <w:rFonts w:ascii="Arial" w:cs="Arial" w:eastAsia="Arial" w:hAnsi="Arial"/>
                <w:sz w:val="18"/>
                <w:szCs w:val="18"/>
                <w:color w:val="auto"/>
              </w:rPr>
              <w:t>(0.4 )</w:t>
            </w:r>
          </w:p>
        </w:tc>
        <w:tc>
          <w:tcPr>
            <w:tcW w:w="3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tcBorders>
              <w:lef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21"/>
                <w:szCs w:val="21"/>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tcBorders>
              <w:lef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20"/>
              <w:spacing w:after="0"/>
              <w:rPr>
                <w:sz w:val="20"/>
                <w:szCs w:val="20"/>
                <w:color w:val="auto"/>
              </w:rPr>
            </w:pPr>
            <w:r>
              <w:rPr>
                <w:rFonts w:ascii="Arial" w:cs="Arial" w:eastAsia="Arial" w:hAnsi="Arial"/>
                <w:sz w:val="18"/>
                <w:szCs w:val="18"/>
                <w:color w:val="auto"/>
              </w:rPr>
              <w:t>Less: Net income attributable to noncontrolling interest</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8"/>
                <w:szCs w:val="18"/>
                <w:color w:val="auto"/>
              </w:rPr>
              <w:t>Net loss attributable to Corsair Gaming, Inc.</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ind w:left="20"/>
              <w:spacing w:after="0"/>
              <w:rPr>
                <w:sz w:val="20"/>
                <w:szCs w:val="20"/>
                <w:color w:val="auto"/>
              </w:rPr>
            </w:pPr>
            <w:r>
              <w:rPr>
                <w:rFonts w:ascii="Arial" w:cs="Arial" w:eastAsia="Arial" w:hAnsi="Arial"/>
                <w:sz w:val="18"/>
                <w:szCs w:val="18"/>
                <w:color w:val="auto"/>
                <w:w w:val="90"/>
              </w:rPr>
              <w:t>)%</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ind w:left="20"/>
              <w:spacing w:after="0"/>
              <w:rPr>
                <w:sz w:val="20"/>
                <w:szCs w:val="20"/>
                <w:color w:val="auto"/>
              </w:rPr>
            </w:pPr>
            <w:r>
              <w:rPr>
                <w:rFonts w:ascii="Arial" w:cs="Arial" w:eastAsia="Arial" w:hAnsi="Arial"/>
                <w:sz w:val="18"/>
                <w:szCs w:val="18"/>
                <w:color w:val="auto"/>
                <w:w w:val="81"/>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gridSpan w:val="2"/>
          </w:tcPr>
          <w:p>
            <w:pPr>
              <w:spacing w:after="0"/>
              <w:rPr>
                <w:sz w:val="20"/>
                <w:szCs w:val="20"/>
                <w:color w:val="auto"/>
              </w:rPr>
            </w:pPr>
            <w:r>
              <w:rPr>
                <w:rFonts w:ascii="Arial" w:cs="Arial" w:eastAsia="Arial" w:hAnsi="Arial"/>
                <w:sz w:val="18"/>
                <w:szCs w:val="18"/>
                <w:color w:val="auto"/>
                <w:w w:val="81"/>
              </w:rPr>
              <w:t>)%</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gridSpan w:val="2"/>
          </w:tcPr>
          <w:p>
            <w:pPr>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Results of Operations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20" w:type="dxa"/>
            <w:vAlign w:val="bottom"/>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60" w:type="dxa"/>
            <w:vAlign w:val="bottom"/>
          </w:tcPr>
          <w:p>
            <w:pPr>
              <w:spacing w:after="0"/>
              <w:rPr>
                <w:sz w:val="24"/>
                <w:szCs w:val="24"/>
                <w:color w:val="auto"/>
              </w:rPr>
            </w:pPr>
          </w:p>
        </w:tc>
        <w:tc>
          <w:tcPr>
            <w:tcW w:w="2860" w:type="dxa"/>
            <w:vAlign w:val="bottom"/>
            <w:gridSpan w:val="6"/>
            <w:vMerge w:val="restart"/>
          </w:tcPr>
          <w:p>
            <w:pPr>
              <w:jc w:val="center"/>
              <w:ind w:right="495"/>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24"/>
                <w:szCs w:val="24"/>
                <w:color w:val="auto"/>
              </w:rPr>
            </w:pPr>
          </w:p>
        </w:tc>
        <w:tc>
          <w:tcPr>
            <w:tcW w:w="2660" w:type="dxa"/>
            <w:vAlign w:val="bottom"/>
            <w:gridSpan w:val="8"/>
            <w:vMerge w:val="restart"/>
          </w:tcPr>
          <w:p>
            <w:pPr>
              <w:jc w:val="center"/>
              <w:ind w:right="5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39"/>
        </w:trPr>
        <w:tc>
          <w:tcPr>
            <w:tcW w:w="5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left="494"/>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ind w:left="474"/>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363,193</w:t>
            </w:r>
          </w:p>
        </w:tc>
        <w:tc>
          <w:tcPr>
            <w:tcW w:w="240" w:type="dxa"/>
            <w:vAlign w:val="bottom"/>
            <w:tcBorders>
              <w:lef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311,769</w:t>
            </w:r>
          </w:p>
        </w:tc>
        <w:tc>
          <w:tcPr>
            <w:tcW w:w="24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1,042,589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976,368</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-5359400</wp:posOffset>
            </wp:positionV>
            <wp:extent cx="76835"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-5359400</wp:posOffset>
            </wp:positionV>
            <wp:extent cx="76835"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-5359400</wp:posOffset>
            </wp:positionV>
            <wp:extent cx="6858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-5359400</wp:posOffset>
            </wp:positionV>
            <wp:extent cx="6858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-4400550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-4383405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-4400550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-4383405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-4400550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-4383405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-4400550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-4383405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-3903980</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-2807970</wp:posOffset>
            </wp:positionV>
            <wp:extent cx="76835" cy="162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-2807970</wp:posOffset>
            </wp:positionV>
            <wp:extent cx="68580" cy="162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-2807970</wp:posOffset>
            </wp:positionV>
            <wp:extent cx="68580" cy="162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-2807970</wp:posOffset>
            </wp:positionV>
            <wp:extent cx="68580" cy="162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-2182495</wp:posOffset>
            </wp:positionV>
            <wp:extent cx="76835"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-2182495</wp:posOffset>
            </wp:positionV>
            <wp:extent cx="6858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-2182495</wp:posOffset>
            </wp:positionV>
            <wp:extent cx="6858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-1377950</wp:posOffset>
            </wp:positionV>
            <wp:extent cx="7132320" cy="1797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54"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Net revenue increased by 16.5% for the three months ended September 30, 2023 as compared to the same period last year. The increase was due to a 26.9% increase in sales for our gaming components and systems segment, which was partially offset by a 6.7% decrease in sales for our gamer and creator peripherals segment.</w:t>
      </w:r>
    </w:p>
    <w:p>
      <w:pPr>
        <w:sectPr>
          <w:pgSz w:w="11900" w:h="16838" w:orient="portrait"/>
          <w:cols w:equalWidth="0" w:num="1">
            <w:col w:w="11340"/>
          </w:cols>
          <w:pgMar w:left="320" w:top="418" w:right="239" w:bottom="916" w:gutter="0" w:footer="0" w:header="0"/>
        </w:sectPr>
      </w:pPr>
    </w:p>
    <w:p>
      <w:pPr>
        <w:spacing w:after="0" w:line="18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18" w:right="239" w:bottom="916"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Net revenue increased by 6.8% for the nine months ended September 30, 2023 as compared to the same period last year. The increase was due to a 19.5% increase in sales for our gaming components and systems segment, which was partially offset by a 19.4% decrease in sales for our gamer and creator peripherals segment.</w:t>
      </w:r>
    </w:p>
    <w:p>
      <w:pPr>
        <w:spacing w:after="0" w:line="75" w:lineRule="exact"/>
        <w:rPr>
          <w:sz w:val="20"/>
          <w:szCs w:val="20"/>
          <w:color w:val="auto"/>
        </w:rPr>
      </w:pPr>
    </w:p>
    <w:p>
      <w:pPr>
        <w:ind w:right="280" w:firstLine="509"/>
        <w:spacing w:after="0" w:line="296" w:lineRule="auto"/>
        <w:rPr>
          <w:sz w:val="20"/>
          <w:szCs w:val="20"/>
          <w:color w:val="auto"/>
        </w:rPr>
      </w:pPr>
      <w:r>
        <w:rPr>
          <w:rFonts w:ascii="Arial" w:cs="Arial" w:eastAsia="Arial" w:hAnsi="Arial"/>
          <w:sz w:val="16"/>
          <w:szCs w:val="16"/>
          <w:color w:val="auto"/>
        </w:rPr>
        <w:t>Overall, the demand was higher for most of our components and systems products in both the three- and nine-month periods ended September 30, 2023, as compared to the same periods last year, primarily driven by the self-built PC market expansion due to the increase in availability of new and reasonably priced GPUs and CPUs as well as the release of new game titles. The increase in demand for our components and systems products was partially offset by a decrease in demand in both the three- and nine-month periods for our peripherals products primarily due to the challenging macroeconomic environment, including the adverse impacts from the war between Russia and Ukraine as well as inflationary trends.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3"/>
          </w:tcPr>
          <w:p>
            <w:pPr>
              <w:jc w:val="center"/>
              <w:ind w:left="161"/>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r>
      <w:tr>
        <w:trPr>
          <w:trHeight w:val="185"/>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161"/>
              <w:spacing w:after="0"/>
              <w:rPr>
                <w:sz w:val="20"/>
                <w:szCs w:val="20"/>
                <w:color w:val="auto"/>
              </w:rPr>
            </w:pPr>
            <w:r>
              <w:rPr>
                <w:rFonts w:ascii="Arial" w:cs="Arial" w:eastAsia="Arial" w:hAnsi="Arial"/>
                <w:sz w:val="14"/>
                <w:szCs w:val="14"/>
                <w:b w:val="1"/>
                <w:bCs w:val="1"/>
                <w:color w:val="auto"/>
                <w:w w:val="89"/>
              </w:rPr>
              <w:t>September 30,</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4"/>
        </w:trPr>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89,353</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71,560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257,589</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198,775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24.6 %</w:t>
            </w:r>
          </w:p>
        </w:tc>
        <w:tc>
          <w:tcPr>
            <w:tcW w:w="8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23.0 %</w:t>
            </w:r>
          </w:p>
        </w:tc>
        <w:tc>
          <w:tcPr>
            <w:tcW w:w="28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24.7 %</w:t>
            </w:r>
          </w:p>
        </w:tc>
        <w:tc>
          <w:tcPr>
            <w:tcW w:w="4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20.4 %</w:t>
            </w:r>
          </w:p>
        </w:tc>
      </w:tr>
    </w:tbl>
    <w:p>
      <w:pPr>
        <w:spacing w:after="0" w:line="174"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Gross margin increased by 1.6% for the three months ended September 30, 2023 as compared to the same period last year primarily due to an improvement in product costs from suppliers, new products introduced at a higher margin, and lower freight costs as the elevated freight rates caused by the COVID-19 pandemic have normalized near to pre-pandemic levels.</w:t>
      </w:r>
    </w:p>
    <w:p>
      <w:pPr>
        <w:spacing w:after="0" w:line="142" w:lineRule="exact"/>
        <w:rPr>
          <w:sz w:val="20"/>
          <w:szCs w:val="20"/>
          <w:color w:val="auto"/>
        </w:rPr>
      </w:pPr>
    </w:p>
    <w:p>
      <w:pPr>
        <w:ind w:right="220" w:firstLine="509"/>
        <w:spacing w:after="0" w:line="301" w:lineRule="auto"/>
        <w:rPr>
          <w:sz w:val="20"/>
          <w:szCs w:val="20"/>
          <w:color w:val="auto"/>
        </w:rPr>
      </w:pPr>
      <w:r>
        <w:rPr>
          <w:rFonts w:ascii="Arial" w:cs="Arial" w:eastAsia="Arial" w:hAnsi="Arial"/>
          <w:sz w:val="16"/>
          <w:szCs w:val="16"/>
          <w:color w:val="auto"/>
        </w:rPr>
        <w:t>Gross margin increased by 4.3% for the nine months ended September 30, 2023 as compared to the same period last year primarily due to lower inventory impairment and related charges in 2023 as compared to 2022 and the factors discussed above. In the second quarter of 2022 we implemented an inventory rationalization plan to align the inventory balance with reduced 2022 demand post-pandemic. The increase in gross margin for the nine-month period was also due to an improvement in product costs from suppliers, new products introduced at a higher margin, and lower freight costs.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General and Administrative (SG&amp;A)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3"/>
          </w:tcPr>
          <w:p>
            <w:pPr>
              <w:jc w:val="center"/>
              <w:ind w:left="324"/>
              <w:spacing w:after="0"/>
              <w:rPr>
                <w:sz w:val="20"/>
                <w:szCs w:val="20"/>
                <w:color w:val="auto"/>
              </w:rPr>
            </w:pPr>
            <w:r>
              <w:rPr>
                <w:rFonts w:ascii="Arial" w:cs="Arial" w:eastAsia="Arial" w:hAnsi="Arial"/>
                <w:sz w:val="14"/>
                <w:szCs w:val="14"/>
                <w:b w:val="1"/>
                <w:bCs w:val="1"/>
                <w:color w:val="auto"/>
                <w:w w:val="93"/>
              </w:rPr>
              <w:t>Nine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324"/>
              <w:spacing w:after="0"/>
              <w:rPr>
                <w:sz w:val="20"/>
                <w:szCs w:val="20"/>
                <w:color w:val="auto"/>
              </w:rPr>
            </w:pPr>
            <w:r>
              <w:rPr>
                <w:rFonts w:ascii="Arial" w:cs="Arial" w:eastAsia="Arial" w:hAnsi="Arial"/>
                <w:sz w:val="14"/>
                <w:szCs w:val="14"/>
                <w:b w:val="1"/>
                <w:bCs w:val="1"/>
                <w:color w:val="auto"/>
                <w:w w:val="89"/>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r>
      <w:tr>
        <w:trPr>
          <w:trHeight w:val="304"/>
        </w:trPr>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general and administrative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0"/>
              </w:rPr>
              <w:t>74,000</w:t>
            </w:r>
          </w:p>
        </w:tc>
        <w:tc>
          <w:tcPr>
            <w:tcW w:w="6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66,932</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211,482</w:t>
            </w:r>
          </w:p>
        </w:tc>
        <w:tc>
          <w:tcPr>
            <w:tcW w:w="7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216,456</w:t>
            </w:r>
          </w:p>
        </w:tc>
        <w:tc>
          <w:tcPr>
            <w:tcW w:w="100" w:type="dxa"/>
            <w:vAlign w:val="bottom"/>
            <w:shd w:val="clear" w:color="auto" w:fill="CFF0FC"/>
          </w:tcPr>
          <w:p>
            <w:pPr>
              <w:spacing w:after="0"/>
              <w:rPr>
                <w:sz w:val="21"/>
                <w:szCs w:val="21"/>
                <w:color w:val="auto"/>
              </w:rPr>
            </w:pPr>
          </w:p>
        </w:tc>
      </w:tr>
    </w:tbl>
    <w:p>
      <w:pPr>
        <w:spacing w:after="0" w:line="174"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SG&amp;A expenses increased 10.6% for the three months ended September 30, 2023 as compared to the same period last year primarily due to higher personnel-related costs, the inclusion of Drop's post-acquisition SG&amp;A expenses, and higher marketing and other expenses. These increases were partially offset by lower freight costs due to a reduction in freight rates.</w:t>
      </w:r>
    </w:p>
    <w:p>
      <w:pPr>
        <w:spacing w:after="0" w:line="142" w:lineRule="exact"/>
        <w:rPr>
          <w:sz w:val="20"/>
          <w:szCs w:val="20"/>
          <w:color w:val="auto"/>
        </w:rPr>
      </w:pPr>
    </w:p>
    <w:p>
      <w:pPr>
        <w:ind w:right="340" w:firstLine="509"/>
        <w:spacing w:after="0" w:line="259" w:lineRule="auto"/>
        <w:rPr>
          <w:sz w:val="20"/>
          <w:szCs w:val="20"/>
          <w:color w:val="auto"/>
        </w:rPr>
      </w:pPr>
      <w:r>
        <w:rPr>
          <w:rFonts w:ascii="Arial" w:cs="Arial" w:eastAsia="Arial" w:hAnsi="Arial"/>
          <w:sz w:val="18"/>
          <w:szCs w:val="18"/>
          <w:color w:val="auto"/>
        </w:rPr>
        <w:t>SG&amp;A expenses decreased 2.3% for the nine months ended September 30, 2023 as compared to the same period last year. The majority of the decrease in SG&amp;A expense was due to lower freight costs driven by lower freight rates. The remaining decrease in SG&amp;A expense was primarily due to lower marketing and advertising expenses and lower amortization of capitalized cloud computing implementation costs, which were partially offset by higher personnel-related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4"/>
          </w:tcPr>
          <w:p>
            <w:pPr>
              <w:jc w:val="center"/>
              <w:ind w:right="242"/>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3"/>
          </w:tcPr>
          <w:p>
            <w:pPr>
              <w:ind w:left="400"/>
              <w:spacing w:after="0"/>
              <w:rPr>
                <w:sz w:val="20"/>
                <w:szCs w:val="20"/>
                <w:color w:val="auto"/>
              </w:rPr>
            </w:pPr>
            <w:r>
              <w:rPr>
                <w:rFonts w:ascii="Arial" w:cs="Arial" w:eastAsia="Arial" w:hAnsi="Arial"/>
                <w:sz w:val="14"/>
                <w:szCs w:val="14"/>
                <w:b w:val="1"/>
                <w:bCs w:val="1"/>
                <w:color w:val="auto"/>
                <w:w w:val="91"/>
              </w:rPr>
              <w:t>Nine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84"/>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r>
      <w:tr>
        <w:trPr>
          <w:trHeight w:val="304"/>
        </w:trPr>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16,111</w:t>
            </w:r>
          </w:p>
        </w:tc>
        <w:tc>
          <w:tcPr>
            <w:tcW w:w="6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15,616</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87"/>
              </w:rPr>
              <w:t>48,542</w:t>
            </w:r>
          </w:p>
        </w:tc>
        <w:tc>
          <w:tcPr>
            <w:tcW w:w="7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50,752</w:t>
            </w:r>
          </w:p>
        </w:tc>
        <w:tc>
          <w:tcPr>
            <w:tcW w:w="100" w:type="dxa"/>
            <w:vAlign w:val="bottom"/>
            <w:shd w:val="clear" w:color="auto" w:fill="CFF0FC"/>
          </w:tcPr>
          <w:p>
            <w:pPr>
              <w:spacing w:after="0"/>
              <w:rPr>
                <w:sz w:val="21"/>
                <w:szCs w:val="21"/>
                <w:color w:val="auto"/>
              </w:rPr>
            </w:pPr>
          </w:p>
        </w:tc>
      </w:tr>
    </w:tbl>
    <w:p>
      <w:pPr>
        <w:spacing w:after="0" w:line="161"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Product development expenses increased 3.2% for the three months ended September 30, 2023 as compared to the same period last year primarily due to higher personnel-related costs.</w:t>
      </w:r>
    </w:p>
    <w:p>
      <w:pPr>
        <w:spacing w:after="0" w:line="142"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Product development expenses decreased 4.4% for the nine months ended September 30, 2023 as compared to the same period last year primarily due to lower personnel-related costs and lower allocation of corporate IT-related and facility-related costs.</w:t>
      </w:r>
    </w:p>
    <w:p>
      <w:pPr>
        <w:sectPr>
          <w:pgSz w:w="11900" w:h="16838" w:orient="portrait"/>
          <w:cols w:equalWidth="0" w:num="1">
            <w:col w:w="11300"/>
          </w:cols>
          <w:pgMar w:left="320" w:top="418" w:right="279" w:bottom="1440" w:gutter="0" w:footer="0" w:header="0"/>
        </w:sectPr>
      </w:pP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18" w:right="27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 and Other (Expense) Income,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40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3"/>
          </w:tcPr>
          <w:p>
            <w:pPr>
              <w:ind w:left="400"/>
              <w:spacing w:after="0"/>
              <w:rPr>
                <w:sz w:val="20"/>
                <w:szCs w:val="20"/>
                <w:color w:val="auto"/>
              </w:rPr>
            </w:pPr>
            <w:r>
              <w:rPr>
                <w:rFonts w:ascii="Arial" w:cs="Arial" w:eastAsia="Arial" w:hAnsi="Arial"/>
                <w:sz w:val="14"/>
                <w:szCs w:val="14"/>
                <w:b w:val="1"/>
                <w:bCs w:val="1"/>
                <w:color w:val="auto"/>
                <w:w w:val="91"/>
              </w:rPr>
              <w:t>Nine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1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1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r>
      <w:tr>
        <w:trPr>
          <w:trHeight w:val="304"/>
        </w:trPr>
        <w:tc>
          <w:tcPr>
            <w:tcW w:w="5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FF0FC"/>
          </w:tcPr>
          <w:p>
            <w:pPr>
              <w:jc w:val="right"/>
              <w:ind w:right="648"/>
              <w:spacing w:after="0"/>
              <w:rPr>
                <w:sz w:val="20"/>
                <w:szCs w:val="20"/>
                <w:color w:val="auto"/>
              </w:rPr>
            </w:pPr>
            <w:r>
              <w:rPr>
                <w:rFonts w:ascii="Arial" w:cs="Arial" w:eastAsia="Arial" w:hAnsi="Arial"/>
                <w:sz w:val="18"/>
                <w:szCs w:val="18"/>
                <w:color w:val="auto"/>
                <w:w w:val="96"/>
              </w:rPr>
              <w:t>(2,529 )   $</w:t>
            </w:r>
          </w:p>
        </w:tc>
        <w:tc>
          <w:tcPr>
            <w:tcW w:w="11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(2,734 )  $</w:t>
            </w:r>
          </w:p>
        </w:tc>
        <w:tc>
          <w:tcPr>
            <w:tcW w:w="16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(7,875 )  $</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(5,689 )</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(1,326 )</w:t>
            </w: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Interest expense, net decreased 7.5%, for the three months ended September 30, 2023 as compared to the same period last year. The decrease in interest expense, net was primarily due to a $1.7 million interest income earned in the three months ended September 30, 2023 which offsets the increase in interest expense on our Term Loan from a higher interest rate. There was no interest income earned in the three months ended September 30, 2022.</w:t>
      </w:r>
    </w:p>
    <w:p>
      <w:pPr>
        <w:spacing w:after="0" w:line="10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Interest expense, net increased 38.4%, for the nine months ended September 30, 2023 as compared to the same period last year. The increase in interest expense, net was primarily due to a higher interest rate on our Term Loan compared to the same period last year, which was partially offset by $5.2 million interest income earned in the nine months ended September 30, 2023. There was no interest income earned in the nine months ended September 30, 2022.</w:t>
      </w:r>
    </w:p>
    <w:p>
      <w:pPr>
        <w:spacing w:after="0" w:line="7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Other (expense) income, net is primarily comprised of foreign exchange gains and losses on cash, accounts receivable and intercompany balances denominated in currencies other than the functional currencies of our subsidiaries. Our foreign currency exposure is primarily driven by fluctuations in the foreign currency exchanges rates of the Euro, British Pound and the Chinese Yuan.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20" w:type="dxa"/>
            <w:vAlign w:val="bottom"/>
            <w:gridSpan w:val="6"/>
          </w:tcPr>
          <w:p>
            <w:pPr>
              <w:jc w:val="right"/>
              <w:ind w:right="1400"/>
              <w:spacing w:after="0"/>
              <w:rPr>
                <w:sz w:val="20"/>
                <w:szCs w:val="20"/>
                <w:color w:val="auto"/>
              </w:rPr>
            </w:pPr>
            <w:r>
              <w:rPr>
                <w:rFonts w:ascii="Arial" w:cs="Arial" w:eastAsia="Arial" w:hAnsi="Arial"/>
                <w:sz w:val="14"/>
                <w:szCs w:val="14"/>
                <w:b w:val="1"/>
                <w:bCs w:val="1"/>
                <w:color w:val="auto"/>
                <w:w w:val="93"/>
              </w:rPr>
              <w:t>Three Months Ended</w:t>
            </w:r>
          </w:p>
        </w:tc>
        <w:tc>
          <w:tcPr>
            <w:tcW w:w="258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2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52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4"/>
        </w:trPr>
        <w:tc>
          <w:tcPr>
            <w:tcW w:w="5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w w:val="96"/>
              </w:rPr>
              <w:t>(2,983 )   $</w:t>
            </w:r>
          </w:p>
        </w:tc>
        <w:tc>
          <w:tcPr>
            <w:tcW w:w="152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(12,060 )  $</w:t>
            </w:r>
          </w:p>
        </w:tc>
        <w:tc>
          <w:tcPr>
            <w:tcW w:w="152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(11,636 )  $</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(72,326 )</w:t>
            </w:r>
          </w:p>
        </w:tc>
        <w:tc>
          <w:tcPr>
            <w:tcW w:w="60" w:type="dxa"/>
            <w:vAlign w:val="bottom"/>
          </w:tcPr>
          <w:p>
            <w:pPr>
              <w:spacing w:after="0"/>
              <w:rPr>
                <w:sz w:val="21"/>
                <w:szCs w:val="2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7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3,023</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52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76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3.3 %</w:t>
            </w:r>
          </w:p>
        </w:tc>
        <w:tc>
          <w:tcPr>
            <w:tcW w:w="46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50.7 %</w:t>
            </w:r>
          </w:p>
        </w:tc>
        <w:tc>
          <w:tcPr>
            <w:tcW w:w="3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26.0 %</w:t>
            </w:r>
          </w:p>
        </w:tc>
        <w:tc>
          <w:tcPr>
            <w:tcW w:w="4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changes in management’s assessment of matters such as the ability to realize deferred tax assets, and changes in tax laws.</w:t>
      </w:r>
    </w:p>
    <w:p>
      <w:pPr>
        <w:spacing w:after="0" w:line="77"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Our effective tax rates were 3.3% and 50.7% for the three months ended September 30, 2023 and 2022, respectively. The decrease in our effective rate in the three-month period was primarily due to a change in the mix of income and losses in the various tax jurisdictions in which we operate, partially offset by provision to return adjustments.</w:t>
      </w:r>
    </w:p>
    <w:p>
      <w:pPr>
        <w:spacing w:after="0" w:line="75"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 xml:space="preserve">Our effective tax rates were 26.0% and 15.6% for the nine months ended September 30, 2023 and 2022, respectively. The increase in our effective rate in the nine-month period was primarily due to an increase in return to provision adjustments and an increase </w:t>
      </w:r>
      <w:r>
        <w:rPr>
          <w:rFonts w:ascii="Arial" w:cs="Arial" w:eastAsia="Arial" w:hAnsi="Arial"/>
          <w:sz w:val="18"/>
          <w:szCs w:val="18"/>
          <w:u w:val="single" w:color="auto"/>
          <w:color w:val="auto"/>
        </w:rPr>
        <w:t>i</w:t>
      </w:r>
      <w:r>
        <w:rPr>
          <w:rFonts w:ascii="Arial" w:cs="Arial" w:eastAsia="Arial" w:hAnsi="Arial"/>
          <w:sz w:val="18"/>
          <w:szCs w:val="18"/>
          <w:color w:val="auto"/>
        </w:rPr>
        <w:t>n windfall tax benefit from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Net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net revenue by segment expressed both in dollars (thousands) and as a percentage of net revenue: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60" w:type="dxa"/>
            <w:vAlign w:val="bottom"/>
            <w:gridSpan w:val="9"/>
          </w:tcPr>
          <w:p>
            <w:pPr>
              <w:jc w:val="right"/>
              <w:ind w:right="100"/>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gridSpan w:val="10"/>
          </w:tcPr>
          <w:p>
            <w:pPr>
              <w:jc w:val="right"/>
              <w:ind w:right="700"/>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3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9"/>
        </w:trPr>
        <w:tc>
          <w:tcPr>
            <w:tcW w:w="3700" w:type="dxa"/>
            <w:vAlign w:val="bottom"/>
          </w:tcPr>
          <w:p>
            <w:pPr>
              <w:ind w:left="20"/>
              <w:spacing w:after="0"/>
              <w:rPr>
                <w:sz w:val="20"/>
                <w:szCs w:val="20"/>
                <w:color w:val="auto"/>
              </w:rPr>
            </w:pPr>
            <w:r>
              <w:rPr>
                <w:rFonts w:ascii="Arial" w:cs="Arial" w:eastAsia="Arial" w:hAnsi="Arial"/>
                <w:sz w:val="16"/>
                <w:szCs w:val="16"/>
                <w:color w:val="auto"/>
              </w:rPr>
              <w:t>Gamer and Creator Peripherals Segment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90,356</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24.9 %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96,848</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31.1 % $</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258,053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24.8 % $ 319,985</w:t>
            </w:r>
          </w:p>
        </w:tc>
        <w:tc>
          <w:tcPr>
            <w:tcW w:w="1180" w:type="dxa"/>
            <w:vAlign w:val="bottom"/>
            <w:gridSpan w:val="4"/>
          </w:tcPr>
          <w:p>
            <w:pPr>
              <w:jc w:val="right"/>
              <w:spacing w:after="0"/>
              <w:rPr>
                <w:sz w:val="20"/>
                <w:szCs w:val="20"/>
                <w:color w:val="auto"/>
              </w:rPr>
            </w:pPr>
            <w:r>
              <w:rPr>
                <w:rFonts w:ascii="Arial" w:cs="Arial" w:eastAsia="Arial" w:hAnsi="Arial"/>
                <w:sz w:val="16"/>
                <w:szCs w:val="16"/>
                <w:color w:val="auto"/>
              </w:rPr>
              <w:t>32.8 %</w:t>
            </w:r>
          </w:p>
        </w:tc>
      </w:tr>
      <w:tr>
        <w:trPr>
          <w:trHeight w:val="239"/>
        </w:trPr>
        <w:tc>
          <w:tcPr>
            <w:tcW w:w="3700" w:type="dxa"/>
            <w:vAlign w:val="bottom"/>
          </w:tcPr>
          <w:p>
            <w:pPr>
              <w:ind w:left="20"/>
              <w:spacing w:after="0"/>
              <w:rPr>
                <w:sz w:val="20"/>
                <w:szCs w:val="20"/>
                <w:color w:val="auto"/>
              </w:rPr>
            </w:pPr>
            <w:r>
              <w:rPr>
                <w:rFonts w:ascii="Arial" w:cs="Arial" w:eastAsia="Arial" w:hAnsi="Arial"/>
                <w:sz w:val="16"/>
                <w:szCs w:val="16"/>
                <w:color w:val="auto"/>
              </w:rPr>
              <w:t>Gaming Components and Systems Segment</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37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Memory Products</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131,713</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115,194</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371,931</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346,468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700" w:type="dxa"/>
            <w:vAlign w:val="bottom"/>
          </w:tcPr>
          <w:p>
            <w:pPr>
              <w:ind w:left="300"/>
              <w:spacing w:after="0"/>
              <w:rPr>
                <w:sz w:val="20"/>
                <w:szCs w:val="20"/>
                <w:color w:val="auto"/>
              </w:rPr>
            </w:pPr>
            <w:r>
              <w:rPr>
                <w:rFonts w:ascii="Arial" w:cs="Arial" w:eastAsia="Arial" w:hAnsi="Arial"/>
                <w:sz w:val="16"/>
                <w:szCs w:val="16"/>
                <w:color w:val="auto"/>
              </w:rPr>
              <w:t>Other Component Products</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141,124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99,727</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412,605</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309,915</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3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272,837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214,921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784,536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656,383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06"/>
        </w:trPr>
        <w:tc>
          <w:tcPr>
            <w:tcW w:w="37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1,042,5</w:t>
            </w: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0" w:type="dxa"/>
            <w:vAlign w:val="bottom"/>
          </w:tcPr>
          <w:p>
            <w:pPr>
              <w:spacing w:after="0"/>
              <w:rPr>
                <w:sz w:val="17"/>
                <w:szCs w:val="17"/>
                <w:color w:val="auto"/>
              </w:rPr>
            </w:pPr>
          </w:p>
        </w:tc>
      </w:tr>
      <w:tr>
        <w:trPr>
          <w:trHeight w:val="226"/>
        </w:trPr>
        <w:tc>
          <w:tcPr>
            <w:tcW w:w="3700" w:type="dxa"/>
            <w:vAlign w:val="bottom"/>
          </w:tcPr>
          <w:p>
            <w:pPr>
              <w:ind w:left="300"/>
              <w:spacing w:after="0"/>
              <w:rPr>
                <w:sz w:val="20"/>
                <w:szCs w:val="20"/>
                <w:color w:val="auto"/>
              </w:rPr>
            </w:pPr>
            <w:r>
              <w:rPr>
                <w:rFonts w:ascii="Arial" w:cs="Arial" w:eastAsia="Arial" w:hAnsi="Arial"/>
                <w:sz w:val="16"/>
                <w:szCs w:val="16"/>
                <w:color w:val="auto"/>
              </w:rPr>
              <w:t>Total Net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363,193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100.0 %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311,769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100.0 % $</w:t>
            </w:r>
          </w:p>
        </w:tc>
        <w:tc>
          <w:tcPr>
            <w:tcW w:w="560" w:type="dxa"/>
            <w:vAlign w:val="bottom"/>
          </w:tcPr>
          <w:p>
            <w:pPr>
              <w:jc w:val="right"/>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100.0 % $ 976,368</w:t>
            </w:r>
          </w:p>
        </w:tc>
        <w:tc>
          <w:tcPr>
            <w:tcW w:w="1180" w:type="dxa"/>
            <w:vAlign w:val="bottom"/>
            <w:gridSpan w:val="4"/>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-1043940</wp:posOffset>
            </wp:positionV>
            <wp:extent cx="7132320" cy="1454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-307340</wp:posOffset>
            </wp:positionV>
            <wp:extent cx="76835" cy="3079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-307340</wp:posOffset>
            </wp:positionV>
            <wp:extent cx="76835" cy="3079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-307340</wp:posOffset>
            </wp:positionV>
            <wp:extent cx="76835" cy="3079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-307340</wp:posOffset>
            </wp:positionV>
            <wp:extent cx="68580" cy="3079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-307340</wp:posOffset>
            </wp:positionV>
            <wp:extent cx="68580" cy="3079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-307340</wp:posOffset>
            </wp:positionV>
            <wp:extent cx="68580" cy="3079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-307340</wp:posOffset>
            </wp:positionV>
            <wp:extent cx="68580" cy="3079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3079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307975"/>
                    </a:xfrm>
                    <a:prstGeom prst="rect">
                      <a:avLst/>
                    </a:prstGeom>
                    <a:noFill/>
                  </pic:spPr>
                </pic:pic>
              </a:graphicData>
            </a:graphic>
          </wp:anchor>
        </w:drawing>
      </w:r>
    </w:p>
    <w:p>
      <w:pPr>
        <w:sectPr>
          <w:pgSz w:w="11900" w:h="16838" w:orient="portrait"/>
          <w:cols w:equalWidth="0" w:num="1">
            <w:col w:w="11300"/>
          </w:cols>
          <w:pgMar w:left="320" w:top="418" w:right="27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18" w:right="27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Gamer and Creator Peripherals Segment</w:t>
      </w:r>
    </w:p>
    <w:p>
      <w:pPr>
        <w:spacing w:after="0" w:line="117"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Net revenue of the gamer and creator peripherals segment decreased 6.7% and 19.4% for the three and nine months ended September 30, 2023, respectively, as compared to the same periods last year primarily due to demand softness across all products in this segment driven mainly by a challenging macroeconomic environment, including the adverse impacts from the war between Russia and Ukraine and inflationary pressure on consumer spending.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Components and Systems Segment</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Net revenue of the gaming components and systems segment increased 26.9% and 19.5% for the three and nine months ended September 30, 2023, respectively, as compared to the same periods last year due to increases in sales in nearly all product categories. The increase in the three- and nine-month periods was primarily driven by the strong self-built PC market activity triggered by the release of new game titles and launch of new, reasonably priced graphics cards that were readily available.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Gross Profit and Gross Margin</w:t>
      </w:r>
    </w:p>
    <w:p>
      <w:pPr>
        <w:spacing w:after="0" w:line="117" w:lineRule="exact"/>
        <w:rPr>
          <w:sz w:val="20"/>
          <w:szCs w:val="20"/>
          <w:color w:val="auto"/>
        </w:rPr>
      </w:pPr>
    </w:p>
    <w:p>
      <w:pPr>
        <w:ind w:right="160" w:firstLine="509"/>
        <w:spacing w:after="0" w:line="258" w:lineRule="auto"/>
        <w:rPr>
          <w:sz w:val="20"/>
          <w:szCs w:val="20"/>
          <w:color w:val="auto"/>
        </w:rPr>
      </w:pPr>
      <w:r>
        <w:rPr>
          <w:rFonts w:ascii="Arial" w:cs="Arial" w:eastAsia="Arial" w:hAnsi="Arial"/>
          <w:sz w:val="18"/>
          <w:szCs w:val="18"/>
          <w:color w:val="auto"/>
        </w:rPr>
        <w:t>The following table sets forth our gross profit expressed in dollars (thousands) and gross margin (which we define as gross profit as a percentage of net revenue) by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9"/>
          </w:tcPr>
          <w:p>
            <w:pPr>
              <w:jc w:val="right"/>
              <w:ind w:right="140"/>
              <w:spacing w:after="0"/>
              <w:rPr>
                <w:sz w:val="20"/>
                <w:szCs w:val="20"/>
                <w:color w:val="auto"/>
              </w:rPr>
            </w:pPr>
            <w:r>
              <w:rPr>
                <w:rFonts w:ascii="Arial" w:cs="Arial" w:eastAsia="Arial" w:hAnsi="Arial"/>
                <w:sz w:val="16"/>
                <w:szCs w:val="16"/>
                <w:b w:val="1"/>
                <w:bCs w:val="1"/>
                <w:color w:val="auto"/>
              </w:rPr>
              <w:t>Three Months Ended September 30,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gridSpan w:val="11"/>
          </w:tcPr>
          <w:p>
            <w:pPr>
              <w:ind w:left="440"/>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3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9"/>
        </w:trPr>
        <w:tc>
          <w:tcPr>
            <w:tcW w:w="3700" w:type="dxa"/>
            <w:vAlign w:val="bottom"/>
          </w:tcPr>
          <w:p>
            <w:pPr>
              <w:ind w:left="20"/>
              <w:spacing w:after="0"/>
              <w:rPr>
                <w:sz w:val="20"/>
                <w:szCs w:val="20"/>
                <w:color w:val="auto"/>
              </w:rPr>
            </w:pPr>
            <w:r>
              <w:rPr>
                <w:rFonts w:ascii="Arial" w:cs="Arial" w:eastAsia="Arial" w:hAnsi="Arial"/>
                <w:sz w:val="16"/>
                <w:szCs w:val="16"/>
                <w:color w:val="auto"/>
              </w:rPr>
              <w:t>Gamer and Creator Peripherals Segment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29,928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33.1 %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31,790</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gridSpan w:val="3"/>
          </w:tcPr>
          <w:p>
            <w:pPr>
              <w:ind w:left="140"/>
              <w:spacing w:after="0"/>
              <w:rPr>
                <w:sz w:val="20"/>
                <w:szCs w:val="20"/>
                <w:color w:val="auto"/>
              </w:rPr>
            </w:pPr>
            <w:r>
              <w:rPr>
                <w:rFonts w:ascii="Arial" w:cs="Arial" w:eastAsia="Arial" w:hAnsi="Arial"/>
                <w:sz w:val="16"/>
                <w:szCs w:val="16"/>
                <w:color w:val="auto"/>
                <w:w w:val="98"/>
              </w:rPr>
              <w:t>32.8 % $</w:t>
            </w:r>
          </w:p>
        </w:tc>
        <w:tc>
          <w:tcPr>
            <w:tcW w:w="560" w:type="dxa"/>
            <w:vAlign w:val="bottom"/>
          </w:tcPr>
          <w:p>
            <w:pPr>
              <w:jc w:val="right"/>
              <w:spacing w:after="0"/>
              <w:rPr>
                <w:sz w:val="20"/>
                <w:szCs w:val="20"/>
                <w:color w:val="auto"/>
              </w:rPr>
            </w:pPr>
            <w:r>
              <w:rPr>
                <w:rFonts w:ascii="Arial" w:cs="Arial" w:eastAsia="Arial" w:hAnsi="Arial"/>
                <w:sz w:val="16"/>
                <w:szCs w:val="16"/>
                <w:color w:val="auto"/>
              </w:rPr>
              <w:t>82,085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3"/>
          </w:tcPr>
          <w:p>
            <w:pPr>
              <w:ind w:left="180"/>
              <w:spacing w:after="0"/>
              <w:rPr>
                <w:sz w:val="20"/>
                <w:szCs w:val="20"/>
                <w:color w:val="auto"/>
              </w:rPr>
            </w:pPr>
            <w:r>
              <w:rPr>
                <w:rFonts w:ascii="Arial" w:cs="Arial" w:eastAsia="Arial" w:hAnsi="Arial"/>
                <w:sz w:val="16"/>
                <w:szCs w:val="16"/>
                <w:color w:val="auto"/>
                <w:w w:val="94"/>
              </w:rPr>
              <w:t>31.8 % $</w:t>
            </w:r>
          </w:p>
        </w:tc>
        <w:tc>
          <w:tcPr>
            <w:tcW w:w="560" w:type="dxa"/>
            <w:vAlign w:val="bottom"/>
          </w:tcPr>
          <w:p>
            <w:pPr>
              <w:jc w:val="right"/>
              <w:spacing w:after="0"/>
              <w:rPr>
                <w:sz w:val="20"/>
                <w:szCs w:val="20"/>
                <w:color w:val="auto"/>
              </w:rPr>
            </w:pPr>
            <w:r>
              <w:rPr>
                <w:rFonts w:ascii="Arial" w:cs="Arial" w:eastAsia="Arial" w:hAnsi="Arial"/>
                <w:sz w:val="16"/>
                <w:szCs w:val="16"/>
                <w:color w:val="auto"/>
              </w:rPr>
              <w:t>85,405</w:t>
            </w:r>
          </w:p>
        </w:tc>
        <w:tc>
          <w:tcPr>
            <w:tcW w:w="1180" w:type="dxa"/>
            <w:vAlign w:val="bottom"/>
            <w:gridSpan w:val="4"/>
          </w:tcPr>
          <w:p>
            <w:pPr>
              <w:ind w:left="740"/>
              <w:spacing w:after="0"/>
              <w:rPr>
                <w:sz w:val="20"/>
                <w:szCs w:val="20"/>
                <w:color w:val="auto"/>
              </w:rPr>
            </w:pPr>
            <w:r>
              <w:rPr>
                <w:rFonts w:ascii="Arial" w:cs="Arial" w:eastAsia="Arial" w:hAnsi="Arial"/>
                <w:sz w:val="16"/>
                <w:szCs w:val="16"/>
                <w:color w:val="auto"/>
                <w:w w:val="84"/>
              </w:rPr>
              <w:t>26.7 %</w:t>
            </w:r>
          </w:p>
        </w:tc>
      </w:tr>
      <w:tr>
        <w:trPr>
          <w:trHeight w:val="239"/>
        </w:trPr>
        <w:tc>
          <w:tcPr>
            <w:tcW w:w="3700" w:type="dxa"/>
            <w:vAlign w:val="bottom"/>
          </w:tcPr>
          <w:p>
            <w:pPr>
              <w:ind w:left="20"/>
              <w:spacing w:after="0"/>
              <w:rPr>
                <w:sz w:val="20"/>
                <w:szCs w:val="20"/>
                <w:color w:val="auto"/>
              </w:rPr>
            </w:pPr>
            <w:r>
              <w:rPr>
                <w:rFonts w:ascii="Arial" w:cs="Arial" w:eastAsia="Arial" w:hAnsi="Arial"/>
                <w:sz w:val="16"/>
                <w:szCs w:val="16"/>
                <w:color w:val="auto"/>
              </w:rPr>
              <w:t>Gaming Components and Systems Segment</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37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Memory Products</w:t>
            </w: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21,074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ind w:left="200"/>
              <w:spacing w:after="0"/>
              <w:rPr>
                <w:sz w:val="20"/>
                <w:szCs w:val="20"/>
                <w:color w:val="auto"/>
              </w:rPr>
            </w:pPr>
            <w:r>
              <w:rPr>
                <w:rFonts w:ascii="Arial" w:cs="Arial" w:eastAsia="Arial" w:hAnsi="Arial"/>
                <w:sz w:val="16"/>
                <w:szCs w:val="16"/>
                <w:color w:val="auto"/>
                <w:w w:val="89"/>
              </w:rPr>
              <w:t>16.0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16,595</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40" w:type="dxa"/>
            <w:vAlign w:val="bottom"/>
            <w:shd w:val="clear" w:color="auto" w:fill="CFF0FC"/>
          </w:tcPr>
          <w:p>
            <w:pPr>
              <w:ind w:left="140"/>
              <w:spacing w:after="0"/>
              <w:rPr>
                <w:sz w:val="20"/>
                <w:szCs w:val="20"/>
                <w:color w:val="auto"/>
              </w:rPr>
            </w:pPr>
            <w:r>
              <w:rPr>
                <w:rFonts w:ascii="Arial" w:cs="Arial" w:eastAsia="Arial" w:hAnsi="Arial"/>
                <w:sz w:val="16"/>
                <w:szCs w:val="16"/>
                <w:color w:val="auto"/>
                <w:w w:val="89"/>
              </w:rPr>
              <w:t>14.4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57,780</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ind w:left="180"/>
              <w:spacing w:after="0"/>
              <w:rPr>
                <w:sz w:val="20"/>
                <w:szCs w:val="20"/>
                <w:color w:val="auto"/>
              </w:rPr>
            </w:pPr>
            <w:r>
              <w:rPr>
                <w:rFonts w:ascii="Arial" w:cs="Arial" w:eastAsia="Arial" w:hAnsi="Arial"/>
                <w:sz w:val="16"/>
                <w:szCs w:val="16"/>
                <w:color w:val="auto"/>
                <w:w w:val="89"/>
              </w:rPr>
              <w:t>15.5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46,545</w:t>
            </w: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6"/>
                <w:szCs w:val="16"/>
                <w:color w:val="auto"/>
                <w:w w:val="89"/>
              </w:rPr>
              <w:t>13.4</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700" w:type="dxa"/>
            <w:vAlign w:val="bottom"/>
          </w:tcPr>
          <w:p>
            <w:pPr>
              <w:ind w:left="300"/>
              <w:spacing w:after="0"/>
              <w:rPr>
                <w:sz w:val="20"/>
                <w:szCs w:val="20"/>
                <w:color w:val="auto"/>
              </w:rPr>
            </w:pPr>
            <w:r>
              <w:rPr>
                <w:rFonts w:ascii="Arial" w:cs="Arial" w:eastAsia="Arial" w:hAnsi="Arial"/>
                <w:sz w:val="16"/>
                <w:szCs w:val="16"/>
                <w:color w:val="auto"/>
              </w:rPr>
              <w:t>Other Component Products</w:t>
            </w: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38,351</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w w:val="89"/>
              </w:rPr>
              <w:t>27.2</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23,175</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9"/>
              </w:rPr>
              <w:t>23.2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117,724</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w w:val="89"/>
              </w:rPr>
              <w:t>28.5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66,825</w:t>
            </w:r>
          </w:p>
        </w:tc>
        <w:tc>
          <w:tcPr>
            <w:tcW w:w="220" w:type="dxa"/>
            <w:vAlign w:val="bottom"/>
          </w:tcPr>
          <w:p>
            <w:pPr>
              <w:spacing w:after="0"/>
              <w:rPr>
                <w:sz w:val="19"/>
                <w:szCs w:val="19"/>
                <w:color w:val="auto"/>
              </w:rPr>
            </w:pP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w w:val="89"/>
              </w:rPr>
              <w:t>21.6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37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59,425</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w w:val="89"/>
              </w:rPr>
              <w:t>21.8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39,770</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w w:val="89"/>
              </w:rPr>
              <w:t>18.5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175,504</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6"/>
                <w:szCs w:val="16"/>
                <w:color w:val="auto"/>
                <w:w w:val="89"/>
              </w:rPr>
              <w:t>22.4</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113,370</w:t>
            </w: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6"/>
                <w:szCs w:val="16"/>
                <w:color w:val="auto"/>
                <w:w w:val="89"/>
              </w:rPr>
              <w:t>17.3</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700" w:type="dxa"/>
            <w:vAlign w:val="bottom"/>
          </w:tcPr>
          <w:p>
            <w:pPr>
              <w:ind w:left="300"/>
              <w:spacing w:after="0"/>
              <w:rPr>
                <w:sz w:val="20"/>
                <w:szCs w:val="20"/>
                <w:color w:val="auto"/>
              </w:rPr>
            </w:pPr>
            <w:r>
              <w:rPr>
                <w:rFonts w:ascii="Arial" w:cs="Arial" w:eastAsia="Arial" w:hAnsi="Arial"/>
                <w:sz w:val="16"/>
                <w:szCs w:val="16"/>
                <w:color w:val="auto"/>
              </w:rPr>
              <w:t>Total 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89,353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 xml:space="preserve">24.6 </w:t>
            </w:r>
            <w:r>
              <w:rPr>
                <w:rFonts w:ascii="Arial" w:cs="Arial" w:eastAsia="Arial" w:hAnsi="Arial"/>
                <w:sz w:val="16"/>
                <w:szCs w:val="16"/>
                <w:color w:val="auto"/>
                <w:highlight w:val="white"/>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71,560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3"/>
          </w:tcPr>
          <w:p>
            <w:pPr>
              <w:ind w:left="140"/>
              <w:spacing w:after="0"/>
              <w:rPr>
                <w:sz w:val="20"/>
                <w:szCs w:val="20"/>
                <w:color w:val="auto"/>
              </w:rPr>
            </w:pPr>
            <w:r>
              <w:rPr>
                <w:rFonts w:ascii="Arial" w:cs="Arial" w:eastAsia="Arial" w:hAnsi="Arial"/>
                <w:sz w:val="16"/>
                <w:szCs w:val="16"/>
                <w:color w:val="auto"/>
                <w:w w:val="98"/>
              </w:rPr>
              <w:t xml:space="preserve">23.0 </w:t>
            </w:r>
            <w:r>
              <w:rPr>
                <w:rFonts w:ascii="Arial" w:cs="Arial" w:eastAsia="Arial" w:hAnsi="Arial"/>
                <w:sz w:val="16"/>
                <w:szCs w:val="16"/>
                <w:color w:val="auto"/>
                <w:highlight w:val="white"/>
                <w:w w:val="98"/>
              </w:rPr>
              <w:t>%</w:t>
            </w:r>
            <w:r>
              <w:rPr>
                <w:rFonts w:ascii="Arial" w:cs="Arial" w:eastAsia="Arial" w:hAnsi="Arial"/>
                <w:sz w:val="16"/>
                <w:szCs w:val="16"/>
                <w:color w:val="auto"/>
                <w:w w:val="98"/>
              </w:rPr>
              <w:t xml:space="preserve"> $</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257,589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3"/>
          </w:tcPr>
          <w:p>
            <w:pPr>
              <w:ind w:left="180"/>
              <w:spacing w:after="0"/>
              <w:rPr>
                <w:sz w:val="20"/>
                <w:szCs w:val="20"/>
                <w:color w:val="auto"/>
              </w:rPr>
            </w:pPr>
            <w:r>
              <w:rPr>
                <w:rFonts w:ascii="Arial" w:cs="Arial" w:eastAsia="Arial" w:hAnsi="Arial"/>
                <w:sz w:val="16"/>
                <w:szCs w:val="16"/>
                <w:color w:val="auto"/>
                <w:w w:val="94"/>
              </w:rPr>
              <w:t xml:space="preserve">24.7 </w:t>
            </w:r>
            <w:r>
              <w:rPr>
                <w:rFonts w:ascii="Arial" w:cs="Arial" w:eastAsia="Arial" w:hAnsi="Arial"/>
                <w:sz w:val="16"/>
                <w:szCs w:val="16"/>
                <w:color w:val="auto"/>
                <w:highlight w:val="white"/>
                <w:w w:val="94"/>
              </w:rPr>
              <w:t>%</w:t>
            </w:r>
            <w:r>
              <w:rPr>
                <w:rFonts w:ascii="Arial" w:cs="Arial" w:eastAsia="Arial" w:hAnsi="Arial"/>
                <w:sz w:val="16"/>
                <w:szCs w:val="16"/>
                <w:color w:val="auto"/>
                <w:w w:val="94"/>
              </w:rPr>
              <w:t xml:space="preserve"> $</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198,775</w:t>
            </w:r>
          </w:p>
        </w:tc>
        <w:tc>
          <w:tcPr>
            <w:tcW w:w="1180" w:type="dxa"/>
            <w:vAlign w:val="bottom"/>
            <w:gridSpan w:val="4"/>
          </w:tcPr>
          <w:p>
            <w:pPr>
              <w:ind w:left="740"/>
              <w:spacing w:after="0"/>
              <w:rPr>
                <w:sz w:val="20"/>
                <w:szCs w:val="20"/>
                <w:color w:val="auto"/>
              </w:rPr>
            </w:pPr>
            <w:r>
              <w:rPr>
                <w:rFonts w:ascii="Arial" w:cs="Arial" w:eastAsia="Arial" w:hAnsi="Arial"/>
                <w:sz w:val="16"/>
                <w:szCs w:val="16"/>
                <w:color w:val="auto"/>
                <w:w w:val="84"/>
              </w:rPr>
              <w:t xml:space="preserve">20.4 </w:t>
            </w:r>
            <w:r>
              <w:rPr>
                <w:rFonts w:ascii="Arial" w:cs="Arial" w:eastAsia="Arial" w:hAnsi="Arial"/>
                <w:sz w:val="16"/>
                <w:szCs w:val="16"/>
                <w:color w:val="auto"/>
                <w:highlight w:val="white"/>
                <w:w w:val="84"/>
              </w:rPr>
              <w:t>%</w:t>
            </w:r>
          </w:p>
        </w:tc>
      </w:tr>
      <w:tr>
        <w:trPr>
          <w:trHeight w:val="20"/>
        </w:trPr>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-915670</wp:posOffset>
            </wp:positionV>
            <wp:extent cx="7132320" cy="145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-179070</wp:posOffset>
            </wp:positionV>
            <wp:extent cx="76835" cy="179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-179070</wp:posOffset>
            </wp:positionV>
            <wp:extent cx="76835" cy="1797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-179070</wp:posOffset>
            </wp:positionV>
            <wp:extent cx="68580" cy="1797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-179070</wp:posOffset>
            </wp:positionV>
            <wp:extent cx="68580"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Gamer and Creator Peripherals Segment</w:t>
      </w:r>
    </w:p>
    <w:p>
      <w:pPr>
        <w:spacing w:after="0" w:line="117"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The gross margin of the gamer and creator peripherals segment remained relatively consistent for the three months ended September 30, 2023 and increased by 5.1% for the nine months ended September 30, 2023 as compared to the same periods last year. The increase in the nine-month period was primarily attributable to lower inventory impairment and related charges in 2023 as compared to 2022. The increase in gross margin was also due to improvements in product cost from suppliers, newer products that carry a higher margin, and lower freight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Components and Systems Segment</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gross margin of the gaming components and systems segment increased by 3.3% and 5.1% for the three and nine months ended September 30, 2023, respectively, as compared to the same periods last year. The increase in the three- and nine-month periods was primarily attributable to lower product cost from suppliers, new products introduced at a higher margin, improvements in freight costs, and lower inventory impairment and related charges in 2023 as compared to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Our principal sources of liquidity have been the payments received from customers purchasing our products, the borrowings under our Credit Agreement (defined below) and the net proceeds we received from our underwritten public offerings.</w:t>
      </w:r>
    </w:p>
    <w:p>
      <w:pPr>
        <w:spacing w:after="0" w:line="6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On September 29, 2022, one of our subsidiaries entered into an accounts receivable Factoring Agreement with a third-party financial institution, or the Factor. Pursuant to the terms of the arrangement, we sell certain of our customer receivables on a non-recourse basis to the Factor. The Factoring Agreement was terminated on October 2, 2023 and we no longer sell our customers receivables to the Factor. The balance from the Factor as of September 30, 2023 will be collected before December 31, 2023.</w:t>
      </w:r>
    </w:p>
    <w:p>
      <w:pPr>
        <w:spacing w:after="0" w:line="77" w:lineRule="exact"/>
        <w:rPr>
          <w:sz w:val="20"/>
          <w:szCs w:val="20"/>
          <w:color w:val="auto"/>
        </w:rPr>
      </w:pPr>
    </w:p>
    <w:p>
      <w:pPr>
        <w:ind w:right="600" w:firstLine="509"/>
        <w:spacing w:after="0" w:line="263" w:lineRule="auto"/>
        <w:rPr>
          <w:sz w:val="20"/>
          <w:szCs w:val="20"/>
          <w:color w:val="auto"/>
        </w:rPr>
      </w:pPr>
      <w:r>
        <w:rPr>
          <w:rFonts w:ascii="Arial" w:cs="Arial" w:eastAsia="Arial" w:hAnsi="Arial"/>
          <w:sz w:val="18"/>
          <w:szCs w:val="18"/>
          <w:color w:val="auto"/>
        </w:rPr>
        <w:t>Our principal uses of cash generally will include purchases of inventory, payroll and other operating expenses related to the development and marketing of our products, capital expenditure, repayments of debt and related interest, income tax payments, future investments in business and technology, and selective mergers and acquisitions.</w:t>
      </w:r>
    </w:p>
    <w:p>
      <w:pPr>
        <w:spacing w:after="0" w:line="75" w:lineRule="exact"/>
        <w:rPr>
          <w:sz w:val="20"/>
          <w:szCs w:val="20"/>
          <w:color w:val="auto"/>
        </w:rPr>
      </w:pPr>
    </w:p>
    <w:p>
      <w:pPr>
        <w:jc w:val="both"/>
        <w:ind w:right="680" w:firstLine="509"/>
        <w:spacing w:after="0" w:line="259" w:lineRule="auto"/>
        <w:rPr>
          <w:sz w:val="20"/>
          <w:szCs w:val="20"/>
          <w:color w:val="auto"/>
        </w:rPr>
      </w:pPr>
      <w:r>
        <w:rPr>
          <w:rFonts w:ascii="Arial" w:cs="Arial" w:eastAsia="Arial" w:hAnsi="Arial"/>
          <w:sz w:val="18"/>
          <w:szCs w:val="18"/>
          <w:color w:val="auto"/>
        </w:rPr>
        <w:t>As of September 30, 2023, we had cash and restricted cash, in aggregate of $147.8 million. We believe that the anticipated cash flows from operations based on our current business outlook, combined with our current levels of cash balances at September 30, 2023, supplemented with the borrowings under our Revolving Facility will be sufficient to fund our principal uses of cash for at least the next twelve months. In the longer term, liquidity will depend to a great extent on our future revenues and our ability to</w:t>
      </w:r>
    </w:p>
    <w:p>
      <w:pPr>
        <w:sectPr>
          <w:pgSz w:w="11900" w:h="16838" w:orient="portrait"/>
          <w:cols w:equalWidth="0" w:num="1">
            <w:col w:w="11280"/>
          </w:cols>
          <w:pgMar w:left="320" w:top="418" w:right="299" w:bottom="1440" w:gutter="0" w:footer="0" w:header="0"/>
        </w:sectPr>
      </w:pP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18" w:right="2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5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61"/>
        </w:trPr>
        <w:tc>
          <w:tcPr>
            <w:tcW w:w="7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54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32,060</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45,142</w:t>
            </w:r>
          </w:p>
        </w:tc>
        <w:tc>
          <w:tcPr>
            <w:tcW w:w="100" w:type="dxa"/>
            <w:vAlign w:val="bottom"/>
          </w:tcPr>
          <w:p>
            <w:pPr>
              <w:spacing w:after="0"/>
              <w:rPr>
                <w:sz w:val="20"/>
                <w:szCs w:val="20"/>
                <w:color w:val="auto"/>
              </w:rPr>
            </w:pPr>
          </w:p>
        </w:tc>
      </w:tr>
      <w:tr>
        <w:trPr>
          <w:trHeight w:val="249"/>
        </w:trPr>
        <w:tc>
          <w:tcPr>
            <w:tcW w:w="7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(25,004 )</w:t>
            </w:r>
          </w:p>
        </w:tc>
        <w:tc>
          <w:tcPr>
            <w:tcW w:w="10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1"/>
              </w:rPr>
              <w:t>(40,479 )</w:t>
            </w:r>
          </w:p>
        </w:tc>
      </w:tr>
      <w:tr>
        <w:trPr>
          <w:trHeight w:val="230"/>
        </w:trPr>
        <w:tc>
          <w:tcPr>
            <w:tcW w:w="754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(13,205 )</w:t>
            </w:r>
          </w:p>
        </w:tc>
        <w:tc>
          <w:tcPr>
            <w:tcW w:w="10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(3,927 )</w:t>
            </w:r>
          </w:p>
        </w:tc>
      </w:tr>
      <w:tr>
        <w:trPr>
          <w:trHeight w:val="444"/>
        </w:trPr>
        <w:tc>
          <w:tcPr>
            <w:tcW w:w="7540" w:type="dxa"/>
            <w:vAlign w:val="bottom"/>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9520" w:type="dxa"/>
            <w:vAlign w:val="bottom"/>
            <w:gridSpan w:val="4"/>
          </w:tcPr>
          <w:p>
            <w:pPr>
              <w:ind w:left="520"/>
              <w:spacing w:after="0"/>
              <w:rPr>
                <w:sz w:val="20"/>
                <w:szCs w:val="20"/>
                <w:color w:val="auto"/>
              </w:rPr>
            </w:pPr>
            <w:r>
              <w:rPr>
                <w:rFonts w:ascii="Arial" w:cs="Arial" w:eastAsia="Arial" w:hAnsi="Arial"/>
                <w:sz w:val="18"/>
                <w:szCs w:val="18"/>
                <w:color w:val="auto"/>
                <w:w w:val="91"/>
              </w:rPr>
              <w:t>Net cash provided by operating activities for the nine months ended September 30, 2023 was $32.1 million and consisted of</w:t>
            </w:r>
          </w:p>
        </w:tc>
        <w:tc>
          <w:tcPr>
            <w:tcW w:w="1720" w:type="dxa"/>
            <w:vAlign w:val="bottom"/>
            <w:gridSpan w:val="3"/>
          </w:tcPr>
          <w:p>
            <w:pPr>
              <w:spacing w:after="0"/>
              <w:rPr>
                <w:sz w:val="20"/>
                <w:szCs w:val="20"/>
                <w:color w:val="auto"/>
              </w:rPr>
            </w:pPr>
            <w:r>
              <w:rPr>
                <w:rFonts w:ascii="Arial" w:cs="Arial" w:eastAsia="Arial" w:hAnsi="Arial"/>
                <w:sz w:val="18"/>
                <w:szCs w:val="18"/>
                <w:color w:val="auto"/>
                <w:w w:val="96"/>
              </w:rPr>
              <w:t>non-cash adjustments</w:t>
            </w:r>
          </w:p>
        </w:tc>
      </w:tr>
    </w:tbl>
    <w:p>
      <w:pPr>
        <w:spacing w:after="0" w:line="252" w:lineRule="auto"/>
        <w:rPr>
          <w:sz w:val="20"/>
          <w:szCs w:val="20"/>
          <w:color w:val="auto"/>
        </w:rPr>
      </w:pPr>
      <w:r>
        <w:rPr>
          <w:rFonts w:ascii="Arial" w:cs="Arial" w:eastAsia="Arial" w:hAnsi="Arial"/>
          <w:sz w:val="18"/>
          <w:szCs w:val="18"/>
          <w:color w:val="auto"/>
        </w:rPr>
        <w:t>of $56.0 million, offset partially by a net loss of $8.6 million and a net cash outflow of $15.4 million from changes in our net operating assets and liabilities. The non-cash adjustments primarily consisted of amortization, depreciation and stock-based compensation expense, which were partially offset by changes in deferred income taxes. The net cash outflow from changes in our net operating assets and liabilities was primarily related to an increase in accounts receivable from timing of receipts and an increase in inventories due to higher purchases. These net cash outflows were partially offset by an increase in accounts payable.</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provided by operating activities for the nine months ended September 30, 2022 was $45.1 million and consisted of $65.3 million net cash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inflow from changes in our net operating assets and liabilities, partially offset by our net loss of $61.1 million, which included non-cash adjustments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$40.9 million. The net cash inflow from changes in our net operating assets and liabilities was primarily related to a decrease in accounts receivable mainly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the cash we received from the Factor during the period and a decrease in inventories mainly from lower purchases. These net cash inflows were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a decrease in accounts payable and other liabilities and accrued expenses. The non-cash adjustments primarily consisted of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stock-based compensation expense and changes in deferred income taxes.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780" w:firstLine="509"/>
        <w:spacing w:after="0" w:line="277" w:lineRule="auto"/>
        <w:rPr>
          <w:sz w:val="20"/>
          <w:szCs w:val="20"/>
          <w:color w:val="auto"/>
        </w:rPr>
      </w:pPr>
      <w:r>
        <w:rPr>
          <w:rFonts w:ascii="Arial" w:cs="Arial" w:eastAsia="Arial" w:hAnsi="Arial"/>
          <w:sz w:val="18"/>
          <w:szCs w:val="18"/>
          <w:color w:val="auto"/>
        </w:rPr>
        <w:t>Cash used in investing activities was $25.0 million for the nine months ended September 30, 2023 and consisted of cash used for the Drop Acquisition and capital expenditure primarily for equipment and software.</w:t>
      </w:r>
    </w:p>
    <w:p>
      <w:pPr>
        <w:spacing w:after="0" w:line="62" w:lineRule="exact"/>
        <w:rPr>
          <w:sz w:val="20"/>
          <w:szCs w:val="20"/>
          <w:color w:val="auto"/>
        </w:rPr>
      </w:pPr>
    </w:p>
    <w:p>
      <w:pPr>
        <w:ind w:right="480" w:firstLine="509"/>
        <w:spacing w:after="0" w:line="307" w:lineRule="auto"/>
        <w:rPr>
          <w:sz w:val="20"/>
          <w:szCs w:val="20"/>
          <w:color w:val="auto"/>
        </w:rPr>
      </w:pPr>
      <w:r>
        <w:rPr>
          <w:rFonts w:ascii="Arial" w:cs="Arial" w:eastAsia="Arial" w:hAnsi="Arial"/>
          <w:sz w:val="17"/>
          <w:szCs w:val="17"/>
          <w:color w:val="auto"/>
        </w:rPr>
        <w:t>Cash used in investing activities was $40.5 million for the nine months ended September 30, 2022 and primarily consisted of cash used for the iDisplay Acquisition and capital expenditure, including renovation and furnishing of our new headquarters in Milpitas, California.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480" w:firstLine="509"/>
        <w:spacing w:after="0" w:line="259" w:lineRule="auto"/>
        <w:rPr>
          <w:sz w:val="20"/>
          <w:szCs w:val="20"/>
          <w:color w:val="auto"/>
        </w:rPr>
      </w:pPr>
      <w:r>
        <w:rPr>
          <w:rFonts w:ascii="Arial" w:cs="Arial" w:eastAsia="Arial" w:hAnsi="Arial"/>
          <w:sz w:val="18"/>
          <w:szCs w:val="18"/>
          <w:color w:val="auto"/>
        </w:rPr>
        <w:t>Cash used in financing activities was $13.2 million for the nine months ended September 30, 2023 and primarily consisted of cash used for repayment of debt and payment of taxes related to net share settlement of equity awards, as well as payment of dividends to noncontrolling interest, partially offset by proceeds received from the issuance of shares through the employee equity incentive plans. We did not borrow from our Revolving Facility for the nine months ended September 30, 2023.</w:t>
      </w:r>
    </w:p>
    <w:p>
      <w:pPr>
        <w:spacing w:after="0" w:line="7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Cash used in financing activities was $3.9 million for the nine months ended September 30, 2022 and primarily consisted of cash used for repayment of debt and payment of taxes related to net share settlement of equity awards, as well as payment of dividends to noncontrolling interest, partially offset by proceeds received from the issuance of shares through the employee equity incentive plans. During the nine months ended September 30, 2022, we also borrowed $626.0 million from our Revolving Facility to fund our operations and the full amount was repaid within the same period.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 (Term Loan and Revolving Facility)</w:t>
      </w:r>
    </w:p>
    <w:p>
      <w:pPr>
        <w:spacing w:after="0" w:line="225" w:lineRule="exact"/>
        <w:rPr>
          <w:sz w:val="20"/>
          <w:szCs w:val="20"/>
          <w:color w:val="auto"/>
        </w:rPr>
      </w:pPr>
    </w:p>
    <w:p>
      <w:pPr>
        <w:ind w:right="420" w:firstLine="509"/>
        <w:spacing w:after="0" w:line="341" w:lineRule="auto"/>
        <w:rPr>
          <w:sz w:val="20"/>
          <w:szCs w:val="20"/>
          <w:color w:val="auto"/>
        </w:rPr>
      </w:pPr>
      <w:r>
        <w:rPr>
          <w:rFonts w:ascii="Arial" w:cs="Arial" w:eastAsia="Arial" w:hAnsi="Arial"/>
          <w:sz w:val="16"/>
          <w:szCs w:val="16"/>
          <w:color w:val="auto"/>
        </w:rPr>
        <w:t>On September 3, 2021, we refinanced the First Lien Credit and Guaranty Agreement with a new Credit Agreement. The new Credit Agreement provides for a total commitment of $350.0 million, consisting of a $100.0 million revolving credit facility and a $250.0 million term loan facility.</w:t>
      </w:r>
    </w:p>
    <w:p>
      <w:pPr>
        <w:spacing w:after="0" w:line="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Credit Agreement is available for a period of five years, maturing September 2026, and provides for additional incremental facilities up to a maximum aggregate principal amount of $250.0 million, subject to the satisfaction of certain conditions. We may prepay the Term Loan and the Revolving Facility at any time without premium or penalty. We prepaid $3.75 million and $12.5 million of the Term Loan principal in the year ended December 31, 2022 and in the nine months ended September 30, 2023, respectively.</w:t>
      </w:r>
    </w:p>
    <w:p>
      <w:pPr>
        <w:spacing w:after="0" w:line="77"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The Term Loan and Revolving Facility under the Credit Agreement will each bear interest at our election,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total net leverage ratio. The Credit Agreement also requires the payment of a commitment fee on the daily unused portion of the Revolving Facility, which initially ranged from 0.2% to 0.35% based on our total net leverage ratio.</w:t>
      </w:r>
    </w:p>
    <w:p>
      <w:pPr>
        <w:spacing w:after="0" w:line="6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75" w:lineRule="exact"/>
        <w:rPr>
          <w:sz w:val="20"/>
          <w:szCs w:val="20"/>
          <w:color w:val="auto"/>
        </w:rPr>
      </w:pPr>
    </w:p>
    <w:p>
      <w:pPr>
        <w:ind w:right="80" w:firstLine="509"/>
        <w:spacing w:after="0" w:line="288" w:lineRule="auto"/>
        <w:rPr>
          <w:sz w:val="20"/>
          <w:szCs w:val="20"/>
          <w:color w:val="auto"/>
        </w:rPr>
      </w:pPr>
      <w:r>
        <w:rPr>
          <w:rFonts w:ascii="Arial" w:cs="Arial" w:eastAsia="Arial" w:hAnsi="Arial"/>
          <w:sz w:val="16"/>
          <w:szCs w:val="16"/>
          <w:color w:val="auto"/>
        </w:rPr>
        <w:t>On June 30, 2022, we entered into a First Amendment of the Credit Agreement (“First Amendment”) which, among other changes, resulted in the Bloomberg Short-Term Bank Yield Index rate (“BSBY”) being utilized as a replacement rate for LIBOR. Consequently, following the First Amendment, the Term Loan and Revolving Facility will each bear interest at our election at either (a)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In addition, pursuant to the First Amendment, the maximum permitted Consolidated Total Net Leverage Ratio was also amended to increase to 3.5 to 1.0 between the quarters ending September 30, 2022 through and including March 31, 2023, and such ratio will revert to 3.0 to 1.00 from the quarter ended June 30, 2023 and each quarter thereafter; provided, that upon the occurrence of a Qualified Acquisition (as defined in the Credit Agreement), such ratio can be increased to 3.5 to 1.0 temporarily provided all the requirements set forth in the Credit Agreement are met. Additionally, the commitment fee on the unused portion of the Revolving Facility was amended to range from 0.2% to 0.4% based on our total net leverage ratio.</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November 28, 2022, we entered into a Third Amendment (“Third Amendment”) to the Credit Agreement which provides for, among other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things: (i) a decrease in the required minimum Consolidated Interest Coverage Ratio to 2.50 to 1.00 for the quarters ending on and after March 31, 2023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through and including December 31, 2023; (ii) an increase in the maximum permitted Consolidated Total Net Leverage Ratio to 3.75 to 1.00 for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quarters ending December 31, 2022 and March 31, 2023, stepping down to 3.50 to 1.00 for the quarter ending June 30, 2023, and 3.25 to 1.00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quarters ending September 30, 2023 and December 31, 2023; and (iii) a modified pricing grid providing for an increased margin (ranging from 1.50%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annum to 3.25% per annum for loans bearing interest at the BSBY rate, and 0.50% per annum to 2.25% per annum for loans bearing interest at the base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in each case depending on our total net leverage ratio) for the period of December 31, 2022 through December 31, 2023. Additionally, the commitment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fee on the unused portion of the Revolving Facility was amended to range from 0.25% to 0.5% based on our total net leverage ratio, for the period of</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through December 31, 2023. According to the provision in the Third Amendment, with effect from January 1, 2024,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aforementioned amended terms will revert back to the terms as amended by the First Amendment, including the required minimum Consolidated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Coverage Ratio, the required maximum permitted Consolidated Total Net Leverage Ratio, the interest rate margin and the commitment fee on the unused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portion of the Revolving Facility.</w:t>
      </w:r>
    </w:p>
    <w:p>
      <w:pPr>
        <w:spacing w:after="0" w:line="102" w:lineRule="exact"/>
        <w:rPr>
          <w:sz w:val="20"/>
          <w:szCs w:val="20"/>
          <w:color w:val="auto"/>
        </w:rPr>
      </w:pPr>
    </w:p>
    <w:p>
      <w:pPr>
        <w:ind w:right="420" w:firstLine="509"/>
        <w:spacing w:after="0" w:line="307" w:lineRule="auto"/>
        <w:rPr>
          <w:sz w:val="20"/>
          <w:szCs w:val="20"/>
          <w:color w:val="auto"/>
        </w:rPr>
      </w:pPr>
      <w:r>
        <w:rPr>
          <w:rFonts w:ascii="Arial" w:cs="Arial" w:eastAsia="Arial" w:hAnsi="Arial"/>
          <w:sz w:val="17"/>
          <w:szCs w:val="17"/>
          <w:color w:val="auto"/>
        </w:rPr>
        <w:t>As of September 30, 2023, we were not in default under the Credit Agreement. As of September 30, 2023, the total principal outstanding of the Term Loan was $223.8 million and the available and uncommitted capacity under the Revolving Facility was $100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Cash and Other Obligations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cash and other obligations as of September 30, 2023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3"/>
              </w:rPr>
              <w:t>Payments Due by Period</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w w:val="94"/>
              </w:rPr>
              <w:t>Less than</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5"/>
              <w:spacing w:after="0" w:line="133" w:lineRule="exact"/>
              <w:rPr>
                <w:sz w:val="20"/>
                <w:szCs w:val="20"/>
                <w:color w:val="auto"/>
              </w:rPr>
            </w:pPr>
            <w:r>
              <w:rPr>
                <w:rFonts w:ascii="Arial" w:cs="Arial" w:eastAsia="Arial" w:hAnsi="Arial"/>
                <w:sz w:val="14"/>
                <w:szCs w:val="14"/>
                <w:b w:val="1"/>
                <w:bCs w:val="1"/>
                <w:color w:val="auto"/>
              </w:rPr>
              <w:t>3-5</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95"/>
              <w:spacing w:after="0" w:line="133"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Debt principal and interest payments </w:t>
            </w:r>
            <w:r>
              <w:rPr>
                <w:rFonts w:ascii="Arial" w:cs="Arial" w:eastAsia="Arial" w:hAnsi="Arial"/>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262,769</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28,234</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234,535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Inventory-related purchase obligations </w:t>
            </w:r>
            <w:r>
              <w:rPr>
                <w:rFonts w:ascii="Arial" w:cs="Arial" w:eastAsia="Arial" w:hAnsi="Arial"/>
                <w:sz w:val="24"/>
                <w:szCs w:val="24"/>
                <w:color w:val="auto"/>
                <w:vertAlign w:val="superscript"/>
              </w:rPr>
              <w:t>(2)</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74,290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74,290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4"/>
                <w:szCs w:val="24"/>
                <w:color w:val="auto"/>
                <w:vertAlign w:val="superscript"/>
              </w:rPr>
              <w:t>(3)</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59,369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4"/>
                <w:szCs w:val="24"/>
                <w:color w:val="auto"/>
                <w:vertAlign w:val="superscript"/>
              </w:rPr>
              <w:t>(4)</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12,534</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11,639</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408,962</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125,267</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251,567</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12,623</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-24765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-7620</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8" w:lineRule="exact"/>
        <w:rPr>
          <w:sz w:val="20"/>
          <w:szCs w:val="20"/>
          <w:color w:val="auto"/>
        </w:rPr>
      </w:pPr>
    </w:p>
    <w:p>
      <w:pPr>
        <w:ind w:left="840" w:right="80" w:hanging="368"/>
        <w:spacing w:after="0" w:line="278" w:lineRule="auto"/>
        <w:tabs>
          <w:tab w:leader="none" w:pos="840" w:val="left"/>
        </w:tabs>
        <w:numPr>
          <w:ilvl w:val="0"/>
          <w:numId w:val="15"/>
        </w:numPr>
        <w:rPr>
          <w:rFonts w:ascii="Arial" w:cs="Arial" w:eastAsia="Arial" w:hAnsi="Arial"/>
          <w:sz w:val="14"/>
          <w:szCs w:val="14"/>
          <w:color w:val="auto"/>
        </w:rPr>
      </w:pPr>
      <w:r>
        <w:rPr>
          <w:rFonts w:ascii="Arial" w:cs="Arial" w:eastAsia="Arial" w:hAnsi="Arial"/>
          <w:sz w:val="16"/>
          <w:szCs w:val="16"/>
          <w:color w:val="auto"/>
        </w:rPr>
        <w:t>Amounts represent the principal cash payments as of September 30, 2023 of our Term Loan based on the repayment schedule according to the Credit Agreement and the expected interest payments associated with the Term Loan. See Note 8, “Debt” to our condensed consolidated financial statements for more information.</w:t>
      </w:r>
    </w:p>
    <w:p>
      <w:pPr>
        <w:spacing w:after="0" w:line="7" w:lineRule="exact"/>
        <w:rPr>
          <w:rFonts w:ascii="Arial" w:cs="Arial" w:eastAsia="Arial" w:hAnsi="Arial"/>
          <w:sz w:val="14"/>
          <w:szCs w:val="14"/>
          <w:color w:val="auto"/>
        </w:rPr>
      </w:pPr>
    </w:p>
    <w:p>
      <w:pPr>
        <w:ind w:left="840" w:hanging="368"/>
        <w:spacing w:after="0"/>
        <w:tabs>
          <w:tab w:leader="none" w:pos="840" w:val="left"/>
        </w:tabs>
        <w:numPr>
          <w:ilvl w:val="0"/>
          <w:numId w:val="15"/>
        </w:numPr>
        <w:rPr>
          <w:rFonts w:ascii="Arial" w:cs="Arial" w:eastAsia="Arial" w:hAnsi="Arial"/>
          <w:sz w:val="14"/>
          <w:szCs w:val="14"/>
          <w:color w:val="auto"/>
        </w:rPr>
      </w:pPr>
      <w:r>
        <w:rPr>
          <w:rFonts w:ascii="Arial" w:cs="Arial" w:eastAsia="Arial" w:hAnsi="Arial"/>
          <w:sz w:val="16"/>
          <w:szCs w:val="16"/>
          <w:color w:val="auto"/>
        </w:rPr>
        <w:t>Amounts represent an estimate of purchase obligations related to inventory.</w:t>
      </w:r>
    </w:p>
    <w:p>
      <w:pPr>
        <w:spacing w:after="0" w:line="58" w:lineRule="exact"/>
        <w:rPr>
          <w:rFonts w:ascii="Arial" w:cs="Arial" w:eastAsia="Arial" w:hAnsi="Arial"/>
          <w:sz w:val="14"/>
          <w:szCs w:val="14"/>
          <w:color w:val="auto"/>
        </w:rPr>
      </w:pPr>
    </w:p>
    <w:p>
      <w:pPr>
        <w:ind w:left="840" w:hanging="368"/>
        <w:spacing w:after="0"/>
        <w:tabs>
          <w:tab w:leader="none" w:pos="840" w:val="left"/>
        </w:tabs>
        <w:numPr>
          <w:ilvl w:val="0"/>
          <w:numId w:val="15"/>
        </w:numPr>
        <w:rPr>
          <w:rFonts w:ascii="Arial" w:cs="Arial" w:eastAsia="Arial" w:hAnsi="Arial"/>
          <w:sz w:val="14"/>
          <w:szCs w:val="14"/>
          <w:color w:val="auto"/>
        </w:rPr>
      </w:pPr>
      <w:r>
        <w:rPr>
          <w:rFonts w:ascii="Arial" w:cs="Arial" w:eastAsia="Arial" w:hAnsi="Arial"/>
          <w:sz w:val="16"/>
          <w:szCs w:val="16"/>
          <w:color w:val="auto"/>
        </w:rPr>
        <w:t>Amounts represent contractual obligations from our operating leases for offices and warehouse spaces.</w:t>
      </w:r>
    </w:p>
    <w:p>
      <w:pPr>
        <w:spacing w:after="0" w:line="45" w:lineRule="exact"/>
        <w:rPr>
          <w:rFonts w:ascii="Arial" w:cs="Arial" w:eastAsia="Arial" w:hAnsi="Arial"/>
          <w:sz w:val="14"/>
          <w:szCs w:val="14"/>
          <w:color w:val="auto"/>
        </w:rPr>
      </w:pPr>
    </w:p>
    <w:p>
      <w:pPr>
        <w:ind w:left="840" w:hanging="368"/>
        <w:spacing w:after="0"/>
        <w:tabs>
          <w:tab w:leader="none" w:pos="840" w:val="left"/>
        </w:tabs>
        <w:numPr>
          <w:ilvl w:val="0"/>
          <w:numId w:val="15"/>
        </w:numPr>
        <w:rPr>
          <w:rFonts w:ascii="Arial" w:cs="Arial" w:eastAsia="Arial" w:hAnsi="Arial"/>
          <w:sz w:val="14"/>
          <w:szCs w:val="14"/>
          <w:color w:val="auto"/>
        </w:rPr>
      </w:pPr>
      <w:r>
        <w:rPr>
          <w:rFonts w:ascii="Arial" w:cs="Arial" w:eastAsia="Arial" w:hAnsi="Arial"/>
          <w:sz w:val="16"/>
          <w:szCs w:val="16"/>
          <w:color w:val="auto"/>
        </w:rPr>
        <w:t>Amounts represent non-cancelable obligations related to capital expenditures, software licenses, marketing and other activities.</w:t>
      </w:r>
    </w:p>
    <w:p>
      <w:pPr>
        <w:spacing w:after="0" w:line="122" w:lineRule="exact"/>
        <w:rPr>
          <w:sz w:val="20"/>
          <w:szCs w:val="20"/>
          <w:color w:val="auto"/>
        </w:rPr>
      </w:pPr>
    </w:p>
    <w:p>
      <w:pPr>
        <w:ind w:right="460" w:firstLine="509"/>
        <w:spacing w:after="0" w:line="286" w:lineRule="auto"/>
        <w:rPr>
          <w:sz w:val="20"/>
          <w:szCs w:val="20"/>
          <w:color w:val="auto"/>
        </w:rPr>
      </w:pPr>
      <w:r>
        <w:rPr>
          <w:rFonts w:ascii="Arial" w:cs="Arial" w:eastAsia="Arial" w:hAnsi="Arial"/>
          <w:sz w:val="17"/>
          <w:szCs w:val="17"/>
          <w:color w:val="auto"/>
        </w:rPr>
        <w:t>As of September 30, 2023, we had $2.4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121"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 Our consolidated financial statements are prepared in accordance with U.S. generally accepted accounting principles (“GAAP”), which requires us to make estimates, judgments and assumptions that affect the reported amounts of assets and liabilities and the disclosure of contingent liabilities at the date of the condensed consolidated financial statements, as well as the reported amounts of revenue and expenses during the reporting periods. Our estimates are based on our historical experience and on various other factors that we believe to be applicable and evaluate them on an ongoing basis to ensure they remain reasonable under current conditions. Actual results may differ significantly from those estimates, which could have a material impact on our business, results of operations, and financial condition.</w:t>
      </w:r>
    </w:p>
    <w:p>
      <w:pPr>
        <w:spacing w:after="0" w:line="75"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There have been no material changes to our critical accounting policies and estimates during the nine months ended September 30, 2023 as compared to the critical accounting policies and estimates described in our Management’s Discussion and Analysis of Financial Condition and Results of Operations included in our Annual Report on Form 10-K for the year ended December 31, 2022 filed with the SEC on February 27,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60" w:firstLine="509"/>
        <w:spacing w:after="0" w:line="277" w:lineRule="auto"/>
        <w:rPr>
          <w:sz w:val="20"/>
          <w:szCs w:val="20"/>
          <w:color w:val="auto"/>
        </w:rPr>
      </w:pPr>
      <w:r>
        <w:rPr>
          <w:rFonts w:ascii="Arial" w:cs="Arial" w:eastAsia="Arial" w:hAnsi="Arial"/>
          <w:sz w:val="18"/>
          <w:szCs w:val="18"/>
          <w:color w:val="auto"/>
        </w:rPr>
        <w:t>Refer to Note 2 to the condensed consolidated financial statements included in this Quarterly Report on Form 10-Q for recent accounting pronouncements adopted and to be adopted.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As of September 30, 2023, we had cash and restricted cash of $147.8 million, which consisted primarily of bank deposits. Our cash is held for working capital purposes.</w:t>
      </w:r>
    </w:p>
    <w:p>
      <w:pPr>
        <w:spacing w:after="0" w:line="62"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auto"/>
        </w:rPr>
        <w:t>As of September 30, 2023, under the Credit Agreement, we had $223.8 million Term Loan outstanding (face value), and the Term Loan bears variable market rates, primarily BSBY. See Note 8, “Debt - Credit Agreement” to our condensed consolidated financial statements for additional information on the Credit Agreement. A significant change in these market rates may adversely affect our operating results. As of September 30, 2023, a hypothetical 100 basis point change in interest rates would result in a change to annual interest expense by approximately $2.4 million.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Approximately 16.4% of our net revenue for the nine months ended September 30, 2023 was denominated in foreign currencies, primarily Euro. Any unfavorable movement in the exchange rate between U.S. dollars and the currencies in which we conduct sales in foreign countries could have an adverse impact on our net revenue and gross margins as we may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spacing w:after="0" w:line="83"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enter into forward currency contracts to reduce the short-term effects of currency fluctuations on Euro, British Pound, and Chinese Yuan denominated cash, accounts receivable, and intercompany receivable and payable balances. These forward contracts generally mature within two to four months, and we do not enter into foreign currency forward contracts for trading purposes. The outstanding notional principal amount was $32.1 million and $23.4 million as of September 30, 2023 and December 31, 2022, respectively. The gains or losses on these contracts are recognized in earnings based on the changes in fair value of the foreign currency forward contracts.</w:t>
      </w:r>
    </w:p>
    <w:p>
      <w:pPr>
        <w:spacing w:after="0" w:line="83"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impact of changes in foreign currency rates, including the gains or (losses) on the forward currency contracts, recognized in other (expense) income, net was $(1.5) million and $1.5 million for the nine months ended September 30, 2023 and 2022, respectively. A hypothetical ten percent change in exchange rates between foreign currencies and the U.S. dollar would increase or decrease our gains or losses on foreign currency exchange of approximately $2.0 million in our condensed consolidated financial statements for the nine months ended September 30, 2023.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7"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of the end of the period covered by this Quarterly Report on Form 10-Q.</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Based on this evaluation, our chief executive officer and chief financial officer concluded that, as of September 30, 2023,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2023 that have materially affected, or are reasonably likely to materially affect, our internal control over financial reporting.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have disclosed under the heading “Risk Factors” in Part I, Item 1A of our Annual Report on Form 10-K for the year ended December 31, 2022 the risk factors that materially affect our business, financial condition or results of operations. There have been no material changes from the risk factors previously disclosed. You should carefully consider the risk factors set forth in our Annual Report on Form 10-K for the year ended December 31, 2022 and the other information set forth elsewhere in this Quarterly Report on Form 10-Q. The risks that we describe in our public filings are not the only risks we may face. Additional risks and uncertainties not currently known to us or that we currently deem to be immaterial also may materially adversely effect on our business, financial condition and/or future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760" w:hanging="243"/>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16" w:lineRule="exact"/>
        <w:rPr>
          <w:rFonts w:ascii="Arial" w:cs="Arial" w:eastAsia="Arial" w:hAnsi="Arial"/>
          <w:sz w:val="18"/>
          <w:szCs w:val="18"/>
          <w:color w:val="auto"/>
        </w:rPr>
      </w:pPr>
    </w:p>
    <w:p>
      <w:pPr>
        <w:ind w:left="780" w:hanging="263"/>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16" w:lineRule="exact"/>
        <w:rPr>
          <w:rFonts w:ascii="Arial" w:cs="Arial" w:eastAsia="Arial" w:hAnsi="Arial"/>
          <w:sz w:val="18"/>
          <w:szCs w:val="18"/>
          <w:color w:val="auto"/>
        </w:rPr>
      </w:pPr>
    </w:p>
    <w:p>
      <w:pPr>
        <w:ind w:right="60" w:firstLine="517"/>
        <w:spacing w:after="0" w:line="277" w:lineRule="auto"/>
        <w:tabs>
          <w:tab w:leader="none" w:pos="7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three months ended September 30, 2023, no director or officer of Corsair adopted or terminated a “Rule 10b5-1 trading arrangement” or “non-Rule 10b5-1 trading arrangement,” as each such term is defined in Item 408(a) of Regulation S-K.</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jc w:val="center"/>
              <w:ind w:left="16"/>
              <w:spacing w:after="0"/>
              <w:rPr>
                <w:sz w:val="20"/>
                <w:szCs w:val="20"/>
                <w:color w:val="auto"/>
              </w:rPr>
            </w:pPr>
            <w:r>
              <w:rPr>
                <w:rFonts w:ascii="Arial" w:cs="Arial" w:eastAsia="Arial" w:hAnsi="Arial"/>
                <w:sz w:val="14"/>
                <w:szCs w:val="14"/>
                <w:b w:val="1"/>
                <w:bCs w:val="1"/>
                <w:color w:val="auto"/>
                <w:w w:val="94"/>
              </w:rPr>
              <w:t>Incorporated by</w:t>
            </w: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91"/>
              </w:rPr>
              <w:t>Reference</w:t>
            </w:r>
          </w:p>
        </w:tc>
        <w:tc>
          <w:tcPr>
            <w:tcW w:w="110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tcPr>
          <w:p>
            <w:pPr>
              <w:jc w:val="center"/>
              <w:ind w:right="172"/>
              <w:spacing w:after="0" w:line="133" w:lineRule="exact"/>
              <w:rPr>
                <w:sz w:val="20"/>
                <w:szCs w:val="20"/>
                <w:color w:val="auto"/>
              </w:rPr>
            </w:pPr>
            <w:r>
              <w:rPr>
                <w:rFonts w:ascii="Arial" w:cs="Arial" w:eastAsia="Arial" w:hAnsi="Arial"/>
                <w:sz w:val="14"/>
                <w:szCs w:val="14"/>
                <w:b w:val="1"/>
                <w:bCs w:val="1"/>
                <w:color w:val="auto"/>
                <w:w w:val="98"/>
              </w:rPr>
              <w:t>Exhibit</w:t>
            </w:r>
          </w:p>
        </w:tc>
        <w:tc>
          <w:tcPr>
            <w:tcW w:w="1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40" w:type="dxa"/>
            <w:vAlign w:val="bottom"/>
            <w:gridSpan w:val="9"/>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9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Form</w:t>
            </w:r>
          </w:p>
        </w:tc>
        <w:tc>
          <w:tcPr>
            <w:tcW w:w="130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4"/>
              </w:rPr>
              <w:t>Exhibit</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Filed</w:t>
            </w:r>
          </w:p>
        </w:tc>
        <w:tc>
          <w:tcPr>
            <w:tcW w:w="780" w:type="dxa"/>
            <w:vAlign w:val="bottom"/>
          </w:tcPr>
          <w:p>
            <w:pPr>
              <w:jc w:val="center"/>
              <w:ind w:left="133"/>
              <w:spacing w:after="0" w:line="13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6"/>
        </w:trPr>
        <w:tc>
          <w:tcPr>
            <w:tcW w:w="920" w:type="dxa"/>
            <w:vAlign w:val="bottom"/>
          </w:tcPr>
          <w:p>
            <w:pPr>
              <w:jc w:val="center"/>
              <w:ind w:right="172"/>
              <w:spacing w:after="0"/>
              <w:rPr>
                <w:sz w:val="20"/>
                <w:szCs w:val="20"/>
                <w:color w:val="auto"/>
              </w:rPr>
            </w:pPr>
            <w:r>
              <w:rPr>
                <w:rFonts w:ascii="Arial" w:cs="Arial" w:eastAsia="Arial" w:hAnsi="Arial"/>
                <w:sz w:val="14"/>
                <w:szCs w:val="14"/>
                <w:b w:val="1"/>
                <w:bCs w:val="1"/>
                <w:color w:val="auto"/>
                <w:w w:val="94"/>
              </w:rPr>
              <w:t>Number</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gridSpan w:val="9"/>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780" w:type="dxa"/>
            <w:vAlign w:val="bottom"/>
          </w:tcPr>
          <w:p>
            <w:pPr>
              <w:jc w:val="center"/>
              <w:ind w:left="133"/>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36"/>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3.1</w:t>
            </w:r>
          </w:p>
        </w:tc>
        <w:tc>
          <w:tcPr>
            <w:tcW w:w="5940" w:type="dxa"/>
            <w:vAlign w:val="bottom"/>
            <w:gridSpan w:val="13"/>
          </w:tcPr>
          <w:p>
            <w:pPr>
              <w:spacing w:after="0"/>
              <w:rPr>
                <w:rFonts w:ascii="Arial" w:cs="Arial" w:eastAsia="Arial" w:hAnsi="Arial"/>
                <w:sz w:val="18"/>
                <w:szCs w:val="18"/>
                <w:color w:val="0000FF"/>
              </w:rPr>
            </w:pPr>
            <w:hyperlink r:id="rId308">
              <w:r>
                <w:rPr>
                  <w:rFonts w:ascii="Arial" w:cs="Arial" w:eastAsia="Arial" w:hAnsi="Arial"/>
                  <w:sz w:val="18"/>
                  <w:szCs w:val="18"/>
                  <w:color w:val="0000FF"/>
                </w:rPr>
                <w:t>Second Amended and Restated Certificate of Incorporation.</w:t>
              </w:r>
            </w:hyperlink>
          </w:p>
        </w:tc>
        <w:tc>
          <w:tcPr>
            <w:tcW w:w="980" w:type="dxa"/>
            <w:vAlign w:val="bottom"/>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300" w:type="dxa"/>
            <w:vAlign w:val="bottom"/>
          </w:tcPr>
          <w:p>
            <w:pPr>
              <w:jc w:val="center"/>
              <w:ind w:left="16"/>
              <w:spacing w:after="0"/>
              <w:rPr>
                <w:sz w:val="20"/>
                <w:szCs w:val="20"/>
                <w:color w:val="auto"/>
              </w:rPr>
            </w:pPr>
            <w:r>
              <w:rPr>
                <w:rFonts w:ascii="Arial" w:cs="Arial" w:eastAsia="Arial" w:hAnsi="Arial"/>
                <w:sz w:val="18"/>
                <w:szCs w:val="18"/>
                <w:color w:val="auto"/>
                <w:w w:val="95"/>
              </w:rPr>
              <w:t>3.1</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09/25/2020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3.2</w:t>
            </w:r>
          </w:p>
        </w:tc>
        <w:tc>
          <w:tcPr>
            <w:tcW w:w="5940" w:type="dxa"/>
            <w:vAlign w:val="bottom"/>
            <w:gridSpan w:val="13"/>
          </w:tcPr>
          <w:p>
            <w:pPr>
              <w:spacing w:after="0"/>
              <w:rPr>
                <w:rFonts w:ascii="Arial" w:cs="Arial" w:eastAsia="Arial" w:hAnsi="Arial"/>
                <w:sz w:val="18"/>
                <w:szCs w:val="18"/>
                <w:color w:val="0000FF"/>
              </w:rPr>
            </w:pPr>
            <w:hyperlink r:id="rId309">
              <w:r>
                <w:rPr>
                  <w:rFonts w:ascii="Arial" w:cs="Arial" w:eastAsia="Arial" w:hAnsi="Arial"/>
                  <w:sz w:val="18"/>
                  <w:szCs w:val="18"/>
                  <w:color w:val="0000FF"/>
                </w:rPr>
                <w:t>Amended and Restated Bylaws.</w:t>
              </w:r>
            </w:hyperlink>
          </w:p>
        </w:tc>
        <w:tc>
          <w:tcPr>
            <w:tcW w:w="980" w:type="dxa"/>
            <w:vAlign w:val="bottom"/>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300" w:type="dxa"/>
            <w:vAlign w:val="bottom"/>
          </w:tcPr>
          <w:p>
            <w:pPr>
              <w:jc w:val="center"/>
              <w:ind w:left="16"/>
              <w:spacing w:after="0"/>
              <w:rPr>
                <w:sz w:val="20"/>
                <w:szCs w:val="20"/>
                <w:color w:val="auto"/>
              </w:rPr>
            </w:pPr>
            <w:r>
              <w:rPr>
                <w:rFonts w:ascii="Arial" w:cs="Arial" w:eastAsia="Arial" w:hAnsi="Arial"/>
                <w:sz w:val="18"/>
                <w:szCs w:val="18"/>
                <w:color w:val="auto"/>
                <w:w w:val="95"/>
              </w:rPr>
              <w:t>3.2</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09/25/2020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4.1</w:t>
            </w:r>
          </w:p>
        </w:tc>
        <w:tc>
          <w:tcPr>
            <w:tcW w:w="5940" w:type="dxa"/>
            <w:vAlign w:val="bottom"/>
            <w:gridSpan w:val="13"/>
          </w:tcPr>
          <w:p>
            <w:pPr>
              <w:spacing w:after="0"/>
              <w:rPr>
                <w:rFonts w:ascii="Arial" w:cs="Arial" w:eastAsia="Arial" w:hAnsi="Arial"/>
                <w:sz w:val="18"/>
                <w:szCs w:val="18"/>
                <w:color w:val="0000FF"/>
              </w:rPr>
            </w:pPr>
            <w:hyperlink r:id="rId310">
              <w:r>
                <w:rPr>
                  <w:rFonts w:ascii="Arial" w:cs="Arial" w:eastAsia="Arial" w:hAnsi="Arial"/>
                  <w:sz w:val="18"/>
                  <w:szCs w:val="18"/>
                  <w:color w:val="0000FF"/>
                </w:rPr>
                <w:t>Form of common stock certificate of Registrant.</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00" w:type="dxa"/>
            <w:vAlign w:val="bottom"/>
          </w:tcPr>
          <w:p>
            <w:pPr>
              <w:jc w:val="center"/>
              <w:ind w:left="16"/>
              <w:spacing w:after="0"/>
              <w:rPr>
                <w:sz w:val="20"/>
                <w:szCs w:val="20"/>
                <w:color w:val="auto"/>
              </w:rPr>
            </w:pPr>
            <w:r>
              <w:rPr>
                <w:rFonts w:ascii="Arial" w:cs="Arial" w:eastAsia="Arial" w:hAnsi="Arial"/>
                <w:sz w:val="18"/>
                <w:szCs w:val="18"/>
                <w:color w:val="auto"/>
                <w:w w:val="95"/>
              </w:rPr>
              <w:t>4.2</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09/18/2020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4.2</w:t>
            </w:r>
          </w:p>
        </w:tc>
        <w:tc>
          <w:tcPr>
            <w:tcW w:w="5940" w:type="dxa"/>
            <w:vAlign w:val="bottom"/>
            <w:gridSpan w:val="13"/>
          </w:tcPr>
          <w:p>
            <w:pPr>
              <w:spacing w:after="0"/>
              <w:rPr>
                <w:rFonts w:ascii="Arial" w:cs="Arial" w:eastAsia="Arial" w:hAnsi="Arial"/>
                <w:sz w:val="18"/>
                <w:szCs w:val="18"/>
                <w:color w:val="0000FF"/>
                <w:w w:val="95"/>
              </w:rPr>
            </w:pPr>
            <w:hyperlink r:id="rId311">
              <w:r>
                <w:rPr>
                  <w:rFonts w:ascii="Arial" w:cs="Arial" w:eastAsia="Arial" w:hAnsi="Arial"/>
                  <w:sz w:val="18"/>
                  <w:szCs w:val="18"/>
                  <w:color w:val="0000FF"/>
                  <w:w w:val="95"/>
                </w:rPr>
                <w:t>Investor Rights Agreement, by and between Corsair Gaming, Inc. and Corsair</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ind w:left="16"/>
              <w:spacing w:after="0"/>
              <w:rPr>
                <w:sz w:val="20"/>
                <w:szCs w:val="20"/>
                <w:color w:val="auto"/>
              </w:rPr>
            </w:pPr>
            <w:r>
              <w:rPr>
                <w:rFonts w:ascii="Arial" w:cs="Arial" w:eastAsia="Arial" w:hAnsi="Arial"/>
                <w:sz w:val="18"/>
                <w:szCs w:val="18"/>
                <w:color w:val="auto"/>
                <w:w w:val="95"/>
              </w:rPr>
              <w:t>4.2</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11/10/2020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3"/>
          </w:tcPr>
          <w:p>
            <w:pPr>
              <w:spacing w:after="0" w:line="195" w:lineRule="exact"/>
              <w:rPr>
                <w:rFonts w:ascii="Arial" w:cs="Arial" w:eastAsia="Arial" w:hAnsi="Arial"/>
                <w:sz w:val="18"/>
                <w:szCs w:val="18"/>
                <w:color w:val="0000FF"/>
              </w:rPr>
            </w:pPr>
            <w:hyperlink r:id="rId311">
              <w:r>
                <w:rPr>
                  <w:rFonts w:ascii="Arial" w:cs="Arial" w:eastAsia="Arial" w:hAnsi="Arial"/>
                  <w:sz w:val="18"/>
                  <w:szCs w:val="18"/>
                  <w:color w:val="0000FF"/>
                </w:rPr>
                <w:t>Group (Cayman), LP.</w:t>
              </w:r>
            </w:hyperlink>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4.3</w:t>
            </w:r>
          </w:p>
        </w:tc>
        <w:tc>
          <w:tcPr>
            <w:tcW w:w="5940" w:type="dxa"/>
            <w:vAlign w:val="bottom"/>
            <w:gridSpan w:val="13"/>
          </w:tcPr>
          <w:p>
            <w:pPr>
              <w:spacing w:after="0"/>
              <w:rPr>
                <w:rFonts w:ascii="Arial" w:cs="Arial" w:eastAsia="Arial" w:hAnsi="Arial"/>
                <w:sz w:val="18"/>
                <w:szCs w:val="18"/>
                <w:color w:val="0000FF"/>
                <w:w w:val="98"/>
              </w:rPr>
            </w:pPr>
            <w:hyperlink r:id="rId312">
              <w:r>
                <w:rPr>
                  <w:rFonts w:ascii="Arial" w:cs="Arial" w:eastAsia="Arial" w:hAnsi="Arial"/>
                  <w:sz w:val="18"/>
                  <w:szCs w:val="18"/>
                  <w:color w:val="0000FF"/>
                  <w:w w:val="98"/>
                </w:rPr>
                <w:t>Description of Corsair’s Securities Registered Pursuant to Section 12 of the</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ind w:left="16"/>
              <w:spacing w:after="0"/>
              <w:rPr>
                <w:sz w:val="20"/>
                <w:szCs w:val="20"/>
                <w:color w:val="auto"/>
              </w:rPr>
            </w:pPr>
            <w:r>
              <w:rPr>
                <w:rFonts w:ascii="Arial" w:cs="Arial" w:eastAsia="Arial" w:hAnsi="Arial"/>
                <w:sz w:val="18"/>
                <w:szCs w:val="18"/>
                <w:color w:val="auto"/>
                <w:w w:val="95"/>
              </w:rPr>
              <w:t>4.3</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03/11/2021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3"/>
          </w:tcPr>
          <w:p>
            <w:pPr>
              <w:spacing w:after="0" w:line="195" w:lineRule="exact"/>
              <w:rPr>
                <w:rFonts w:ascii="Arial" w:cs="Arial" w:eastAsia="Arial" w:hAnsi="Arial"/>
                <w:sz w:val="18"/>
                <w:szCs w:val="18"/>
                <w:color w:val="0000FF"/>
              </w:rPr>
            </w:pPr>
            <w:hyperlink r:id="rId312">
              <w:r>
                <w:rPr>
                  <w:rFonts w:ascii="Arial" w:cs="Arial" w:eastAsia="Arial" w:hAnsi="Arial"/>
                  <w:sz w:val="18"/>
                  <w:szCs w:val="18"/>
                  <w:color w:val="0000FF"/>
                </w:rPr>
                <w:t>Securities Exchange Act of 1934.</w:t>
              </w:r>
            </w:hyperlink>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4.4</w:t>
            </w:r>
          </w:p>
        </w:tc>
        <w:tc>
          <w:tcPr>
            <w:tcW w:w="5940" w:type="dxa"/>
            <w:vAlign w:val="bottom"/>
            <w:gridSpan w:val="13"/>
          </w:tcPr>
          <w:p>
            <w:pPr>
              <w:spacing w:after="0"/>
              <w:rPr>
                <w:rFonts w:ascii="Arial" w:cs="Arial" w:eastAsia="Arial" w:hAnsi="Arial"/>
                <w:sz w:val="18"/>
                <w:szCs w:val="18"/>
                <w:color w:val="0000FF"/>
                <w:w w:val="91"/>
              </w:rPr>
            </w:pPr>
            <w:hyperlink r:id="rId313">
              <w:r>
                <w:rPr>
                  <w:rFonts w:ascii="Arial" w:cs="Arial" w:eastAsia="Arial" w:hAnsi="Arial"/>
                  <w:sz w:val="18"/>
                  <w:szCs w:val="18"/>
                  <w:color w:val="0000FF"/>
                  <w:w w:val="91"/>
                </w:rPr>
                <w:t>Registration Rights Agreement, by and between Corsair Gaming, Inc. and Corsair</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00" w:type="dxa"/>
            <w:vAlign w:val="bottom"/>
          </w:tcPr>
          <w:p>
            <w:pPr>
              <w:jc w:val="center"/>
              <w:ind w:left="16"/>
              <w:spacing w:after="0"/>
              <w:rPr>
                <w:sz w:val="20"/>
                <w:szCs w:val="20"/>
                <w:color w:val="auto"/>
              </w:rPr>
            </w:pPr>
            <w:r>
              <w:rPr>
                <w:rFonts w:ascii="Arial" w:cs="Arial" w:eastAsia="Arial" w:hAnsi="Arial"/>
                <w:sz w:val="18"/>
                <w:szCs w:val="18"/>
                <w:color w:val="auto"/>
                <w:w w:val="95"/>
              </w:rPr>
              <w:t>4.4</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09/14/2020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4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3"/>
          </w:tcPr>
          <w:p>
            <w:pPr>
              <w:spacing w:after="0" w:line="195" w:lineRule="exact"/>
              <w:rPr>
                <w:rFonts w:ascii="Arial" w:cs="Arial" w:eastAsia="Arial" w:hAnsi="Arial"/>
                <w:sz w:val="18"/>
                <w:szCs w:val="18"/>
                <w:color w:val="0000FF"/>
              </w:rPr>
            </w:pPr>
            <w:hyperlink r:id="rId313">
              <w:r>
                <w:rPr>
                  <w:rFonts w:ascii="Arial" w:cs="Arial" w:eastAsia="Arial" w:hAnsi="Arial"/>
                  <w:sz w:val="18"/>
                  <w:szCs w:val="18"/>
                  <w:color w:val="0000FF"/>
                </w:rPr>
                <w:t>Group (Cayman), LP.</w:t>
              </w:r>
            </w:hyperlink>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jc w:val="center"/>
              <w:ind w:right="152"/>
              <w:spacing w:after="0"/>
              <w:rPr>
                <w:sz w:val="20"/>
                <w:szCs w:val="20"/>
                <w:color w:val="auto"/>
              </w:rPr>
            </w:pPr>
            <w:r>
              <w:rPr>
                <w:rFonts w:ascii="Arial" w:cs="Arial" w:eastAsia="Arial" w:hAnsi="Arial"/>
                <w:sz w:val="18"/>
                <w:szCs w:val="18"/>
                <w:color w:val="auto"/>
                <w:w w:val="91"/>
              </w:rPr>
              <w:t>31.1</w:t>
            </w:r>
          </w:p>
        </w:tc>
        <w:tc>
          <w:tcPr>
            <w:tcW w:w="5940" w:type="dxa"/>
            <w:vAlign w:val="bottom"/>
            <w:gridSpan w:val="13"/>
          </w:tcPr>
          <w:p>
            <w:pPr>
              <w:spacing w:after="0"/>
              <w:rPr>
                <w:sz w:val="20"/>
                <w:szCs w:val="20"/>
                <w:color w:val="auto"/>
              </w:rPr>
            </w:pPr>
            <w:r>
              <w:rPr>
                <w:rFonts w:ascii="Arial" w:cs="Arial" w:eastAsia="Arial" w:hAnsi="Arial"/>
                <w:sz w:val="18"/>
                <w:szCs w:val="18"/>
                <w:color w:val="0000FF"/>
                <w:w w:val="94"/>
              </w:rPr>
              <w:t>Certification of Principal Executive Officer under Securities Exchange Act Rule</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4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3"/>
          </w:tcPr>
          <w:p>
            <w:pPr>
              <w:spacing w:after="0" w:line="195" w:lineRule="exact"/>
              <w:rPr>
                <w:sz w:val="20"/>
                <w:szCs w:val="20"/>
                <w:color w:val="auto"/>
              </w:rPr>
            </w:pPr>
            <w:r>
              <w:rPr>
                <w:rFonts w:ascii="Arial" w:cs="Arial" w:eastAsia="Arial" w:hAnsi="Arial"/>
                <w:sz w:val="18"/>
                <w:szCs w:val="18"/>
                <w:color w:val="0000FF"/>
              </w:rPr>
              <w:t>13a</w:t>
            </w:r>
            <w:r>
              <w:rPr>
                <w:rFonts w:ascii="MS PGothic" w:cs="MS PGothic" w:eastAsia="MS PGothic" w:hAnsi="MS PGothic"/>
                <w:sz w:val="18"/>
                <w:szCs w:val="18"/>
                <w:color w:val="0000FF"/>
              </w:rPr>
              <w:t>‑</w:t>
            </w:r>
            <w:r>
              <w:rPr>
                <w:rFonts w:ascii="Arial" w:cs="Arial" w:eastAsia="Arial" w:hAnsi="Arial"/>
                <w:sz w:val="18"/>
                <w:szCs w:val="18"/>
                <w:color w:val="0000FF"/>
              </w:rPr>
              <w:t>14(a) and 15d</w:t>
            </w:r>
            <w:r>
              <w:rPr>
                <w:rFonts w:ascii="MS PGothic" w:cs="MS PGothic" w:eastAsia="MS PGothic" w:hAnsi="MS PGothic"/>
                <w:sz w:val="18"/>
                <w:szCs w:val="18"/>
                <w:color w:val="0000FF"/>
              </w:rPr>
              <w:t>‑</w:t>
            </w:r>
            <w:r>
              <w:rPr>
                <w:rFonts w:ascii="Arial" w:cs="Arial" w:eastAsia="Arial" w:hAnsi="Arial"/>
                <w:sz w:val="18"/>
                <w:szCs w:val="18"/>
                <w:color w:val="0000FF"/>
              </w:rPr>
              <w:t>14(a).</w:t>
            </w: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52"/>
              <w:spacing w:after="0"/>
              <w:rPr>
                <w:sz w:val="20"/>
                <w:szCs w:val="20"/>
                <w:color w:val="auto"/>
              </w:rPr>
            </w:pPr>
            <w:r>
              <w:rPr>
                <w:rFonts w:ascii="Arial" w:cs="Arial" w:eastAsia="Arial" w:hAnsi="Arial"/>
                <w:sz w:val="18"/>
                <w:szCs w:val="18"/>
                <w:color w:val="auto"/>
                <w:w w:val="91"/>
              </w:rPr>
              <w:t>31.2</w:t>
            </w:r>
          </w:p>
        </w:tc>
        <w:tc>
          <w:tcPr>
            <w:tcW w:w="5940" w:type="dxa"/>
            <w:vAlign w:val="bottom"/>
            <w:gridSpan w:val="13"/>
          </w:tcPr>
          <w:p>
            <w:pPr>
              <w:spacing w:after="0"/>
              <w:rPr>
                <w:sz w:val="20"/>
                <w:szCs w:val="20"/>
                <w:color w:val="auto"/>
              </w:rPr>
            </w:pPr>
            <w:r>
              <w:rPr>
                <w:rFonts w:ascii="Arial" w:cs="Arial" w:eastAsia="Arial" w:hAnsi="Arial"/>
                <w:sz w:val="18"/>
                <w:szCs w:val="18"/>
                <w:color w:val="0000FF"/>
                <w:w w:val="95"/>
              </w:rPr>
              <w:t>Certification of Principal Financial Officer under Securities Exchange Act Rule</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4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3"/>
          </w:tcPr>
          <w:p>
            <w:pPr>
              <w:spacing w:after="0" w:line="195" w:lineRule="exact"/>
              <w:rPr>
                <w:sz w:val="20"/>
                <w:szCs w:val="20"/>
                <w:color w:val="auto"/>
              </w:rPr>
            </w:pPr>
            <w:r>
              <w:rPr>
                <w:rFonts w:ascii="Arial" w:cs="Arial" w:eastAsia="Arial" w:hAnsi="Arial"/>
                <w:sz w:val="18"/>
                <w:szCs w:val="18"/>
                <w:color w:val="0000FF"/>
              </w:rPr>
              <w:t>13a</w:t>
            </w:r>
            <w:r>
              <w:rPr>
                <w:rFonts w:ascii="MS PGothic" w:cs="MS PGothic" w:eastAsia="MS PGothic" w:hAnsi="MS PGothic"/>
                <w:sz w:val="18"/>
                <w:szCs w:val="18"/>
                <w:color w:val="0000FF"/>
              </w:rPr>
              <w:t>‑</w:t>
            </w:r>
            <w:r>
              <w:rPr>
                <w:rFonts w:ascii="Arial" w:cs="Arial" w:eastAsia="Arial" w:hAnsi="Arial"/>
                <w:sz w:val="18"/>
                <w:szCs w:val="18"/>
                <w:color w:val="0000FF"/>
              </w:rPr>
              <w:t>14(a) and 15d</w:t>
            </w:r>
            <w:r>
              <w:rPr>
                <w:rFonts w:ascii="MS PGothic" w:cs="MS PGothic" w:eastAsia="MS PGothic" w:hAnsi="MS PGothic"/>
                <w:sz w:val="18"/>
                <w:szCs w:val="18"/>
                <w:color w:val="0000FF"/>
              </w:rPr>
              <w:t>‑</w:t>
            </w:r>
            <w:r>
              <w:rPr>
                <w:rFonts w:ascii="Arial" w:cs="Arial" w:eastAsia="Arial" w:hAnsi="Arial"/>
                <w:sz w:val="18"/>
                <w:szCs w:val="18"/>
                <w:color w:val="0000FF"/>
              </w:rPr>
              <w:t>14(a).</w:t>
            </w: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480" w:type="dxa"/>
            <w:vAlign w:val="bottom"/>
            <w:tcBorders>
              <w:left w:val="single" w:sz="8" w:color="0000EE"/>
            </w:tcBorders>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52"/>
              <w:spacing w:after="0"/>
              <w:rPr>
                <w:sz w:val="20"/>
                <w:szCs w:val="20"/>
                <w:color w:val="auto"/>
              </w:rPr>
            </w:pPr>
            <w:r>
              <w:rPr>
                <w:rFonts w:ascii="Arial" w:cs="Arial" w:eastAsia="Arial" w:hAnsi="Arial"/>
                <w:sz w:val="18"/>
                <w:szCs w:val="18"/>
                <w:color w:val="auto"/>
                <w:w w:val="95"/>
              </w:rPr>
              <w:t>32.1*</w:t>
            </w:r>
          </w:p>
        </w:tc>
        <w:tc>
          <w:tcPr>
            <w:tcW w:w="5940" w:type="dxa"/>
            <w:vAlign w:val="bottom"/>
            <w:gridSpan w:val="13"/>
          </w:tcPr>
          <w:p>
            <w:pPr>
              <w:spacing w:after="0"/>
              <w:rPr>
                <w:sz w:val="20"/>
                <w:szCs w:val="20"/>
                <w:color w:val="auto"/>
              </w:rPr>
            </w:pPr>
            <w:r>
              <w:rPr>
                <w:rFonts w:ascii="Arial" w:cs="Arial" w:eastAsia="Arial" w:hAnsi="Arial"/>
                <w:sz w:val="18"/>
                <w:szCs w:val="18"/>
                <w:color w:val="0000FF"/>
              </w:rPr>
              <w:t>Certifications of Principal Executive Officer and Principal Financial Officer</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6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3"/>
          </w:tcPr>
          <w:p>
            <w:pPr>
              <w:spacing w:after="0" w:line="195" w:lineRule="exact"/>
              <w:rPr>
                <w:sz w:val="20"/>
                <w:szCs w:val="20"/>
                <w:color w:val="auto"/>
              </w:rPr>
            </w:pPr>
            <w:r>
              <w:rPr>
                <w:rFonts w:ascii="Arial" w:cs="Arial" w:eastAsia="Arial" w:hAnsi="Arial"/>
                <w:sz w:val="18"/>
                <w:szCs w:val="18"/>
                <w:color w:val="0000FF"/>
              </w:rPr>
              <w:t>pursuant to 18 U.S.C. 1350 and Securities Exchange Act Rule 13a</w:t>
            </w:r>
            <w:r>
              <w:rPr>
                <w:rFonts w:ascii="MS PGothic" w:cs="MS PGothic" w:eastAsia="MS PGothic" w:hAnsi="MS PGothic"/>
                <w:sz w:val="18"/>
                <w:szCs w:val="18"/>
                <w:color w:val="0000FF"/>
              </w:rPr>
              <w:t>‑</w:t>
            </w:r>
            <w:r>
              <w:rPr>
                <w:rFonts w:ascii="Arial" w:cs="Arial" w:eastAsia="Arial" w:hAnsi="Arial"/>
                <w:sz w:val="18"/>
                <w:szCs w:val="18"/>
                <w:color w:val="0000FF"/>
              </w:rPr>
              <w:t>14(b).</w:t>
            </w: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5260" w:type="dxa"/>
            <w:vAlign w:val="bottom"/>
            <w:tcBorders>
              <w:right w:val="single" w:sz="8" w:color="0000EE"/>
            </w:tcBorders>
            <w:gridSpan w:val="7"/>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20" w:type="dxa"/>
            <w:vAlign w:val="bottom"/>
          </w:tcPr>
          <w:p>
            <w:pPr>
              <w:jc w:val="center"/>
              <w:ind w:right="152"/>
              <w:spacing w:after="0"/>
              <w:rPr>
                <w:sz w:val="20"/>
                <w:szCs w:val="20"/>
                <w:color w:val="auto"/>
              </w:rPr>
            </w:pPr>
            <w:r>
              <w:rPr>
                <w:rFonts w:ascii="Arial" w:cs="Arial" w:eastAsia="Arial" w:hAnsi="Arial"/>
                <w:sz w:val="18"/>
                <w:szCs w:val="18"/>
                <w:color w:val="auto"/>
                <w:w w:val="92"/>
              </w:rPr>
              <w:t>101.INS</w:t>
            </w:r>
          </w:p>
        </w:tc>
        <w:tc>
          <w:tcPr>
            <w:tcW w:w="5940" w:type="dxa"/>
            <w:vAlign w:val="bottom"/>
            <w:gridSpan w:val="13"/>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gridSpan w:val="13"/>
          </w:tcPr>
          <w:p>
            <w:pPr>
              <w:spacing w:after="0"/>
              <w:rPr>
                <w:sz w:val="20"/>
                <w:szCs w:val="20"/>
                <w:color w:val="auto"/>
              </w:rPr>
            </w:pPr>
            <w:r>
              <w:rPr>
                <w:rFonts w:ascii="Arial" w:cs="Arial" w:eastAsia="Arial" w:hAnsi="Arial"/>
                <w:sz w:val="18"/>
                <w:szCs w:val="18"/>
                <w:color w:val="auto"/>
                <w:w w:val="94"/>
              </w:rPr>
              <w:t>Interactive Data File because XBRL tags are embedded within the Inline XBRL</w:t>
            </w: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94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90"/>
              </w:rPr>
              <w:t>101.SCH</w:t>
            </w:r>
          </w:p>
        </w:tc>
        <w:tc>
          <w:tcPr>
            <w:tcW w:w="594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91"/>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94"/>
              </w:rPr>
              <w:t>101.CAL</w:t>
            </w:r>
          </w:p>
        </w:tc>
        <w:tc>
          <w:tcPr>
            <w:tcW w:w="594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91"/>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92"/>
              </w:rPr>
              <w:t>101.DEF</w:t>
            </w:r>
          </w:p>
        </w:tc>
        <w:tc>
          <w:tcPr>
            <w:tcW w:w="594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91"/>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95"/>
              </w:rPr>
              <w:t>101.LAB</w:t>
            </w:r>
          </w:p>
        </w:tc>
        <w:tc>
          <w:tcPr>
            <w:tcW w:w="594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91"/>
        </w:trPr>
        <w:tc>
          <w:tcPr>
            <w:tcW w:w="920" w:type="dxa"/>
            <w:vAlign w:val="bottom"/>
          </w:tcPr>
          <w:p>
            <w:pPr>
              <w:jc w:val="center"/>
              <w:ind w:right="152"/>
              <w:spacing w:after="0"/>
              <w:rPr>
                <w:sz w:val="20"/>
                <w:szCs w:val="20"/>
                <w:color w:val="auto"/>
              </w:rPr>
            </w:pPr>
            <w:r>
              <w:rPr>
                <w:rFonts w:ascii="Arial" w:cs="Arial" w:eastAsia="Arial" w:hAnsi="Arial"/>
                <w:sz w:val="18"/>
                <w:szCs w:val="18"/>
                <w:color w:val="auto"/>
                <w:w w:val="88"/>
              </w:rPr>
              <w:t>101.PRE</w:t>
            </w:r>
          </w:p>
        </w:tc>
        <w:tc>
          <w:tcPr>
            <w:tcW w:w="594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91"/>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6"/>
              </w:rPr>
              <w:t>104</w:t>
            </w:r>
          </w:p>
        </w:tc>
        <w:tc>
          <w:tcPr>
            <w:tcW w:w="5940" w:type="dxa"/>
            <w:vAlign w:val="bottom"/>
            <w:gridSpan w:val="13"/>
          </w:tcPr>
          <w:p>
            <w:pPr>
              <w:spacing w:after="0"/>
              <w:rPr>
                <w:sz w:val="20"/>
                <w:szCs w:val="20"/>
                <w:color w:val="auto"/>
              </w:rPr>
            </w:pPr>
            <w:r>
              <w:rPr>
                <w:rFonts w:ascii="Arial" w:cs="Arial" w:eastAsia="Arial" w:hAnsi="Arial"/>
                <w:sz w:val="18"/>
                <w:szCs w:val="18"/>
                <w:color w:val="auto"/>
                <w:w w:val="94"/>
              </w:rPr>
              <w:t>Cover Page Interactive Data File (embedded within the Inline XBRL document)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480" w:right="60" w:hanging="288"/>
        <w:spacing w:after="0" w:line="285"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5"/>
          <w:szCs w:val="15"/>
          <w:color w:val="auto"/>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99" w:lineRule="exact"/>
        <w:rPr>
          <w:sz w:val="20"/>
          <w:szCs w:val="20"/>
          <w:color w:val="auto"/>
        </w:rPr>
      </w:pPr>
    </w:p>
    <w:p>
      <w:pPr>
        <w:ind w:left="480" w:hanging="288"/>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6"/>
          <w:szCs w:val="16"/>
          <w:color w:val="auto"/>
        </w:rPr>
        <w:t>Indicates management contract or compensatory plan.</w:t>
      </w: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18"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Corsair Gaming, Inc.</w:t>
      </w:r>
    </w:p>
    <w:p>
      <w:pPr>
        <w:sectPr>
          <w:pgSz w:w="11900" w:h="16838" w:orient="portrait"/>
          <w:cols w:equalWidth="0" w:num="1">
            <w:col w:w="10860"/>
          </w:cols>
          <w:pgMar w:left="320" w:top="418" w:right="71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7,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/s/ Michael G.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38100</wp:posOffset>
            </wp:positionV>
            <wp:extent cx="33134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4980" w:space="720"/>
            <w:col w:w="1460" w:space="720"/>
            <w:col w:w="2980"/>
          </w:cols>
          <w:pgMar w:left="320" w:top="418" w:right="719" w:bottom="1440" w:gutter="0" w:footer="0" w:header="0"/>
          <w:type w:val="continuous"/>
        </w:sectPr>
      </w:pPr>
    </w:p>
    <w:p>
      <w:pPr>
        <w:ind w:left="7980"/>
        <w:spacing w:after="0"/>
        <w:rPr>
          <w:sz w:val="20"/>
          <w:szCs w:val="20"/>
          <w:color w:val="auto"/>
        </w:rPr>
      </w:pPr>
      <w:r>
        <w:rPr>
          <w:rFonts w:ascii="Arial" w:cs="Arial" w:eastAsia="Arial" w:hAnsi="Arial"/>
          <w:sz w:val="18"/>
          <w:szCs w:val="18"/>
          <w:color w:val="auto"/>
        </w:rPr>
        <w:t>Michael G. Potter</w:t>
      </w:r>
    </w:p>
    <w:p>
      <w:pPr>
        <w:spacing w:after="0" w:line="22"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7"/>
          <w:szCs w:val="17"/>
          <w:i w:val="1"/>
          <w:iCs w:val="1"/>
          <w:color w:val="auto"/>
        </w:rPr>
        <w:t>(Authorized Officer, Principal Financial Officer and Principal</w:t>
      </w:r>
    </w:p>
    <w:p>
      <w:pPr>
        <w:spacing w:after="0" w:line="20"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18" w:right="71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Andrew J. Paul, certify that:</w:t>
      </w:r>
    </w:p>
    <w:p>
      <w:pPr>
        <w:spacing w:after="0" w:line="225"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Corsair Gaming,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4"/>
        <w:spacing w:after="0" w:line="26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160" w:hanging="512"/>
        <w:spacing w:after="0" w:line="307"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740" w:hanging="504"/>
        <w:spacing w:after="0" w:line="341"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4"/>
        <w:spacing w:after="0" w:line="277"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4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2380" w:type="dxa"/>
            <w:vAlign w:val="bottom"/>
          </w:tcPr>
          <w:p>
            <w:pPr>
              <w:ind w:left="194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Andrew J. Paul</w:t>
            </w:r>
          </w:p>
        </w:tc>
      </w:tr>
      <w:tr>
        <w:trPr>
          <w:trHeight w:val="208"/>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2"/>
              </w:rPr>
              <w:t>Andrew J. Paul</w:t>
            </w:r>
          </w:p>
        </w:tc>
      </w:tr>
      <w:tr>
        <w:trPr>
          <w:trHeight w:val="216"/>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560"/>
        </w:trPr>
        <w:tc>
          <w:tcPr>
            <w:tcW w:w="37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Michael G. Potter, certify that:</w:t>
      </w:r>
    </w:p>
    <w:p>
      <w:pPr>
        <w:spacing w:after="0" w:line="225"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Corsair Gaming,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4"/>
        <w:spacing w:after="0" w:line="26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160" w:hanging="512"/>
        <w:spacing w:after="0" w:line="307"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740" w:hanging="504"/>
        <w:spacing w:after="0" w:line="341"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4"/>
        <w:spacing w:after="0" w:line="277"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4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2380" w:type="dxa"/>
            <w:vAlign w:val="bottom"/>
          </w:tcPr>
          <w:p>
            <w:pPr>
              <w:ind w:left="194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G. Potter</w:t>
            </w:r>
          </w:p>
        </w:tc>
      </w:tr>
      <w:tr>
        <w:trPr>
          <w:trHeight w:val="208"/>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2"/>
              </w:rPr>
              <w:t>Michael G. Potter</w:t>
            </w:r>
          </w:p>
        </w:tc>
      </w:tr>
      <w:tr>
        <w:trPr>
          <w:trHeight w:val="216"/>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Officer and Principal Accounting Officer)</w:t>
            </w:r>
          </w:p>
        </w:tc>
      </w:tr>
      <w:tr>
        <w:trPr>
          <w:trHeight w:val="560"/>
        </w:trPr>
        <w:tc>
          <w:tcPr>
            <w:tcW w:w="37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31" w:lineRule="exact"/>
        <w:rPr>
          <w:sz w:val="20"/>
          <w:szCs w:val="20"/>
          <w:color w:val="auto"/>
        </w:rPr>
      </w:pPr>
    </w:p>
    <w:p>
      <w:pPr>
        <w:ind w:right="280" w:firstLine="562"/>
        <w:spacing w:after="0" w:line="311" w:lineRule="auto"/>
        <w:rPr>
          <w:sz w:val="20"/>
          <w:szCs w:val="20"/>
          <w:color w:val="auto"/>
        </w:rPr>
      </w:pPr>
      <w:r>
        <w:rPr>
          <w:rFonts w:ascii="Arial" w:cs="Arial" w:eastAsia="Arial" w:hAnsi="Arial"/>
          <w:sz w:val="16"/>
          <w:szCs w:val="16"/>
          <w:color w:val="auto"/>
        </w:rPr>
        <w:t>In connection with the quarterly report of Corsair Gaming, Inc. (the “Company”) on Form 10-Q for the quarter ended September 30, 2023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spacing w:after="0" w:line="148" w:lineRule="exact"/>
        <w:rPr>
          <w:sz w:val="20"/>
          <w:szCs w:val="20"/>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020" w:right="640" w:hanging="504"/>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8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2520" w:type="dxa"/>
            <w:vAlign w:val="bottom"/>
          </w:tcPr>
          <w:p>
            <w:pPr>
              <w:ind w:left="19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Andrew J. Paul</w:t>
            </w:r>
          </w:p>
        </w:tc>
      </w:tr>
      <w:tr>
        <w:trPr>
          <w:trHeight w:val="208"/>
        </w:trPr>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Andrew J. Paul</w:t>
            </w:r>
          </w:p>
        </w:tc>
      </w:tr>
      <w:tr>
        <w:trPr>
          <w:trHeight w:val="216"/>
        </w:trPr>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90"/>
        </w:trPr>
        <w:tc>
          <w:tcPr>
            <w:tcW w:w="378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2520" w:type="dxa"/>
            <w:vAlign w:val="bottom"/>
          </w:tcPr>
          <w:p>
            <w:pPr>
              <w:ind w:left="19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G. Potter</w:t>
            </w:r>
          </w:p>
        </w:tc>
      </w:tr>
      <w:tr>
        <w:trPr>
          <w:trHeight w:val="208"/>
        </w:trPr>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Michael G. Potter</w:t>
            </w:r>
          </w:p>
        </w:tc>
      </w:tr>
      <w:tr>
        <w:trPr>
          <w:trHeight w:val="216"/>
        </w:trPr>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Officer and Principal Accounting Officer)</w:t>
            </w:r>
          </w:p>
        </w:tc>
      </w:tr>
      <w:tr>
        <w:trPr>
          <w:trHeight w:val="560"/>
        </w:trPr>
        <w:tc>
          <w:tcPr>
            <w:tcW w:w="37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lvl w:ilvl="1">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lvl w:ilvl="1">
      <w:lvlJc w:val="left"/>
      <w:lvlText w:val="(%2)"/>
      <w:numFmt w:val="decimal"/>
      <w:start w:val="2"/>
    </w:lvl>
  </w:abstractNum>
  <w:abstractNum w:abstractNumId="5">
    <w:nsid w:val="109CF92E"/>
    <w:multiLevelType w:val="hybridMultilevel"/>
    <w:lvl w:ilvl="0">
      <w:lvlJc w:val="left"/>
      <w:lvlText w:val="%1."/>
      <w:numFmt w:val="decimal"/>
      <w:start w:val="4"/>
    </w:lvl>
    <w:lvl w:ilvl="1">
      <w:lvlJc w:val="left"/>
      <w:lvlText w:val="%2"/>
      <w:numFmt w:val="decimal"/>
      <w:start w:val="1"/>
    </w:lvl>
  </w:abstractNum>
  <w:abstractNum w:abstractNumId="6">
    <w:nsid w:val="DED7263"/>
    <w:multiLevelType w:val="hybridMultilevel"/>
    <w:lvl w:ilvl="0">
      <w:lvlJc w:val="left"/>
      <w:lvlText w:val="(%1)"/>
      <w:numFmt w:val="lowerRoman"/>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lvl w:ilvl="1">
      <w:lvlJc w:val="left"/>
      <w:lvlText w:val="(%2)"/>
      <w:numFmt w:val="decimal"/>
      <w:start w:val="1"/>
    </w:lvl>
  </w:abstractNum>
  <w:abstractNum w:abstractNumId="9">
    <w:nsid w:val="41A7C4C9"/>
    <w:multiLevelType w:val="hybridMultilevel"/>
    <w:lvl w:ilvl="0">
      <w:lvlJc w:val="left"/>
      <w:lvlText w:val="%1."/>
      <w:numFmt w:val="decimal"/>
      <w:start w:val="13"/>
    </w:lvl>
    <w:lvl w:ilvl="1">
      <w:lvlJc w:val="left"/>
      <w:lvlText w:val="%2"/>
      <w:numFmt w:val="decimal"/>
      <w:start w:val="1"/>
    </w:lvl>
  </w:abstractNum>
  <w:abstractNum w:abstractNumId="10">
    <w:nsid w:val="6B68079A"/>
    <w:multiLevelType w:val="hybridMultilevel"/>
    <w:lvl w:ilvl="0">
      <w:lvlJc w:val="left"/>
      <w:lvlText w:val="%1."/>
      <w:numFmt w:val="decimal"/>
      <w:start w:val="14"/>
    </w:lvl>
    <w:lvl w:ilvl="1">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08" Type="http://schemas.openxmlformats.org/officeDocument/2006/relationships/hyperlink" Target="https://www.sec.gov/Archives/edgar/data/1743759/000119312520254569/d65933dex31.htm" TargetMode="External"/><Relationship Id="rId309" Type="http://schemas.openxmlformats.org/officeDocument/2006/relationships/hyperlink" Target="https://www.sec.gov/Archives/edgar/data/1743759/000119312520254569/d65933dex32.htm" TargetMode="External"/><Relationship Id="rId310" Type="http://schemas.openxmlformats.org/officeDocument/2006/relationships/hyperlink" Target="https://www.sec.gov/Archives/edgar/data/1743759/000119312520248527/d507744dex42.htm" TargetMode="External"/><Relationship Id="rId311" Type="http://schemas.openxmlformats.org/officeDocument/2006/relationships/hyperlink" Target="https://www.sec.gov/Archives/edgar/data/1743759/000156459020052867/crsr-ex42_448.htm" TargetMode="External"/><Relationship Id="rId312" Type="http://schemas.openxmlformats.org/officeDocument/2006/relationships/hyperlink" Target="https://www.sec.gov/Archives/edgar/data/0001743759/000156459021012507/crsr-ex43_1280.htm" TargetMode="External"/><Relationship Id="rId313" Type="http://schemas.openxmlformats.org/officeDocument/2006/relationships/hyperlink" Target="https://www.sec.gov/Archives/edgar/data/0001743759/000119312520244634/d507744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2023-11-07T15:46:48Z</dcterms:created>
  <dcterms:modified xsi:type="dcterms:W3CDTF">2023-11-07T15:46:48Z</dcterms:modified>
</cp:coreProperties>
</file>