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cahilly jason glen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Corsair Gaming,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CRSR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20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CARNIVAL CORPORATION</w:t>
            </w:r>
          </w:p>
        </w:tc>
        <w:tc>
          <w:tcPr>
            <w:tcW w:w="120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3655 N.W. 87TH AVENUE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10,020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56,397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16,367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16,367</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16,367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which shall be fully (100%) vested on the earlier of (i) the one year anniversary of June 16, 2026 or (ii) the day preceding the next annual meeting of stockholders following June 16, 2026, subject to the Reporting Person's continued service to the Issuer through the vesting date. Each RSU represents a contingent right to receive one (1) share of the Issuer's common stock upon vesting.</w:t>
      </w:r>
    </w:p>
    <w:p>
      <w:pPr>
        <w:spacing w:after="0" w:line="26"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and become exercisable with respect to all (100%) of the shares subject to the option on the earlier of (i) the one year anniversary of June 16, 2026 or (ii) the day preceding the date of the next annual meeting of stockholders following June 16, 2026, subject to the Reporting Person's continued service to the Issuer through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Carina Tan, as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180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fact for Jason Glen Cahilly</w:t>
            </w:r>
          </w:p>
        </w:tc>
        <w:tc>
          <w:tcPr>
            <w:tcW w:w="1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00" w:type="dxa"/>
            <w:vAlign w:val="bottom"/>
            <w:tcBorders>
              <w:bottom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1" w:lineRule="exact"/>
        <w:rPr>
          <w:sz w:val="20"/>
          <w:szCs w:val="20"/>
          <w:color w:val="auto"/>
        </w:rPr>
      </w:pPr>
    </w:p>
    <w:p>
      <w:pPr>
        <w:ind w:right="3559"/>
        <w:spacing w:after="0" w:line="24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Gordon Mattingly and Carina Tan, and each of their respective successors and assigns, as the true and lawful attorney or attorneys-in-fact, with full power of substitution and revocation, for the undersigned and in the name, place and stead of the undersigned, in any and all capacities, to execute, on behalf of the undersigned, (1) any and all notices pursuant to Rule l44 under the Securities Act of 1933 with respect to sales of shares of common stock, par value $0.0001 per share, or other securities, of Corsair Gaming, Inc., including, without limitation, all notices of proposed sale on Form 144, and (2) any and all statements or reports under Section 16 of the Securities Exchange Act of 1934 with respect to the beneficial ownership of common stock, par value $0.0001 per share, or other securities, of Corsair Gaming, Inc., including, without limitation, all initial statements of beneficial ownership on Form 3, all statements of changes in beneficial ownership on Form 4, all annual statements of beneficial ownership on Form 5 and all successor or similar forms, to be filed with the Securities and Exchange Commission, to execute any and all amendments or supplements to any such notices, statements or reports, and to file the same, with all exhibits thereto, and other documents in connection therewith, with the Securities and Exchange Commission, granting to said attorney or attorneys-in-fact, and each of them, full power and authority to do so and perform each and every act and thing requisite and necessary to be done in and about the premises (including, without limitation, completing, executing, delivering and filing a Form ID to apply for electronic filing codes), as fully and to all intents and purposes as the undersigned might or could do in person, and hereby ratifying and confirming all that said attorney or attorneys-in-fact, or any of them, or their substitute or substitutes, may lawfully do or cause to be done by virtue hereof. The undersigned acknowledges that the foregoing attorneys-in-fact, and each of them, in serving in such capacity at the request of the undersigned, are not assuming any of the responsibilities of the undersigned to comply with Section 16 of the Securities Exchange Act of 1934 or any other legal requirement. This Power of Attorney shall remain in effect until revoked in writing by the undersigned.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Jason Cahilly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Jason Cahilly</w:t>
      </w:r>
    </w:p>
    <w:p>
      <w:pPr>
        <w:spacing w:after="0" w:line="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Date:</w:t>
        <w:tab/>
        <w:t>12/18/2025</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12087" TargetMode="External"/><Relationship Id="rId14" Type="http://schemas.openxmlformats.org/officeDocument/2006/relationships/hyperlink" Target="http://www.sec.gov/cgi-bin/browse-edgar?action=getcompany&amp;CIK=0001743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2026-06-18T19:19:47Z</dcterms:created>
  <dcterms:modified xsi:type="dcterms:W3CDTF">2026-06-18T19:19:47Z</dcterms:modified>
</cp:coreProperties>
</file>