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481965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499110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81280</wp:posOffset>
            </wp:positionV>
            <wp:extent cx="14300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18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95885</wp:posOffset>
            </wp:positionV>
            <wp:extent cx="14300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232"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(Mark One)</w:t>
      </w:r>
    </w:p>
    <w:p>
      <w:pPr>
        <w:spacing w:after="0" w:line="17" w:lineRule="exact"/>
        <w:rPr>
          <w:sz w:val="24"/>
          <w:szCs w:val="24"/>
          <w:color w:val="auto"/>
        </w:rPr>
      </w:pPr>
    </w:p>
    <w:p>
      <w:pPr>
        <w:ind w:left="4000" w:right="2540" w:hanging="3979"/>
        <w:spacing w:after="0" w:line="404" w:lineRule="auto"/>
        <w:tabs>
          <w:tab w:leader="none" w:pos="486" w:val="left"/>
        </w:tabs>
        <w:numPr>
          <w:ilvl w:val="0"/>
          <w:numId w:val="1"/>
        </w:numPr>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b w:val="1"/>
          <w:bCs w:val="1"/>
          <w:color w:val="auto"/>
        </w:rPr>
        <w:t>QUARTERLY REPORT PURSUANT TO SECTION 13 OR 15(d) OF THE SECURITIES EXCHANGE ACT OF 1934 For the quarterly period ended March 31, 2024</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OR</w:t>
      </w:r>
    </w:p>
    <w:p>
      <w:pPr>
        <w:spacing w:after="0" w:line="126" w:lineRule="exact"/>
        <w:rPr>
          <w:sz w:val="24"/>
          <w:szCs w:val="24"/>
          <w:color w:val="auto"/>
        </w:rPr>
      </w:pPr>
    </w:p>
    <w:p>
      <w:pPr>
        <w:ind w:left="3720" w:right="2520" w:hanging="3699"/>
        <w:spacing w:after="0" w:line="413" w:lineRule="auto"/>
        <w:tabs>
          <w:tab w:leader="none" w:pos="478" w:val="left"/>
        </w:tabs>
        <w:numPr>
          <w:ilvl w:val="0"/>
          <w:numId w:val="2"/>
        </w:numPr>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b w:val="1"/>
          <w:bCs w:val="1"/>
          <w:color w:val="auto"/>
        </w:rPr>
        <w:t>TRANSITION REPORT PURSUANT TO SECTION 13 OR 15(d) OF THE SECURITIES EXCHANGE ACT OF 1934 For the transition period from _________ to _________</w:t>
      </w:r>
    </w:p>
    <w:p>
      <w:pPr>
        <w:ind w:left="4340"/>
        <w:spacing w:after="0"/>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b w:val="1"/>
          <w:bCs w:val="1"/>
          <w:color w:val="auto"/>
        </w:rPr>
        <w:t>Commission File Number: 001-39533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90170</wp:posOffset>
            </wp:positionV>
            <wp:extent cx="14300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p>
      <w:pPr>
        <w:spacing w:after="0" w:line="210" w:lineRule="exact"/>
        <w:rPr>
          <w:sz w:val="24"/>
          <w:szCs w:val="24"/>
          <w:color w:val="auto"/>
        </w:rPr>
      </w:pPr>
    </w:p>
    <w:p>
      <w:pPr>
        <w:jc w:val="center"/>
        <w:ind w:left="3820"/>
        <w:spacing w:after="0"/>
        <w:rPr>
          <w:sz w:val="20"/>
          <w:szCs w:val="20"/>
          <w:color w:val="auto"/>
        </w:rPr>
      </w:pPr>
      <w:r>
        <w:rPr>
          <w:rFonts w:ascii="Times New Roman" w:cs="Times New Roman" w:eastAsia="Times New Roman" w:hAnsi="Times New Roman"/>
          <w:sz w:val="39"/>
          <w:szCs w:val="39"/>
          <w:b w:val="1"/>
          <w:bCs w:val="1"/>
          <w:color w:val="auto"/>
        </w:rPr>
        <w:t>Corsair Gaming, Inc.</w:t>
      </w:r>
    </w:p>
    <w:p>
      <w:pPr>
        <w:spacing w:after="0" w:line="44"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73025</wp:posOffset>
            </wp:positionV>
            <wp:extent cx="14300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221" w:lineRule="exact"/>
        <w:rPr>
          <w:sz w:val="24"/>
          <w:szCs w:val="24"/>
          <w:color w:val="auto"/>
        </w:rPr>
      </w:pPr>
    </w:p>
    <w:p>
      <w:pPr>
        <w:jc w:val="center"/>
        <w:ind w:right="178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9" w:lineRule="exact"/>
        <w:rPr>
          <w:sz w:val="24"/>
          <w:szCs w:val="24"/>
          <w:color w:val="auto"/>
        </w:rPr>
      </w:pPr>
    </w:p>
    <w:p>
      <w:pPr>
        <w:ind w:left="2060"/>
        <w:spacing w:after="0"/>
        <w:rPr>
          <w:sz w:val="20"/>
          <w:szCs w:val="20"/>
          <w:color w:val="auto"/>
        </w:rPr>
      </w:pPr>
      <w:r>
        <w:rPr>
          <w:rFonts w:ascii="Times New Roman" w:cs="Times New Roman" w:eastAsia="Times New Roman" w:hAnsi="Times New Roman"/>
          <w:sz w:val="13"/>
          <w:szCs w:val="13"/>
          <w:color w:val="auto"/>
        </w:rPr>
        <w:t>(State or Other Jurisdiction of</w:t>
      </w:r>
    </w:p>
    <w:p>
      <w:pPr>
        <w:ind w:left="2040"/>
        <w:spacing w:after="0"/>
        <w:rPr>
          <w:sz w:val="20"/>
          <w:szCs w:val="20"/>
          <w:color w:val="auto"/>
        </w:rPr>
      </w:pPr>
      <w:r>
        <w:rPr>
          <w:rFonts w:ascii="Times New Roman" w:cs="Times New Roman" w:eastAsia="Times New Roman" w:hAnsi="Times New Roman"/>
          <w:sz w:val="13"/>
          <w:szCs w:val="13"/>
          <w:color w:val="auto"/>
        </w:rPr>
        <w:t>Incorporation or 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82-2335306</w:t>
      </w:r>
    </w:p>
    <w:p>
      <w:pPr>
        <w:spacing w:after="0" w:line="53"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auto"/>
        </w:rPr>
        <w:t>(I.R.S. Employer</w:t>
      </w:r>
    </w:p>
    <w:p>
      <w:pPr>
        <w:spacing w:after="0"/>
        <w:rPr>
          <w:sz w:val="20"/>
          <w:szCs w:val="20"/>
          <w:color w:val="auto"/>
        </w:rPr>
      </w:pPr>
      <w:r>
        <w:rPr>
          <w:rFonts w:ascii="Times New Roman" w:cs="Times New Roman" w:eastAsia="Times New Roman" w:hAnsi="Times New Roman"/>
          <w:sz w:val="12"/>
          <w:szCs w:val="12"/>
          <w:color w:val="auto"/>
        </w:rPr>
        <w:t>Identification No.)</w:t>
      </w:r>
    </w:p>
    <w:p>
      <w:pPr>
        <w:spacing w:after="0" w:line="127" w:lineRule="exact"/>
        <w:rPr>
          <w:sz w:val="24"/>
          <w:szCs w:val="24"/>
          <w:color w:val="auto"/>
        </w:rPr>
      </w:pPr>
    </w:p>
    <w:p>
      <w:pPr>
        <w:sectPr>
          <w:pgSz w:w="11900" w:h="16838" w:orient="portrait"/>
          <w:cols w:equalWidth="0" w:num="2">
            <w:col w:w="7420" w:space="540"/>
            <w:col w:w="3280"/>
          </w:cols>
          <w:pgMar w:left="320" w:top="225" w:right="339" w:bottom="1440" w:gutter="0" w:footer="0" w:header="0"/>
          <w:type w:val="continuous"/>
        </w:sectPr>
      </w:pPr>
    </w:p>
    <w:p>
      <w:pPr>
        <w:ind w:left="4540"/>
        <w:spacing w:after="0"/>
        <w:rPr>
          <w:sz w:val="20"/>
          <w:szCs w:val="20"/>
          <w:color w:val="auto"/>
        </w:rPr>
      </w:pPr>
      <w:r>
        <w:rPr>
          <w:rFonts w:ascii="Times New Roman" w:cs="Times New Roman" w:eastAsia="Times New Roman" w:hAnsi="Times New Roman"/>
          <w:sz w:val="18"/>
          <w:szCs w:val="18"/>
          <w:b w:val="1"/>
          <w:bCs w:val="1"/>
          <w:color w:val="auto"/>
        </w:rPr>
        <w:t>115 N. McCarthy Boulevard</w:t>
      </w:r>
    </w:p>
    <w:p>
      <w:pPr>
        <w:spacing w:after="0" w:line="49" w:lineRule="exact"/>
        <w:rPr>
          <w:sz w:val="24"/>
          <w:szCs w:val="24"/>
          <w:color w:val="auto"/>
        </w:rPr>
      </w:pPr>
    </w:p>
    <w:p>
      <w:pPr>
        <w:ind w:left="4880"/>
        <w:spacing w:after="0"/>
        <w:rPr>
          <w:sz w:val="20"/>
          <w:szCs w:val="20"/>
          <w:color w:val="auto"/>
        </w:rPr>
      </w:pPr>
      <w:r>
        <w:rPr>
          <w:rFonts w:ascii="Times New Roman" w:cs="Times New Roman" w:eastAsia="Times New Roman" w:hAnsi="Times New Roman"/>
          <w:sz w:val="18"/>
          <w:szCs w:val="18"/>
          <w:b w:val="1"/>
          <w:bCs w:val="1"/>
          <w:color w:val="auto"/>
        </w:rPr>
        <w:t>Milpitas, CA 95035</w:t>
      </w:r>
    </w:p>
    <w:p>
      <w:pPr>
        <w:spacing w:after="0" w:line="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color w:val="auto"/>
        </w:rPr>
        <w:t>(Address of Principal Executive Offices and zip code)</w:t>
      </w:r>
    </w:p>
    <w:p>
      <w:pPr>
        <w:spacing w:after="0" w:line="1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(510) 657-8747</w:t>
      </w:r>
    </w:p>
    <w:p>
      <w:pPr>
        <w:spacing w:after="0" w:line="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53340</wp:posOffset>
            </wp:positionV>
            <wp:extent cx="14300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26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 Applicable</w:t>
      </w:r>
    </w:p>
    <w:p>
      <w:pPr>
        <w:spacing w:after="0" w:line="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color w:val="auto"/>
        </w:rPr>
        <w:t>(Former name, former address and former fiscal year,</w:t>
      </w:r>
    </w:p>
    <w:p>
      <w:pPr>
        <w:jc w:val="center"/>
        <w:spacing w:after="0"/>
        <w:rPr>
          <w:sz w:val="20"/>
          <w:szCs w:val="20"/>
          <w:color w:val="auto"/>
        </w:rPr>
      </w:pPr>
      <w:r>
        <w:rPr>
          <w:rFonts w:ascii="Times New Roman" w:cs="Times New Roman" w:eastAsia="Times New Roman" w:hAnsi="Times New Roman"/>
          <w:sz w:val="13"/>
          <w:szCs w:val="13"/>
          <w:color w:val="auto"/>
        </w:rPr>
        <w:t>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44450</wp:posOffset>
            </wp:positionV>
            <wp:extent cx="14300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131" w:lineRule="exact"/>
        <w:rPr>
          <w:sz w:val="24"/>
          <w:szCs w:val="24"/>
          <w:color w:val="auto"/>
        </w:rPr>
      </w:pPr>
    </w:p>
    <w:p>
      <w:pPr>
        <w:ind w:left="520"/>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167"/>
        </w:trPr>
        <w:tc>
          <w:tcPr>
            <w:tcW w:w="3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Title of each class</w:t>
            </w:r>
          </w:p>
        </w:tc>
        <w:tc>
          <w:tcPr>
            <w:tcW w:w="120" w:type="dxa"/>
            <w:vAlign w:val="bottom"/>
          </w:tcPr>
          <w:p>
            <w:pPr>
              <w:spacing w:after="0"/>
              <w:rPr>
                <w:sz w:val="14"/>
                <w:szCs w:val="14"/>
                <w:color w:val="auto"/>
              </w:rPr>
            </w:pPr>
          </w:p>
        </w:tc>
        <w:tc>
          <w:tcPr>
            <w:tcW w:w="3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Trading Symbol(s)</w:t>
            </w:r>
          </w:p>
        </w:tc>
        <w:tc>
          <w:tcPr>
            <w:tcW w:w="120" w:type="dxa"/>
            <w:vAlign w:val="bottom"/>
          </w:tcPr>
          <w:p>
            <w:pPr>
              <w:spacing w:after="0"/>
              <w:rPr>
                <w:sz w:val="14"/>
                <w:szCs w:val="14"/>
                <w:color w:val="auto"/>
              </w:rPr>
            </w:pPr>
          </w:p>
        </w:tc>
        <w:tc>
          <w:tcPr>
            <w:tcW w:w="3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Name of each exchange on which registered</w:t>
            </w:r>
          </w:p>
        </w:tc>
      </w:tr>
      <w:tr>
        <w:trPr>
          <w:trHeight w:val="205"/>
        </w:trPr>
        <w:tc>
          <w:tcPr>
            <w:tcW w:w="39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Common Stock, $0.0001 par value per share</w:t>
            </w:r>
          </w:p>
        </w:tc>
        <w:tc>
          <w:tcPr>
            <w:tcW w:w="120" w:type="dxa"/>
            <w:vAlign w:val="bottom"/>
          </w:tcPr>
          <w:p>
            <w:pPr>
              <w:spacing w:after="0"/>
              <w:rPr>
                <w:sz w:val="17"/>
                <w:szCs w:val="17"/>
                <w:color w:val="auto"/>
              </w:rPr>
            </w:pPr>
          </w:p>
        </w:tc>
        <w:tc>
          <w:tcPr>
            <w:tcW w:w="31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CRSR</w:t>
            </w:r>
          </w:p>
        </w:tc>
        <w:tc>
          <w:tcPr>
            <w:tcW w:w="120" w:type="dxa"/>
            <w:vAlign w:val="bottom"/>
          </w:tcPr>
          <w:p>
            <w:pPr>
              <w:spacing w:after="0"/>
              <w:rPr>
                <w:sz w:val="17"/>
                <w:szCs w:val="17"/>
                <w:color w:val="auto"/>
              </w:rPr>
            </w:pPr>
          </w:p>
        </w:tc>
        <w:tc>
          <w:tcPr>
            <w:tcW w:w="39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The Nasdaq Global Select Market</w:t>
            </w:r>
          </w:p>
        </w:tc>
      </w:tr>
    </w:tbl>
    <w:p>
      <w:pPr>
        <w:spacing w:after="0" w:line="127" w:lineRule="exact"/>
        <w:rPr>
          <w:sz w:val="24"/>
          <w:szCs w:val="24"/>
          <w:color w:val="auto"/>
        </w:rPr>
      </w:pPr>
    </w:p>
    <w:p>
      <w:pPr>
        <w:ind w:right="20" w:firstLine="509"/>
        <w:spacing w:after="0" w:line="21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75" w:lineRule="exact"/>
        <w:rPr>
          <w:sz w:val="24"/>
          <w:szCs w:val="24"/>
          <w:color w:val="auto"/>
        </w:rPr>
      </w:pPr>
    </w:p>
    <w:p>
      <w:pPr>
        <w:ind w:firstLine="509"/>
        <w:spacing w:after="0" w:line="219"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75" w:lineRule="exact"/>
        <w:rPr>
          <w:sz w:val="24"/>
          <w:szCs w:val="24"/>
          <w:color w:val="auto"/>
        </w:rPr>
      </w:pPr>
    </w:p>
    <w:p>
      <w:pPr>
        <w:jc w:val="both"/>
        <w:ind w:right="260" w:firstLine="509"/>
        <w:spacing w:after="0" w:line="280"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35" w:lineRule="exact"/>
        <w:rPr>
          <w:sz w:val="24"/>
          <w:szCs w:val="24"/>
          <w:color w:val="auto"/>
        </w:rPr>
      </w:pPr>
    </w:p>
    <w:tbl>
      <w:tblPr>
        <w:tblLayout w:type="fixed"/>
        <w:tblInd w:w="20" w:type="dxa"/>
        <w:tblCellMar>
          <w:top w:w="0" w:type="dxa"/>
          <w:left w:w="0" w:type="dxa"/>
          <w:bottom w:w="0" w:type="dxa"/>
          <w:right w:w="0" w:type="dxa"/>
        </w:tblCellMar>
      </w:tblPr>
      <w:tr>
        <w:trPr>
          <w:trHeight w:val="272"/>
        </w:trPr>
        <w:tc>
          <w:tcPr>
            <w:tcW w:w="198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3660" w:type="dxa"/>
            <w:vAlign w:val="bottom"/>
          </w:tcPr>
          <w:p>
            <w:pPr>
              <w:ind w:left="520"/>
              <w:spacing w:after="0" w:line="161" w:lineRule="exact"/>
              <w:rPr>
                <w:sz w:val="20"/>
                <w:szCs w:val="20"/>
                <w:color w:val="auto"/>
              </w:rPr>
            </w:pPr>
            <w:r>
              <w:rPr>
                <w:rFonts w:ascii="MS PGothic" w:cs="MS PGothic" w:eastAsia="MS PGothic" w:hAnsi="MS PGothic"/>
                <w:sz w:val="16"/>
                <w:szCs w:val="16"/>
                <w:color w:val="auto"/>
              </w:rPr>
              <w:t>☒</w:t>
            </w:r>
          </w:p>
        </w:tc>
        <w:tc>
          <w:tcPr>
            <w:tcW w:w="5060" w:type="dxa"/>
            <w:vAlign w:val="bottom"/>
          </w:tcPr>
          <w:p>
            <w:pPr>
              <w:ind w:left="3000"/>
              <w:spacing w:after="0"/>
              <w:rPr>
                <w:sz w:val="20"/>
                <w:szCs w:val="20"/>
                <w:color w:val="auto"/>
              </w:rPr>
            </w:pPr>
            <w:r>
              <w:rPr>
                <w:rFonts w:ascii="Times New Roman" w:cs="Times New Roman" w:eastAsia="Times New Roman" w:hAnsi="Times New Roman"/>
                <w:sz w:val="16"/>
                <w:szCs w:val="16"/>
                <w:color w:val="auto"/>
              </w:rPr>
              <w:t>Accelerated filer</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351"/>
        </w:trPr>
        <w:tc>
          <w:tcPr>
            <w:tcW w:w="198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3660" w:type="dxa"/>
            <w:vAlign w:val="bottom"/>
          </w:tcPr>
          <w:p>
            <w:pPr>
              <w:ind w:left="520"/>
              <w:spacing w:after="0" w:line="161" w:lineRule="exact"/>
              <w:rPr>
                <w:sz w:val="20"/>
                <w:szCs w:val="20"/>
                <w:color w:val="auto"/>
              </w:rPr>
            </w:pPr>
            <w:r>
              <w:rPr>
                <w:rFonts w:ascii="MS PGothic" w:cs="MS PGothic" w:eastAsia="MS PGothic" w:hAnsi="MS PGothic"/>
                <w:sz w:val="16"/>
                <w:szCs w:val="16"/>
                <w:color w:val="auto"/>
              </w:rPr>
              <w:t>☐</w:t>
            </w:r>
          </w:p>
        </w:tc>
        <w:tc>
          <w:tcPr>
            <w:tcW w:w="5060" w:type="dxa"/>
            <w:vAlign w:val="bottom"/>
          </w:tcPr>
          <w:p>
            <w:pPr>
              <w:ind w:left="300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351"/>
        </w:trPr>
        <w:tc>
          <w:tcPr>
            <w:tcW w:w="198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5060" w:type="dxa"/>
            <w:vAlign w:val="bottom"/>
          </w:tcPr>
          <w:p>
            <w:pPr>
              <w:ind w:left="3000"/>
              <w:spacing w:after="0"/>
              <w:rPr>
                <w:sz w:val="20"/>
                <w:szCs w:val="20"/>
                <w:color w:val="auto"/>
              </w:rPr>
            </w:pPr>
            <w:r>
              <w:rPr>
                <w:rFonts w:ascii="Times New Roman" w:cs="Times New Roman" w:eastAsia="Times New Roman" w:hAnsi="Times New Roman"/>
                <w:sz w:val="16"/>
                <w:szCs w:val="16"/>
                <w:color w:val="auto"/>
              </w:rPr>
              <w:t>Emerging growth company</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74" w:lineRule="exact"/>
        <w:rPr>
          <w:sz w:val="24"/>
          <w:szCs w:val="24"/>
          <w:color w:val="auto"/>
        </w:rPr>
      </w:pPr>
    </w:p>
    <w:p>
      <w:pPr>
        <w:jc w:val="both"/>
        <w:ind w:right="80" w:firstLine="509"/>
        <w:spacing w:after="0" w:line="219"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39" w:lineRule="exact"/>
        <w:rPr>
          <w:sz w:val="24"/>
          <w:szCs w:val="24"/>
          <w:color w:val="auto"/>
        </w:rPr>
      </w:pPr>
    </w:p>
    <w:p>
      <w:pPr>
        <w:ind w:left="520" w:right="2120"/>
        <w:spacing w:after="0" w:line="278"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As of April 26, 2024, the registrant had 103,905,563 shares of common stock, $0.0001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99060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719455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7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560" w:type="dxa"/>
            <w:vAlign w:val="bottom"/>
            <w:gridSpan w:val="7"/>
          </w:tcPr>
          <w:p>
            <w:pPr>
              <w:ind w:left="4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780" w:type="dxa"/>
            <w:vAlign w:val="bottom"/>
          </w:tcPr>
          <w:p>
            <w:pPr>
              <w:spacing w:after="0"/>
              <w:rPr>
                <w:sz w:val="20"/>
                <w:szCs w:val="20"/>
                <w:color w:val="auto"/>
              </w:rPr>
            </w:pPr>
          </w:p>
        </w:tc>
      </w:tr>
      <w:tr>
        <w:trPr>
          <w:trHeight w:val="465"/>
        </w:trPr>
        <w:tc>
          <w:tcPr>
            <w:tcW w:w="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7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175"/>
        </w:trPr>
        <w:tc>
          <w:tcPr>
            <w:tcW w:w="114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PART I.</w:t>
            </w:r>
          </w:p>
        </w:tc>
        <w:tc>
          <w:tcPr>
            <w:tcW w:w="2260" w:type="dxa"/>
            <w:vAlign w:val="bottom"/>
            <w:tcBorders>
              <w:bottom w:val="single" w:sz="8" w:color="0000FF"/>
            </w:tcBorders>
            <w:gridSpan w:val="9"/>
          </w:tcPr>
          <w:p>
            <w:pPr>
              <w:spacing w:after="0" w:line="176" w:lineRule="exact"/>
              <w:rPr>
                <w:sz w:val="20"/>
                <w:szCs w:val="20"/>
                <w:color w:val="auto"/>
              </w:rPr>
            </w:pPr>
            <w:r>
              <w:rPr>
                <w:rFonts w:ascii="Times New Roman" w:cs="Times New Roman" w:eastAsia="Times New Roman" w:hAnsi="Times New Roman"/>
                <w:sz w:val="18"/>
                <w:szCs w:val="18"/>
                <w:color w:val="0000FF"/>
                <w:w w:val="98"/>
              </w:rPr>
              <w:t>FINANCIAL INFORMATION</w:t>
            </w:r>
          </w:p>
        </w:tc>
        <w:tc>
          <w:tcPr>
            <w:tcW w:w="7040" w:type="dxa"/>
            <w:vAlign w:val="bottom"/>
            <w:gridSpan w:val="14"/>
          </w:tcPr>
          <w:p>
            <w:pPr>
              <w:spacing w:after="0"/>
              <w:rPr>
                <w:sz w:val="15"/>
                <w:szCs w:val="15"/>
                <w:color w:val="auto"/>
              </w:rPr>
            </w:pPr>
          </w:p>
        </w:tc>
        <w:tc>
          <w:tcPr>
            <w:tcW w:w="78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2</w:t>
            </w:r>
          </w:p>
        </w:tc>
      </w:tr>
      <w:tr>
        <w:trPr>
          <w:trHeight w:val="209"/>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930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Financial Statements (Unaudited)</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09"/>
        </w:trPr>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30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Condensed Consolidated Statements of Operations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20" w:type="dxa"/>
            <w:vAlign w:val="bottom"/>
            <w:tcBorders>
              <w:right w:val="single" w:sz="8" w:color="0000EE"/>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09"/>
        </w:trPr>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400" w:type="dxa"/>
            <w:vAlign w:val="bottom"/>
            <w:tcBorders>
              <w:bottom w:val="single" w:sz="8" w:color="0000FF"/>
            </w:tcBorders>
            <w:gridSpan w:val="21"/>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Comprehensive Loss</w:t>
            </w:r>
          </w:p>
        </w:tc>
        <w:tc>
          <w:tcPr>
            <w:tcW w:w="4900" w:type="dxa"/>
            <w:vAlign w:val="bottom"/>
            <w:gridSpan w:val="2"/>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09"/>
        </w:trPr>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94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w w:val="99"/>
              </w:rPr>
              <w:t>Condensed Consolidated Balance Sheets</w:t>
            </w:r>
          </w:p>
        </w:tc>
        <w:tc>
          <w:tcPr>
            <w:tcW w:w="20" w:type="dxa"/>
            <w:vAlign w:val="bottom"/>
            <w:tcBorders>
              <w:bottom w:val="single" w:sz="8" w:color="0000EE"/>
            </w:tcBorders>
          </w:tcPr>
          <w:p>
            <w:pPr>
              <w:spacing w:after="0"/>
              <w:rPr>
                <w:sz w:val="18"/>
                <w:szCs w:val="18"/>
                <w:color w:val="auto"/>
              </w:rPr>
            </w:pPr>
          </w:p>
        </w:tc>
        <w:tc>
          <w:tcPr>
            <w:tcW w:w="6340" w:type="dxa"/>
            <w:vAlign w:val="bottom"/>
            <w:gridSpan w:val="10"/>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09"/>
        </w:trPr>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380" w:type="dxa"/>
            <w:vAlign w:val="bottom"/>
            <w:tcBorders>
              <w:bottom w:val="single" w:sz="8" w:color="0000FF"/>
            </w:tcBorders>
            <w:gridSpan w:val="20"/>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Stockholders' Equity</w:t>
            </w:r>
          </w:p>
        </w:tc>
        <w:tc>
          <w:tcPr>
            <w:tcW w:w="4920" w:type="dxa"/>
            <w:vAlign w:val="bottom"/>
            <w:gridSpan w:val="3"/>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09"/>
        </w:trPr>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720" w:type="dxa"/>
            <w:vAlign w:val="bottom"/>
            <w:tcBorders>
              <w:bottom w:val="single" w:sz="8" w:color="0000FF"/>
            </w:tcBorders>
            <w:gridSpan w:val="15"/>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Cash Flows</w:t>
            </w:r>
          </w:p>
        </w:tc>
        <w:tc>
          <w:tcPr>
            <w:tcW w:w="20" w:type="dxa"/>
            <w:vAlign w:val="bottom"/>
            <w:tcBorders>
              <w:bottom w:val="single" w:sz="8" w:color="0000EE"/>
            </w:tcBorders>
          </w:tcPr>
          <w:p>
            <w:pPr>
              <w:spacing w:after="0"/>
              <w:rPr>
                <w:sz w:val="18"/>
                <w:szCs w:val="18"/>
                <w:color w:val="auto"/>
              </w:rPr>
            </w:pPr>
          </w:p>
        </w:tc>
        <w:tc>
          <w:tcPr>
            <w:tcW w:w="5560" w:type="dxa"/>
            <w:vAlign w:val="bottom"/>
            <w:gridSpan w:val="7"/>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09"/>
        </w:trPr>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00" w:type="dxa"/>
            <w:vAlign w:val="bottom"/>
            <w:tcBorders>
              <w:bottom w:val="single" w:sz="8" w:color="0000FF"/>
            </w:tcBorders>
            <w:gridSpan w:val="17"/>
          </w:tcPr>
          <w:p>
            <w:pPr>
              <w:spacing w:after="0"/>
              <w:rPr>
                <w:sz w:val="20"/>
                <w:szCs w:val="20"/>
                <w:color w:val="auto"/>
              </w:rPr>
            </w:pPr>
            <w:r>
              <w:rPr>
                <w:rFonts w:ascii="Times New Roman" w:cs="Times New Roman" w:eastAsia="Times New Roman" w:hAnsi="Times New Roman"/>
                <w:sz w:val="18"/>
                <w:szCs w:val="18"/>
                <w:color w:val="0000FF"/>
                <w:w w:val="99"/>
              </w:rPr>
              <w:t>Notes to Condensed Consolidated Financial Statements</w:t>
            </w:r>
          </w:p>
        </w:tc>
        <w:tc>
          <w:tcPr>
            <w:tcW w:w="5300" w:type="dxa"/>
            <w:vAlign w:val="bottom"/>
            <w:gridSpan w:val="6"/>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09"/>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2.</w:t>
            </w:r>
          </w:p>
        </w:tc>
        <w:tc>
          <w:tcPr>
            <w:tcW w:w="6460" w:type="dxa"/>
            <w:vAlign w:val="bottom"/>
            <w:tcBorders>
              <w:bottom w:val="single" w:sz="8" w:color="0000FF"/>
            </w:tcBorders>
            <w:gridSpan w:val="22"/>
          </w:tcPr>
          <w:p>
            <w:pPr>
              <w:spacing w:after="0"/>
              <w:rPr>
                <w:sz w:val="20"/>
                <w:szCs w:val="20"/>
                <w:color w:val="auto"/>
              </w:rPr>
            </w:pPr>
            <w:r>
              <w:rPr>
                <w:rFonts w:ascii="Times New Roman" w:cs="Times New Roman" w:eastAsia="Times New Roman" w:hAnsi="Times New Roman"/>
                <w:sz w:val="18"/>
                <w:szCs w:val="18"/>
                <w:color w:val="0000FF"/>
                <w:w w:val="99"/>
              </w:rPr>
              <w:t>Management’s Discussion and Analysis of Financial Condition and Results of Operations</w:t>
            </w:r>
          </w:p>
        </w:tc>
        <w:tc>
          <w:tcPr>
            <w:tcW w:w="28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09"/>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3.</w:t>
            </w:r>
          </w:p>
        </w:tc>
        <w:tc>
          <w:tcPr>
            <w:tcW w:w="4360" w:type="dxa"/>
            <w:vAlign w:val="bottom"/>
            <w:tcBorders>
              <w:bottom w:val="single" w:sz="8" w:color="0000FF"/>
            </w:tcBorders>
            <w:gridSpan w:val="19"/>
          </w:tcPr>
          <w:p>
            <w:pPr>
              <w:spacing w:after="0"/>
              <w:rPr>
                <w:sz w:val="20"/>
                <w:szCs w:val="20"/>
                <w:color w:val="auto"/>
              </w:rPr>
            </w:pPr>
            <w:r>
              <w:rPr>
                <w:rFonts w:ascii="Times New Roman" w:cs="Times New Roman" w:eastAsia="Times New Roman" w:hAnsi="Times New Roman"/>
                <w:sz w:val="18"/>
                <w:szCs w:val="18"/>
                <w:color w:val="0000FF"/>
                <w:w w:val="99"/>
              </w:rPr>
              <w:t>Quantitative and Qualitative Disclosures About Market Risk</w:t>
            </w:r>
          </w:p>
        </w:tc>
        <w:tc>
          <w:tcPr>
            <w:tcW w:w="4940" w:type="dxa"/>
            <w:vAlign w:val="bottom"/>
            <w:gridSpan w:val="4"/>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09"/>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4.</w:t>
            </w:r>
          </w:p>
        </w:tc>
        <w:tc>
          <w:tcPr>
            <w:tcW w:w="178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9"/>
              </w:rPr>
              <w:t>Controls and Procedures</w:t>
            </w:r>
          </w:p>
        </w:tc>
        <w:tc>
          <w:tcPr>
            <w:tcW w:w="20" w:type="dxa"/>
            <w:vAlign w:val="bottom"/>
            <w:tcBorders>
              <w:bottom w:val="single" w:sz="8" w:color="0000EE"/>
            </w:tcBorders>
          </w:tcPr>
          <w:p>
            <w:pPr>
              <w:spacing w:after="0"/>
              <w:rPr>
                <w:sz w:val="18"/>
                <w:szCs w:val="18"/>
                <w:color w:val="auto"/>
              </w:rPr>
            </w:pPr>
          </w:p>
        </w:tc>
        <w:tc>
          <w:tcPr>
            <w:tcW w:w="7500" w:type="dxa"/>
            <w:vAlign w:val="bottom"/>
            <w:gridSpan w:val="16"/>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09"/>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930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09"/>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1340" w:type="dxa"/>
            <w:vAlign w:val="bottom"/>
            <w:tcBorders>
              <w:top w:val="single" w:sz="8" w:color="0000FF"/>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8"/>
              </w:rPr>
              <w:t>Legal Proceedings</w:t>
            </w:r>
          </w:p>
        </w:tc>
        <w:tc>
          <w:tcPr>
            <w:tcW w:w="540" w:type="dxa"/>
            <w:vAlign w:val="bottom"/>
            <w:tcBorders>
              <w:top w:val="single" w:sz="8" w:color="0000FF"/>
            </w:tcBorders>
            <w:gridSpan w:val="3"/>
          </w:tcPr>
          <w:p>
            <w:pPr>
              <w:spacing w:after="0"/>
              <w:rPr>
                <w:sz w:val="18"/>
                <w:szCs w:val="18"/>
                <w:color w:val="auto"/>
              </w:rPr>
            </w:pPr>
          </w:p>
        </w:tc>
        <w:tc>
          <w:tcPr>
            <w:tcW w:w="7420" w:type="dxa"/>
            <w:vAlign w:val="bottom"/>
            <w:gridSpan w:val="15"/>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09"/>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1A.</w:t>
            </w:r>
          </w:p>
        </w:tc>
        <w:tc>
          <w:tcPr>
            <w:tcW w:w="92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9"/>
              </w:rPr>
              <w:t>Risk Factors</w:t>
            </w:r>
          </w:p>
        </w:tc>
        <w:tc>
          <w:tcPr>
            <w:tcW w:w="20" w:type="dxa"/>
            <w:vAlign w:val="bottom"/>
            <w:tcBorders>
              <w:bottom w:val="single" w:sz="8" w:color="0000EE"/>
            </w:tcBorders>
          </w:tcPr>
          <w:p>
            <w:pPr>
              <w:spacing w:after="0"/>
              <w:rPr>
                <w:sz w:val="18"/>
                <w:szCs w:val="18"/>
                <w:color w:val="auto"/>
              </w:rPr>
            </w:pPr>
          </w:p>
        </w:tc>
        <w:tc>
          <w:tcPr>
            <w:tcW w:w="8360" w:type="dxa"/>
            <w:vAlign w:val="bottom"/>
            <w:gridSpan w:val="20"/>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09"/>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2.</w:t>
            </w:r>
          </w:p>
        </w:tc>
        <w:tc>
          <w:tcPr>
            <w:tcW w:w="930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09"/>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3.</w:t>
            </w:r>
          </w:p>
        </w:tc>
        <w:tc>
          <w:tcPr>
            <w:tcW w:w="4340" w:type="dxa"/>
            <w:vAlign w:val="bottom"/>
            <w:tcBorders>
              <w:top w:val="single" w:sz="8" w:color="0000FF"/>
            </w:tcBorders>
            <w:gridSpan w:val="18"/>
          </w:tcPr>
          <w:p>
            <w:pPr>
              <w:spacing w:after="0"/>
              <w:rPr>
                <w:sz w:val="20"/>
                <w:szCs w:val="20"/>
                <w:color w:val="auto"/>
              </w:rPr>
            </w:pPr>
            <w:r>
              <w:rPr>
                <w:rFonts w:ascii="Times New Roman" w:cs="Times New Roman" w:eastAsia="Times New Roman" w:hAnsi="Times New Roman"/>
                <w:sz w:val="18"/>
                <w:szCs w:val="18"/>
                <w:color w:val="0000FF"/>
              </w:rPr>
              <w:t>Defaults Upon Senior Securities</w:t>
            </w:r>
          </w:p>
        </w:tc>
        <w:tc>
          <w:tcPr>
            <w:tcW w:w="4960" w:type="dxa"/>
            <w:vAlign w:val="bottom"/>
            <w:gridSpan w:val="5"/>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09"/>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4.</w:t>
            </w:r>
          </w:p>
        </w:tc>
        <w:tc>
          <w:tcPr>
            <w:tcW w:w="1780" w:type="dxa"/>
            <w:vAlign w:val="bottom"/>
            <w:tcBorders>
              <w:top w:val="single" w:sz="8" w:color="0000FF"/>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9"/>
              </w:rPr>
              <w:t>Mine Safety Disclosures</w:t>
            </w:r>
          </w:p>
        </w:tc>
        <w:tc>
          <w:tcPr>
            <w:tcW w:w="540" w:type="dxa"/>
            <w:vAlign w:val="bottom"/>
            <w:tcBorders>
              <w:top w:val="single" w:sz="8" w:color="0000FF"/>
            </w:tcBorders>
            <w:gridSpan w:val="4"/>
          </w:tcPr>
          <w:p>
            <w:pPr>
              <w:spacing w:after="0"/>
              <w:rPr>
                <w:sz w:val="18"/>
                <w:szCs w:val="18"/>
                <w:color w:val="auto"/>
              </w:rPr>
            </w:pPr>
          </w:p>
        </w:tc>
        <w:tc>
          <w:tcPr>
            <w:tcW w:w="6980" w:type="dxa"/>
            <w:vAlign w:val="bottom"/>
            <w:gridSpan w:val="13"/>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09"/>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5.</w:t>
            </w:r>
          </w:p>
        </w:tc>
        <w:tc>
          <w:tcPr>
            <w:tcW w:w="132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8"/>
              </w:rPr>
              <w:t>Other Information</w:t>
            </w:r>
          </w:p>
        </w:tc>
        <w:tc>
          <w:tcPr>
            <w:tcW w:w="7980" w:type="dxa"/>
            <w:vAlign w:val="bottom"/>
            <w:gridSpan w:val="19"/>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09"/>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6.</w:t>
            </w:r>
          </w:p>
        </w:tc>
        <w:tc>
          <w:tcPr>
            <w:tcW w:w="930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Exhibits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09"/>
        </w:trPr>
        <w:tc>
          <w:tcPr>
            <w:tcW w:w="76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7"/>
              </w:rPr>
              <w:t>Signatures</w:t>
            </w:r>
          </w:p>
        </w:tc>
        <w:tc>
          <w:tcPr>
            <w:tcW w:w="380" w:type="dxa"/>
            <w:vAlign w:val="bottom"/>
          </w:tcPr>
          <w:p>
            <w:pPr>
              <w:spacing w:after="0"/>
              <w:rPr>
                <w:sz w:val="18"/>
                <w:szCs w:val="18"/>
                <w:color w:val="auto"/>
              </w:rPr>
            </w:pPr>
          </w:p>
        </w:tc>
        <w:tc>
          <w:tcPr>
            <w:tcW w:w="600" w:type="dxa"/>
            <w:vAlign w:val="bottom"/>
            <w:tcBorders>
              <w:top w:val="single" w:sz="8" w:color="0000FF"/>
            </w:tcBorders>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bl>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764"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 ABOUT FORWARD-LOOKING STATEMENTS</w:t>
      </w:r>
    </w:p>
    <w:p>
      <w:pPr>
        <w:spacing w:after="0" w:line="242"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This Quarterly Report on Form 10-Q contains forward-looking statements within the meaning of Section 21E of the Securities Exchange Act of 1934 (the Exchange Act) that reflect our current views with respect to, among other things, our operations and financial performance. These forward-looking statements are included throughout this Quarterly Report and relate to matters such as our industry and the markets we operate in, business strategy, goals and expectations concerning our market position, future operations, margins, profitability, capital expenditures, liquidity and capital resources and other financial and operating information. We have used the words “anticipate,” “assume,” “believe,” “continue,” “could,” “estimate,” “expect,” “foreseeable,” “future,” “intend,” “may,” “plan,” “potential,” “predict,” “project,” “seek,” “will” and similar terms and phrases to identify the forward-looking statements.</w:t>
      </w:r>
    </w:p>
    <w:p>
      <w:pPr>
        <w:spacing w:after="0" w:line="79"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The forward-looking statements contained in this Quarterly Report on Form 10-Q are based on management’s current expectations and are subject to uncertainty and changes in circumstances. There can be no assurance that future developments affecting us will be those that we have anticipated. Actual results may differ materially from these expectations due to changes in global, regional or local economic, business, competitive, market, regulatory and other factors, many of which are beyond our control, including, for example, general economic conditions and supply chain issues. We believe that these factors include but are not limited to those described under the heading “Risk Factors” in Part I, Item 1A of our Annual Report on Form 10-K for the year ended December 31, 2023. These factors should not be construed as exhaustive and should be read in conjunction with the other cautionary statements that are included in this Quarterly Report on Form 10-Q. We undertake no obligation to publicly update or review any forward-looking statement, whether as a result of new information, future developments or otherwise, except as may be required by any applicable securities laws.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Corsair Gaming, Inc. | Q1 2024 Form 10-Q |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4"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I—FINANCIAL INFORMATION</w:t>
      </w:r>
    </w:p>
    <w:p>
      <w:pPr>
        <w:spacing w:after="0" w:line="3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 (Unaudited).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Corsair Gaming,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in thousands, except per share amounts)</w:t>
      </w:r>
    </w:p>
    <w:p>
      <w:pPr>
        <w:spacing w:after="0" w:line="222" w:lineRule="exact"/>
        <w:rPr>
          <w:sz w:val="20"/>
          <w:szCs w:val="20"/>
          <w:color w:val="auto"/>
        </w:rPr>
      </w:pPr>
    </w:p>
    <w:p>
      <w:pPr>
        <w:jc w:val="center"/>
        <w:ind w:left="7640"/>
        <w:spacing w:after="0"/>
        <w:rPr>
          <w:sz w:val="20"/>
          <w:szCs w:val="20"/>
          <w:color w:val="auto"/>
        </w:rPr>
      </w:pPr>
      <w:r>
        <w:rPr>
          <w:rFonts w:ascii="Times New Roman" w:cs="Times New Roman" w:eastAsia="Times New Roman" w:hAnsi="Times New Roman"/>
          <w:sz w:val="16"/>
          <w:szCs w:val="16"/>
          <w:b w:val="1"/>
          <w:bCs w:val="1"/>
          <w:color w:val="auto"/>
        </w:rPr>
        <w:t>Three Months Ended</w:t>
      </w:r>
    </w:p>
    <w:p>
      <w:pPr>
        <w:spacing w:after="0" w:line="28" w:lineRule="exact"/>
        <w:rPr>
          <w:sz w:val="20"/>
          <w:szCs w:val="20"/>
          <w:color w:val="auto"/>
        </w:rPr>
      </w:pPr>
    </w:p>
    <w:p>
      <w:pPr>
        <w:jc w:val="center"/>
        <w:ind w:left="7640"/>
        <w:spacing w:after="0"/>
        <w:rPr>
          <w:sz w:val="20"/>
          <w:szCs w:val="20"/>
          <w:color w:val="auto"/>
        </w:rPr>
      </w:pPr>
      <w:r>
        <w:rPr>
          <w:rFonts w:ascii="Times New Roman" w:cs="Times New Roman" w:eastAsia="Times New Roman" w:hAnsi="Times New Roman"/>
          <w:sz w:val="16"/>
          <w:szCs w:val="16"/>
          <w:b w:val="1"/>
          <w:bCs w:val="1"/>
          <w:color w:val="auto"/>
        </w:rPr>
        <w:t>March 31,</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7760" w:type="dxa"/>
            <w:vAlign w:val="bottom"/>
          </w:tcPr>
          <w:p>
            <w:pPr>
              <w:spacing w:after="0"/>
              <w:rPr>
                <w:sz w:val="22"/>
                <w:szCs w:val="22"/>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600" w:type="dxa"/>
            <w:vAlign w:val="bottom"/>
            <w:tcBorders>
              <w:top w:val="single" w:sz="8" w:color="auto"/>
              <w:bottom w:val="single" w:sz="8" w:color="auto"/>
            </w:tcBorders>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20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2"/>
                <w:szCs w:val="22"/>
                <w:color w:val="auto"/>
              </w:rPr>
            </w:pPr>
          </w:p>
        </w:tc>
      </w:tr>
      <w:tr>
        <w:trPr>
          <w:trHeight w:val="238"/>
        </w:trPr>
        <w:tc>
          <w:tcPr>
            <w:tcW w:w="77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3"/>
        </w:trPr>
        <w:tc>
          <w:tcPr>
            <w:tcW w:w="7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revenue</w:t>
            </w:r>
          </w:p>
        </w:tc>
        <w:tc>
          <w:tcPr>
            <w:tcW w:w="960" w:type="dxa"/>
            <w:vAlign w:val="bottom"/>
            <w:shd w:val="clear" w:color="auto" w:fill="CFF0FC"/>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337,257</w:t>
            </w:r>
          </w:p>
        </w:tc>
        <w:tc>
          <w:tcPr>
            <w:tcW w:w="280" w:type="dxa"/>
            <w:vAlign w:val="bottom"/>
            <w:shd w:val="clear" w:color="auto" w:fill="CFF0FC"/>
          </w:tcPr>
          <w:p>
            <w:pPr>
              <w:spacing w:after="0"/>
              <w:rPr>
                <w:sz w:val="21"/>
                <w:szCs w:val="21"/>
                <w:color w:val="auto"/>
              </w:rPr>
            </w:pP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353,964</w:t>
            </w:r>
          </w:p>
        </w:tc>
        <w:tc>
          <w:tcPr>
            <w:tcW w:w="100" w:type="dxa"/>
            <w:vAlign w:val="bottom"/>
            <w:shd w:val="clear" w:color="auto" w:fill="CFF0FC"/>
          </w:tcPr>
          <w:p>
            <w:pPr>
              <w:spacing w:after="0"/>
              <w:rPr>
                <w:sz w:val="21"/>
                <w:szCs w:val="21"/>
                <w:color w:val="auto"/>
              </w:rPr>
            </w:pPr>
          </w:p>
        </w:tc>
      </w:tr>
      <w:tr>
        <w:trPr>
          <w:trHeight w:val="243"/>
        </w:trPr>
        <w:tc>
          <w:tcPr>
            <w:tcW w:w="7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96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250,618</w:t>
            </w:r>
          </w:p>
        </w:tc>
        <w:tc>
          <w:tcPr>
            <w:tcW w:w="28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268,560</w:t>
            </w:r>
          </w:p>
        </w:tc>
        <w:tc>
          <w:tcPr>
            <w:tcW w:w="100" w:type="dxa"/>
            <w:vAlign w:val="bottom"/>
          </w:tcPr>
          <w:p>
            <w:pPr>
              <w:spacing w:after="0"/>
              <w:rPr>
                <w:sz w:val="21"/>
                <w:szCs w:val="21"/>
                <w:color w:val="auto"/>
              </w:rPr>
            </w:pPr>
          </w:p>
        </w:tc>
      </w:tr>
      <w:tr>
        <w:trPr>
          <w:trHeight w:val="236"/>
        </w:trPr>
        <w:tc>
          <w:tcPr>
            <w:tcW w:w="7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960" w:type="dxa"/>
            <w:vAlign w:val="bottom"/>
            <w:shd w:val="clear" w:color="auto" w:fill="CFF0FC"/>
          </w:tcPr>
          <w:p>
            <w:pPr>
              <w:spacing w:after="0"/>
              <w:rPr>
                <w:sz w:val="20"/>
                <w:szCs w:val="20"/>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86,639</w:t>
            </w:r>
          </w:p>
        </w:tc>
        <w:tc>
          <w:tcPr>
            <w:tcW w:w="28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85,404</w:t>
            </w:r>
          </w:p>
        </w:tc>
        <w:tc>
          <w:tcPr>
            <w:tcW w:w="100" w:type="dxa"/>
            <w:vAlign w:val="bottom"/>
            <w:shd w:val="clear" w:color="auto" w:fill="CFF0FC"/>
          </w:tcPr>
          <w:p>
            <w:pPr>
              <w:spacing w:after="0"/>
              <w:rPr>
                <w:sz w:val="20"/>
                <w:szCs w:val="20"/>
                <w:color w:val="auto"/>
              </w:rPr>
            </w:pPr>
          </w:p>
        </w:tc>
      </w:tr>
      <w:tr>
        <w:trPr>
          <w:trHeight w:val="238"/>
        </w:trPr>
        <w:tc>
          <w:tcPr>
            <w:tcW w:w="7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9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77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Sales, general and administrative</w:t>
            </w:r>
          </w:p>
        </w:tc>
        <w:tc>
          <w:tcPr>
            <w:tcW w:w="96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80,217</w:t>
            </w:r>
          </w:p>
        </w:tc>
        <w:tc>
          <w:tcPr>
            <w:tcW w:w="28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67,529</w:t>
            </w:r>
          </w:p>
        </w:tc>
        <w:tc>
          <w:tcPr>
            <w:tcW w:w="100" w:type="dxa"/>
            <w:vAlign w:val="bottom"/>
            <w:shd w:val="clear" w:color="auto" w:fill="CFF0FC"/>
          </w:tcPr>
          <w:p>
            <w:pPr>
              <w:spacing w:after="0"/>
              <w:rPr>
                <w:sz w:val="21"/>
                <w:szCs w:val="21"/>
                <w:color w:val="auto"/>
              </w:rPr>
            </w:pPr>
          </w:p>
        </w:tc>
      </w:tr>
      <w:tr>
        <w:trPr>
          <w:trHeight w:val="243"/>
        </w:trPr>
        <w:tc>
          <w:tcPr>
            <w:tcW w:w="7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Product development</w:t>
            </w:r>
          </w:p>
        </w:tc>
        <w:tc>
          <w:tcPr>
            <w:tcW w:w="96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16,641</w:t>
            </w:r>
          </w:p>
        </w:tc>
        <w:tc>
          <w:tcPr>
            <w:tcW w:w="28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16,838</w:t>
            </w:r>
          </w:p>
        </w:tc>
        <w:tc>
          <w:tcPr>
            <w:tcW w:w="100" w:type="dxa"/>
            <w:vAlign w:val="bottom"/>
          </w:tcPr>
          <w:p>
            <w:pPr>
              <w:spacing w:after="0"/>
              <w:rPr>
                <w:sz w:val="21"/>
                <w:szCs w:val="21"/>
                <w:color w:val="auto"/>
              </w:rPr>
            </w:pPr>
          </w:p>
        </w:tc>
      </w:tr>
      <w:tr>
        <w:trPr>
          <w:trHeight w:val="236"/>
        </w:trPr>
        <w:tc>
          <w:tcPr>
            <w:tcW w:w="77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960" w:type="dxa"/>
            <w:vAlign w:val="bottom"/>
            <w:tcBorders>
              <w:bottom w:val="single" w:sz="8" w:color="auto"/>
            </w:tcBorders>
            <w:shd w:val="clear" w:color="auto" w:fill="CFF0FC"/>
          </w:tcPr>
          <w:p>
            <w:pPr>
              <w:spacing w:after="0"/>
              <w:rPr>
                <w:sz w:val="20"/>
                <w:szCs w:val="20"/>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96,858</w:t>
            </w:r>
          </w:p>
        </w:tc>
        <w:tc>
          <w:tcPr>
            <w:tcW w:w="280" w:type="dxa"/>
            <w:vAlign w:val="bottom"/>
            <w:tcBorders>
              <w:bottom w:val="single" w:sz="8" w:color="CFF0FC"/>
            </w:tcBorders>
            <w:shd w:val="clear" w:color="auto" w:fill="CFF0FC"/>
          </w:tcPr>
          <w:p>
            <w:pPr>
              <w:spacing w:after="0"/>
              <w:rPr>
                <w:sz w:val="20"/>
                <w:szCs w:val="20"/>
                <w:color w:val="auto"/>
              </w:rPr>
            </w:pPr>
          </w:p>
        </w:tc>
        <w:tc>
          <w:tcPr>
            <w:tcW w:w="340" w:type="dxa"/>
            <w:vAlign w:val="bottom"/>
            <w:tcBorders>
              <w:bottom w:val="single" w:sz="8" w:color="auto"/>
            </w:tcBorders>
            <w:shd w:val="clear" w:color="auto" w:fill="CFF0FC"/>
          </w:tcPr>
          <w:p>
            <w:pPr>
              <w:spacing w:after="0"/>
              <w:rPr>
                <w:sz w:val="20"/>
                <w:szCs w:val="20"/>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84,367</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2"/>
        </w:trPr>
        <w:tc>
          <w:tcPr>
            <w:tcW w:w="7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income (loss)</w:t>
            </w:r>
          </w:p>
        </w:tc>
        <w:tc>
          <w:tcPr>
            <w:tcW w:w="960" w:type="dxa"/>
            <w:vAlign w:val="bottom"/>
          </w:tcPr>
          <w:p>
            <w:pPr>
              <w:spacing w:after="0"/>
              <w:rPr>
                <w:sz w:val="20"/>
                <w:szCs w:val="20"/>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w w:val="99"/>
              </w:rPr>
              <w:t>(10,219 )</w:t>
            </w:r>
          </w:p>
        </w:tc>
        <w:tc>
          <w:tcPr>
            <w:tcW w:w="3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1,037</w:t>
            </w:r>
          </w:p>
        </w:tc>
        <w:tc>
          <w:tcPr>
            <w:tcW w:w="100" w:type="dxa"/>
            <w:vAlign w:val="bottom"/>
          </w:tcPr>
          <w:p>
            <w:pPr>
              <w:spacing w:after="0"/>
              <w:rPr>
                <w:sz w:val="20"/>
                <w:szCs w:val="20"/>
                <w:color w:val="auto"/>
              </w:rPr>
            </w:pPr>
          </w:p>
        </w:tc>
      </w:tr>
      <w:tr>
        <w:trPr>
          <w:trHeight w:val="247"/>
        </w:trPr>
        <w:tc>
          <w:tcPr>
            <w:tcW w:w="7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(expense) income:</w:t>
            </w:r>
          </w:p>
        </w:tc>
        <w:tc>
          <w:tcPr>
            <w:tcW w:w="960" w:type="dxa"/>
            <w:vAlign w:val="bottom"/>
            <w:shd w:val="clear" w:color="auto" w:fill="CFF0FC"/>
          </w:tcPr>
          <w:p>
            <w:pPr>
              <w:spacing w:after="0"/>
              <w:rPr>
                <w:sz w:val="21"/>
                <w:szCs w:val="21"/>
                <w:color w:val="auto"/>
              </w:rPr>
            </w:pPr>
          </w:p>
        </w:tc>
        <w:tc>
          <w:tcPr>
            <w:tcW w:w="6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8"/>
        </w:trPr>
        <w:tc>
          <w:tcPr>
            <w:tcW w:w="7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Interest expense</w:t>
            </w:r>
          </w:p>
        </w:tc>
        <w:tc>
          <w:tcPr>
            <w:tcW w:w="960" w:type="dxa"/>
            <w:vAlign w:val="bottom"/>
          </w:tcPr>
          <w:p>
            <w:pPr>
              <w:spacing w:after="0"/>
              <w:rPr>
                <w:sz w:val="20"/>
                <w:szCs w:val="20"/>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(3,691 )</w:t>
            </w:r>
          </w:p>
        </w:tc>
        <w:tc>
          <w:tcPr>
            <w:tcW w:w="340" w:type="dxa"/>
            <w:vAlign w:val="bottom"/>
          </w:tcPr>
          <w:p>
            <w:pPr>
              <w:spacing w:after="0"/>
              <w:rPr>
                <w:sz w:val="20"/>
                <w:szCs w:val="20"/>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(4,302 )</w:t>
            </w:r>
          </w:p>
        </w:tc>
      </w:tr>
      <w:tr>
        <w:trPr>
          <w:trHeight w:val="247"/>
        </w:trPr>
        <w:tc>
          <w:tcPr>
            <w:tcW w:w="77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Interest income</w:t>
            </w:r>
          </w:p>
        </w:tc>
        <w:tc>
          <w:tcPr>
            <w:tcW w:w="96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1,565</w:t>
            </w:r>
          </w:p>
        </w:tc>
        <w:tc>
          <w:tcPr>
            <w:tcW w:w="28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1,474</w:t>
            </w:r>
          </w:p>
        </w:tc>
        <w:tc>
          <w:tcPr>
            <w:tcW w:w="100" w:type="dxa"/>
            <w:vAlign w:val="bottom"/>
            <w:shd w:val="clear" w:color="auto" w:fill="CFF0FC"/>
          </w:tcPr>
          <w:p>
            <w:pPr>
              <w:spacing w:after="0"/>
              <w:rPr>
                <w:sz w:val="21"/>
                <w:szCs w:val="21"/>
                <w:color w:val="auto"/>
              </w:rPr>
            </w:pPr>
          </w:p>
        </w:tc>
      </w:tr>
      <w:tr>
        <w:trPr>
          <w:trHeight w:val="243"/>
        </w:trPr>
        <w:tc>
          <w:tcPr>
            <w:tcW w:w="7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expense, net</w:t>
            </w:r>
          </w:p>
        </w:tc>
        <w:tc>
          <w:tcPr>
            <w:tcW w:w="960" w:type="dxa"/>
            <w:vAlign w:val="bottom"/>
          </w:tcPr>
          <w:p>
            <w:pPr>
              <w:spacing w:after="0"/>
              <w:rPr>
                <w:sz w:val="21"/>
                <w:szCs w:val="21"/>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(461 )</w:t>
            </w:r>
          </w:p>
        </w:tc>
        <w:tc>
          <w:tcPr>
            <w:tcW w:w="340" w:type="dxa"/>
            <w:vAlign w:val="bottom"/>
          </w:tcPr>
          <w:p>
            <w:pPr>
              <w:spacing w:after="0"/>
              <w:rPr>
                <w:sz w:val="21"/>
                <w:szCs w:val="21"/>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(496 )</w:t>
            </w:r>
          </w:p>
        </w:tc>
      </w:tr>
      <w:tr>
        <w:trPr>
          <w:trHeight w:val="20"/>
        </w:trPr>
        <w:tc>
          <w:tcPr>
            <w:tcW w:w="776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6"/>
        </w:trPr>
        <w:tc>
          <w:tcPr>
            <w:tcW w:w="7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other expense, net</w:t>
            </w:r>
          </w:p>
        </w:tc>
        <w:tc>
          <w:tcPr>
            <w:tcW w:w="960" w:type="dxa"/>
            <w:vAlign w:val="bottom"/>
            <w:shd w:val="clear" w:color="auto" w:fill="CFF0FC"/>
          </w:tcPr>
          <w:p>
            <w:pPr>
              <w:spacing w:after="0"/>
              <w:rPr>
                <w:sz w:val="20"/>
                <w:szCs w:val="20"/>
                <w:color w:val="auto"/>
              </w:rPr>
            </w:pPr>
          </w:p>
        </w:tc>
        <w:tc>
          <w:tcPr>
            <w:tcW w:w="8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(2,587 )</w:t>
            </w:r>
          </w:p>
        </w:tc>
        <w:tc>
          <w:tcPr>
            <w:tcW w:w="340" w:type="dxa"/>
            <w:vAlign w:val="bottom"/>
            <w:shd w:val="clear" w:color="auto" w:fill="CFF0FC"/>
          </w:tcPr>
          <w:p>
            <w:pPr>
              <w:spacing w:after="0"/>
              <w:rPr>
                <w:sz w:val="20"/>
                <w:szCs w:val="20"/>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(3,324 )</w:t>
            </w:r>
          </w:p>
        </w:tc>
      </w:tr>
      <w:tr>
        <w:trPr>
          <w:trHeight w:val="20"/>
        </w:trPr>
        <w:tc>
          <w:tcPr>
            <w:tcW w:w="7760" w:type="dxa"/>
            <w:vAlign w:val="bottom"/>
            <w:shd w:val="clear" w:color="auto" w:fill="CFF0FC"/>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2"/>
        </w:trPr>
        <w:tc>
          <w:tcPr>
            <w:tcW w:w="7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before income taxes</w:t>
            </w:r>
          </w:p>
        </w:tc>
        <w:tc>
          <w:tcPr>
            <w:tcW w:w="960" w:type="dxa"/>
            <w:vAlign w:val="bottom"/>
          </w:tcPr>
          <w:p>
            <w:pPr>
              <w:spacing w:after="0"/>
              <w:rPr>
                <w:sz w:val="20"/>
                <w:szCs w:val="20"/>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w w:val="99"/>
              </w:rPr>
              <w:t>(12,806 )</w:t>
            </w:r>
          </w:p>
        </w:tc>
        <w:tc>
          <w:tcPr>
            <w:tcW w:w="340" w:type="dxa"/>
            <w:vAlign w:val="bottom"/>
          </w:tcPr>
          <w:p>
            <w:pPr>
              <w:spacing w:after="0"/>
              <w:rPr>
                <w:sz w:val="20"/>
                <w:szCs w:val="20"/>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(2,287 )</w:t>
            </w:r>
          </w:p>
        </w:tc>
      </w:tr>
      <w:tr>
        <w:trPr>
          <w:trHeight w:val="247"/>
        </w:trPr>
        <w:tc>
          <w:tcPr>
            <w:tcW w:w="776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Income tax benefit</w:t>
            </w:r>
          </w:p>
        </w:tc>
        <w:tc>
          <w:tcPr>
            <w:tcW w:w="960" w:type="dxa"/>
            <w:vAlign w:val="bottom"/>
            <w:tcBorders>
              <w:bottom w:val="single" w:sz="8" w:color="auto"/>
            </w:tcBorders>
            <w:shd w:val="clear" w:color="auto" w:fill="CFF0FC"/>
          </w:tcPr>
          <w:p>
            <w:pPr>
              <w:spacing w:after="0"/>
              <w:rPr>
                <w:sz w:val="21"/>
                <w:szCs w:val="21"/>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1,777</w:t>
            </w:r>
          </w:p>
        </w:tc>
        <w:tc>
          <w:tcPr>
            <w:tcW w:w="28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spacing w:after="0"/>
              <w:rPr>
                <w:sz w:val="21"/>
                <w:szCs w:val="21"/>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639</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2"/>
        </w:trPr>
        <w:tc>
          <w:tcPr>
            <w:tcW w:w="7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960" w:type="dxa"/>
            <w:vAlign w:val="bottom"/>
          </w:tcPr>
          <w:p>
            <w:pPr>
              <w:spacing w:after="0"/>
              <w:rPr>
                <w:sz w:val="20"/>
                <w:szCs w:val="20"/>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w w:val="99"/>
              </w:rPr>
              <w:t>(11,029 )</w:t>
            </w:r>
          </w:p>
        </w:tc>
        <w:tc>
          <w:tcPr>
            <w:tcW w:w="340" w:type="dxa"/>
            <w:vAlign w:val="bottom"/>
          </w:tcPr>
          <w:p>
            <w:pPr>
              <w:spacing w:after="0"/>
              <w:rPr>
                <w:sz w:val="20"/>
                <w:szCs w:val="20"/>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(1,648 )</w:t>
            </w:r>
          </w:p>
        </w:tc>
      </w:tr>
      <w:tr>
        <w:trPr>
          <w:trHeight w:val="247"/>
        </w:trPr>
        <w:tc>
          <w:tcPr>
            <w:tcW w:w="776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Less: Net income attributable to noncontrolling interest</w:t>
            </w:r>
          </w:p>
        </w:tc>
        <w:tc>
          <w:tcPr>
            <w:tcW w:w="960" w:type="dxa"/>
            <w:vAlign w:val="bottom"/>
            <w:tcBorders>
              <w:bottom w:val="single" w:sz="8" w:color="auto"/>
            </w:tcBorders>
            <w:shd w:val="clear" w:color="auto" w:fill="CFF0FC"/>
          </w:tcPr>
          <w:p>
            <w:pPr>
              <w:spacing w:after="0"/>
              <w:rPr>
                <w:sz w:val="21"/>
                <w:szCs w:val="21"/>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536</w:t>
            </w:r>
          </w:p>
        </w:tc>
        <w:tc>
          <w:tcPr>
            <w:tcW w:w="28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spacing w:after="0"/>
              <w:rPr>
                <w:sz w:val="21"/>
                <w:szCs w:val="21"/>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364</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7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loss attributable to Corsair Gaming, Inc.</w:t>
            </w:r>
          </w:p>
        </w:tc>
        <w:tc>
          <w:tcPr>
            <w:tcW w:w="960" w:type="dxa"/>
            <w:vAlign w:val="bottom"/>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w w:val="99"/>
              </w:rPr>
              <w:t>(11,565 )</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(2,012 )</w:t>
            </w:r>
          </w:p>
        </w:tc>
      </w:tr>
      <w:tr>
        <w:trPr>
          <w:trHeight w:val="20"/>
        </w:trPr>
        <w:tc>
          <w:tcPr>
            <w:tcW w:w="776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88"/>
        </w:trPr>
        <w:tc>
          <w:tcPr>
            <w:tcW w:w="7760" w:type="dxa"/>
            <w:vAlign w:val="bottom"/>
          </w:tcPr>
          <w:p>
            <w:pPr>
              <w:spacing w:after="0"/>
              <w:rPr>
                <w:sz w:val="7"/>
                <w:szCs w:val="7"/>
                <w:color w:val="auto"/>
              </w:rPr>
            </w:pPr>
          </w:p>
        </w:tc>
        <w:tc>
          <w:tcPr>
            <w:tcW w:w="96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0" w:type="dxa"/>
            <w:vAlign w:val="bottom"/>
          </w:tcPr>
          <w:p>
            <w:pPr>
              <w:spacing w:after="0"/>
              <w:rPr>
                <w:sz w:val="7"/>
                <w:szCs w:val="7"/>
                <w:color w:val="auto"/>
              </w:rPr>
            </w:pPr>
          </w:p>
        </w:tc>
        <w:tc>
          <w:tcPr>
            <w:tcW w:w="100" w:type="dxa"/>
            <w:vAlign w:val="bottom"/>
          </w:tcPr>
          <w:p>
            <w:pPr>
              <w:spacing w:after="0"/>
              <w:rPr>
                <w:sz w:val="7"/>
                <w:szCs w:val="7"/>
                <w:color w:val="auto"/>
              </w:rPr>
            </w:pPr>
          </w:p>
        </w:tc>
      </w:tr>
      <w:tr>
        <w:trPr>
          <w:trHeight w:val="243"/>
        </w:trPr>
        <w:tc>
          <w:tcPr>
            <w:tcW w:w="7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Calculation of net loss per share attributable to common stockholders of Corsair Gaming, Inc.:</w:t>
            </w:r>
          </w:p>
        </w:tc>
        <w:tc>
          <w:tcPr>
            <w:tcW w:w="960" w:type="dxa"/>
            <w:vAlign w:val="bottom"/>
            <w:shd w:val="clear" w:color="auto" w:fill="CFF0FC"/>
          </w:tcPr>
          <w:p>
            <w:pPr>
              <w:spacing w:after="0"/>
              <w:rPr>
                <w:sz w:val="21"/>
                <w:szCs w:val="21"/>
                <w:color w:val="auto"/>
              </w:rPr>
            </w:pPr>
          </w:p>
        </w:tc>
        <w:tc>
          <w:tcPr>
            <w:tcW w:w="6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8"/>
        </w:trPr>
        <w:tc>
          <w:tcPr>
            <w:tcW w:w="7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loss attributable to Corsair Gaming, Inc.</w:t>
            </w:r>
          </w:p>
        </w:tc>
        <w:tc>
          <w:tcPr>
            <w:tcW w:w="960" w:type="dxa"/>
            <w:vAlign w:val="bottom"/>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w w:val="99"/>
              </w:rPr>
              <w:t>(11,565 )</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(2,012 )</w:t>
            </w:r>
          </w:p>
        </w:tc>
      </w:tr>
      <w:tr>
        <w:trPr>
          <w:trHeight w:val="247"/>
        </w:trPr>
        <w:tc>
          <w:tcPr>
            <w:tcW w:w="77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Change in redemption value of redeemable noncontrolling interest</w:t>
            </w:r>
          </w:p>
        </w:tc>
        <w:tc>
          <w:tcPr>
            <w:tcW w:w="960" w:type="dxa"/>
            <w:vAlign w:val="bottom"/>
            <w:shd w:val="clear" w:color="auto" w:fill="CFF0FC"/>
          </w:tcPr>
          <w:p>
            <w:pPr>
              <w:spacing w:after="0"/>
              <w:rPr>
                <w:sz w:val="21"/>
                <w:szCs w:val="21"/>
                <w:color w:val="auto"/>
              </w:rPr>
            </w:pPr>
          </w:p>
        </w:tc>
        <w:tc>
          <w:tcPr>
            <w:tcW w:w="8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(975 )</w:t>
            </w:r>
          </w:p>
        </w:tc>
        <w:tc>
          <w:tcPr>
            <w:tcW w:w="34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958</w:t>
            </w:r>
          </w:p>
        </w:tc>
        <w:tc>
          <w:tcPr>
            <w:tcW w:w="100" w:type="dxa"/>
            <w:vAlign w:val="bottom"/>
            <w:shd w:val="clear" w:color="auto" w:fill="CFF0FC"/>
          </w:tcPr>
          <w:p>
            <w:pPr>
              <w:spacing w:after="0"/>
              <w:rPr>
                <w:sz w:val="21"/>
                <w:szCs w:val="21"/>
                <w:color w:val="auto"/>
              </w:rPr>
            </w:pPr>
          </w:p>
        </w:tc>
      </w:tr>
      <w:tr>
        <w:trPr>
          <w:trHeight w:val="20"/>
        </w:trPr>
        <w:tc>
          <w:tcPr>
            <w:tcW w:w="7760" w:type="dxa"/>
            <w:vAlign w:val="bottom"/>
            <w:shd w:val="clear" w:color="auto" w:fill="CFF0FC"/>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6"/>
        </w:trPr>
        <w:tc>
          <w:tcPr>
            <w:tcW w:w="77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loss attributable to common stockholders of Corsair Gaming, Inc.</w:t>
            </w:r>
          </w:p>
        </w:tc>
        <w:tc>
          <w:tcPr>
            <w:tcW w:w="960" w:type="dxa"/>
            <w:vAlign w:val="bottom"/>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w w:val="99"/>
              </w:rPr>
              <w:t>(12,540 )</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(1,054 )</w:t>
            </w:r>
          </w:p>
        </w:tc>
      </w:tr>
      <w:tr>
        <w:trPr>
          <w:trHeight w:val="20"/>
        </w:trPr>
        <w:tc>
          <w:tcPr>
            <w:tcW w:w="776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88"/>
        </w:trPr>
        <w:tc>
          <w:tcPr>
            <w:tcW w:w="7760" w:type="dxa"/>
            <w:vAlign w:val="bottom"/>
          </w:tcPr>
          <w:p>
            <w:pPr>
              <w:spacing w:after="0"/>
              <w:rPr>
                <w:sz w:val="7"/>
                <w:szCs w:val="7"/>
                <w:color w:val="auto"/>
              </w:rPr>
            </w:pPr>
          </w:p>
        </w:tc>
        <w:tc>
          <w:tcPr>
            <w:tcW w:w="96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0" w:type="dxa"/>
            <w:vAlign w:val="bottom"/>
          </w:tcPr>
          <w:p>
            <w:pPr>
              <w:spacing w:after="0"/>
              <w:rPr>
                <w:sz w:val="7"/>
                <w:szCs w:val="7"/>
                <w:color w:val="auto"/>
              </w:rPr>
            </w:pPr>
          </w:p>
        </w:tc>
        <w:tc>
          <w:tcPr>
            <w:tcW w:w="100" w:type="dxa"/>
            <w:vAlign w:val="bottom"/>
          </w:tcPr>
          <w:p>
            <w:pPr>
              <w:spacing w:after="0"/>
              <w:rPr>
                <w:sz w:val="7"/>
                <w:szCs w:val="7"/>
                <w:color w:val="auto"/>
              </w:rPr>
            </w:pPr>
          </w:p>
        </w:tc>
      </w:tr>
      <w:tr>
        <w:trPr>
          <w:trHeight w:val="243"/>
        </w:trPr>
        <w:tc>
          <w:tcPr>
            <w:tcW w:w="7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 per share attributable to common stockholders of Corsair Gaming, Inc.:</w:t>
            </w:r>
          </w:p>
        </w:tc>
        <w:tc>
          <w:tcPr>
            <w:tcW w:w="960" w:type="dxa"/>
            <w:vAlign w:val="bottom"/>
            <w:shd w:val="clear" w:color="auto" w:fill="CFF0FC"/>
          </w:tcPr>
          <w:p>
            <w:pPr>
              <w:spacing w:after="0"/>
              <w:rPr>
                <w:sz w:val="21"/>
                <w:szCs w:val="21"/>
                <w:color w:val="auto"/>
              </w:rPr>
            </w:pPr>
          </w:p>
        </w:tc>
        <w:tc>
          <w:tcPr>
            <w:tcW w:w="6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8"/>
        </w:trPr>
        <w:tc>
          <w:tcPr>
            <w:tcW w:w="7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Basic</w:t>
            </w:r>
          </w:p>
        </w:tc>
        <w:tc>
          <w:tcPr>
            <w:tcW w:w="960" w:type="dxa"/>
            <w:vAlign w:val="bottom"/>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(0.12 )</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(0.01 )</w:t>
            </w:r>
          </w:p>
        </w:tc>
      </w:tr>
      <w:tr>
        <w:trPr>
          <w:trHeight w:val="247"/>
        </w:trPr>
        <w:tc>
          <w:tcPr>
            <w:tcW w:w="77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Diluted</w:t>
            </w:r>
          </w:p>
        </w:tc>
        <w:tc>
          <w:tcPr>
            <w:tcW w:w="960" w:type="dxa"/>
            <w:vAlign w:val="bottom"/>
            <w:shd w:val="clear" w:color="auto" w:fill="CFF0FC"/>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(0.12 )</w:t>
            </w: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(0.01 )</w:t>
            </w:r>
          </w:p>
        </w:tc>
      </w:tr>
      <w:tr>
        <w:trPr>
          <w:trHeight w:val="238"/>
        </w:trPr>
        <w:tc>
          <w:tcPr>
            <w:tcW w:w="7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common shares outstanding:</w:t>
            </w:r>
          </w:p>
        </w:tc>
        <w:tc>
          <w:tcPr>
            <w:tcW w:w="9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77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Basic</w:t>
            </w:r>
          </w:p>
        </w:tc>
        <w:tc>
          <w:tcPr>
            <w:tcW w:w="96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103,563</w:t>
            </w:r>
          </w:p>
        </w:tc>
        <w:tc>
          <w:tcPr>
            <w:tcW w:w="28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101,685</w:t>
            </w:r>
          </w:p>
        </w:tc>
        <w:tc>
          <w:tcPr>
            <w:tcW w:w="100" w:type="dxa"/>
            <w:vAlign w:val="bottom"/>
            <w:shd w:val="clear" w:color="auto" w:fill="CFF0FC"/>
          </w:tcPr>
          <w:p>
            <w:pPr>
              <w:spacing w:after="0"/>
              <w:rPr>
                <w:sz w:val="21"/>
                <w:szCs w:val="21"/>
                <w:color w:val="auto"/>
              </w:rPr>
            </w:pPr>
          </w:p>
        </w:tc>
      </w:tr>
      <w:tr>
        <w:trPr>
          <w:trHeight w:val="234"/>
        </w:trPr>
        <w:tc>
          <w:tcPr>
            <w:tcW w:w="7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Diluted</w:t>
            </w:r>
          </w:p>
        </w:tc>
        <w:tc>
          <w:tcPr>
            <w:tcW w:w="9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103,563</w:t>
            </w: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101,685</w:t>
            </w:r>
          </w:p>
        </w:tc>
        <w:tc>
          <w:tcPr>
            <w:tcW w:w="1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5921375</wp:posOffset>
            </wp:positionH>
            <wp:positionV relativeFrom="paragraph">
              <wp:posOffset>-3470275</wp:posOffset>
            </wp:positionV>
            <wp:extent cx="6858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-3470275</wp:posOffset>
            </wp:positionV>
            <wp:extent cx="6858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5921375</wp:posOffset>
            </wp:positionH>
            <wp:positionV relativeFrom="paragraph">
              <wp:posOffset>-2528570</wp:posOffset>
            </wp:positionV>
            <wp:extent cx="6858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-2528570</wp:posOffset>
            </wp:positionV>
            <wp:extent cx="6858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5921375</wp:posOffset>
            </wp:positionH>
            <wp:positionV relativeFrom="paragraph">
              <wp:posOffset>-2211705</wp:posOffset>
            </wp:positionV>
            <wp:extent cx="6858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-2211705</wp:posOffset>
            </wp:positionV>
            <wp:extent cx="6858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5921375</wp:posOffset>
            </wp:positionH>
            <wp:positionV relativeFrom="paragraph">
              <wp:posOffset>-1894840</wp:posOffset>
            </wp:positionV>
            <wp:extent cx="6858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-1894840</wp:posOffset>
            </wp:positionV>
            <wp:extent cx="6858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5921375</wp:posOffset>
            </wp:positionH>
            <wp:positionV relativeFrom="paragraph">
              <wp:posOffset>-1175385</wp:posOffset>
            </wp:positionV>
            <wp:extent cx="6858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-1175385</wp:posOffset>
            </wp:positionV>
            <wp:extent cx="6858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Corsair Gaming, Inc. | Q1 2024 Form 10-Q |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4"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Corsair Gaming,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in thousands)</w:t>
      </w:r>
    </w:p>
    <w:p>
      <w:pPr>
        <w:spacing w:after="0" w:line="222" w:lineRule="exact"/>
        <w:rPr>
          <w:sz w:val="20"/>
          <w:szCs w:val="20"/>
          <w:color w:val="auto"/>
        </w:rPr>
      </w:pPr>
    </w:p>
    <w:p>
      <w:pPr>
        <w:jc w:val="center"/>
        <w:ind w:left="7600"/>
        <w:spacing w:after="0"/>
        <w:rPr>
          <w:sz w:val="20"/>
          <w:szCs w:val="20"/>
          <w:color w:val="auto"/>
        </w:rPr>
      </w:pPr>
      <w:r>
        <w:rPr>
          <w:rFonts w:ascii="Times New Roman" w:cs="Times New Roman" w:eastAsia="Times New Roman" w:hAnsi="Times New Roman"/>
          <w:sz w:val="16"/>
          <w:szCs w:val="16"/>
          <w:b w:val="1"/>
          <w:bCs w:val="1"/>
          <w:color w:val="auto"/>
        </w:rPr>
        <w:t>Three Months Ended</w:t>
      </w:r>
    </w:p>
    <w:p>
      <w:pPr>
        <w:spacing w:after="0" w:line="28" w:lineRule="exact"/>
        <w:rPr>
          <w:sz w:val="20"/>
          <w:szCs w:val="20"/>
          <w:color w:val="auto"/>
        </w:rPr>
      </w:pPr>
    </w:p>
    <w:p>
      <w:pPr>
        <w:jc w:val="center"/>
        <w:ind w:left="7600"/>
        <w:spacing w:after="0"/>
        <w:rPr>
          <w:sz w:val="20"/>
          <w:szCs w:val="20"/>
          <w:color w:val="auto"/>
        </w:rPr>
      </w:pPr>
      <w:r>
        <w:rPr>
          <w:rFonts w:ascii="Times New Roman" w:cs="Times New Roman" w:eastAsia="Times New Roman" w:hAnsi="Times New Roman"/>
          <w:sz w:val="16"/>
          <w:szCs w:val="16"/>
          <w:b w:val="1"/>
          <w:bCs w:val="1"/>
          <w:color w:val="auto"/>
        </w:rPr>
        <w:t>March 31,</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7740" w:type="dxa"/>
            <w:vAlign w:val="bottom"/>
          </w:tcPr>
          <w:p>
            <w:pPr>
              <w:spacing w:after="0"/>
              <w:rPr>
                <w:sz w:val="22"/>
                <w:szCs w:val="22"/>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600" w:type="dxa"/>
            <w:vAlign w:val="bottom"/>
            <w:tcBorders>
              <w:top w:val="single" w:sz="8" w:color="auto"/>
              <w:bottom w:val="single" w:sz="8" w:color="auto"/>
            </w:tcBorders>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20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8"/>
        </w:trPr>
        <w:tc>
          <w:tcPr>
            <w:tcW w:w="77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980" w:type="dxa"/>
            <w:vAlign w:val="bottom"/>
            <w:shd w:val="clear" w:color="auto" w:fill="CFF0FC"/>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w w:val="96"/>
              </w:rPr>
              <w:t>(11,029 )</w:t>
            </w: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(1,648 )</w:t>
            </w:r>
          </w:p>
        </w:tc>
        <w:tc>
          <w:tcPr>
            <w:tcW w:w="0" w:type="dxa"/>
            <w:vAlign w:val="bottom"/>
          </w:tcPr>
          <w:p>
            <w:pPr>
              <w:spacing w:after="0"/>
              <w:rPr>
                <w:sz w:val="1"/>
                <w:szCs w:val="1"/>
                <w:color w:val="auto"/>
              </w:rPr>
            </w:pPr>
          </w:p>
        </w:tc>
      </w:tr>
      <w:tr>
        <w:trPr>
          <w:trHeight w:val="238"/>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gain (loss):</w:t>
            </w:r>
          </w:p>
        </w:tc>
        <w:tc>
          <w:tcPr>
            <w:tcW w:w="9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77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Foreign currency translation adjustments, net of tax benefit (expense) of $124 and $(18) for the three</w:t>
            </w:r>
          </w:p>
        </w:tc>
        <w:tc>
          <w:tcPr>
            <w:tcW w:w="98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77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months ended March 31, 2024 and 2023, respectively</w:t>
            </w:r>
          </w:p>
        </w:tc>
        <w:tc>
          <w:tcPr>
            <w:tcW w:w="980" w:type="dxa"/>
            <w:vAlign w:val="bottom"/>
            <w:shd w:val="clear" w:color="auto" w:fill="CFF0FC"/>
          </w:tcPr>
          <w:p>
            <w:pPr>
              <w:spacing w:after="0"/>
              <w:rPr>
                <w:sz w:val="21"/>
                <w:szCs w:val="21"/>
                <w:color w:val="auto"/>
              </w:rPr>
            </w:pPr>
          </w:p>
        </w:tc>
        <w:tc>
          <w:tcPr>
            <w:tcW w:w="8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(1,415 )</w:t>
            </w:r>
          </w:p>
        </w:tc>
        <w:tc>
          <w:tcPr>
            <w:tcW w:w="36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1,667</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11"/>
        </w:trPr>
        <w:tc>
          <w:tcPr>
            <w:tcW w:w="77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Unrealized foreign exchange gain (loss) from long-term intercompany loan, net of tax benefit</w:t>
            </w:r>
          </w:p>
        </w:tc>
        <w:tc>
          <w:tcPr>
            <w:tcW w:w="980" w:type="dxa"/>
            <w:vAlign w:val="bottom"/>
          </w:tcPr>
          <w:p>
            <w:pPr>
              <w:spacing w:after="0"/>
              <w:rPr>
                <w:sz w:val="18"/>
                <w:szCs w:val="18"/>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8"/>
                <w:szCs w:val="18"/>
                <w:color w:val="auto"/>
              </w:rPr>
              <w:t>(26 )</w:t>
            </w:r>
          </w:p>
        </w:tc>
        <w:tc>
          <w:tcPr>
            <w:tcW w:w="0" w:type="dxa"/>
            <w:vAlign w:val="bottom"/>
          </w:tcPr>
          <w:p>
            <w:pPr>
              <w:spacing w:after="0"/>
              <w:rPr>
                <w:sz w:val="1"/>
                <w:szCs w:val="1"/>
                <w:color w:val="auto"/>
              </w:rPr>
            </w:pPr>
          </w:p>
        </w:tc>
      </w:tr>
      <w:tr>
        <w:trPr>
          <w:trHeight w:val="234"/>
        </w:trPr>
        <w:tc>
          <w:tcPr>
            <w:tcW w:w="77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(expense) of $160 and $(127) for the three months ended March 31, 2024 and 2023, respectively</w:t>
            </w:r>
          </w:p>
        </w:tc>
        <w:tc>
          <w:tcPr>
            <w:tcW w:w="980" w:type="dxa"/>
            <w:vAlign w:val="bottom"/>
          </w:tcPr>
          <w:p>
            <w:pPr>
              <w:spacing w:after="0"/>
              <w:rPr>
                <w:sz w:val="20"/>
                <w:szCs w:val="20"/>
                <w:color w:val="auto"/>
              </w:rPr>
            </w:pPr>
          </w:p>
        </w:tc>
        <w:tc>
          <w:tcPr>
            <w:tcW w:w="600" w:type="dxa"/>
            <w:vAlign w:val="bottom"/>
            <w:vMerge w:val="continue"/>
          </w:tcPr>
          <w:p>
            <w:pPr>
              <w:spacing w:after="0"/>
              <w:rPr>
                <w:sz w:val="20"/>
                <w:szCs w:val="20"/>
                <w:color w:val="auto"/>
              </w:rPr>
            </w:pPr>
          </w:p>
        </w:tc>
        <w:tc>
          <w:tcPr>
            <w:tcW w:w="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0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74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Comprehensive loss</w:t>
            </w:r>
          </w:p>
        </w:tc>
        <w:tc>
          <w:tcPr>
            <w:tcW w:w="980" w:type="dxa"/>
            <w:vAlign w:val="bottom"/>
            <w:shd w:val="clear" w:color="auto" w:fill="CFF0FC"/>
          </w:tcPr>
          <w:p>
            <w:pPr>
              <w:spacing w:after="0"/>
              <w:rPr>
                <w:sz w:val="20"/>
                <w:szCs w:val="20"/>
                <w:color w:val="auto"/>
              </w:rPr>
            </w:pPr>
          </w:p>
        </w:tc>
        <w:tc>
          <w:tcPr>
            <w:tcW w:w="8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w w:val="96"/>
              </w:rPr>
              <w:t>(12,420 )</w:t>
            </w:r>
          </w:p>
        </w:tc>
        <w:tc>
          <w:tcPr>
            <w:tcW w:w="360" w:type="dxa"/>
            <w:vAlign w:val="bottom"/>
            <w:shd w:val="clear" w:color="auto" w:fill="CFF0FC"/>
          </w:tcPr>
          <w:p>
            <w:pPr>
              <w:spacing w:after="0"/>
              <w:rPr>
                <w:sz w:val="20"/>
                <w:szCs w:val="20"/>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(7 )</w:t>
            </w:r>
          </w:p>
        </w:tc>
        <w:tc>
          <w:tcPr>
            <w:tcW w:w="0" w:type="dxa"/>
            <w:vAlign w:val="bottom"/>
          </w:tcPr>
          <w:p>
            <w:pPr>
              <w:spacing w:after="0"/>
              <w:rPr>
                <w:sz w:val="1"/>
                <w:szCs w:val="1"/>
                <w:color w:val="auto"/>
              </w:rPr>
            </w:pPr>
          </w:p>
        </w:tc>
      </w:tr>
      <w:tr>
        <w:trPr>
          <w:trHeight w:val="243"/>
        </w:trPr>
        <w:tc>
          <w:tcPr>
            <w:tcW w:w="77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Less: Comprehensive income attributable to noncontrolling interest</w:t>
            </w:r>
          </w:p>
        </w:tc>
        <w:tc>
          <w:tcPr>
            <w:tcW w:w="98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292</w:t>
            </w:r>
          </w:p>
        </w:tc>
        <w:tc>
          <w:tcPr>
            <w:tcW w:w="26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77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Comprehensive loss attributable to Corsair Gaming, Inc.</w:t>
            </w:r>
          </w:p>
        </w:tc>
        <w:tc>
          <w:tcPr>
            <w:tcW w:w="980" w:type="dxa"/>
            <w:vAlign w:val="bottom"/>
            <w:shd w:val="clear" w:color="auto" w:fill="CFF0FC"/>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w w:val="96"/>
              </w:rPr>
              <w:t>(12,712 )</w:t>
            </w: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(407 )</w:t>
            </w:r>
          </w:p>
        </w:tc>
        <w:tc>
          <w:tcPr>
            <w:tcW w:w="0" w:type="dxa"/>
            <w:vAlign w:val="bottom"/>
          </w:tcPr>
          <w:p>
            <w:pPr>
              <w:spacing w:after="0"/>
              <w:rPr>
                <w:sz w:val="1"/>
                <w:szCs w:val="1"/>
                <w:color w:val="auto"/>
              </w:rPr>
            </w:pPr>
          </w:p>
        </w:tc>
      </w:tr>
      <w:tr>
        <w:trPr>
          <w:trHeight w:val="20"/>
        </w:trPr>
        <w:tc>
          <w:tcPr>
            <w:tcW w:w="7740" w:type="dxa"/>
            <w:vAlign w:val="bottom"/>
            <w:tcBorders>
              <w:top w:val="single" w:sz="8" w:color="CFF0FC"/>
            </w:tcBorders>
            <w:shd w:val="clear" w:color="auto" w:fill="CFF0FC"/>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5913120</wp:posOffset>
            </wp:positionH>
            <wp:positionV relativeFrom="paragraph">
              <wp:posOffset>-24765</wp:posOffset>
            </wp:positionV>
            <wp:extent cx="6858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5913120</wp:posOffset>
            </wp:positionH>
            <wp:positionV relativeFrom="paragraph">
              <wp:posOffset>-7620</wp:posOffset>
            </wp:positionV>
            <wp:extent cx="6858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Corsair Gaming, Inc. | Q1 2024 Form 10-Q |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4"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Corsair Gaming,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in thousands, except per share amounts)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7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60" w:type="dxa"/>
            <w:vAlign w:val="bottom"/>
            <w:gridSpan w:val="2"/>
          </w:tcPr>
          <w:p>
            <w:pPr>
              <w:jc w:val="right"/>
              <w:ind w:right="680"/>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180" w:type="dxa"/>
            <w:vAlign w:val="bottom"/>
          </w:tcPr>
          <w:p>
            <w:pPr>
              <w:spacing w:after="0"/>
              <w:rPr>
                <w:sz w:val="17"/>
                <w:szCs w:val="17"/>
                <w:color w:val="auto"/>
              </w:rPr>
            </w:pPr>
          </w:p>
        </w:tc>
        <w:tc>
          <w:tcPr>
            <w:tcW w:w="138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25"/>
        </w:trPr>
        <w:tc>
          <w:tcPr>
            <w:tcW w:w="786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6"/>
                <w:szCs w:val="16"/>
                <w:b w:val="1"/>
                <w:bCs w:val="1"/>
                <w:color w:val="auto"/>
              </w:rPr>
              <w:t>2024</w:t>
            </w:r>
          </w:p>
        </w:tc>
        <w:tc>
          <w:tcPr>
            <w:tcW w:w="2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19"/>
                <w:szCs w:val="19"/>
                <w:color w:val="auto"/>
              </w:rPr>
            </w:pPr>
          </w:p>
        </w:tc>
      </w:tr>
      <w:tr>
        <w:trPr>
          <w:trHeight w:val="243"/>
        </w:trPr>
        <w:tc>
          <w:tcPr>
            <w:tcW w:w="78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7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60" w:type="dxa"/>
            <w:vAlign w:val="bottom"/>
            <w:shd w:val="clear" w:color="auto" w:fill="CFF0FC"/>
          </w:tcPr>
          <w:p>
            <w:pPr>
              <w:spacing w:after="0"/>
              <w:rPr>
                <w:sz w:val="21"/>
                <w:szCs w:val="21"/>
                <w:color w:val="auto"/>
              </w:rPr>
            </w:pPr>
          </w:p>
        </w:tc>
        <w:tc>
          <w:tcPr>
            <w:tcW w:w="13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2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8"/>
        </w:trPr>
        <w:tc>
          <w:tcPr>
            <w:tcW w:w="78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Current assets:</w:t>
            </w:r>
          </w:p>
        </w:tc>
        <w:tc>
          <w:tcPr>
            <w:tcW w:w="2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78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Cash</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127,768</w:t>
            </w:r>
          </w:p>
        </w:tc>
        <w:tc>
          <w:tcPr>
            <w:tcW w:w="260" w:type="dxa"/>
            <w:vAlign w:val="bottom"/>
            <w:shd w:val="clear" w:color="auto" w:fill="CFF0FC"/>
          </w:tcPr>
          <w:p>
            <w:pPr>
              <w:spacing w:after="0"/>
              <w:rPr>
                <w:sz w:val="21"/>
                <w:szCs w:val="21"/>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175,620</w:t>
            </w:r>
          </w:p>
        </w:tc>
        <w:tc>
          <w:tcPr>
            <w:tcW w:w="100" w:type="dxa"/>
            <w:vAlign w:val="bottom"/>
            <w:shd w:val="clear" w:color="auto" w:fill="CFF0FC"/>
          </w:tcPr>
          <w:p>
            <w:pPr>
              <w:spacing w:after="0"/>
              <w:rPr>
                <w:sz w:val="21"/>
                <w:szCs w:val="21"/>
                <w:color w:val="auto"/>
              </w:rPr>
            </w:pPr>
          </w:p>
        </w:tc>
      </w:tr>
      <w:tr>
        <w:trPr>
          <w:trHeight w:val="238"/>
        </w:trPr>
        <w:tc>
          <w:tcPr>
            <w:tcW w:w="78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Restricted cash</w:t>
            </w:r>
          </w:p>
        </w:tc>
        <w:tc>
          <w:tcPr>
            <w:tcW w:w="2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2,174</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2,705</w:t>
            </w:r>
          </w:p>
        </w:tc>
        <w:tc>
          <w:tcPr>
            <w:tcW w:w="100" w:type="dxa"/>
            <w:vAlign w:val="bottom"/>
          </w:tcPr>
          <w:p>
            <w:pPr>
              <w:spacing w:after="0"/>
              <w:rPr>
                <w:sz w:val="20"/>
                <w:szCs w:val="20"/>
                <w:color w:val="auto"/>
              </w:rPr>
            </w:pPr>
          </w:p>
        </w:tc>
      </w:tr>
      <w:tr>
        <w:trPr>
          <w:trHeight w:val="247"/>
        </w:trPr>
        <w:tc>
          <w:tcPr>
            <w:tcW w:w="78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Accounts receivable, net</w:t>
            </w:r>
          </w:p>
        </w:tc>
        <w:tc>
          <w:tcPr>
            <w:tcW w:w="26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204,920</w:t>
            </w:r>
          </w:p>
        </w:tc>
        <w:tc>
          <w:tcPr>
            <w:tcW w:w="2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253,268</w:t>
            </w:r>
          </w:p>
        </w:tc>
        <w:tc>
          <w:tcPr>
            <w:tcW w:w="100" w:type="dxa"/>
            <w:vAlign w:val="bottom"/>
            <w:shd w:val="clear" w:color="auto" w:fill="CFF0FC"/>
          </w:tcPr>
          <w:p>
            <w:pPr>
              <w:spacing w:after="0"/>
              <w:rPr>
                <w:sz w:val="21"/>
                <w:szCs w:val="21"/>
                <w:color w:val="auto"/>
              </w:rPr>
            </w:pPr>
          </w:p>
        </w:tc>
      </w:tr>
      <w:tr>
        <w:trPr>
          <w:trHeight w:val="238"/>
        </w:trPr>
        <w:tc>
          <w:tcPr>
            <w:tcW w:w="78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Inventories</w:t>
            </w:r>
          </w:p>
        </w:tc>
        <w:tc>
          <w:tcPr>
            <w:tcW w:w="2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251,747</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240,172</w:t>
            </w:r>
          </w:p>
        </w:tc>
        <w:tc>
          <w:tcPr>
            <w:tcW w:w="100" w:type="dxa"/>
            <w:vAlign w:val="bottom"/>
          </w:tcPr>
          <w:p>
            <w:pPr>
              <w:spacing w:after="0"/>
              <w:rPr>
                <w:sz w:val="20"/>
                <w:szCs w:val="20"/>
                <w:color w:val="auto"/>
              </w:rPr>
            </w:pPr>
          </w:p>
        </w:tc>
      </w:tr>
      <w:tr>
        <w:trPr>
          <w:trHeight w:val="247"/>
        </w:trPr>
        <w:tc>
          <w:tcPr>
            <w:tcW w:w="786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60" w:type="dxa"/>
            <w:vAlign w:val="bottom"/>
            <w:tcBorders>
              <w:bottom w:val="single" w:sz="8" w:color="auto"/>
            </w:tcBorders>
            <w:shd w:val="clear" w:color="auto" w:fill="CFF0FC"/>
          </w:tcPr>
          <w:p>
            <w:pPr>
              <w:spacing w:after="0"/>
              <w:rPr>
                <w:sz w:val="21"/>
                <w:szCs w:val="21"/>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34,573</w:t>
            </w:r>
          </w:p>
        </w:tc>
        <w:tc>
          <w:tcPr>
            <w:tcW w:w="26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39,824</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2"/>
        </w:trPr>
        <w:tc>
          <w:tcPr>
            <w:tcW w:w="78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current assets</w:t>
            </w:r>
          </w:p>
        </w:tc>
        <w:tc>
          <w:tcPr>
            <w:tcW w:w="2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621,182</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711,589</w:t>
            </w:r>
          </w:p>
        </w:tc>
        <w:tc>
          <w:tcPr>
            <w:tcW w:w="100" w:type="dxa"/>
            <w:vAlign w:val="bottom"/>
          </w:tcPr>
          <w:p>
            <w:pPr>
              <w:spacing w:after="0"/>
              <w:rPr>
                <w:sz w:val="20"/>
                <w:szCs w:val="20"/>
                <w:color w:val="auto"/>
              </w:rPr>
            </w:pPr>
          </w:p>
        </w:tc>
      </w:tr>
      <w:tr>
        <w:trPr>
          <w:trHeight w:val="247"/>
        </w:trPr>
        <w:tc>
          <w:tcPr>
            <w:tcW w:w="78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Restricted cash, noncurrent</w:t>
            </w:r>
          </w:p>
        </w:tc>
        <w:tc>
          <w:tcPr>
            <w:tcW w:w="26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241</w:t>
            </w:r>
          </w:p>
        </w:tc>
        <w:tc>
          <w:tcPr>
            <w:tcW w:w="2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239</w:t>
            </w:r>
          </w:p>
        </w:tc>
        <w:tc>
          <w:tcPr>
            <w:tcW w:w="100" w:type="dxa"/>
            <w:vAlign w:val="bottom"/>
            <w:shd w:val="clear" w:color="auto" w:fill="CFF0FC"/>
          </w:tcPr>
          <w:p>
            <w:pPr>
              <w:spacing w:after="0"/>
              <w:rPr>
                <w:sz w:val="21"/>
                <w:szCs w:val="21"/>
                <w:color w:val="auto"/>
              </w:rPr>
            </w:pPr>
          </w:p>
        </w:tc>
      </w:tr>
      <w:tr>
        <w:trPr>
          <w:trHeight w:val="238"/>
        </w:trPr>
        <w:tc>
          <w:tcPr>
            <w:tcW w:w="78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31,185</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32,212</w:t>
            </w:r>
          </w:p>
        </w:tc>
        <w:tc>
          <w:tcPr>
            <w:tcW w:w="100" w:type="dxa"/>
            <w:vAlign w:val="bottom"/>
          </w:tcPr>
          <w:p>
            <w:pPr>
              <w:spacing w:after="0"/>
              <w:rPr>
                <w:sz w:val="20"/>
                <w:szCs w:val="20"/>
                <w:color w:val="auto"/>
              </w:rPr>
            </w:pPr>
          </w:p>
        </w:tc>
      </w:tr>
      <w:tr>
        <w:trPr>
          <w:trHeight w:val="247"/>
        </w:trPr>
        <w:tc>
          <w:tcPr>
            <w:tcW w:w="78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Goodwill</w:t>
            </w:r>
          </w:p>
        </w:tc>
        <w:tc>
          <w:tcPr>
            <w:tcW w:w="26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354,410</w:t>
            </w:r>
          </w:p>
        </w:tc>
        <w:tc>
          <w:tcPr>
            <w:tcW w:w="2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354,705</w:t>
            </w:r>
          </w:p>
        </w:tc>
        <w:tc>
          <w:tcPr>
            <w:tcW w:w="100" w:type="dxa"/>
            <w:vAlign w:val="bottom"/>
            <w:shd w:val="clear" w:color="auto" w:fill="CFF0FC"/>
          </w:tcPr>
          <w:p>
            <w:pPr>
              <w:spacing w:after="0"/>
              <w:rPr>
                <w:sz w:val="21"/>
                <w:szCs w:val="21"/>
                <w:color w:val="auto"/>
              </w:rPr>
            </w:pPr>
          </w:p>
        </w:tc>
      </w:tr>
      <w:tr>
        <w:trPr>
          <w:trHeight w:val="238"/>
        </w:trPr>
        <w:tc>
          <w:tcPr>
            <w:tcW w:w="78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Intangible assets, net</w:t>
            </w:r>
          </w:p>
        </w:tc>
        <w:tc>
          <w:tcPr>
            <w:tcW w:w="2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178,151</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188,009</w:t>
            </w:r>
          </w:p>
        </w:tc>
        <w:tc>
          <w:tcPr>
            <w:tcW w:w="100" w:type="dxa"/>
            <w:vAlign w:val="bottom"/>
          </w:tcPr>
          <w:p>
            <w:pPr>
              <w:spacing w:after="0"/>
              <w:rPr>
                <w:sz w:val="20"/>
                <w:szCs w:val="20"/>
                <w:color w:val="auto"/>
              </w:rPr>
            </w:pPr>
          </w:p>
        </w:tc>
      </w:tr>
      <w:tr>
        <w:trPr>
          <w:trHeight w:val="247"/>
        </w:trPr>
        <w:tc>
          <w:tcPr>
            <w:tcW w:w="786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Other assets</w:t>
            </w:r>
          </w:p>
        </w:tc>
        <w:tc>
          <w:tcPr>
            <w:tcW w:w="260" w:type="dxa"/>
            <w:vAlign w:val="bottom"/>
            <w:tcBorders>
              <w:bottom w:val="single" w:sz="8" w:color="auto"/>
            </w:tcBorders>
            <w:shd w:val="clear" w:color="auto" w:fill="CFF0FC"/>
          </w:tcPr>
          <w:p>
            <w:pPr>
              <w:spacing w:after="0"/>
              <w:rPr>
                <w:sz w:val="21"/>
                <w:szCs w:val="21"/>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72,022</w:t>
            </w:r>
          </w:p>
        </w:tc>
        <w:tc>
          <w:tcPr>
            <w:tcW w:w="26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70,709</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1,257,191</w:t>
            </w:r>
          </w:p>
        </w:tc>
        <w:tc>
          <w:tcPr>
            <w:tcW w:w="260" w:type="dxa"/>
            <w:vAlign w:val="bottom"/>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1,357,463</w:t>
            </w:r>
          </w:p>
        </w:tc>
        <w:tc>
          <w:tcPr>
            <w:tcW w:w="100" w:type="dxa"/>
            <w:vAlign w:val="bottom"/>
          </w:tcPr>
          <w:p>
            <w:pPr>
              <w:spacing w:after="0"/>
              <w:rPr>
                <w:sz w:val="20"/>
                <w:szCs w:val="20"/>
                <w:color w:val="auto"/>
              </w:rPr>
            </w:pPr>
          </w:p>
        </w:tc>
      </w:tr>
      <w:tr>
        <w:trPr>
          <w:trHeight w:val="20"/>
        </w:trPr>
        <w:tc>
          <w:tcPr>
            <w:tcW w:w="78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3"/>
        </w:trPr>
        <w:tc>
          <w:tcPr>
            <w:tcW w:w="7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26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8"/>
        </w:trPr>
        <w:tc>
          <w:tcPr>
            <w:tcW w:w="78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Current liabilities:</w:t>
            </w:r>
          </w:p>
        </w:tc>
        <w:tc>
          <w:tcPr>
            <w:tcW w:w="2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78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Debt maturing within one year, net</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12,213</w:t>
            </w:r>
          </w:p>
        </w:tc>
        <w:tc>
          <w:tcPr>
            <w:tcW w:w="260" w:type="dxa"/>
            <w:vAlign w:val="bottom"/>
            <w:shd w:val="clear" w:color="auto" w:fill="CFF0FC"/>
          </w:tcPr>
          <w:p>
            <w:pPr>
              <w:spacing w:after="0"/>
              <w:rPr>
                <w:sz w:val="21"/>
                <w:szCs w:val="21"/>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12,190</w:t>
            </w:r>
          </w:p>
        </w:tc>
        <w:tc>
          <w:tcPr>
            <w:tcW w:w="100" w:type="dxa"/>
            <w:vAlign w:val="bottom"/>
            <w:shd w:val="clear" w:color="auto" w:fill="CFF0FC"/>
          </w:tcPr>
          <w:p>
            <w:pPr>
              <w:spacing w:after="0"/>
              <w:rPr>
                <w:sz w:val="21"/>
                <w:szCs w:val="21"/>
                <w:color w:val="auto"/>
              </w:rPr>
            </w:pPr>
          </w:p>
        </w:tc>
      </w:tr>
      <w:tr>
        <w:trPr>
          <w:trHeight w:val="238"/>
        </w:trPr>
        <w:tc>
          <w:tcPr>
            <w:tcW w:w="78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Accounts payable</w:t>
            </w:r>
          </w:p>
        </w:tc>
        <w:tc>
          <w:tcPr>
            <w:tcW w:w="2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191,401</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239,957</w:t>
            </w:r>
          </w:p>
        </w:tc>
        <w:tc>
          <w:tcPr>
            <w:tcW w:w="100" w:type="dxa"/>
            <w:vAlign w:val="bottom"/>
          </w:tcPr>
          <w:p>
            <w:pPr>
              <w:spacing w:after="0"/>
              <w:rPr>
                <w:sz w:val="20"/>
                <w:szCs w:val="20"/>
                <w:color w:val="auto"/>
              </w:rPr>
            </w:pPr>
          </w:p>
        </w:tc>
      </w:tr>
      <w:tr>
        <w:trPr>
          <w:trHeight w:val="247"/>
        </w:trPr>
        <w:tc>
          <w:tcPr>
            <w:tcW w:w="786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Other liabilities and accrued expenses</w:t>
            </w:r>
          </w:p>
        </w:tc>
        <w:tc>
          <w:tcPr>
            <w:tcW w:w="260" w:type="dxa"/>
            <w:vAlign w:val="bottom"/>
            <w:tcBorders>
              <w:bottom w:val="single" w:sz="8" w:color="auto"/>
            </w:tcBorders>
            <w:shd w:val="clear" w:color="auto" w:fill="CFF0FC"/>
          </w:tcPr>
          <w:p>
            <w:pPr>
              <w:spacing w:after="0"/>
              <w:rPr>
                <w:sz w:val="21"/>
                <w:szCs w:val="21"/>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138,487</w:t>
            </w:r>
          </w:p>
        </w:tc>
        <w:tc>
          <w:tcPr>
            <w:tcW w:w="26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166,340</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2"/>
        </w:trPr>
        <w:tc>
          <w:tcPr>
            <w:tcW w:w="78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342,101</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418,487</w:t>
            </w:r>
          </w:p>
        </w:tc>
        <w:tc>
          <w:tcPr>
            <w:tcW w:w="100" w:type="dxa"/>
            <w:vAlign w:val="bottom"/>
          </w:tcPr>
          <w:p>
            <w:pPr>
              <w:spacing w:after="0"/>
              <w:rPr>
                <w:sz w:val="20"/>
                <w:szCs w:val="20"/>
                <w:color w:val="auto"/>
              </w:rPr>
            </w:pPr>
          </w:p>
        </w:tc>
      </w:tr>
      <w:tr>
        <w:trPr>
          <w:trHeight w:val="247"/>
        </w:trPr>
        <w:tc>
          <w:tcPr>
            <w:tcW w:w="78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Long-term debt, net</w:t>
            </w:r>
          </w:p>
        </w:tc>
        <w:tc>
          <w:tcPr>
            <w:tcW w:w="26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171,106</w:t>
            </w:r>
          </w:p>
        </w:tc>
        <w:tc>
          <w:tcPr>
            <w:tcW w:w="2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186,006</w:t>
            </w:r>
          </w:p>
        </w:tc>
        <w:tc>
          <w:tcPr>
            <w:tcW w:w="100" w:type="dxa"/>
            <w:vAlign w:val="bottom"/>
            <w:shd w:val="clear" w:color="auto" w:fill="CFF0FC"/>
          </w:tcPr>
          <w:p>
            <w:pPr>
              <w:spacing w:after="0"/>
              <w:rPr>
                <w:sz w:val="21"/>
                <w:szCs w:val="21"/>
                <w:color w:val="auto"/>
              </w:rPr>
            </w:pPr>
          </w:p>
        </w:tc>
      </w:tr>
      <w:tr>
        <w:trPr>
          <w:trHeight w:val="238"/>
        </w:trPr>
        <w:tc>
          <w:tcPr>
            <w:tcW w:w="78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Deferred tax liabilities</w:t>
            </w:r>
          </w:p>
        </w:tc>
        <w:tc>
          <w:tcPr>
            <w:tcW w:w="2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14,104</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17,395</w:t>
            </w:r>
          </w:p>
        </w:tc>
        <w:tc>
          <w:tcPr>
            <w:tcW w:w="100" w:type="dxa"/>
            <w:vAlign w:val="bottom"/>
          </w:tcPr>
          <w:p>
            <w:pPr>
              <w:spacing w:after="0"/>
              <w:rPr>
                <w:sz w:val="20"/>
                <w:szCs w:val="20"/>
                <w:color w:val="auto"/>
              </w:rPr>
            </w:pPr>
          </w:p>
        </w:tc>
      </w:tr>
      <w:tr>
        <w:trPr>
          <w:trHeight w:val="247"/>
        </w:trPr>
        <w:tc>
          <w:tcPr>
            <w:tcW w:w="786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Other liabilities, noncurrent</w:t>
            </w:r>
          </w:p>
        </w:tc>
        <w:tc>
          <w:tcPr>
            <w:tcW w:w="260" w:type="dxa"/>
            <w:vAlign w:val="bottom"/>
            <w:tcBorders>
              <w:bottom w:val="single" w:sz="8" w:color="auto"/>
            </w:tcBorders>
            <w:shd w:val="clear" w:color="auto" w:fill="CFF0FC"/>
          </w:tcPr>
          <w:p>
            <w:pPr>
              <w:spacing w:after="0"/>
              <w:rPr>
                <w:sz w:val="21"/>
                <w:szCs w:val="21"/>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40,629</w:t>
            </w:r>
          </w:p>
        </w:tc>
        <w:tc>
          <w:tcPr>
            <w:tcW w:w="26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41,595</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liabilities</w:t>
            </w:r>
          </w:p>
        </w:tc>
        <w:tc>
          <w:tcPr>
            <w:tcW w:w="2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567,940</w:t>
            </w:r>
          </w:p>
        </w:tc>
        <w:tc>
          <w:tcPr>
            <w:tcW w:w="2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663,483</w:t>
            </w:r>
          </w:p>
        </w:tc>
        <w:tc>
          <w:tcPr>
            <w:tcW w:w="100" w:type="dxa"/>
            <w:vAlign w:val="bottom"/>
          </w:tcPr>
          <w:p>
            <w:pPr>
              <w:spacing w:after="0"/>
              <w:rPr>
                <w:sz w:val="20"/>
                <w:szCs w:val="20"/>
                <w:color w:val="auto"/>
              </w:rPr>
            </w:pPr>
          </w:p>
        </w:tc>
      </w:tr>
      <w:tr>
        <w:trPr>
          <w:trHeight w:val="236"/>
        </w:trPr>
        <w:tc>
          <w:tcPr>
            <w:tcW w:w="7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(Note 9)</w:t>
            </w:r>
          </w:p>
        </w:tc>
        <w:tc>
          <w:tcPr>
            <w:tcW w:w="260" w:type="dxa"/>
            <w:vAlign w:val="bottom"/>
            <w:shd w:val="clear" w:color="auto" w:fill="CFF0FC"/>
          </w:tcPr>
          <w:p>
            <w:pPr>
              <w:spacing w:after="0"/>
              <w:rPr>
                <w:sz w:val="20"/>
                <w:szCs w:val="20"/>
                <w:color w:val="auto"/>
              </w:rPr>
            </w:pPr>
          </w:p>
        </w:tc>
        <w:tc>
          <w:tcPr>
            <w:tcW w:w="130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2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40"/>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Temporary equity</w:t>
            </w:r>
          </w:p>
        </w:tc>
        <w:tc>
          <w:tcPr>
            <w:tcW w:w="2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5"/>
        </w:trPr>
        <w:tc>
          <w:tcPr>
            <w:tcW w:w="78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Redeemable noncontrolling interest</w:t>
            </w:r>
          </w:p>
        </w:tc>
        <w:tc>
          <w:tcPr>
            <w:tcW w:w="26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15,925</w:t>
            </w:r>
          </w:p>
        </w:tc>
        <w:tc>
          <w:tcPr>
            <w:tcW w:w="2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15,937</w:t>
            </w:r>
          </w:p>
        </w:tc>
        <w:tc>
          <w:tcPr>
            <w:tcW w:w="100" w:type="dxa"/>
            <w:vAlign w:val="bottom"/>
            <w:shd w:val="clear" w:color="auto" w:fill="CFF0FC"/>
          </w:tcPr>
          <w:p>
            <w:pPr>
              <w:spacing w:after="0"/>
              <w:rPr>
                <w:sz w:val="21"/>
                <w:szCs w:val="21"/>
                <w:color w:val="auto"/>
              </w:rPr>
            </w:pPr>
          </w:p>
        </w:tc>
      </w:tr>
      <w:tr>
        <w:trPr>
          <w:trHeight w:val="240"/>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Permanent equity</w:t>
            </w:r>
          </w:p>
        </w:tc>
        <w:tc>
          <w:tcPr>
            <w:tcW w:w="2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5"/>
        </w:trPr>
        <w:tc>
          <w:tcPr>
            <w:tcW w:w="78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Corsair Gaming, Inc. stockholders’ equity:</w:t>
            </w:r>
          </w:p>
        </w:tc>
        <w:tc>
          <w:tcPr>
            <w:tcW w:w="260" w:type="dxa"/>
            <w:vAlign w:val="bottom"/>
            <w:shd w:val="clear" w:color="auto" w:fill="CFF0FC"/>
          </w:tcPr>
          <w:p>
            <w:pPr>
              <w:spacing w:after="0"/>
              <w:rPr>
                <w:sz w:val="21"/>
                <w:szCs w:val="21"/>
                <w:color w:val="auto"/>
              </w:rPr>
            </w:pPr>
          </w:p>
        </w:tc>
        <w:tc>
          <w:tcPr>
            <w:tcW w:w="13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2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11"/>
        </w:trPr>
        <w:tc>
          <w:tcPr>
            <w:tcW w:w="78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Preferred stock, $0.0001 par value: 5,000 shares authorized, nil and nil shares issued and outstanding as</w:t>
            </w:r>
          </w:p>
        </w:tc>
        <w:tc>
          <w:tcPr>
            <w:tcW w:w="2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78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of March 31, 2024 and December 31, 2023, respectively</w:t>
            </w:r>
          </w:p>
        </w:tc>
        <w:tc>
          <w:tcPr>
            <w:tcW w:w="260" w:type="dxa"/>
            <w:vAlign w:val="bottom"/>
          </w:tcPr>
          <w:p>
            <w:pPr>
              <w:spacing w:after="0"/>
              <w:rPr>
                <w:sz w:val="20"/>
                <w:szCs w:val="20"/>
                <w:color w:val="auto"/>
              </w:rPr>
            </w:pPr>
          </w:p>
        </w:tc>
        <w:tc>
          <w:tcPr>
            <w:tcW w:w="15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8"/>
        </w:trPr>
        <w:tc>
          <w:tcPr>
            <w:tcW w:w="78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Common stock, $0.0001 par value: 300,000 shares authorized, 103,859 and 103,255 shares issued and</w:t>
            </w:r>
          </w:p>
        </w:tc>
        <w:tc>
          <w:tcPr>
            <w:tcW w:w="26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48"/>
        </w:trPr>
        <w:tc>
          <w:tcPr>
            <w:tcW w:w="78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outstanding as of March 31, 2024 and December 31, 2023, respectively</w:t>
            </w:r>
          </w:p>
        </w:tc>
        <w:tc>
          <w:tcPr>
            <w:tcW w:w="26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FF0FC"/>
          </w:tcPr>
          <w:p>
            <w:pPr>
              <w:spacing w:after="0"/>
              <w:rPr>
                <w:sz w:val="21"/>
                <w:szCs w:val="21"/>
                <w:color w:val="auto"/>
              </w:rPr>
            </w:pPr>
          </w:p>
        </w:tc>
      </w:tr>
      <w:tr>
        <w:trPr>
          <w:trHeight w:val="238"/>
        </w:trPr>
        <w:tc>
          <w:tcPr>
            <w:tcW w:w="78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640,293</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630,642</w:t>
            </w:r>
          </w:p>
        </w:tc>
        <w:tc>
          <w:tcPr>
            <w:tcW w:w="100" w:type="dxa"/>
            <w:vAlign w:val="bottom"/>
          </w:tcPr>
          <w:p>
            <w:pPr>
              <w:spacing w:after="0"/>
              <w:rPr>
                <w:sz w:val="20"/>
                <w:szCs w:val="20"/>
                <w:color w:val="auto"/>
              </w:rPr>
            </w:pPr>
          </w:p>
        </w:tc>
      </w:tr>
      <w:tr>
        <w:trPr>
          <w:trHeight w:val="247"/>
        </w:trPr>
        <w:tc>
          <w:tcPr>
            <w:tcW w:w="78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Retained earnings</w:t>
            </w:r>
          </w:p>
        </w:tc>
        <w:tc>
          <w:tcPr>
            <w:tcW w:w="26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27,870</w:t>
            </w:r>
          </w:p>
        </w:tc>
        <w:tc>
          <w:tcPr>
            <w:tcW w:w="2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40,410</w:t>
            </w:r>
          </w:p>
        </w:tc>
        <w:tc>
          <w:tcPr>
            <w:tcW w:w="100" w:type="dxa"/>
            <w:vAlign w:val="bottom"/>
            <w:shd w:val="clear" w:color="auto" w:fill="CFF0FC"/>
          </w:tcPr>
          <w:p>
            <w:pPr>
              <w:spacing w:after="0"/>
              <w:rPr>
                <w:sz w:val="21"/>
                <w:szCs w:val="21"/>
                <w:color w:val="auto"/>
              </w:rPr>
            </w:pPr>
          </w:p>
        </w:tc>
      </w:tr>
      <w:tr>
        <w:trPr>
          <w:trHeight w:val="243"/>
        </w:trPr>
        <w:tc>
          <w:tcPr>
            <w:tcW w:w="78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60" w:type="dxa"/>
            <w:vAlign w:val="bottom"/>
          </w:tcPr>
          <w:p>
            <w:pPr>
              <w:spacing w:after="0"/>
              <w:rPr>
                <w:sz w:val="21"/>
                <w:szCs w:val="21"/>
                <w:color w:val="auto"/>
              </w:rPr>
            </w:pPr>
          </w:p>
        </w:tc>
        <w:tc>
          <w:tcPr>
            <w:tcW w:w="15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(4,634 )</w:t>
            </w:r>
          </w:p>
        </w:tc>
        <w:tc>
          <w:tcPr>
            <w:tcW w:w="180" w:type="dxa"/>
            <w:vAlign w:val="bottom"/>
          </w:tcPr>
          <w:p>
            <w:pPr>
              <w:spacing w:after="0"/>
              <w:rPr>
                <w:sz w:val="21"/>
                <w:szCs w:val="21"/>
                <w:color w:val="auto"/>
              </w:rPr>
            </w:pPr>
          </w:p>
        </w:tc>
        <w:tc>
          <w:tcPr>
            <w:tcW w:w="13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(3,487 )</w:t>
            </w:r>
          </w:p>
        </w:tc>
      </w:tr>
      <w:tr>
        <w:trPr>
          <w:trHeight w:val="236"/>
        </w:trPr>
        <w:tc>
          <w:tcPr>
            <w:tcW w:w="78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Total Corsair Gaming, Inc. stockholders’ equity</w:t>
            </w:r>
          </w:p>
        </w:tc>
        <w:tc>
          <w:tcPr>
            <w:tcW w:w="260" w:type="dxa"/>
            <w:vAlign w:val="bottom"/>
            <w:tcBorders>
              <w:top w:val="single" w:sz="8" w:color="auto"/>
            </w:tcBorders>
            <w:shd w:val="clear" w:color="auto" w:fill="CFF0FC"/>
          </w:tcPr>
          <w:p>
            <w:pPr>
              <w:spacing w:after="0"/>
              <w:rPr>
                <w:sz w:val="20"/>
                <w:szCs w:val="20"/>
                <w:color w:val="auto"/>
              </w:rPr>
            </w:pPr>
          </w:p>
        </w:tc>
        <w:tc>
          <w:tcPr>
            <w:tcW w:w="13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663,539</w:t>
            </w:r>
          </w:p>
        </w:tc>
        <w:tc>
          <w:tcPr>
            <w:tcW w:w="260" w:type="dxa"/>
            <w:vAlign w:val="bottom"/>
            <w:shd w:val="clear" w:color="auto" w:fill="CFF0FC"/>
          </w:tcPr>
          <w:p>
            <w:pPr>
              <w:spacing w:after="0"/>
              <w:rPr>
                <w:sz w:val="20"/>
                <w:szCs w:val="20"/>
                <w:color w:val="auto"/>
              </w:rPr>
            </w:pPr>
          </w:p>
        </w:tc>
        <w:tc>
          <w:tcPr>
            <w:tcW w:w="180" w:type="dxa"/>
            <w:vAlign w:val="bottom"/>
            <w:tcBorders>
              <w:top w:val="single" w:sz="8" w:color="auto"/>
            </w:tcBorders>
            <w:shd w:val="clear" w:color="auto" w:fill="CFF0FC"/>
          </w:tcPr>
          <w:p>
            <w:pPr>
              <w:spacing w:after="0"/>
              <w:rPr>
                <w:sz w:val="20"/>
                <w:szCs w:val="20"/>
                <w:color w:val="auto"/>
              </w:rPr>
            </w:pPr>
          </w:p>
        </w:tc>
        <w:tc>
          <w:tcPr>
            <w:tcW w:w="12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667,575</w:t>
            </w:r>
          </w:p>
        </w:tc>
        <w:tc>
          <w:tcPr>
            <w:tcW w:w="100" w:type="dxa"/>
            <w:vAlign w:val="bottom"/>
            <w:shd w:val="clear" w:color="auto" w:fill="CFF0FC"/>
          </w:tcPr>
          <w:p>
            <w:pPr>
              <w:spacing w:after="0"/>
              <w:rPr>
                <w:sz w:val="20"/>
                <w:szCs w:val="20"/>
                <w:color w:val="auto"/>
              </w:rPr>
            </w:pPr>
          </w:p>
        </w:tc>
      </w:tr>
      <w:tr>
        <w:trPr>
          <w:trHeight w:val="243"/>
        </w:trPr>
        <w:tc>
          <w:tcPr>
            <w:tcW w:w="78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Nonredeemable noncontrolling interest</w:t>
            </w:r>
          </w:p>
        </w:tc>
        <w:tc>
          <w:tcPr>
            <w:tcW w:w="26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9,787</w:t>
            </w:r>
          </w:p>
        </w:tc>
        <w:tc>
          <w:tcPr>
            <w:tcW w:w="26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10,468</w:t>
            </w:r>
          </w:p>
        </w:tc>
        <w:tc>
          <w:tcPr>
            <w:tcW w:w="100" w:type="dxa"/>
            <w:vAlign w:val="bottom"/>
          </w:tcPr>
          <w:p>
            <w:pPr>
              <w:spacing w:after="0"/>
              <w:rPr>
                <w:sz w:val="21"/>
                <w:szCs w:val="21"/>
                <w:color w:val="auto"/>
              </w:rPr>
            </w:pPr>
          </w:p>
        </w:tc>
      </w:tr>
      <w:tr>
        <w:trPr>
          <w:trHeight w:val="236"/>
        </w:trPr>
        <w:tc>
          <w:tcPr>
            <w:tcW w:w="78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permanent equity</w:t>
            </w:r>
          </w:p>
        </w:tc>
        <w:tc>
          <w:tcPr>
            <w:tcW w:w="260" w:type="dxa"/>
            <w:vAlign w:val="bottom"/>
            <w:tcBorders>
              <w:bottom w:val="single" w:sz="8" w:color="auto"/>
            </w:tcBorders>
            <w:shd w:val="clear" w:color="auto" w:fill="CFF0FC"/>
          </w:tcPr>
          <w:p>
            <w:pPr>
              <w:spacing w:after="0"/>
              <w:rPr>
                <w:sz w:val="20"/>
                <w:szCs w:val="20"/>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673,326</w:t>
            </w:r>
          </w:p>
        </w:tc>
        <w:tc>
          <w:tcPr>
            <w:tcW w:w="26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spacing w:after="0"/>
              <w:rPr>
                <w:sz w:val="20"/>
                <w:szCs w:val="20"/>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678,043</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6"/>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liabilities, temporary equity and permanent equity</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1,257,191</w:t>
            </w:r>
          </w:p>
        </w:tc>
        <w:tc>
          <w:tcPr>
            <w:tcW w:w="260" w:type="dxa"/>
            <w:vAlign w:val="bottom"/>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1,357,463</w:t>
            </w:r>
          </w:p>
        </w:tc>
        <w:tc>
          <w:tcPr>
            <w:tcW w:w="100" w:type="dxa"/>
            <w:vAlign w:val="bottom"/>
          </w:tcPr>
          <w:p>
            <w:pPr>
              <w:spacing w:after="0"/>
              <w:rPr>
                <w:sz w:val="20"/>
                <w:szCs w:val="20"/>
                <w:color w:val="auto"/>
              </w:rPr>
            </w:pPr>
          </w:p>
        </w:tc>
      </w:tr>
      <w:tr>
        <w:trPr>
          <w:trHeight w:val="20"/>
        </w:trPr>
        <w:tc>
          <w:tcPr>
            <w:tcW w:w="78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5981700</wp:posOffset>
            </wp:positionH>
            <wp:positionV relativeFrom="paragraph">
              <wp:posOffset>-5170805</wp:posOffset>
            </wp:positionV>
            <wp:extent cx="6858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-5170805</wp:posOffset>
            </wp:positionV>
            <wp:extent cx="6858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5981700</wp:posOffset>
            </wp:positionH>
            <wp:positionV relativeFrom="paragraph">
              <wp:posOffset>-4237990</wp:posOffset>
            </wp:positionV>
            <wp:extent cx="6858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-4237990</wp:posOffset>
            </wp:positionV>
            <wp:extent cx="6858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5981700</wp:posOffset>
            </wp:positionH>
            <wp:positionV relativeFrom="paragraph">
              <wp:posOffset>-3278505</wp:posOffset>
            </wp:positionV>
            <wp:extent cx="6858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-3278505</wp:posOffset>
            </wp:positionV>
            <wp:extent cx="6858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5981700</wp:posOffset>
            </wp:positionH>
            <wp:positionV relativeFrom="paragraph">
              <wp:posOffset>-2653665</wp:posOffset>
            </wp:positionV>
            <wp:extent cx="6858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-2653665</wp:posOffset>
            </wp:positionV>
            <wp:extent cx="6858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5981700</wp:posOffset>
            </wp:positionH>
            <wp:positionV relativeFrom="paragraph">
              <wp:posOffset>-187960</wp:posOffset>
            </wp:positionV>
            <wp:extent cx="6858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condensed consolidated financial statements</w:t>
      </w:r>
    </w:p>
    <w:p>
      <w:pPr>
        <w:sectPr>
          <w:pgSz w:w="11900" w:h="16838" w:orient="portrait"/>
          <w:cols w:equalWidth="0" w:num="1">
            <w:col w:w="11240"/>
          </w:cols>
          <w:pgMar w:left="320" w:top="41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Corsair Gaming, Inc. | Q1 2024 Form 10-Q |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80010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4" w:right="339" w:bottom="1440" w:gutter="0" w:footer="0" w:header="0"/>
          <w:type w:val="continuous"/>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Corsair Gaming,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in thousands)</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3520" w:type="dxa"/>
            <w:vAlign w:val="bottom"/>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3200" w:type="dxa"/>
            <w:vAlign w:val="bottom"/>
            <w:tcBorders>
              <w:bottom w:val="single" w:sz="8" w:color="auto"/>
            </w:tcBorders>
            <w:gridSpan w:val="9"/>
          </w:tcPr>
          <w:p>
            <w:pPr>
              <w:ind w:left="20"/>
              <w:spacing w:after="0"/>
              <w:rPr>
                <w:sz w:val="20"/>
                <w:szCs w:val="20"/>
                <w:color w:val="auto"/>
              </w:rPr>
            </w:pPr>
            <w:r>
              <w:rPr>
                <w:rFonts w:ascii="Times New Roman" w:cs="Times New Roman" w:eastAsia="Times New Roman" w:hAnsi="Times New Roman"/>
                <w:sz w:val="16"/>
                <w:szCs w:val="16"/>
                <w:b w:val="1"/>
                <w:bCs w:val="1"/>
                <w:color w:val="auto"/>
              </w:rPr>
              <w:t>Three Months Ended March 31, 2024</w:t>
            </w:r>
          </w:p>
        </w:tc>
        <w:tc>
          <w:tcPr>
            <w:tcW w:w="1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0"/>
        </w:trPr>
        <w:tc>
          <w:tcPr>
            <w:tcW w:w="35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2"/>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w w:val="93"/>
              </w:rPr>
              <w:t>Total</w:t>
            </w: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5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2"/>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rPr>
              <w:t>Corsair</w:t>
            </w: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5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Accumulat</w:t>
            </w:r>
          </w:p>
        </w:tc>
        <w:tc>
          <w:tcPr>
            <w:tcW w:w="120" w:type="dxa"/>
            <w:vAlign w:val="bottom"/>
          </w:tcPr>
          <w:p>
            <w:pPr>
              <w:spacing w:after="0"/>
              <w:rPr>
                <w:sz w:val="17"/>
                <w:szCs w:val="17"/>
                <w:color w:val="auto"/>
              </w:rPr>
            </w:pPr>
          </w:p>
        </w:tc>
        <w:tc>
          <w:tcPr>
            <w:tcW w:w="1000" w:type="dxa"/>
            <w:vAlign w:val="bottom"/>
            <w:gridSpan w:val="2"/>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w w:val="98"/>
              </w:rPr>
              <w:t>Gaming,</w:t>
            </w:r>
          </w:p>
        </w:tc>
        <w:tc>
          <w:tcPr>
            <w:tcW w:w="1040" w:type="dxa"/>
            <w:vAlign w:val="bottom"/>
            <w:gridSpan w:val="3"/>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Nonredee</w:t>
            </w: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5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Addition</w:t>
            </w: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ed Other</w:t>
            </w:r>
          </w:p>
        </w:tc>
        <w:tc>
          <w:tcPr>
            <w:tcW w:w="120" w:type="dxa"/>
            <w:vAlign w:val="bottom"/>
          </w:tcPr>
          <w:p>
            <w:pPr>
              <w:spacing w:after="0"/>
              <w:rPr>
                <w:sz w:val="17"/>
                <w:szCs w:val="17"/>
                <w:color w:val="auto"/>
              </w:rPr>
            </w:pPr>
          </w:p>
        </w:tc>
        <w:tc>
          <w:tcPr>
            <w:tcW w:w="100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w w:val="98"/>
              </w:rPr>
              <w:t>Inc.</w:t>
            </w:r>
          </w:p>
        </w:tc>
        <w:tc>
          <w:tcPr>
            <w:tcW w:w="120" w:type="dxa"/>
            <w:vAlign w:val="bottom"/>
          </w:tcPr>
          <w:p>
            <w:pPr>
              <w:spacing w:after="0"/>
              <w:rPr>
                <w:sz w:val="17"/>
                <w:szCs w:val="17"/>
                <w:color w:val="auto"/>
              </w:rPr>
            </w:pPr>
          </w:p>
        </w:tc>
        <w:tc>
          <w:tcPr>
            <w:tcW w:w="92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mable</w:t>
            </w: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520" w:type="dxa"/>
            <w:vAlign w:val="bottom"/>
          </w:tcPr>
          <w:p>
            <w:pPr>
              <w:spacing w:after="0"/>
              <w:rPr>
                <w:sz w:val="17"/>
                <w:szCs w:val="17"/>
                <w:color w:val="auto"/>
              </w:rPr>
            </w:pPr>
          </w:p>
        </w:tc>
        <w:tc>
          <w:tcPr>
            <w:tcW w:w="1360" w:type="dxa"/>
            <w:vAlign w:val="bottom"/>
            <w:gridSpan w:val="4"/>
            <w:vMerge w:val="restart"/>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gridSpan w:val="2"/>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w w:val="95"/>
              </w:rPr>
              <w:t>al</w:t>
            </w: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gridSpan w:val="3"/>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Comprehe</w:t>
            </w:r>
          </w:p>
        </w:tc>
        <w:tc>
          <w:tcPr>
            <w:tcW w:w="1120" w:type="dxa"/>
            <w:vAlign w:val="bottom"/>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Stockholder</w:t>
            </w:r>
          </w:p>
        </w:tc>
        <w:tc>
          <w:tcPr>
            <w:tcW w:w="1040" w:type="dxa"/>
            <w:vAlign w:val="bottom"/>
            <w:gridSpan w:val="3"/>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Noncontrol</w:t>
            </w:r>
          </w:p>
        </w:tc>
        <w:tc>
          <w:tcPr>
            <w:tcW w:w="140" w:type="dxa"/>
            <w:vAlign w:val="bottom"/>
          </w:tcPr>
          <w:p>
            <w:pPr>
              <w:spacing w:after="0"/>
              <w:rPr>
                <w:sz w:val="17"/>
                <w:szCs w:val="17"/>
                <w:color w:val="auto"/>
              </w:rPr>
            </w:pPr>
          </w:p>
        </w:tc>
        <w:tc>
          <w:tcPr>
            <w:tcW w:w="84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8"/>
              </w:rPr>
              <w:t>Total</w:t>
            </w:r>
          </w:p>
        </w:tc>
        <w:tc>
          <w:tcPr>
            <w:tcW w:w="0" w:type="dxa"/>
            <w:vAlign w:val="bottom"/>
          </w:tcPr>
          <w:p>
            <w:pPr>
              <w:spacing w:after="0"/>
              <w:rPr>
                <w:sz w:val="1"/>
                <w:szCs w:val="1"/>
                <w:color w:val="auto"/>
              </w:rPr>
            </w:pPr>
          </w:p>
        </w:tc>
      </w:tr>
      <w:tr>
        <w:trPr>
          <w:trHeight w:val="220"/>
        </w:trPr>
        <w:tc>
          <w:tcPr>
            <w:tcW w:w="3520" w:type="dxa"/>
            <w:vAlign w:val="bottom"/>
          </w:tcPr>
          <w:p>
            <w:pPr>
              <w:spacing w:after="0"/>
              <w:rPr>
                <w:sz w:val="18"/>
                <w:szCs w:val="18"/>
                <w:color w:val="auto"/>
              </w:rPr>
            </w:pPr>
          </w:p>
        </w:tc>
        <w:tc>
          <w:tcPr>
            <w:tcW w:w="1360" w:type="dxa"/>
            <w:vAlign w:val="bottom"/>
            <w:tcBorders>
              <w:bottom w:val="single" w:sz="8" w:color="auto"/>
            </w:tcBorders>
            <w:gridSpan w:val="4"/>
            <w:vMerge w:val="continue"/>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gridSpan w:val="3"/>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Paid-in</w:t>
            </w:r>
          </w:p>
        </w:tc>
        <w:tc>
          <w:tcPr>
            <w:tcW w:w="100" w:type="dxa"/>
            <w:vAlign w:val="bottom"/>
          </w:tcPr>
          <w:p>
            <w:pPr>
              <w:spacing w:after="0"/>
              <w:rPr>
                <w:sz w:val="18"/>
                <w:szCs w:val="18"/>
                <w:color w:val="auto"/>
              </w:rPr>
            </w:pPr>
          </w:p>
        </w:tc>
        <w:tc>
          <w:tcPr>
            <w:tcW w:w="94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w w:val="97"/>
              </w:rPr>
              <w:t>Retained</w:t>
            </w:r>
          </w:p>
        </w:tc>
        <w:tc>
          <w:tcPr>
            <w:tcW w:w="100" w:type="dxa"/>
            <w:vAlign w:val="bottom"/>
          </w:tcPr>
          <w:p>
            <w:pPr>
              <w:spacing w:after="0"/>
              <w:rPr>
                <w:sz w:val="18"/>
                <w:szCs w:val="18"/>
                <w:color w:val="auto"/>
              </w:rPr>
            </w:pPr>
          </w:p>
        </w:tc>
        <w:tc>
          <w:tcPr>
            <w:tcW w:w="94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7"/>
              </w:rPr>
              <w:t>nsive</w:t>
            </w:r>
          </w:p>
        </w:tc>
        <w:tc>
          <w:tcPr>
            <w:tcW w:w="120" w:type="dxa"/>
            <w:vAlign w:val="bottom"/>
          </w:tcPr>
          <w:p>
            <w:pPr>
              <w:spacing w:after="0"/>
              <w:rPr>
                <w:sz w:val="18"/>
                <w:szCs w:val="18"/>
                <w:color w:val="auto"/>
              </w:rPr>
            </w:pPr>
          </w:p>
        </w:tc>
        <w:tc>
          <w:tcPr>
            <w:tcW w:w="100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w w:val="86"/>
              </w:rPr>
              <w:t>s’</w:t>
            </w:r>
          </w:p>
        </w:tc>
        <w:tc>
          <w:tcPr>
            <w:tcW w:w="120" w:type="dxa"/>
            <w:vAlign w:val="bottom"/>
          </w:tcPr>
          <w:p>
            <w:pPr>
              <w:spacing w:after="0"/>
              <w:rPr>
                <w:sz w:val="18"/>
                <w:szCs w:val="18"/>
                <w:color w:val="auto"/>
              </w:rPr>
            </w:pPr>
          </w:p>
        </w:tc>
        <w:tc>
          <w:tcPr>
            <w:tcW w:w="92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ling</w:t>
            </w:r>
          </w:p>
        </w:tc>
        <w:tc>
          <w:tcPr>
            <w:tcW w:w="98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Permanent</w:t>
            </w:r>
          </w:p>
        </w:tc>
        <w:tc>
          <w:tcPr>
            <w:tcW w:w="0" w:type="dxa"/>
            <w:vAlign w:val="bottom"/>
          </w:tcPr>
          <w:p>
            <w:pPr>
              <w:spacing w:after="0"/>
              <w:rPr>
                <w:sz w:val="1"/>
                <w:szCs w:val="1"/>
                <w:color w:val="auto"/>
              </w:rPr>
            </w:pPr>
          </w:p>
        </w:tc>
      </w:tr>
      <w:tr>
        <w:trPr>
          <w:trHeight w:val="196"/>
        </w:trPr>
        <w:tc>
          <w:tcPr>
            <w:tcW w:w="35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4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w w:val="98"/>
              </w:rPr>
              <w:t>Amoun</w:t>
            </w: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3520" w:type="dxa"/>
            <w:vAlign w:val="bottom"/>
          </w:tcPr>
          <w:p>
            <w:pPr>
              <w:spacing w:after="0"/>
              <w:rPr>
                <w:sz w:val="19"/>
                <w:szCs w:val="19"/>
                <w:color w:val="auto"/>
              </w:rPr>
            </w:pPr>
          </w:p>
        </w:tc>
        <w:tc>
          <w:tcPr>
            <w:tcW w:w="82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80" w:type="dxa"/>
            <w:vAlign w:val="bottom"/>
          </w:tcPr>
          <w:p>
            <w:pPr>
              <w:spacing w:after="0"/>
              <w:rPr>
                <w:sz w:val="19"/>
                <w:szCs w:val="19"/>
                <w:color w:val="auto"/>
              </w:rPr>
            </w:pPr>
          </w:p>
        </w:tc>
        <w:tc>
          <w:tcPr>
            <w:tcW w:w="360" w:type="dxa"/>
            <w:vAlign w:val="bottom"/>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t</w:t>
            </w:r>
          </w:p>
        </w:tc>
        <w:tc>
          <w:tcPr>
            <w:tcW w:w="260" w:type="dxa"/>
            <w:vAlign w:val="bottom"/>
          </w:tcPr>
          <w:p>
            <w:pPr>
              <w:spacing w:after="0"/>
              <w:rPr>
                <w:sz w:val="19"/>
                <w:szCs w:val="19"/>
                <w:color w:val="auto"/>
              </w:rPr>
            </w:pPr>
          </w:p>
        </w:tc>
        <w:tc>
          <w:tcPr>
            <w:tcW w:w="880" w:type="dxa"/>
            <w:vAlign w:val="bottom"/>
            <w:gridSpan w:val="3"/>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Capital</w:t>
            </w:r>
          </w:p>
        </w:tc>
        <w:tc>
          <w:tcPr>
            <w:tcW w:w="100" w:type="dxa"/>
            <w:vAlign w:val="bottom"/>
          </w:tcPr>
          <w:p>
            <w:pPr>
              <w:spacing w:after="0"/>
              <w:rPr>
                <w:sz w:val="19"/>
                <w:szCs w:val="19"/>
                <w:color w:val="auto"/>
              </w:rPr>
            </w:pPr>
          </w:p>
        </w:tc>
        <w:tc>
          <w:tcPr>
            <w:tcW w:w="94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w w:val="96"/>
              </w:rPr>
              <w:t>Earnings</w:t>
            </w:r>
          </w:p>
        </w:tc>
        <w:tc>
          <w:tcPr>
            <w:tcW w:w="100" w:type="dxa"/>
            <w:vAlign w:val="bottom"/>
          </w:tcPr>
          <w:p>
            <w:pPr>
              <w:spacing w:after="0"/>
              <w:rPr>
                <w:sz w:val="19"/>
                <w:szCs w:val="19"/>
                <w:color w:val="auto"/>
              </w:rPr>
            </w:pPr>
          </w:p>
        </w:tc>
        <w:tc>
          <w:tcPr>
            <w:tcW w:w="94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6"/>
              </w:rPr>
              <w:t>Loss</w:t>
            </w:r>
          </w:p>
        </w:tc>
        <w:tc>
          <w:tcPr>
            <w:tcW w:w="120" w:type="dxa"/>
            <w:vAlign w:val="bottom"/>
          </w:tcPr>
          <w:p>
            <w:pPr>
              <w:spacing w:after="0"/>
              <w:rPr>
                <w:sz w:val="19"/>
                <w:szCs w:val="19"/>
                <w:color w:val="auto"/>
              </w:rPr>
            </w:pPr>
          </w:p>
        </w:tc>
        <w:tc>
          <w:tcPr>
            <w:tcW w:w="100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w w:val="99"/>
              </w:rPr>
              <w:t>Equity</w:t>
            </w:r>
          </w:p>
        </w:tc>
        <w:tc>
          <w:tcPr>
            <w:tcW w:w="120" w:type="dxa"/>
            <w:vAlign w:val="bottom"/>
          </w:tcPr>
          <w:p>
            <w:pPr>
              <w:spacing w:after="0"/>
              <w:rPr>
                <w:sz w:val="19"/>
                <w:szCs w:val="19"/>
                <w:color w:val="auto"/>
              </w:rPr>
            </w:pPr>
          </w:p>
        </w:tc>
        <w:tc>
          <w:tcPr>
            <w:tcW w:w="92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Interest</w:t>
            </w:r>
          </w:p>
        </w:tc>
        <w:tc>
          <w:tcPr>
            <w:tcW w:w="140" w:type="dxa"/>
            <w:vAlign w:val="bottom"/>
          </w:tcPr>
          <w:p>
            <w:pPr>
              <w:spacing w:after="0"/>
              <w:rPr>
                <w:sz w:val="19"/>
                <w:szCs w:val="19"/>
                <w:color w:val="auto"/>
              </w:rPr>
            </w:pPr>
          </w:p>
        </w:tc>
        <w:tc>
          <w:tcPr>
            <w:tcW w:w="84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Equity</w:t>
            </w:r>
          </w:p>
        </w:tc>
        <w:tc>
          <w:tcPr>
            <w:tcW w:w="0" w:type="dxa"/>
            <w:vAlign w:val="bottom"/>
          </w:tcPr>
          <w:p>
            <w:pPr>
              <w:spacing w:after="0"/>
              <w:rPr>
                <w:sz w:val="1"/>
                <w:szCs w:val="1"/>
                <w:color w:val="auto"/>
              </w:rPr>
            </w:pPr>
          </w:p>
        </w:tc>
      </w:tr>
      <w:tr>
        <w:trPr>
          <w:trHeight w:val="229"/>
        </w:trPr>
        <w:tc>
          <w:tcPr>
            <w:tcW w:w="3520" w:type="dxa"/>
            <w:vAlign w:val="bottom"/>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3520" w:type="dxa"/>
            <w:vAlign w:val="bottom"/>
            <w:shd w:val="clear" w:color="auto" w:fill="CFF0FC"/>
          </w:tcPr>
          <w:p>
            <w:pPr>
              <w:spacing w:after="0"/>
              <w:rPr>
                <w:sz w:val="17"/>
                <w:szCs w:val="17"/>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103,25</w:t>
            </w:r>
          </w:p>
        </w:tc>
        <w:tc>
          <w:tcPr>
            <w:tcW w:w="2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630,64</w:t>
            </w: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Balance as of December 31, 2023</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40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40,410</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(3,487 )</w:t>
            </w:r>
          </w:p>
        </w:tc>
        <w:tc>
          <w:tcPr>
            <w:tcW w:w="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667,575</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10,468</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678,043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35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Net income (loss)</w:t>
            </w: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(11,565 )</w:t>
            </w:r>
          </w:p>
        </w:tc>
        <w:tc>
          <w:tcPr>
            <w:tcW w:w="100" w:type="dxa"/>
            <w:vAlign w:val="bottom"/>
          </w:tcPr>
          <w:p>
            <w:pPr>
              <w:spacing w:after="0"/>
              <w:rPr>
                <w:sz w:val="19"/>
                <w:szCs w:val="19"/>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(11,565 )</w:t>
            </w: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219</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(11,346 )</w:t>
            </w:r>
          </w:p>
        </w:tc>
        <w:tc>
          <w:tcPr>
            <w:tcW w:w="0" w:type="dxa"/>
            <w:vAlign w:val="bottom"/>
          </w:tcPr>
          <w:p>
            <w:pPr>
              <w:spacing w:after="0"/>
              <w:rPr>
                <w:sz w:val="1"/>
                <w:szCs w:val="1"/>
                <w:color w:val="auto"/>
              </w:rPr>
            </w:pPr>
          </w:p>
        </w:tc>
      </w:tr>
      <w:tr>
        <w:trPr>
          <w:trHeight w:val="239"/>
        </w:trPr>
        <w:tc>
          <w:tcPr>
            <w:tcW w:w="35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Other comprehensive loss</w:t>
            </w:r>
          </w:p>
        </w:tc>
        <w:tc>
          <w:tcPr>
            <w:tcW w:w="8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20"/>
                <w:szCs w:val="20"/>
                <w:color w:val="auto"/>
              </w:rPr>
            </w:pP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7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20"/>
                <w:szCs w:val="20"/>
                <w:color w:val="auto"/>
              </w:rPr>
            </w:pPr>
          </w:p>
        </w:tc>
        <w:tc>
          <w:tcPr>
            <w:tcW w:w="9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20"/>
                <w:szCs w:val="20"/>
                <w:color w:val="auto"/>
              </w:rPr>
            </w:pPr>
          </w:p>
        </w:tc>
        <w:tc>
          <w:tcPr>
            <w:tcW w:w="9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(1,147 )</w:t>
            </w:r>
          </w:p>
        </w:tc>
        <w:tc>
          <w:tcPr>
            <w:tcW w:w="120" w:type="dxa"/>
            <w:vAlign w:val="bottom"/>
            <w:shd w:val="clear" w:color="auto" w:fill="CFF0FC"/>
          </w:tcPr>
          <w:p>
            <w:pPr>
              <w:spacing w:after="0"/>
              <w:rPr>
                <w:sz w:val="20"/>
                <w:szCs w:val="20"/>
                <w:color w:val="auto"/>
              </w:rPr>
            </w:pPr>
          </w:p>
        </w:tc>
        <w:tc>
          <w:tcPr>
            <w:tcW w:w="10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(1,147 )</w:t>
            </w:r>
          </w:p>
        </w:tc>
        <w:tc>
          <w:tcPr>
            <w:tcW w:w="120" w:type="dxa"/>
            <w:vAlign w:val="bottom"/>
            <w:shd w:val="clear" w:color="auto" w:fill="CFF0FC"/>
          </w:tcPr>
          <w:p>
            <w:pPr>
              <w:spacing w:after="0"/>
              <w:rPr>
                <w:sz w:val="20"/>
                <w:szCs w:val="20"/>
                <w:color w:val="auto"/>
              </w:rPr>
            </w:pPr>
          </w:p>
        </w:tc>
        <w:tc>
          <w:tcPr>
            <w:tcW w:w="9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(100 )</w:t>
            </w:r>
          </w:p>
        </w:tc>
        <w:tc>
          <w:tcPr>
            <w:tcW w:w="140" w:type="dxa"/>
            <w:vAlign w:val="bottom"/>
            <w:shd w:val="clear" w:color="auto" w:fill="CFF0FC"/>
          </w:tcPr>
          <w:p>
            <w:pPr>
              <w:spacing w:after="0"/>
              <w:rPr>
                <w:sz w:val="20"/>
                <w:szCs w:val="20"/>
                <w:color w:val="auto"/>
              </w:rPr>
            </w:pPr>
          </w:p>
        </w:tc>
        <w:tc>
          <w:tcPr>
            <w:tcW w:w="8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(1,247 )</w:t>
            </w:r>
          </w:p>
        </w:tc>
        <w:tc>
          <w:tcPr>
            <w:tcW w:w="0" w:type="dxa"/>
            <w:vAlign w:val="bottom"/>
          </w:tcPr>
          <w:p>
            <w:pPr>
              <w:spacing w:after="0"/>
              <w:rPr>
                <w:sz w:val="1"/>
                <w:szCs w:val="1"/>
                <w:color w:val="auto"/>
              </w:rPr>
            </w:pPr>
          </w:p>
        </w:tc>
      </w:tr>
      <w:tr>
        <w:trPr>
          <w:trHeight w:val="202"/>
        </w:trPr>
        <w:tc>
          <w:tcPr>
            <w:tcW w:w="35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Change in redemption value of redeemable</w:t>
            </w:r>
          </w:p>
        </w:tc>
        <w:tc>
          <w:tcPr>
            <w:tcW w:w="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35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noncontrolling interest</w:t>
            </w: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(975 )</w:t>
            </w:r>
          </w:p>
        </w:tc>
        <w:tc>
          <w:tcPr>
            <w:tcW w:w="100" w:type="dxa"/>
            <w:vAlign w:val="bottom"/>
          </w:tcPr>
          <w:p>
            <w:pPr>
              <w:spacing w:after="0"/>
              <w:rPr>
                <w:sz w:val="19"/>
                <w:szCs w:val="19"/>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(975 )</w:t>
            </w:r>
          </w:p>
        </w:tc>
        <w:tc>
          <w:tcPr>
            <w:tcW w:w="120" w:type="dxa"/>
            <w:vAlign w:val="bottom"/>
          </w:tcPr>
          <w:p>
            <w:pPr>
              <w:spacing w:after="0"/>
              <w:rPr>
                <w:sz w:val="19"/>
                <w:szCs w:val="19"/>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9"/>
                <w:szCs w:val="19"/>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(975 )</w:t>
            </w:r>
          </w:p>
        </w:tc>
        <w:tc>
          <w:tcPr>
            <w:tcW w:w="0" w:type="dxa"/>
            <w:vAlign w:val="bottom"/>
          </w:tcPr>
          <w:p>
            <w:pPr>
              <w:spacing w:after="0"/>
              <w:rPr>
                <w:sz w:val="1"/>
                <w:szCs w:val="1"/>
                <w:color w:val="auto"/>
              </w:rPr>
            </w:pPr>
          </w:p>
        </w:tc>
      </w:tr>
      <w:tr>
        <w:trPr>
          <w:trHeight w:val="212"/>
        </w:trPr>
        <w:tc>
          <w:tcPr>
            <w:tcW w:w="35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Dividend paid to nonredeemable noncontrolling</w:t>
            </w:r>
          </w:p>
        </w:tc>
        <w:tc>
          <w:tcPr>
            <w:tcW w:w="5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5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interest</w:t>
            </w:r>
          </w:p>
        </w:tc>
        <w:tc>
          <w:tcPr>
            <w:tcW w:w="8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19"/>
                <w:szCs w:val="19"/>
                <w:color w:val="auto"/>
              </w:rPr>
            </w:pP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(800 )</w:t>
            </w:r>
          </w:p>
        </w:tc>
        <w:tc>
          <w:tcPr>
            <w:tcW w:w="14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(800 )</w:t>
            </w:r>
          </w:p>
        </w:tc>
        <w:tc>
          <w:tcPr>
            <w:tcW w:w="0" w:type="dxa"/>
            <w:vAlign w:val="bottom"/>
          </w:tcPr>
          <w:p>
            <w:pPr>
              <w:spacing w:after="0"/>
              <w:rPr>
                <w:sz w:val="1"/>
                <w:szCs w:val="1"/>
                <w:color w:val="auto"/>
              </w:rPr>
            </w:pPr>
          </w:p>
        </w:tc>
      </w:tr>
      <w:tr>
        <w:trPr>
          <w:trHeight w:val="202"/>
        </w:trPr>
        <w:tc>
          <w:tcPr>
            <w:tcW w:w="35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Issuance of common stock in connection with</w:t>
            </w:r>
          </w:p>
        </w:tc>
        <w:tc>
          <w:tcPr>
            <w:tcW w:w="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35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employee equity incentive plans</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633</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2,351</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2,351</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2,351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35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Shares withheld related to net share settlement</w:t>
            </w:r>
          </w:p>
        </w:tc>
        <w:tc>
          <w:tcPr>
            <w:tcW w:w="8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(29 )</w:t>
            </w:r>
          </w:p>
        </w:tc>
        <w:tc>
          <w:tcPr>
            <w:tcW w:w="180" w:type="dxa"/>
            <w:vAlign w:val="bottom"/>
            <w:shd w:val="clear" w:color="auto" w:fill="CFF0FC"/>
          </w:tcPr>
          <w:p>
            <w:pPr>
              <w:spacing w:after="0"/>
              <w:rPr>
                <w:sz w:val="20"/>
                <w:szCs w:val="20"/>
                <w:color w:val="auto"/>
              </w:rPr>
            </w:pP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7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(398 )</w:t>
            </w:r>
          </w:p>
        </w:tc>
        <w:tc>
          <w:tcPr>
            <w:tcW w:w="100" w:type="dxa"/>
            <w:vAlign w:val="bottom"/>
            <w:shd w:val="clear" w:color="auto" w:fill="CFF0FC"/>
          </w:tcPr>
          <w:p>
            <w:pPr>
              <w:spacing w:after="0"/>
              <w:rPr>
                <w:sz w:val="20"/>
                <w:szCs w:val="20"/>
                <w:color w:val="auto"/>
              </w:rPr>
            </w:pPr>
          </w:p>
        </w:tc>
        <w:tc>
          <w:tcPr>
            <w:tcW w:w="9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20"/>
                <w:szCs w:val="20"/>
                <w:color w:val="auto"/>
              </w:rPr>
            </w:pPr>
          </w:p>
        </w:tc>
        <w:tc>
          <w:tcPr>
            <w:tcW w:w="9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20"/>
                <w:szCs w:val="20"/>
                <w:color w:val="auto"/>
              </w:rPr>
            </w:pPr>
          </w:p>
        </w:tc>
        <w:tc>
          <w:tcPr>
            <w:tcW w:w="10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(398 )</w:t>
            </w:r>
          </w:p>
        </w:tc>
        <w:tc>
          <w:tcPr>
            <w:tcW w:w="120" w:type="dxa"/>
            <w:vAlign w:val="bottom"/>
            <w:shd w:val="clear" w:color="auto" w:fill="CFF0FC"/>
          </w:tcPr>
          <w:p>
            <w:pPr>
              <w:spacing w:after="0"/>
              <w:rPr>
                <w:sz w:val="20"/>
                <w:szCs w:val="20"/>
                <w:color w:val="auto"/>
              </w:rPr>
            </w:pPr>
          </w:p>
        </w:tc>
        <w:tc>
          <w:tcPr>
            <w:tcW w:w="9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spacing w:after="0"/>
              <w:rPr>
                <w:sz w:val="20"/>
                <w:szCs w:val="20"/>
                <w:color w:val="auto"/>
              </w:rPr>
            </w:pPr>
          </w:p>
        </w:tc>
        <w:tc>
          <w:tcPr>
            <w:tcW w:w="8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(398 )</w:t>
            </w:r>
          </w:p>
        </w:tc>
        <w:tc>
          <w:tcPr>
            <w:tcW w:w="0" w:type="dxa"/>
            <w:vAlign w:val="bottom"/>
          </w:tcPr>
          <w:p>
            <w:pPr>
              <w:spacing w:after="0"/>
              <w:rPr>
                <w:sz w:val="1"/>
                <w:szCs w:val="1"/>
                <w:color w:val="auto"/>
              </w:rPr>
            </w:pPr>
          </w:p>
        </w:tc>
      </w:tr>
      <w:tr>
        <w:trPr>
          <w:trHeight w:val="226"/>
        </w:trPr>
        <w:tc>
          <w:tcPr>
            <w:tcW w:w="35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Stock-based compensation</w:t>
            </w: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7,698</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7,698</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7,698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3520" w:type="dxa"/>
            <w:vAlign w:val="bottom"/>
            <w:shd w:val="clear" w:color="auto" w:fill="CFF0FC"/>
          </w:tcPr>
          <w:p>
            <w:pPr>
              <w:spacing w:after="0"/>
              <w:rPr>
                <w:sz w:val="17"/>
                <w:szCs w:val="17"/>
                <w:color w:val="auto"/>
              </w:rPr>
            </w:pPr>
          </w:p>
        </w:tc>
        <w:tc>
          <w:tcPr>
            <w:tcW w:w="5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103,85</w:t>
            </w:r>
          </w:p>
        </w:tc>
        <w:tc>
          <w:tcPr>
            <w:tcW w:w="240" w:type="dxa"/>
            <w:vAlign w:val="bottom"/>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360" w:type="dxa"/>
            <w:vAlign w:val="bottom"/>
            <w:tcBorders>
              <w:top w:val="single" w:sz="8" w:color="auto"/>
            </w:tcBorders>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5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640,29</w:t>
            </w:r>
          </w:p>
        </w:tc>
        <w:tc>
          <w:tcPr>
            <w:tcW w:w="220" w:type="dxa"/>
            <w:vAlign w:val="bottom"/>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720" w:type="dxa"/>
            <w:vAlign w:val="bottom"/>
            <w:tcBorders>
              <w:top w:val="single" w:sz="8" w:color="auto"/>
            </w:tcBorders>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720" w:type="dxa"/>
            <w:vAlign w:val="bottom"/>
            <w:tcBorders>
              <w:top w:val="single" w:sz="8" w:color="auto"/>
            </w:tcBorders>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780" w:type="dxa"/>
            <w:vAlign w:val="bottom"/>
            <w:tcBorders>
              <w:top w:val="single" w:sz="8" w:color="auto"/>
            </w:tcBorders>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700" w:type="dxa"/>
            <w:vAlign w:val="bottom"/>
            <w:tcBorders>
              <w:top w:val="single" w:sz="8" w:color="auto"/>
            </w:tcBorders>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740" w:type="dxa"/>
            <w:vAlign w:val="bottom"/>
            <w:tcBorders>
              <w:top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3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Balance as of March 31, 2024</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240" w:type="dxa"/>
            <w:vAlign w:val="bottom"/>
            <w:shd w:val="clear" w:color="auto" w:fill="CFF0FC"/>
          </w:tcPr>
          <w:p>
            <w:pPr>
              <w:spacing w:after="0"/>
              <w:rPr>
                <w:sz w:val="21"/>
                <w:szCs w:val="21"/>
                <w:color w:val="auto"/>
              </w:rPr>
            </w:pPr>
          </w:p>
        </w:tc>
        <w:tc>
          <w:tcPr>
            <w:tcW w:w="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2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220" w:type="dxa"/>
            <w:vAlign w:val="bottom"/>
            <w:shd w:val="clear" w:color="auto" w:fill="CFF0FC"/>
          </w:tcPr>
          <w:p>
            <w:pPr>
              <w:spacing w:after="0"/>
              <w:rPr>
                <w:sz w:val="21"/>
                <w:szCs w:val="21"/>
                <w:color w:val="auto"/>
              </w:rPr>
            </w:pPr>
          </w:p>
        </w:tc>
        <w:tc>
          <w:tcPr>
            <w:tcW w:w="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27,870</w:t>
            </w:r>
          </w:p>
        </w:tc>
        <w:tc>
          <w:tcPr>
            <w:tcW w:w="220" w:type="dxa"/>
            <w:vAlign w:val="bottom"/>
            <w:shd w:val="clear" w:color="auto" w:fill="CFF0FC"/>
          </w:tcPr>
          <w:p>
            <w:pPr>
              <w:spacing w:after="0"/>
              <w:rPr>
                <w:sz w:val="21"/>
                <w:szCs w:val="21"/>
                <w:color w:val="auto"/>
              </w:rPr>
            </w:pPr>
          </w:p>
        </w:tc>
        <w:tc>
          <w:tcPr>
            <w:tcW w:w="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(4,634 )</w:t>
            </w:r>
          </w:p>
        </w:tc>
        <w:tc>
          <w:tcPr>
            <w:tcW w:w="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663,539</w:t>
            </w:r>
          </w:p>
        </w:tc>
        <w:tc>
          <w:tcPr>
            <w:tcW w:w="220" w:type="dxa"/>
            <w:vAlign w:val="bottom"/>
            <w:shd w:val="clear" w:color="auto" w:fill="CFF0FC"/>
          </w:tcPr>
          <w:p>
            <w:pPr>
              <w:spacing w:after="0"/>
              <w:rPr>
                <w:sz w:val="21"/>
                <w:szCs w:val="21"/>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9,787</w:t>
            </w:r>
          </w:p>
        </w:tc>
        <w:tc>
          <w:tcPr>
            <w:tcW w:w="220" w:type="dxa"/>
            <w:vAlign w:val="bottom"/>
            <w:shd w:val="clear" w:color="auto" w:fill="CFF0FC"/>
          </w:tcPr>
          <w:p>
            <w:pPr>
              <w:spacing w:after="0"/>
              <w:rPr>
                <w:sz w:val="21"/>
                <w:szCs w:val="21"/>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673,326</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520" w:type="dxa"/>
            <w:vAlign w:val="bottom"/>
            <w:tcBorders>
              <w:top w:val="single" w:sz="8" w:color="CFF0FC"/>
            </w:tcBorders>
            <w:shd w:val="clear" w:color="auto" w:fill="CFF0FC"/>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7"/>
        </w:trPr>
        <w:tc>
          <w:tcPr>
            <w:tcW w:w="3520" w:type="dxa"/>
            <w:vAlign w:val="bottom"/>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200" w:type="dxa"/>
            <w:vAlign w:val="bottom"/>
            <w:tcBorders>
              <w:bottom w:val="single" w:sz="8" w:color="auto"/>
            </w:tcBorders>
            <w:gridSpan w:val="9"/>
          </w:tcPr>
          <w:p>
            <w:pPr>
              <w:ind w:left="20"/>
              <w:spacing w:after="0"/>
              <w:rPr>
                <w:sz w:val="20"/>
                <w:szCs w:val="20"/>
                <w:color w:val="auto"/>
              </w:rPr>
            </w:pPr>
            <w:r>
              <w:rPr>
                <w:rFonts w:ascii="Times New Roman" w:cs="Times New Roman" w:eastAsia="Times New Roman" w:hAnsi="Times New Roman"/>
                <w:sz w:val="16"/>
                <w:szCs w:val="16"/>
                <w:b w:val="1"/>
                <w:bCs w:val="1"/>
                <w:color w:val="auto"/>
              </w:rPr>
              <w:t>Three Months Ended March 31, 2023</w:t>
            </w:r>
          </w:p>
        </w:tc>
        <w:tc>
          <w:tcPr>
            <w:tcW w:w="1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0"/>
        </w:trPr>
        <w:tc>
          <w:tcPr>
            <w:tcW w:w="35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2"/>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w w:val="93"/>
              </w:rPr>
              <w:t>Total</w:t>
            </w: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5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2"/>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rPr>
              <w:t>Corsair</w:t>
            </w: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5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gridSpan w:val="3"/>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9"/>
              </w:rPr>
              <w:t>Accumulat</w:t>
            </w:r>
          </w:p>
        </w:tc>
        <w:tc>
          <w:tcPr>
            <w:tcW w:w="120" w:type="dxa"/>
            <w:vAlign w:val="bottom"/>
          </w:tcPr>
          <w:p>
            <w:pPr>
              <w:spacing w:after="0"/>
              <w:rPr>
                <w:sz w:val="17"/>
                <w:szCs w:val="17"/>
                <w:color w:val="auto"/>
              </w:rPr>
            </w:pPr>
          </w:p>
        </w:tc>
        <w:tc>
          <w:tcPr>
            <w:tcW w:w="1000" w:type="dxa"/>
            <w:vAlign w:val="bottom"/>
            <w:gridSpan w:val="2"/>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w w:val="98"/>
              </w:rPr>
              <w:t>Gaming,</w:t>
            </w:r>
          </w:p>
        </w:tc>
        <w:tc>
          <w:tcPr>
            <w:tcW w:w="1040" w:type="dxa"/>
            <w:vAlign w:val="bottom"/>
            <w:gridSpan w:val="3"/>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Nonredee</w:t>
            </w: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5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gridSpan w:val="3"/>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Addition</w:t>
            </w: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ed Other</w:t>
            </w:r>
          </w:p>
        </w:tc>
        <w:tc>
          <w:tcPr>
            <w:tcW w:w="120" w:type="dxa"/>
            <w:vAlign w:val="bottom"/>
          </w:tcPr>
          <w:p>
            <w:pPr>
              <w:spacing w:after="0"/>
              <w:rPr>
                <w:sz w:val="17"/>
                <w:szCs w:val="17"/>
                <w:color w:val="auto"/>
              </w:rPr>
            </w:pPr>
          </w:p>
        </w:tc>
        <w:tc>
          <w:tcPr>
            <w:tcW w:w="100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w w:val="98"/>
              </w:rPr>
              <w:t>Inc.</w:t>
            </w:r>
          </w:p>
        </w:tc>
        <w:tc>
          <w:tcPr>
            <w:tcW w:w="120" w:type="dxa"/>
            <w:vAlign w:val="bottom"/>
          </w:tcPr>
          <w:p>
            <w:pPr>
              <w:spacing w:after="0"/>
              <w:rPr>
                <w:sz w:val="17"/>
                <w:szCs w:val="17"/>
                <w:color w:val="auto"/>
              </w:rPr>
            </w:pPr>
          </w:p>
        </w:tc>
        <w:tc>
          <w:tcPr>
            <w:tcW w:w="92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mable</w:t>
            </w: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520" w:type="dxa"/>
            <w:vAlign w:val="bottom"/>
          </w:tcPr>
          <w:p>
            <w:pPr>
              <w:spacing w:after="0"/>
              <w:rPr>
                <w:sz w:val="17"/>
                <w:szCs w:val="17"/>
                <w:color w:val="auto"/>
              </w:rPr>
            </w:pPr>
          </w:p>
        </w:tc>
        <w:tc>
          <w:tcPr>
            <w:tcW w:w="1360" w:type="dxa"/>
            <w:vAlign w:val="bottom"/>
            <w:gridSpan w:val="4"/>
            <w:vMerge w:val="restart"/>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gridSpan w:val="2"/>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w w:val="95"/>
              </w:rPr>
              <w:t>al</w:t>
            </w: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gridSpan w:val="3"/>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Comprehe</w:t>
            </w:r>
          </w:p>
        </w:tc>
        <w:tc>
          <w:tcPr>
            <w:tcW w:w="1120" w:type="dxa"/>
            <w:vAlign w:val="bottom"/>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Stockholder</w:t>
            </w:r>
          </w:p>
        </w:tc>
        <w:tc>
          <w:tcPr>
            <w:tcW w:w="1040" w:type="dxa"/>
            <w:vAlign w:val="bottom"/>
            <w:gridSpan w:val="3"/>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Noncontrol</w:t>
            </w:r>
          </w:p>
        </w:tc>
        <w:tc>
          <w:tcPr>
            <w:tcW w:w="140" w:type="dxa"/>
            <w:vAlign w:val="bottom"/>
          </w:tcPr>
          <w:p>
            <w:pPr>
              <w:spacing w:after="0"/>
              <w:rPr>
                <w:sz w:val="17"/>
                <w:szCs w:val="17"/>
                <w:color w:val="auto"/>
              </w:rPr>
            </w:pPr>
          </w:p>
        </w:tc>
        <w:tc>
          <w:tcPr>
            <w:tcW w:w="84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8"/>
              </w:rPr>
              <w:t>Total</w:t>
            </w:r>
          </w:p>
        </w:tc>
        <w:tc>
          <w:tcPr>
            <w:tcW w:w="0" w:type="dxa"/>
            <w:vAlign w:val="bottom"/>
          </w:tcPr>
          <w:p>
            <w:pPr>
              <w:spacing w:after="0"/>
              <w:rPr>
                <w:sz w:val="1"/>
                <w:szCs w:val="1"/>
                <w:color w:val="auto"/>
              </w:rPr>
            </w:pPr>
          </w:p>
        </w:tc>
      </w:tr>
      <w:tr>
        <w:trPr>
          <w:trHeight w:val="220"/>
        </w:trPr>
        <w:tc>
          <w:tcPr>
            <w:tcW w:w="3520" w:type="dxa"/>
            <w:vAlign w:val="bottom"/>
          </w:tcPr>
          <w:p>
            <w:pPr>
              <w:spacing w:after="0"/>
              <w:rPr>
                <w:sz w:val="18"/>
                <w:szCs w:val="18"/>
                <w:color w:val="auto"/>
              </w:rPr>
            </w:pPr>
          </w:p>
        </w:tc>
        <w:tc>
          <w:tcPr>
            <w:tcW w:w="1360" w:type="dxa"/>
            <w:vAlign w:val="bottom"/>
            <w:tcBorders>
              <w:bottom w:val="single" w:sz="8" w:color="auto"/>
            </w:tcBorders>
            <w:gridSpan w:val="4"/>
            <w:vMerge w:val="continue"/>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gridSpan w:val="3"/>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Paid-in</w:t>
            </w:r>
          </w:p>
        </w:tc>
        <w:tc>
          <w:tcPr>
            <w:tcW w:w="100" w:type="dxa"/>
            <w:vAlign w:val="bottom"/>
          </w:tcPr>
          <w:p>
            <w:pPr>
              <w:spacing w:after="0"/>
              <w:rPr>
                <w:sz w:val="18"/>
                <w:szCs w:val="18"/>
                <w:color w:val="auto"/>
              </w:rPr>
            </w:pPr>
          </w:p>
        </w:tc>
        <w:tc>
          <w:tcPr>
            <w:tcW w:w="94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w w:val="97"/>
              </w:rPr>
              <w:t>Retained</w:t>
            </w:r>
          </w:p>
        </w:tc>
        <w:tc>
          <w:tcPr>
            <w:tcW w:w="100" w:type="dxa"/>
            <w:vAlign w:val="bottom"/>
          </w:tcPr>
          <w:p>
            <w:pPr>
              <w:spacing w:after="0"/>
              <w:rPr>
                <w:sz w:val="18"/>
                <w:szCs w:val="18"/>
                <w:color w:val="auto"/>
              </w:rPr>
            </w:pPr>
          </w:p>
        </w:tc>
        <w:tc>
          <w:tcPr>
            <w:tcW w:w="94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7"/>
              </w:rPr>
              <w:t>nsive</w:t>
            </w:r>
          </w:p>
        </w:tc>
        <w:tc>
          <w:tcPr>
            <w:tcW w:w="120" w:type="dxa"/>
            <w:vAlign w:val="bottom"/>
          </w:tcPr>
          <w:p>
            <w:pPr>
              <w:spacing w:after="0"/>
              <w:rPr>
                <w:sz w:val="18"/>
                <w:szCs w:val="18"/>
                <w:color w:val="auto"/>
              </w:rPr>
            </w:pPr>
          </w:p>
        </w:tc>
        <w:tc>
          <w:tcPr>
            <w:tcW w:w="100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w w:val="86"/>
              </w:rPr>
              <w:t>s’</w:t>
            </w:r>
          </w:p>
        </w:tc>
        <w:tc>
          <w:tcPr>
            <w:tcW w:w="120" w:type="dxa"/>
            <w:vAlign w:val="bottom"/>
          </w:tcPr>
          <w:p>
            <w:pPr>
              <w:spacing w:after="0"/>
              <w:rPr>
                <w:sz w:val="18"/>
                <w:szCs w:val="18"/>
                <w:color w:val="auto"/>
              </w:rPr>
            </w:pPr>
          </w:p>
        </w:tc>
        <w:tc>
          <w:tcPr>
            <w:tcW w:w="92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ling</w:t>
            </w:r>
          </w:p>
        </w:tc>
        <w:tc>
          <w:tcPr>
            <w:tcW w:w="98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Permanent</w:t>
            </w:r>
          </w:p>
        </w:tc>
        <w:tc>
          <w:tcPr>
            <w:tcW w:w="0" w:type="dxa"/>
            <w:vAlign w:val="bottom"/>
          </w:tcPr>
          <w:p>
            <w:pPr>
              <w:spacing w:after="0"/>
              <w:rPr>
                <w:sz w:val="1"/>
                <w:szCs w:val="1"/>
                <w:color w:val="auto"/>
              </w:rPr>
            </w:pPr>
          </w:p>
        </w:tc>
      </w:tr>
      <w:tr>
        <w:trPr>
          <w:trHeight w:val="196"/>
        </w:trPr>
        <w:tc>
          <w:tcPr>
            <w:tcW w:w="35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4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w w:val="98"/>
              </w:rPr>
              <w:t>Amoun</w:t>
            </w: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3520" w:type="dxa"/>
            <w:vAlign w:val="bottom"/>
          </w:tcPr>
          <w:p>
            <w:pPr>
              <w:spacing w:after="0"/>
              <w:rPr>
                <w:sz w:val="19"/>
                <w:szCs w:val="19"/>
                <w:color w:val="auto"/>
              </w:rPr>
            </w:pPr>
          </w:p>
        </w:tc>
        <w:tc>
          <w:tcPr>
            <w:tcW w:w="82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80" w:type="dxa"/>
            <w:vAlign w:val="bottom"/>
          </w:tcPr>
          <w:p>
            <w:pPr>
              <w:spacing w:after="0"/>
              <w:rPr>
                <w:sz w:val="19"/>
                <w:szCs w:val="19"/>
                <w:color w:val="auto"/>
              </w:rPr>
            </w:pPr>
          </w:p>
        </w:tc>
        <w:tc>
          <w:tcPr>
            <w:tcW w:w="360" w:type="dxa"/>
            <w:vAlign w:val="bottom"/>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t</w:t>
            </w:r>
          </w:p>
        </w:tc>
        <w:tc>
          <w:tcPr>
            <w:tcW w:w="260" w:type="dxa"/>
            <w:vAlign w:val="bottom"/>
          </w:tcPr>
          <w:p>
            <w:pPr>
              <w:spacing w:after="0"/>
              <w:rPr>
                <w:sz w:val="19"/>
                <w:szCs w:val="19"/>
                <w:color w:val="auto"/>
              </w:rPr>
            </w:pPr>
          </w:p>
        </w:tc>
        <w:tc>
          <w:tcPr>
            <w:tcW w:w="880" w:type="dxa"/>
            <w:vAlign w:val="bottom"/>
            <w:gridSpan w:val="3"/>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Capital</w:t>
            </w:r>
          </w:p>
        </w:tc>
        <w:tc>
          <w:tcPr>
            <w:tcW w:w="100" w:type="dxa"/>
            <w:vAlign w:val="bottom"/>
          </w:tcPr>
          <w:p>
            <w:pPr>
              <w:spacing w:after="0"/>
              <w:rPr>
                <w:sz w:val="19"/>
                <w:szCs w:val="19"/>
                <w:color w:val="auto"/>
              </w:rPr>
            </w:pPr>
          </w:p>
        </w:tc>
        <w:tc>
          <w:tcPr>
            <w:tcW w:w="94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w w:val="96"/>
              </w:rPr>
              <w:t>Earnings</w:t>
            </w:r>
          </w:p>
        </w:tc>
        <w:tc>
          <w:tcPr>
            <w:tcW w:w="100" w:type="dxa"/>
            <w:vAlign w:val="bottom"/>
          </w:tcPr>
          <w:p>
            <w:pPr>
              <w:spacing w:after="0"/>
              <w:rPr>
                <w:sz w:val="19"/>
                <w:szCs w:val="19"/>
                <w:color w:val="auto"/>
              </w:rPr>
            </w:pPr>
          </w:p>
        </w:tc>
        <w:tc>
          <w:tcPr>
            <w:tcW w:w="94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6"/>
              </w:rPr>
              <w:t>Loss</w:t>
            </w:r>
          </w:p>
        </w:tc>
        <w:tc>
          <w:tcPr>
            <w:tcW w:w="120" w:type="dxa"/>
            <w:vAlign w:val="bottom"/>
          </w:tcPr>
          <w:p>
            <w:pPr>
              <w:spacing w:after="0"/>
              <w:rPr>
                <w:sz w:val="19"/>
                <w:szCs w:val="19"/>
                <w:color w:val="auto"/>
              </w:rPr>
            </w:pPr>
          </w:p>
        </w:tc>
        <w:tc>
          <w:tcPr>
            <w:tcW w:w="100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w w:val="99"/>
              </w:rPr>
              <w:t>Equity</w:t>
            </w:r>
          </w:p>
        </w:tc>
        <w:tc>
          <w:tcPr>
            <w:tcW w:w="120" w:type="dxa"/>
            <w:vAlign w:val="bottom"/>
          </w:tcPr>
          <w:p>
            <w:pPr>
              <w:spacing w:after="0"/>
              <w:rPr>
                <w:sz w:val="19"/>
                <w:szCs w:val="19"/>
                <w:color w:val="auto"/>
              </w:rPr>
            </w:pPr>
          </w:p>
        </w:tc>
        <w:tc>
          <w:tcPr>
            <w:tcW w:w="92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Interest</w:t>
            </w:r>
          </w:p>
        </w:tc>
        <w:tc>
          <w:tcPr>
            <w:tcW w:w="140" w:type="dxa"/>
            <w:vAlign w:val="bottom"/>
          </w:tcPr>
          <w:p>
            <w:pPr>
              <w:spacing w:after="0"/>
              <w:rPr>
                <w:sz w:val="19"/>
                <w:szCs w:val="19"/>
                <w:color w:val="auto"/>
              </w:rPr>
            </w:pPr>
          </w:p>
        </w:tc>
        <w:tc>
          <w:tcPr>
            <w:tcW w:w="84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Equity</w:t>
            </w:r>
          </w:p>
        </w:tc>
        <w:tc>
          <w:tcPr>
            <w:tcW w:w="0" w:type="dxa"/>
            <w:vAlign w:val="bottom"/>
          </w:tcPr>
          <w:p>
            <w:pPr>
              <w:spacing w:after="0"/>
              <w:rPr>
                <w:sz w:val="1"/>
                <w:szCs w:val="1"/>
                <w:color w:val="auto"/>
              </w:rPr>
            </w:pPr>
          </w:p>
        </w:tc>
      </w:tr>
      <w:tr>
        <w:trPr>
          <w:trHeight w:val="229"/>
        </w:trPr>
        <w:tc>
          <w:tcPr>
            <w:tcW w:w="3520" w:type="dxa"/>
            <w:vAlign w:val="bottom"/>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3520" w:type="dxa"/>
            <w:vAlign w:val="bottom"/>
            <w:shd w:val="clear" w:color="auto" w:fill="CFF0FC"/>
          </w:tcPr>
          <w:p>
            <w:pPr>
              <w:spacing w:after="0"/>
              <w:rPr>
                <w:sz w:val="17"/>
                <w:szCs w:val="17"/>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101,38</w:t>
            </w:r>
          </w:p>
        </w:tc>
        <w:tc>
          <w:tcPr>
            <w:tcW w:w="2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593,48</w:t>
            </w: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Balance as of December 31, 2022</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40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37,223</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(6,881 )</w:t>
            </w:r>
          </w:p>
        </w:tc>
        <w:tc>
          <w:tcPr>
            <w:tcW w:w="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623,838</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10,229</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634,067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35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Net income (loss)</w:t>
            </w: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(2,012 )</w:t>
            </w:r>
          </w:p>
        </w:tc>
        <w:tc>
          <w:tcPr>
            <w:tcW w:w="100" w:type="dxa"/>
            <w:vAlign w:val="bottom"/>
          </w:tcPr>
          <w:p>
            <w:pPr>
              <w:spacing w:after="0"/>
              <w:rPr>
                <w:sz w:val="19"/>
                <w:szCs w:val="19"/>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(2,012 )</w:t>
            </w: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149</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(1,863 )</w:t>
            </w:r>
          </w:p>
        </w:tc>
        <w:tc>
          <w:tcPr>
            <w:tcW w:w="0" w:type="dxa"/>
            <w:vAlign w:val="bottom"/>
          </w:tcPr>
          <w:p>
            <w:pPr>
              <w:spacing w:after="0"/>
              <w:rPr>
                <w:sz w:val="1"/>
                <w:szCs w:val="1"/>
                <w:color w:val="auto"/>
              </w:rPr>
            </w:pPr>
          </w:p>
        </w:tc>
      </w:tr>
      <w:tr>
        <w:trPr>
          <w:trHeight w:val="239"/>
        </w:trPr>
        <w:tc>
          <w:tcPr>
            <w:tcW w:w="35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Other comprehensive income</w:t>
            </w:r>
          </w:p>
        </w:tc>
        <w:tc>
          <w:tcPr>
            <w:tcW w:w="8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20"/>
                <w:szCs w:val="20"/>
                <w:color w:val="auto"/>
              </w:rPr>
            </w:pP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7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20"/>
                <w:szCs w:val="20"/>
                <w:color w:val="auto"/>
              </w:rPr>
            </w:pPr>
          </w:p>
        </w:tc>
        <w:tc>
          <w:tcPr>
            <w:tcW w:w="9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20"/>
                <w:szCs w:val="20"/>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1,605</w:t>
            </w:r>
          </w:p>
        </w:tc>
        <w:tc>
          <w:tcPr>
            <w:tcW w:w="2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1,605</w:t>
            </w:r>
          </w:p>
        </w:tc>
        <w:tc>
          <w:tcPr>
            <w:tcW w:w="2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2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1,619</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5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Change in redemption value of redeemable</w:t>
            </w:r>
          </w:p>
        </w:tc>
        <w:tc>
          <w:tcPr>
            <w:tcW w:w="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35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noncontrolling interest</w:t>
            </w: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958</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958</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35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Issuance of common stock in connection with</w:t>
            </w:r>
          </w:p>
        </w:tc>
        <w:tc>
          <w:tcPr>
            <w:tcW w:w="5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5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employee equity incentive plans</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671</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2,117</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2,117</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2,117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35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Shares withheld related to net share settlement</w:t>
            </w: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(39 )</w:t>
            </w:r>
          </w:p>
        </w:tc>
        <w:tc>
          <w:tcPr>
            <w:tcW w:w="18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(556 )</w:t>
            </w:r>
          </w:p>
        </w:tc>
        <w:tc>
          <w:tcPr>
            <w:tcW w:w="100" w:type="dxa"/>
            <w:vAlign w:val="bottom"/>
          </w:tcPr>
          <w:p>
            <w:pPr>
              <w:spacing w:after="0"/>
              <w:rPr>
                <w:sz w:val="19"/>
                <w:szCs w:val="19"/>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(556 )</w:t>
            </w:r>
          </w:p>
        </w:tc>
        <w:tc>
          <w:tcPr>
            <w:tcW w:w="120" w:type="dxa"/>
            <w:vAlign w:val="bottom"/>
          </w:tcPr>
          <w:p>
            <w:pPr>
              <w:spacing w:after="0"/>
              <w:rPr>
                <w:sz w:val="19"/>
                <w:szCs w:val="19"/>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9"/>
                <w:szCs w:val="19"/>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(556 )</w:t>
            </w:r>
          </w:p>
        </w:tc>
        <w:tc>
          <w:tcPr>
            <w:tcW w:w="0" w:type="dxa"/>
            <w:vAlign w:val="bottom"/>
          </w:tcPr>
          <w:p>
            <w:pPr>
              <w:spacing w:after="0"/>
              <w:rPr>
                <w:sz w:val="1"/>
                <w:szCs w:val="1"/>
                <w:color w:val="auto"/>
              </w:rPr>
            </w:pPr>
          </w:p>
        </w:tc>
      </w:tr>
      <w:tr>
        <w:trPr>
          <w:trHeight w:val="236"/>
        </w:trPr>
        <w:tc>
          <w:tcPr>
            <w:tcW w:w="35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Stock-based compensation</w:t>
            </w:r>
          </w:p>
        </w:tc>
        <w:tc>
          <w:tcPr>
            <w:tcW w:w="8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20"/>
                <w:szCs w:val="20"/>
                <w:color w:val="auto"/>
              </w:rPr>
            </w:pP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7,321</w:t>
            </w:r>
          </w:p>
        </w:tc>
        <w:tc>
          <w:tcPr>
            <w:tcW w:w="2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9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20"/>
                <w:szCs w:val="20"/>
                <w:color w:val="auto"/>
              </w:rPr>
            </w:pPr>
          </w:p>
        </w:tc>
        <w:tc>
          <w:tcPr>
            <w:tcW w:w="9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20"/>
                <w:szCs w:val="20"/>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7,321</w:t>
            </w:r>
          </w:p>
        </w:tc>
        <w:tc>
          <w:tcPr>
            <w:tcW w:w="2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9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spacing w:after="0"/>
              <w:rPr>
                <w:sz w:val="20"/>
                <w:szCs w:val="20"/>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7,321</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3520" w:type="dxa"/>
            <w:vAlign w:val="bottom"/>
            <w:tcBorders>
              <w:top w:val="single" w:sz="8" w:color="CFF0FC"/>
            </w:tcBorders>
          </w:tcPr>
          <w:p>
            <w:pPr>
              <w:spacing w:after="0"/>
              <w:rPr>
                <w:sz w:val="17"/>
                <w:szCs w:val="17"/>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102,01</w:t>
            </w:r>
          </w:p>
        </w:tc>
        <w:tc>
          <w:tcPr>
            <w:tcW w:w="240" w:type="dxa"/>
            <w:vAlign w:val="bottom"/>
            <w:tcBorders>
              <w:top w:val="single" w:sz="8" w:color="CFF0FC"/>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260" w:type="dxa"/>
            <w:vAlign w:val="bottom"/>
            <w:tcBorders>
              <w:top w:val="single" w:sz="8" w:color="CFF0FC"/>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602,36</w:t>
            </w:r>
          </w:p>
        </w:tc>
        <w:tc>
          <w:tcPr>
            <w:tcW w:w="220" w:type="dxa"/>
            <w:vAlign w:val="bottom"/>
            <w:tcBorders>
              <w:top w:val="single" w:sz="8" w:color="CFF0FC"/>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220" w:type="dxa"/>
            <w:vAlign w:val="bottom"/>
            <w:tcBorders>
              <w:top w:val="single" w:sz="8" w:color="CFF0FC"/>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220" w:type="dxa"/>
            <w:vAlign w:val="bottom"/>
            <w:tcBorders>
              <w:top w:val="single" w:sz="8" w:color="CFF0FC"/>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220" w:type="dxa"/>
            <w:vAlign w:val="bottom"/>
            <w:tcBorders>
              <w:top w:val="single" w:sz="8" w:color="CFF0FC"/>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220" w:type="dxa"/>
            <w:vAlign w:val="bottom"/>
            <w:tcBorders>
              <w:top w:val="single" w:sz="8" w:color="CFF0FC"/>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Balance as of March 31, 2023</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240" w:type="dxa"/>
            <w:vAlign w:val="bottom"/>
          </w:tcPr>
          <w:p>
            <w:pPr>
              <w:spacing w:after="0"/>
              <w:rPr>
                <w:sz w:val="19"/>
                <w:szCs w:val="19"/>
                <w:color w:val="auto"/>
              </w:rPr>
            </w:pPr>
          </w:p>
        </w:tc>
        <w:tc>
          <w:tcPr>
            <w:tcW w:w="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400" w:type="dxa"/>
            <w:vAlign w:val="bottom"/>
            <w:gridSpan w:val="2"/>
          </w:tcPr>
          <w:p>
            <w:pPr>
              <w:ind w:left="26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220" w:type="dxa"/>
            <w:vAlign w:val="bottom"/>
          </w:tcPr>
          <w:p>
            <w:pPr>
              <w:spacing w:after="0"/>
              <w:rPr>
                <w:sz w:val="19"/>
                <w:szCs w:val="19"/>
                <w:color w:val="auto"/>
              </w:rPr>
            </w:pPr>
          </w:p>
        </w:tc>
        <w:tc>
          <w:tcPr>
            <w:tcW w:w="10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36,169</w:t>
            </w:r>
          </w:p>
        </w:tc>
        <w:tc>
          <w:tcPr>
            <w:tcW w:w="220" w:type="dxa"/>
            <w:vAlign w:val="bottom"/>
          </w:tcPr>
          <w:p>
            <w:pPr>
              <w:spacing w:after="0"/>
              <w:rPr>
                <w:sz w:val="19"/>
                <w:szCs w:val="19"/>
                <w:color w:val="auto"/>
              </w:rPr>
            </w:pPr>
          </w:p>
        </w:tc>
        <w:tc>
          <w:tcPr>
            <w:tcW w:w="10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(5,276 )</w:t>
            </w:r>
          </w:p>
        </w:tc>
        <w:tc>
          <w:tcPr>
            <w:tcW w:w="12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633,271</w:t>
            </w:r>
          </w:p>
        </w:tc>
        <w:tc>
          <w:tcPr>
            <w:tcW w:w="2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10,392</w:t>
            </w:r>
          </w:p>
        </w:tc>
        <w:tc>
          <w:tcPr>
            <w:tcW w:w="2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643,663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5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2607945</wp:posOffset>
            </wp:positionH>
            <wp:positionV relativeFrom="paragraph">
              <wp:posOffset>-3312795</wp:posOffset>
            </wp:positionV>
            <wp:extent cx="7683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2607945</wp:posOffset>
            </wp:positionH>
            <wp:positionV relativeFrom="paragraph">
              <wp:posOffset>-3295650</wp:posOffset>
            </wp:positionV>
            <wp:extent cx="7683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3104515</wp:posOffset>
            </wp:positionH>
            <wp:positionV relativeFrom="paragraph">
              <wp:posOffset>-3312795</wp:posOffset>
            </wp:positionV>
            <wp:extent cx="7683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3104515</wp:posOffset>
            </wp:positionH>
            <wp:positionV relativeFrom="paragraph">
              <wp:posOffset>-3295650</wp:posOffset>
            </wp:positionV>
            <wp:extent cx="7683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3678555</wp:posOffset>
            </wp:positionH>
            <wp:positionV relativeFrom="paragraph">
              <wp:posOffset>-3312795</wp:posOffset>
            </wp:positionV>
            <wp:extent cx="7683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3678555</wp:posOffset>
            </wp:positionH>
            <wp:positionV relativeFrom="paragraph">
              <wp:posOffset>-3295650</wp:posOffset>
            </wp:positionV>
            <wp:extent cx="7683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4345940</wp:posOffset>
            </wp:positionH>
            <wp:positionV relativeFrom="paragraph">
              <wp:posOffset>-3312795</wp:posOffset>
            </wp:positionV>
            <wp:extent cx="6858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4345940</wp:posOffset>
            </wp:positionH>
            <wp:positionV relativeFrom="paragraph">
              <wp:posOffset>-3295650</wp:posOffset>
            </wp:positionV>
            <wp:extent cx="6858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5005705</wp:posOffset>
            </wp:positionH>
            <wp:positionV relativeFrom="paragraph">
              <wp:posOffset>-3312795</wp:posOffset>
            </wp:positionV>
            <wp:extent cx="6858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5005705</wp:posOffset>
            </wp:positionH>
            <wp:positionV relativeFrom="paragraph">
              <wp:posOffset>-3295650</wp:posOffset>
            </wp:positionV>
            <wp:extent cx="6858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5716270</wp:posOffset>
            </wp:positionH>
            <wp:positionV relativeFrom="paragraph">
              <wp:posOffset>-3312795</wp:posOffset>
            </wp:positionV>
            <wp:extent cx="6858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5716270</wp:posOffset>
            </wp:positionH>
            <wp:positionV relativeFrom="paragraph">
              <wp:posOffset>-3295650</wp:posOffset>
            </wp:positionV>
            <wp:extent cx="6858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6375400</wp:posOffset>
            </wp:positionH>
            <wp:positionV relativeFrom="paragraph">
              <wp:posOffset>-3312795</wp:posOffset>
            </wp:positionV>
            <wp:extent cx="6858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6375400</wp:posOffset>
            </wp:positionH>
            <wp:positionV relativeFrom="paragraph">
              <wp:posOffset>-3295650</wp:posOffset>
            </wp:positionV>
            <wp:extent cx="6858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-3312795</wp:posOffset>
            </wp:positionV>
            <wp:extent cx="6858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-3295650</wp:posOffset>
            </wp:positionV>
            <wp:extent cx="6858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2607945</wp:posOffset>
            </wp:positionH>
            <wp:positionV relativeFrom="paragraph">
              <wp:posOffset>-307340</wp:posOffset>
            </wp:positionV>
            <wp:extent cx="7683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3104515</wp:posOffset>
            </wp:positionH>
            <wp:positionV relativeFrom="paragraph">
              <wp:posOffset>-307340</wp:posOffset>
            </wp:positionV>
            <wp:extent cx="7683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3678555</wp:posOffset>
            </wp:positionH>
            <wp:positionV relativeFrom="paragraph">
              <wp:posOffset>-307340</wp:posOffset>
            </wp:positionV>
            <wp:extent cx="7683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4345940</wp:posOffset>
            </wp:positionH>
            <wp:positionV relativeFrom="paragraph">
              <wp:posOffset>-307340</wp:posOffset>
            </wp:positionV>
            <wp:extent cx="6858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5005705</wp:posOffset>
            </wp:positionH>
            <wp:positionV relativeFrom="paragraph">
              <wp:posOffset>-307340</wp:posOffset>
            </wp:positionV>
            <wp:extent cx="6858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5716270</wp:posOffset>
            </wp:positionH>
            <wp:positionV relativeFrom="paragraph">
              <wp:posOffset>-307340</wp:posOffset>
            </wp:positionV>
            <wp:extent cx="6858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6375400</wp:posOffset>
            </wp:positionH>
            <wp:positionV relativeFrom="paragraph">
              <wp:posOffset>-307340</wp:posOffset>
            </wp:positionV>
            <wp:extent cx="6858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-307340</wp:posOffset>
            </wp:positionV>
            <wp:extent cx="6858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condensed consolidated financial statements</w:t>
      </w:r>
    </w:p>
    <w:p>
      <w:pPr>
        <w:sectPr>
          <w:pgSz w:w="11900" w:h="16838" w:orient="portrait"/>
          <w:cols w:equalWidth="0" w:num="1">
            <w:col w:w="11240"/>
          </w:cols>
          <w:pgMar w:left="320" w:top="414" w:right="339" w:bottom="1440" w:gutter="0" w:footer="0" w:header="0"/>
        </w:sect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Corsair Gaming, Inc. | Q1 2024 Form 10-Q |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80010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4" w:right="339" w:bottom="1440" w:gutter="0" w:footer="0" w:header="0"/>
          <w:type w:val="continuous"/>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Corsair Gaming, Inc.</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Condensed Consolidated Statements of Cash Flows</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 in thousands)</w:t>
      </w:r>
    </w:p>
    <w:p>
      <w:pPr>
        <w:spacing w:after="0" w:line="224" w:lineRule="exact"/>
        <w:rPr>
          <w:sz w:val="20"/>
          <w:szCs w:val="20"/>
          <w:color w:val="auto"/>
        </w:rPr>
      </w:pPr>
    </w:p>
    <w:p>
      <w:pPr>
        <w:jc w:val="center"/>
        <w:ind w:left="7340"/>
        <w:spacing w:after="0"/>
        <w:rPr>
          <w:sz w:val="20"/>
          <w:szCs w:val="20"/>
          <w:color w:val="auto"/>
        </w:rPr>
      </w:pPr>
      <w:r>
        <w:rPr>
          <w:rFonts w:ascii="Times New Roman" w:cs="Times New Roman" w:eastAsia="Times New Roman" w:hAnsi="Times New Roman"/>
          <w:sz w:val="16"/>
          <w:szCs w:val="16"/>
          <w:b w:val="1"/>
          <w:bCs w:val="1"/>
          <w:color w:val="auto"/>
        </w:rPr>
        <w:t>Three Months Ended</w:t>
      </w:r>
    </w:p>
    <w:p>
      <w:pPr>
        <w:spacing w:after="0" w:line="28" w:lineRule="exact"/>
        <w:rPr>
          <w:sz w:val="20"/>
          <w:szCs w:val="20"/>
          <w:color w:val="auto"/>
        </w:rPr>
      </w:pPr>
    </w:p>
    <w:p>
      <w:pPr>
        <w:jc w:val="center"/>
        <w:ind w:left="7340"/>
        <w:spacing w:after="0"/>
        <w:rPr>
          <w:sz w:val="20"/>
          <w:szCs w:val="20"/>
          <w:color w:val="auto"/>
        </w:rPr>
      </w:pPr>
      <w:r>
        <w:rPr>
          <w:rFonts w:ascii="Times New Roman" w:cs="Times New Roman" w:eastAsia="Times New Roman" w:hAnsi="Times New Roman"/>
          <w:sz w:val="16"/>
          <w:szCs w:val="16"/>
          <w:b w:val="1"/>
          <w:bCs w:val="1"/>
          <w:color w:val="auto"/>
        </w:rPr>
        <w:t>March 31,</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7460" w:type="dxa"/>
            <w:vAlign w:val="bottom"/>
          </w:tcPr>
          <w:p>
            <w:pPr>
              <w:spacing w:after="0"/>
              <w:rPr>
                <w:sz w:val="22"/>
                <w:szCs w:val="22"/>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640" w:type="dxa"/>
            <w:vAlign w:val="bottom"/>
            <w:tcBorders>
              <w:top w:val="single" w:sz="8" w:color="auto"/>
              <w:bottom w:val="single" w:sz="8" w:color="auto"/>
            </w:tcBorders>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380" w:type="dxa"/>
            <w:vAlign w:val="bottom"/>
            <w:tcBorders>
              <w:top w:val="single" w:sz="8" w:color="auto"/>
              <w:bottom w:val="single" w:sz="8" w:color="auto"/>
            </w:tcBorders>
          </w:tcPr>
          <w:p>
            <w:pPr>
              <w:spacing w:after="0"/>
              <w:rPr>
                <w:sz w:val="22"/>
                <w:szCs w:val="22"/>
                <w:color w:val="auto"/>
              </w:rPr>
            </w:pPr>
          </w:p>
        </w:tc>
        <w:tc>
          <w:tcPr>
            <w:tcW w:w="1320" w:type="dxa"/>
            <w:vAlign w:val="bottom"/>
            <w:tcBorders>
              <w:top w:val="single" w:sz="8" w:color="auto"/>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2"/>
                <w:szCs w:val="22"/>
                <w:color w:val="auto"/>
              </w:rPr>
            </w:pPr>
          </w:p>
        </w:tc>
      </w:tr>
      <w:tr>
        <w:trPr>
          <w:trHeight w:val="63"/>
        </w:trPr>
        <w:tc>
          <w:tcPr>
            <w:tcW w:w="74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640" w:type="dxa"/>
            <w:vAlign w:val="bottom"/>
          </w:tcPr>
          <w:p>
            <w:pPr>
              <w:spacing w:after="0"/>
              <w:rPr>
                <w:sz w:val="5"/>
                <w:szCs w:val="5"/>
                <w:color w:val="auto"/>
              </w:rPr>
            </w:pPr>
          </w:p>
        </w:tc>
        <w:tc>
          <w:tcPr>
            <w:tcW w:w="280" w:type="dxa"/>
            <w:vAlign w:val="bottom"/>
          </w:tcPr>
          <w:p>
            <w:pPr>
              <w:spacing w:after="0"/>
              <w:rPr>
                <w:sz w:val="5"/>
                <w:szCs w:val="5"/>
                <w:color w:val="auto"/>
              </w:rPr>
            </w:pPr>
          </w:p>
        </w:tc>
        <w:tc>
          <w:tcPr>
            <w:tcW w:w="380" w:type="dxa"/>
            <w:vAlign w:val="bottom"/>
          </w:tcPr>
          <w:p>
            <w:pPr>
              <w:spacing w:after="0"/>
              <w:rPr>
                <w:sz w:val="5"/>
                <w:szCs w:val="5"/>
                <w:color w:val="auto"/>
              </w:rPr>
            </w:pPr>
          </w:p>
        </w:tc>
        <w:tc>
          <w:tcPr>
            <w:tcW w:w="1320" w:type="dxa"/>
            <w:vAlign w:val="bottom"/>
          </w:tcPr>
          <w:p>
            <w:pPr>
              <w:spacing w:after="0"/>
              <w:rPr>
                <w:sz w:val="5"/>
                <w:szCs w:val="5"/>
                <w:color w:val="auto"/>
              </w:rPr>
            </w:pPr>
          </w:p>
        </w:tc>
        <w:tc>
          <w:tcPr>
            <w:tcW w:w="100" w:type="dxa"/>
            <w:vAlign w:val="bottom"/>
          </w:tcPr>
          <w:p>
            <w:pPr>
              <w:spacing w:after="0"/>
              <w:rPr>
                <w:sz w:val="5"/>
                <w:szCs w:val="5"/>
                <w:color w:val="auto"/>
              </w:rPr>
            </w:pPr>
          </w:p>
        </w:tc>
      </w:tr>
      <w:tr>
        <w:trPr>
          <w:trHeight w:val="243"/>
        </w:trPr>
        <w:tc>
          <w:tcPr>
            <w:tcW w:w="74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1060" w:type="dxa"/>
            <w:vAlign w:val="bottom"/>
            <w:shd w:val="clear" w:color="auto" w:fill="CFF0FC"/>
          </w:tcPr>
          <w:p>
            <w:pPr>
              <w:spacing w:after="0"/>
              <w:rPr>
                <w:sz w:val="21"/>
                <w:szCs w:val="21"/>
                <w:color w:val="auto"/>
              </w:rPr>
            </w:pPr>
          </w:p>
        </w:tc>
        <w:tc>
          <w:tcPr>
            <w:tcW w:w="6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3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8"/>
        </w:trPr>
        <w:tc>
          <w:tcPr>
            <w:tcW w:w="7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060" w:type="dxa"/>
            <w:vAlign w:val="bottom"/>
          </w:tcPr>
          <w:p>
            <w:pPr>
              <w:jc w:val="right"/>
              <w:ind w:right="8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(11,029 )</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(1,648 )</w:t>
            </w:r>
          </w:p>
        </w:tc>
      </w:tr>
      <w:tr>
        <w:trPr>
          <w:trHeight w:val="247"/>
        </w:trPr>
        <w:tc>
          <w:tcPr>
            <w:tcW w:w="74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Adjustments to reconcile net loss to net cash (used in) provided by operating activities:</w:t>
            </w:r>
          </w:p>
        </w:tc>
        <w:tc>
          <w:tcPr>
            <w:tcW w:w="1060" w:type="dxa"/>
            <w:vAlign w:val="bottom"/>
            <w:shd w:val="clear" w:color="auto" w:fill="CFF0FC"/>
          </w:tcPr>
          <w:p>
            <w:pPr>
              <w:spacing w:after="0"/>
              <w:rPr>
                <w:sz w:val="21"/>
                <w:szCs w:val="21"/>
                <w:color w:val="auto"/>
              </w:rPr>
            </w:pPr>
          </w:p>
        </w:tc>
        <w:tc>
          <w:tcPr>
            <w:tcW w:w="6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3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8"/>
        </w:trPr>
        <w:tc>
          <w:tcPr>
            <w:tcW w:w="74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Stock-based compensation</w:t>
            </w:r>
          </w:p>
        </w:tc>
        <w:tc>
          <w:tcPr>
            <w:tcW w:w="10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7,691</w:t>
            </w:r>
          </w:p>
        </w:tc>
        <w:tc>
          <w:tcPr>
            <w:tcW w:w="2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7,246</w:t>
            </w:r>
          </w:p>
        </w:tc>
        <w:tc>
          <w:tcPr>
            <w:tcW w:w="100" w:type="dxa"/>
            <w:vAlign w:val="bottom"/>
          </w:tcPr>
          <w:p>
            <w:pPr>
              <w:spacing w:after="0"/>
              <w:rPr>
                <w:sz w:val="20"/>
                <w:szCs w:val="20"/>
                <w:color w:val="auto"/>
              </w:rPr>
            </w:pPr>
          </w:p>
        </w:tc>
      </w:tr>
      <w:tr>
        <w:trPr>
          <w:trHeight w:val="247"/>
        </w:trPr>
        <w:tc>
          <w:tcPr>
            <w:tcW w:w="74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Depreciation</w:t>
            </w:r>
          </w:p>
        </w:tc>
        <w:tc>
          <w:tcPr>
            <w:tcW w:w="1060" w:type="dxa"/>
            <w:vAlign w:val="bottom"/>
            <w:shd w:val="clear" w:color="auto" w:fill="CFF0FC"/>
          </w:tcPr>
          <w:p>
            <w:pPr>
              <w:spacing w:after="0"/>
              <w:rPr>
                <w:sz w:val="21"/>
                <w:szCs w:val="21"/>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3,087</w:t>
            </w:r>
          </w:p>
        </w:tc>
        <w:tc>
          <w:tcPr>
            <w:tcW w:w="28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2,897</w:t>
            </w:r>
          </w:p>
        </w:tc>
        <w:tc>
          <w:tcPr>
            <w:tcW w:w="100" w:type="dxa"/>
            <w:vAlign w:val="bottom"/>
            <w:shd w:val="clear" w:color="auto" w:fill="CFF0FC"/>
          </w:tcPr>
          <w:p>
            <w:pPr>
              <w:spacing w:after="0"/>
              <w:rPr>
                <w:sz w:val="21"/>
                <w:szCs w:val="21"/>
                <w:color w:val="auto"/>
              </w:rPr>
            </w:pPr>
          </w:p>
        </w:tc>
      </w:tr>
      <w:tr>
        <w:trPr>
          <w:trHeight w:val="238"/>
        </w:trPr>
        <w:tc>
          <w:tcPr>
            <w:tcW w:w="74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Amortization</w:t>
            </w:r>
          </w:p>
        </w:tc>
        <w:tc>
          <w:tcPr>
            <w:tcW w:w="10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9,515</w:t>
            </w:r>
          </w:p>
        </w:tc>
        <w:tc>
          <w:tcPr>
            <w:tcW w:w="2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9,741</w:t>
            </w:r>
          </w:p>
        </w:tc>
        <w:tc>
          <w:tcPr>
            <w:tcW w:w="100" w:type="dxa"/>
            <w:vAlign w:val="bottom"/>
          </w:tcPr>
          <w:p>
            <w:pPr>
              <w:spacing w:after="0"/>
              <w:rPr>
                <w:sz w:val="20"/>
                <w:szCs w:val="20"/>
                <w:color w:val="auto"/>
              </w:rPr>
            </w:pPr>
          </w:p>
        </w:tc>
      </w:tr>
      <w:tr>
        <w:trPr>
          <w:trHeight w:val="247"/>
        </w:trPr>
        <w:tc>
          <w:tcPr>
            <w:tcW w:w="74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Deferred income taxes</w:t>
            </w:r>
          </w:p>
        </w:tc>
        <w:tc>
          <w:tcPr>
            <w:tcW w:w="1060" w:type="dxa"/>
            <w:vAlign w:val="bottom"/>
            <w:shd w:val="clear" w:color="auto" w:fill="CFF0FC"/>
          </w:tcPr>
          <w:p>
            <w:pPr>
              <w:spacing w:after="0"/>
              <w:rPr>
                <w:sz w:val="21"/>
                <w:szCs w:val="21"/>
                <w:color w:val="auto"/>
              </w:rPr>
            </w:pPr>
          </w:p>
        </w:tc>
        <w:tc>
          <w:tcPr>
            <w:tcW w:w="9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(6,059 )</w:t>
            </w:r>
          </w:p>
        </w:tc>
        <w:tc>
          <w:tcPr>
            <w:tcW w:w="380" w:type="dxa"/>
            <w:vAlign w:val="bottom"/>
            <w:shd w:val="clear" w:color="auto" w:fill="CFF0FC"/>
          </w:tcPr>
          <w:p>
            <w:pPr>
              <w:spacing w:after="0"/>
              <w:rPr>
                <w:sz w:val="21"/>
                <w:szCs w:val="21"/>
                <w:color w:val="auto"/>
              </w:rPr>
            </w:pPr>
          </w:p>
        </w:tc>
        <w:tc>
          <w:tcPr>
            <w:tcW w:w="14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(2,209 )</w:t>
            </w:r>
          </w:p>
        </w:tc>
      </w:tr>
      <w:tr>
        <w:trPr>
          <w:trHeight w:val="238"/>
        </w:trPr>
        <w:tc>
          <w:tcPr>
            <w:tcW w:w="74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w:t>
            </w:r>
          </w:p>
        </w:tc>
        <w:tc>
          <w:tcPr>
            <w:tcW w:w="10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758</w:t>
            </w:r>
          </w:p>
        </w:tc>
        <w:tc>
          <w:tcPr>
            <w:tcW w:w="2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100" w:type="dxa"/>
            <w:vAlign w:val="bottom"/>
          </w:tcPr>
          <w:p>
            <w:pPr>
              <w:spacing w:after="0"/>
              <w:rPr>
                <w:sz w:val="20"/>
                <w:szCs w:val="20"/>
                <w:color w:val="auto"/>
              </w:rPr>
            </w:pPr>
          </w:p>
        </w:tc>
      </w:tr>
      <w:tr>
        <w:trPr>
          <w:trHeight w:val="247"/>
        </w:trPr>
        <w:tc>
          <w:tcPr>
            <w:tcW w:w="74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1060" w:type="dxa"/>
            <w:vAlign w:val="bottom"/>
            <w:shd w:val="clear" w:color="auto" w:fill="CFF0FC"/>
          </w:tcPr>
          <w:p>
            <w:pPr>
              <w:spacing w:after="0"/>
              <w:rPr>
                <w:sz w:val="21"/>
                <w:szCs w:val="21"/>
                <w:color w:val="auto"/>
              </w:rPr>
            </w:pPr>
          </w:p>
        </w:tc>
        <w:tc>
          <w:tcPr>
            <w:tcW w:w="6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3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8"/>
        </w:trPr>
        <w:tc>
          <w:tcPr>
            <w:tcW w:w="74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Accounts receivable</w:t>
            </w:r>
          </w:p>
        </w:tc>
        <w:tc>
          <w:tcPr>
            <w:tcW w:w="10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46,928</w:t>
            </w:r>
          </w:p>
        </w:tc>
        <w:tc>
          <w:tcPr>
            <w:tcW w:w="2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14,623</w:t>
            </w:r>
          </w:p>
        </w:tc>
        <w:tc>
          <w:tcPr>
            <w:tcW w:w="100" w:type="dxa"/>
            <w:vAlign w:val="bottom"/>
          </w:tcPr>
          <w:p>
            <w:pPr>
              <w:spacing w:after="0"/>
              <w:rPr>
                <w:sz w:val="20"/>
                <w:szCs w:val="20"/>
                <w:color w:val="auto"/>
              </w:rPr>
            </w:pPr>
          </w:p>
        </w:tc>
      </w:tr>
      <w:tr>
        <w:trPr>
          <w:trHeight w:val="247"/>
        </w:trPr>
        <w:tc>
          <w:tcPr>
            <w:tcW w:w="74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Inventories</w:t>
            </w:r>
          </w:p>
        </w:tc>
        <w:tc>
          <w:tcPr>
            <w:tcW w:w="1060" w:type="dxa"/>
            <w:vAlign w:val="bottom"/>
            <w:shd w:val="clear" w:color="auto" w:fill="CFF0FC"/>
          </w:tcPr>
          <w:p>
            <w:pPr>
              <w:spacing w:after="0"/>
              <w:rPr>
                <w:sz w:val="21"/>
                <w:szCs w:val="21"/>
                <w:color w:val="auto"/>
              </w:rPr>
            </w:pPr>
          </w:p>
        </w:tc>
        <w:tc>
          <w:tcPr>
            <w:tcW w:w="9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(12,101 )</w:t>
            </w:r>
          </w:p>
        </w:tc>
        <w:tc>
          <w:tcPr>
            <w:tcW w:w="38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4,672</w:t>
            </w:r>
          </w:p>
        </w:tc>
        <w:tc>
          <w:tcPr>
            <w:tcW w:w="100" w:type="dxa"/>
            <w:vAlign w:val="bottom"/>
            <w:shd w:val="clear" w:color="auto" w:fill="CFF0FC"/>
          </w:tcPr>
          <w:p>
            <w:pPr>
              <w:spacing w:after="0"/>
              <w:rPr>
                <w:sz w:val="21"/>
                <w:szCs w:val="21"/>
                <w:color w:val="auto"/>
              </w:rPr>
            </w:pPr>
          </w:p>
        </w:tc>
      </w:tr>
      <w:tr>
        <w:trPr>
          <w:trHeight w:val="238"/>
        </w:trPr>
        <w:tc>
          <w:tcPr>
            <w:tcW w:w="74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10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4,437</w:t>
            </w:r>
          </w:p>
        </w:tc>
        <w:tc>
          <w:tcPr>
            <w:tcW w:w="2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(1,077 )</w:t>
            </w:r>
          </w:p>
        </w:tc>
      </w:tr>
      <w:tr>
        <w:trPr>
          <w:trHeight w:val="247"/>
        </w:trPr>
        <w:tc>
          <w:tcPr>
            <w:tcW w:w="74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Accounts payable</w:t>
            </w:r>
          </w:p>
        </w:tc>
        <w:tc>
          <w:tcPr>
            <w:tcW w:w="1060" w:type="dxa"/>
            <w:vAlign w:val="bottom"/>
            <w:shd w:val="clear" w:color="auto" w:fill="CFF0FC"/>
          </w:tcPr>
          <w:p>
            <w:pPr>
              <w:spacing w:after="0"/>
              <w:rPr>
                <w:sz w:val="21"/>
                <w:szCs w:val="21"/>
                <w:color w:val="auto"/>
              </w:rPr>
            </w:pPr>
          </w:p>
        </w:tc>
        <w:tc>
          <w:tcPr>
            <w:tcW w:w="9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(47,962 )</w:t>
            </w:r>
          </w:p>
        </w:tc>
        <w:tc>
          <w:tcPr>
            <w:tcW w:w="38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18,156</w:t>
            </w:r>
          </w:p>
        </w:tc>
        <w:tc>
          <w:tcPr>
            <w:tcW w:w="100" w:type="dxa"/>
            <w:vAlign w:val="bottom"/>
            <w:shd w:val="clear" w:color="auto" w:fill="CFF0FC"/>
          </w:tcPr>
          <w:p>
            <w:pPr>
              <w:spacing w:after="0"/>
              <w:rPr>
                <w:sz w:val="21"/>
                <w:szCs w:val="21"/>
                <w:color w:val="auto"/>
              </w:rPr>
            </w:pPr>
          </w:p>
        </w:tc>
      </w:tr>
      <w:tr>
        <w:trPr>
          <w:trHeight w:val="243"/>
        </w:trPr>
        <w:tc>
          <w:tcPr>
            <w:tcW w:w="74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liabilities and accrued expenses</w:t>
            </w:r>
          </w:p>
        </w:tc>
        <w:tc>
          <w:tcPr>
            <w:tcW w:w="1060" w:type="dxa"/>
            <w:vAlign w:val="bottom"/>
          </w:tcPr>
          <w:p>
            <w:pPr>
              <w:spacing w:after="0"/>
              <w:rPr>
                <w:sz w:val="21"/>
                <w:szCs w:val="21"/>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(21,582 )</w:t>
            </w:r>
          </w:p>
        </w:tc>
        <w:tc>
          <w:tcPr>
            <w:tcW w:w="380" w:type="dxa"/>
            <w:vAlign w:val="bottom"/>
          </w:tcPr>
          <w:p>
            <w:pPr>
              <w:spacing w:after="0"/>
              <w:rPr>
                <w:sz w:val="21"/>
                <w:szCs w:val="21"/>
                <w:color w:val="auto"/>
              </w:rPr>
            </w:pPr>
          </w:p>
        </w:tc>
        <w:tc>
          <w:tcPr>
            <w:tcW w:w="14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(10,703 )</w:t>
            </w:r>
          </w:p>
        </w:tc>
      </w:tr>
      <w:tr>
        <w:trPr>
          <w:trHeight w:val="20"/>
        </w:trPr>
        <w:tc>
          <w:tcPr>
            <w:tcW w:w="746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6"/>
        </w:trPr>
        <w:tc>
          <w:tcPr>
            <w:tcW w:w="746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Net cash (used in) provided by operating activities</w:t>
            </w:r>
          </w:p>
        </w:tc>
        <w:tc>
          <w:tcPr>
            <w:tcW w:w="1060" w:type="dxa"/>
            <w:vAlign w:val="bottom"/>
            <w:shd w:val="clear" w:color="auto" w:fill="CFF0FC"/>
          </w:tcPr>
          <w:p>
            <w:pPr>
              <w:spacing w:after="0"/>
              <w:rPr>
                <w:sz w:val="20"/>
                <w:szCs w:val="20"/>
                <w:color w:val="auto"/>
              </w:rPr>
            </w:pPr>
          </w:p>
        </w:tc>
        <w:tc>
          <w:tcPr>
            <w:tcW w:w="9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(26,317 )</w:t>
            </w:r>
          </w:p>
        </w:tc>
        <w:tc>
          <w:tcPr>
            <w:tcW w:w="380" w:type="dxa"/>
            <w:vAlign w:val="bottom"/>
            <w:shd w:val="clear" w:color="auto" w:fill="CFF0FC"/>
          </w:tcPr>
          <w:p>
            <w:pPr>
              <w:spacing w:after="0"/>
              <w:rPr>
                <w:sz w:val="20"/>
                <w:szCs w:val="20"/>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41,826</w:t>
            </w:r>
          </w:p>
        </w:tc>
        <w:tc>
          <w:tcPr>
            <w:tcW w:w="100" w:type="dxa"/>
            <w:vAlign w:val="bottom"/>
            <w:shd w:val="clear" w:color="auto" w:fill="CFF0FC"/>
          </w:tcPr>
          <w:p>
            <w:pPr>
              <w:spacing w:after="0"/>
              <w:rPr>
                <w:sz w:val="20"/>
                <w:szCs w:val="20"/>
                <w:color w:val="auto"/>
              </w:rPr>
            </w:pPr>
          </w:p>
        </w:tc>
      </w:tr>
      <w:tr>
        <w:trPr>
          <w:trHeight w:val="234"/>
        </w:trPr>
        <w:tc>
          <w:tcPr>
            <w:tcW w:w="746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106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spacing w:after="0"/>
              <w:rPr>
                <w:sz w:val="20"/>
                <w:szCs w:val="20"/>
                <w:color w:val="auto"/>
              </w:rPr>
            </w:pPr>
          </w:p>
        </w:tc>
        <w:tc>
          <w:tcPr>
            <w:tcW w:w="280" w:type="dxa"/>
            <w:vAlign w:val="bottom"/>
            <w:tcBorders>
              <w:top w:val="single" w:sz="8" w:color="CFF0FC"/>
            </w:tcBorders>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spacing w:after="0"/>
              <w:rPr>
                <w:sz w:val="20"/>
                <w:szCs w:val="20"/>
                <w:color w:val="auto"/>
              </w:rPr>
            </w:pPr>
          </w:p>
        </w:tc>
        <w:tc>
          <w:tcPr>
            <w:tcW w:w="100" w:type="dxa"/>
            <w:vAlign w:val="bottom"/>
            <w:tcBorders>
              <w:top w:val="single" w:sz="8" w:color="CFF0FC"/>
            </w:tcBorders>
          </w:tcPr>
          <w:p>
            <w:pPr>
              <w:spacing w:after="0"/>
              <w:rPr>
                <w:sz w:val="20"/>
                <w:szCs w:val="20"/>
                <w:color w:val="auto"/>
              </w:rPr>
            </w:pPr>
          </w:p>
        </w:tc>
      </w:tr>
      <w:tr>
        <w:trPr>
          <w:trHeight w:val="245"/>
        </w:trPr>
        <w:tc>
          <w:tcPr>
            <w:tcW w:w="74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Purchase price adjustment related to business acquisition</w:t>
            </w:r>
          </w:p>
        </w:tc>
        <w:tc>
          <w:tcPr>
            <w:tcW w:w="1060" w:type="dxa"/>
            <w:vAlign w:val="bottom"/>
            <w:shd w:val="clear" w:color="auto" w:fill="CFF0FC"/>
          </w:tcPr>
          <w:p>
            <w:pPr>
              <w:spacing w:after="0"/>
              <w:rPr>
                <w:sz w:val="21"/>
                <w:szCs w:val="21"/>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1,041</w:t>
            </w:r>
          </w:p>
        </w:tc>
        <w:tc>
          <w:tcPr>
            <w:tcW w:w="28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4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74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Purchase of property and equipment</w:t>
            </w:r>
          </w:p>
        </w:tc>
        <w:tc>
          <w:tcPr>
            <w:tcW w:w="1060" w:type="dxa"/>
            <w:vAlign w:val="bottom"/>
          </w:tcPr>
          <w:p>
            <w:pPr>
              <w:spacing w:after="0"/>
              <w:rPr>
                <w:sz w:val="21"/>
                <w:szCs w:val="21"/>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(2,520 )</w:t>
            </w:r>
          </w:p>
        </w:tc>
        <w:tc>
          <w:tcPr>
            <w:tcW w:w="380" w:type="dxa"/>
            <w:vAlign w:val="bottom"/>
          </w:tcPr>
          <w:p>
            <w:pPr>
              <w:spacing w:after="0"/>
              <w:rPr>
                <w:sz w:val="21"/>
                <w:szCs w:val="21"/>
                <w:color w:val="auto"/>
              </w:rPr>
            </w:pPr>
          </w:p>
        </w:tc>
        <w:tc>
          <w:tcPr>
            <w:tcW w:w="14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(4,677 )</w:t>
            </w:r>
          </w:p>
        </w:tc>
      </w:tr>
      <w:tr>
        <w:trPr>
          <w:trHeight w:val="20"/>
        </w:trPr>
        <w:tc>
          <w:tcPr>
            <w:tcW w:w="746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6"/>
        </w:trPr>
        <w:tc>
          <w:tcPr>
            <w:tcW w:w="746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060" w:type="dxa"/>
            <w:vAlign w:val="bottom"/>
            <w:shd w:val="clear" w:color="auto" w:fill="CFF0FC"/>
          </w:tcPr>
          <w:p>
            <w:pPr>
              <w:spacing w:after="0"/>
              <w:rPr>
                <w:sz w:val="20"/>
                <w:szCs w:val="20"/>
                <w:color w:val="auto"/>
              </w:rPr>
            </w:pPr>
          </w:p>
        </w:tc>
        <w:tc>
          <w:tcPr>
            <w:tcW w:w="9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(1,479 )</w:t>
            </w:r>
          </w:p>
        </w:tc>
        <w:tc>
          <w:tcPr>
            <w:tcW w:w="380" w:type="dxa"/>
            <w:vAlign w:val="bottom"/>
            <w:shd w:val="clear" w:color="auto" w:fill="CFF0FC"/>
          </w:tcPr>
          <w:p>
            <w:pPr>
              <w:spacing w:after="0"/>
              <w:rPr>
                <w:sz w:val="20"/>
                <w:szCs w:val="20"/>
                <w:color w:val="auto"/>
              </w:rPr>
            </w:pPr>
          </w:p>
        </w:tc>
        <w:tc>
          <w:tcPr>
            <w:tcW w:w="14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(4,677 )</w:t>
            </w:r>
          </w:p>
        </w:tc>
      </w:tr>
      <w:tr>
        <w:trPr>
          <w:trHeight w:val="234"/>
        </w:trPr>
        <w:tc>
          <w:tcPr>
            <w:tcW w:w="746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106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spacing w:after="0"/>
              <w:rPr>
                <w:sz w:val="20"/>
                <w:szCs w:val="20"/>
                <w:color w:val="auto"/>
              </w:rPr>
            </w:pPr>
          </w:p>
        </w:tc>
        <w:tc>
          <w:tcPr>
            <w:tcW w:w="280" w:type="dxa"/>
            <w:vAlign w:val="bottom"/>
            <w:tcBorders>
              <w:top w:val="single" w:sz="8" w:color="CFF0FC"/>
            </w:tcBorders>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spacing w:after="0"/>
              <w:rPr>
                <w:sz w:val="20"/>
                <w:szCs w:val="20"/>
                <w:color w:val="auto"/>
              </w:rPr>
            </w:pPr>
          </w:p>
        </w:tc>
        <w:tc>
          <w:tcPr>
            <w:tcW w:w="100" w:type="dxa"/>
            <w:vAlign w:val="bottom"/>
            <w:tcBorders>
              <w:top w:val="single" w:sz="8" w:color="CFF0FC"/>
            </w:tcBorders>
          </w:tcPr>
          <w:p>
            <w:pPr>
              <w:spacing w:after="0"/>
              <w:rPr>
                <w:sz w:val="20"/>
                <w:szCs w:val="20"/>
                <w:color w:val="auto"/>
              </w:rPr>
            </w:pPr>
          </w:p>
        </w:tc>
      </w:tr>
      <w:tr>
        <w:trPr>
          <w:trHeight w:val="245"/>
        </w:trPr>
        <w:tc>
          <w:tcPr>
            <w:tcW w:w="74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Repayment of debt</w:t>
            </w:r>
          </w:p>
        </w:tc>
        <w:tc>
          <w:tcPr>
            <w:tcW w:w="1060" w:type="dxa"/>
            <w:vAlign w:val="bottom"/>
            <w:shd w:val="clear" w:color="auto" w:fill="CFF0FC"/>
          </w:tcPr>
          <w:p>
            <w:pPr>
              <w:spacing w:after="0"/>
              <w:rPr>
                <w:sz w:val="21"/>
                <w:szCs w:val="21"/>
                <w:color w:val="auto"/>
              </w:rPr>
            </w:pPr>
          </w:p>
        </w:tc>
        <w:tc>
          <w:tcPr>
            <w:tcW w:w="9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(15,000 )</w:t>
            </w:r>
          </w:p>
        </w:tc>
        <w:tc>
          <w:tcPr>
            <w:tcW w:w="380" w:type="dxa"/>
            <w:vAlign w:val="bottom"/>
            <w:shd w:val="clear" w:color="auto" w:fill="CFF0FC"/>
          </w:tcPr>
          <w:p>
            <w:pPr>
              <w:spacing w:after="0"/>
              <w:rPr>
                <w:sz w:val="21"/>
                <w:szCs w:val="21"/>
                <w:color w:val="auto"/>
              </w:rPr>
            </w:pPr>
          </w:p>
        </w:tc>
        <w:tc>
          <w:tcPr>
            <w:tcW w:w="14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(10,000 )</w:t>
            </w:r>
          </w:p>
        </w:tc>
      </w:tr>
      <w:tr>
        <w:trPr>
          <w:trHeight w:val="238"/>
        </w:trPr>
        <w:tc>
          <w:tcPr>
            <w:tcW w:w="74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Payment of deferred and contingent consideration</w:t>
            </w:r>
          </w:p>
        </w:tc>
        <w:tc>
          <w:tcPr>
            <w:tcW w:w="1060" w:type="dxa"/>
            <w:vAlign w:val="bottom"/>
          </w:tcPr>
          <w:p>
            <w:pPr>
              <w:spacing w:after="0"/>
              <w:rPr>
                <w:sz w:val="20"/>
                <w:szCs w:val="20"/>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(4,942 )</w:t>
            </w:r>
          </w:p>
        </w:tc>
        <w:tc>
          <w:tcPr>
            <w:tcW w:w="380" w:type="dxa"/>
            <w:vAlign w:val="bottom"/>
          </w:tcPr>
          <w:p>
            <w:pPr>
              <w:spacing w:after="0"/>
              <w:rPr>
                <w:sz w:val="20"/>
                <w:szCs w:val="20"/>
                <w:color w:val="auto"/>
              </w:rPr>
            </w:pPr>
          </w:p>
        </w:tc>
        <w:tc>
          <w:tcPr>
            <w:tcW w:w="14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(950 )</w:t>
            </w:r>
          </w:p>
        </w:tc>
      </w:tr>
      <w:tr>
        <w:trPr>
          <w:trHeight w:val="247"/>
        </w:trPr>
        <w:tc>
          <w:tcPr>
            <w:tcW w:w="74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Proceeds from issuance of shares through employee equity incentive plans</w:t>
            </w:r>
          </w:p>
        </w:tc>
        <w:tc>
          <w:tcPr>
            <w:tcW w:w="1060" w:type="dxa"/>
            <w:vAlign w:val="bottom"/>
            <w:shd w:val="clear" w:color="auto" w:fill="CFF0FC"/>
          </w:tcPr>
          <w:p>
            <w:pPr>
              <w:spacing w:after="0"/>
              <w:rPr>
                <w:sz w:val="21"/>
                <w:szCs w:val="21"/>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2,351</w:t>
            </w:r>
          </w:p>
        </w:tc>
        <w:tc>
          <w:tcPr>
            <w:tcW w:w="28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2,117</w:t>
            </w:r>
          </w:p>
        </w:tc>
        <w:tc>
          <w:tcPr>
            <w:tcW w:w="100" w:type="dxa"/>
            <w:vAlign w:val="bottom"/>
            <w:shd w:val="clear" w:color="auto" w:fill="CFF0FC"/>
          </w:tcPr>
          <w:p>
            <w:pPr>
              <w:spacing w:after="0"/>
              <w:rPr>
                <w:sz w:val="21"/>
                <w:szCs w:val="21"/>
                <w:color w:val="auto"/>
              </w:rPr>
            </w:pPr>
          </w:p>
        </w:tc>
      </w:tr>
      <w:tr>
        <w:trPr>
          <w:trHeight w:val="238"/>
        </w:trPr>
        <w:tc>
          <w:tcPr>
            <w:tcW w:w="74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Payment of taxes related to net share settlement of equity awards</w:t>
            </w:r>
          </w:p>
        </w:tc>
        <w:tc>
          <w:tcPr>
            <w:tcW w:w="1060" w:type="dxa"/>
            <w:vAlign w:val="bottom"/>
          </w:tcPr>
          <w:p>
            <w:pPr>
              <w:spacing w:after="0"/>
              <w:rPr>
                <w:sz w:val="20"/>
                <w:szCs w:val="20"/>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(398 )</w:t>
            </w:r>
          </w:p>
        </w:tc>
        <w:tc>
          <w:tcPr>
            <w:tcW w:w="380" w:type="dxa"/>
            <w:vAlign w:val="bottom"/>
          </w:tcPr>
          <w:p>
            <w:pPr>
              <w:spacing w:after="0"/>
              <w:rPr>
                <w:sz w:val="20"/>
                <w:szCs w:val="20"/>
                <w:color w:val="auto"/>
              </w:rPr>
            </w:pPr>
          </w:p>
        </w:tc>
        <w:tc>
          <w:tcPr>
            <w:tcW w:w="14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(556 )</w:t>
            </w:r>
          </w:p>
        </w:tc>
      </w:tr>
      <w:tr>
        <w:trPr>
          <w:trHeight w:val="247"/>
        </w:trPr>
        <w:tc>
          <w:tcPr>
            <w:tcW w:w="74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Dividend paid to noncontrolling interest</w:t>
            </w:r>
          </w:p>
        </w:tc>
        <w:tc>
          <w:tcPr>
            <w:tcW w:w="1060" w:type="dxa"/>
            <w:vAlign w:val="bottom"/>
            <w:shd w:val="clear" w:color="auto" w:fill="CFF0FC"/>
          </w:tcPr>
          <w:p>
            <w:pPr>
              <w:spacing w:after="0"/>
              <w:rPr>
                <w:sz w:val="21"/>
                <w:szCs w:val="21"/>
                <w:color w:val="auto"/>
              </w:rPr>
            </w:pPr>
          </w:p>
        </w:tc>
        <w:tc>
          <w:tcPr>
            <w:tcW w:w="9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(1,960 )</w:t>
            </w:r>
          </w:p>
        </w:tc>
        <w:tc>
          <w:tcPr>
            <w:tcW w:w="380" w:type="dxa"/>
            <w:vAlign w:val="bottom"/>
            <w:shd w:val="clear" w:color="auto" w:fill="CFF0FC"/>
          </w:tcPr>
          <w:p>
            <w:pPr>
              <w:spacing w:after="0"/>
              <w:rPr>
                <w:sz w:val="21"/>
                <w:szCs w:val="21"/>
                <w:color w:val="auto"/>
              </w:rPr>
            </w:pPr>
          </w:p>
        </w:tc>
        <w:tc>
          <w:tcPr>
            <w:tcW w:w="14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74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Payment of other offering costs</w:t>
            </w:r>
          </w:p>
        </w:tc>
        <w:tc>
          <w:tcPr>
            <w:tcW w:w="106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(497 )</w:t>
            </w:r>
          </w:p>
        </w:tc>
      </w:tr>
      <w:tr>
        <w:trPr>
          <w:trHeight w:val="20"/>
        </w:trPr>
        <w:tc>
          <w:tcPr>
            <w:tcW w:w="746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6"/>
        </w:trPr>
        <w:tc>
          <w:tcPr>
            <w:tcW w:w="746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1060" w:type="dxa"/>
            <w:vAlign w:val="bottom"/>
            <w:shd w:val="clear" w:color="auto" w:fill="CFF0FC"/>
          </w:tcPr>
          <w:p>
            <w:pPr>
              <w:spacing w:after="0"/>
              <w:rPr>
                <w:sz w:val="20"/>
                <w:szCs w:val="20"/>
                <w:color w:val="auto"/>
              </w:rPr>
            </w:pPr>
          </w:p>
        </w:tc>
        <w:tc>
          <w:tcPr>
            <w:tcW w:w="9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(19,949 )</w:t>
            </w:r>
          </w:p>
        </w:tc>
        <w:tc>
          <w:tcPr>
            <w:tcW w:w="380" w:type="dxa"/>
            <w:vAlign w:val="bottom"/>
            <w:shd w:val="clear" w:color="auto" w:fill="CFF0FC"/>
          </w:tcPr>
          <w:p>
            <w:pPr>
              <w:spacing w:after="0"/>
              <w:rPr>
                <w:sz w:val="20"/>
                <w:szCs w:val="20"/>
                <w:color w:val="auto"/>
              </w:rPr>
            </w:pPr>
          </w:p>
        </w:tc>
        <w:tc>
          <w:tcPr>
            <w:tcW w:w="14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(9,886 )</w:t>
            </w:r>
          </w:p>
        </w:tc>
      </w:tr>
      <w:tr>
        <w:trPr>
          <w:trHeight w:val="20"/>
        </w:trPr>
        <w:tc>
          <w:tcPr>
            <w:tcW w:w="7460" w:type="dxa"/>
            <w:vAlign w:val="bottom"/>
            <w:shd w:val="clear" w:color="auto" w:fill="CFF0FC"/>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6"/>
        </w:trPr>
        <w:tc>
          <w:tcPr>
            <w:tcW w:w="7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 of exchange rate changes on cash</w:t>
            </w:r>
          </w:p>
        </w:tc>
        <w:tc>
          <w:tcPr>
            <w:tcW w:w="1060" w:type="dxa"/>
            <w:vAlign w:val="bottom"/>
          </w:tcPr>
          <w:p>
            <w:pPr>
              <w:spacing w:after="0"/>
              <w:rPr>
                <w:sz w:val="20"/>
                <w:szCs w:val="20"/>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(636 )</w:t>
            </w:r>
          </w:p>
        </w:tc>
        <w:tc>
          <w:tcPr>
            <w:tcW w:w="3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730</w:t>
            </w:r>
          </w:p>
        </w:tc>
        <w:tc>
          <w:tcPr>
            <w:tcW w:w="100" w:type="dxa"/>
            <w:vAlign w:val="bottom"/>
          </w:tcPr>
          <w:p>
            <w:pPr>
              <w:spacing w:after="0"/>
              <w:rPr>
                <w:sz w:val="20"/>
                <w:szCs w:val="20"/>
                <w:color w:val="auto"/>
              </w:rPr>
            </w:pPr>
          </w:p>
        </w:tc>
      </w:tr>
      <w:tr>
        <w:trPr>
          <w:trHeight w:val="20"/>
        </w:trPr>
        <w:tc>
          <w:tcPr>
            <w:tcW w:w="746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6"/>
        </w:trPr>
        <w:tc>
          <w:tcPr>
            <w:tcW w:w="74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(decrease) increase in cash and restricted cash</w:t>
            </w:r>
          </w:p>
        </w:tc>
        <w:tc>
          <w:tcPr>
            <w:tcW w:w="1060" w:type="dxa"/>
            <w:vAlign w:val="bottom"/>
            <w:shd w:val="clear" w:color="auto" w:fill="CFF0FC"/>
          </w:tcPr>
          <w:p>
            <w:pPr>
              <w:spacing w:after="0"/>
              <w:rPr>
                <w:sz w:val="20"/>
                <w:szCs w:val="20"/>
                <w:color w:val="auto"/>
              </w:rPr>
            </w:pPr>
          </w:p>
        </w:tc>
        <w:tc>
          <w:tcPr>
            <w:tcW w:w="9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(48,381 )</w:t>
            </w:r>
          </w:p>
        </w:tc>
        <w:tc>
          <w:tcPr>
            <w:tcW w:w="380" w:type="dxa"/>
            <w:vAlign w:val="bottom"/>
            <w:shd w:val="clear" w:color="auto" w:fill="CFF0FC"/>
          </w:tcPr>
          <w:p>
            <w:pPr>
              <w:spacing w:after="0"/>
              <w:rPr>
                <w:sz w:val="20"/>
                <w:szCs w:val="20"/>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27,993</w:t>
            </w:r>
          </w:p>
        </w:tc>
        <w:tc>
          <w:tcPr>
            <w:tcW w:w="100" w:type="dxa"/>
            <w:vAlign w:val="bottom"/>
            <w:shd w:val="clear" w:color="auto" w:fill="CFF0FC"/>
          </w:tcPr>
          <w:p>
            <w:pPr>
              <w:spacing w:after="0"/>
              <w:rPr>
                <w:sz w:val="20"/>
                <w:szCs w:val="20"/>
                <w:color w:val="auto"/>
              </w:rPr>
            </w:pPr>
          </w:p>
        </w:tc>
      </w:tr>
      <w:tr>
        <w:trPr>
          <w:trHeight w:val="243"/>
        </w:trPr>
        <w:tc>
          <w:tcPr>
            <w:tcW w:w="7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restricted cash at the beginning of the period</w:t>
            </w:r>
          </w:p>
        </w:tc>
        <w:tc>
          <w:tcPr>
            <w:tcW w:w="106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178,564</w:t>
            </w:r>
          </w:p>
        </w:tc>
        <w:tc>
          <w:tcPr>
            <w:tcW w:w="28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154,060</w:t>
            </w:r>
          </w:p>
        </w:tc>
        <w:tc>
          <w:tcPr>
            <w:tcW w:w="100" w:type="dxa"/>
            <w:vAlign w:val="bottom"/>
          </w:tcPr>
          <w:p>
            <w:pPr>
              <w:spacing w:after="0"/>
              <w:rPr>
                <w:sz w:val="21"/>
                <w:szCs w:val="21"/>
                <w:color w:val="auto"/>
              </w:rPr>
            </w:pPr>
          </w:p>
        </w:tc>
      </w:tr>
      <w:tr>
        <w:trPr>
          <w:trHeight w:val="276"/>
        </w:trPr>
        <w:tc>
          <w:tcPr>
            <w:tcW w:w="74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and restricted cash at the end of the period</w:t>
            </w:r>
          </w:p>
        </w:tc>
        <w:tc>
          <w:tcPr>
            <w:tcW w:w="1060" w:type="dxa"/>
            <w:vAlign w:val="bottom"/>
            <w:tcBorders>
              <w:bottom w:val="single" w:sz="8" w:color="auto"/>
            </w:tcBorders>
            <w:shd w:val="clear" w:color="auto" w:fill="CFF0FC"/>
          </w:tcPr>
          <w:p>
            <w:pPr>
              <w:jc w:val="right"/>
              <w:ind w:right="87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130,183</w:t>
            </w:r>
          </w:p>
        </w:tc>
        <w:tc>
          <w:tcPr>
            <w:tcW w:w="280" w:type="dxa"/>
            <w:vAlign w:val="bottom"/>
            <w:tcBorders>
              <w:bottom w:val="single" w:sz="8" w:color="CFF0FC"/>
            </w:tcBorders>
            <w:shd w:val="clear" w:color="auto" w:fill="CFF0FC"/>
          </w:tcPr>
          <w:p>
            <w:pPr>
              <w:spacing w:after="0"/>
              <w:rPr>
                <w:sz w:val="24"/>
                <w:szCs w:val="24"/>
                <w:color w:val="auto"/>
              </w:rPr>
            </w:pPr>
          </w:p>
        </w:tc>
        <w:tc>
          <w:tcPr>
            <w:tcW w:w="380" w:type="dxa"/>
            <w:vAlign w:val="bottom"/>
            <w:tcBorders>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182,053</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221"/>
        </w:trPr>
        <w:tc>
          <w:tcPr>
            <w:tcW w:w="74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cash flow disclosures:</w:t>
            </w:r>
          </w:p>
        </w:tc>
        <w:tc>
          <w:tcPr>
            <w:tcW w:w="10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45"/>
        </w:trPr>
        <w:tc>
          <w:tcPr>
            <w:tcW w:w="74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Cash paid for interest</w:t>
            </w:r>
          </w:p>
        </w:tc>
        <w:tc>
          <w:tcPr>
            <w:tcW w:w="1060" w:type="dxa"/>
            <w:vAlign w:val="bottom"/>
            <w:shd w:val="clear" w:color="auto" w:fill="CFF0FC"/>
          </w:tcPr>
          <w:p>
            <w:pPr>
              <w:jc w:val="right"/>
              <w:ind w:right="87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3,553</w:t>
            </w:r>
          </w:p>
        </w:tc>
        <w:tc>
          <w:tcPr>
            <w:tcW w:w="280" w:type="dxa"/>
            <w:vAlign w:val="bottom"/>
            <w:shd w:val="clear" w:color="auto" w:fill="CFF0FC"/>
          </w:tcPr>
          <w:p>
            <w:pPr>
              <w:spacing w:after="0"/>
              <w:rPr>
                <w:sz w:val="21"/>
                <w:szCs w:val="21"/>
                <w:color w:val="auto"/>
              </w:rPr>
            </w:pPr>
          </w:p>
        </w:tc>
        <w:tc>
          <w:tcPr>
            <w:tcW w:w="38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4,184</w:t>
            </w:r>
          </w:p>
        </w:tc>
        <w:tc>
          <w:tcPr>
            <w:tcW w:w="100" w:type="dxa"/>
            <w:vAlign w:val="bottom"/>
            <w:shd w:val="clear" w:color="auto" w:fill="CFF0FC"/>
          </w:tcPr>
          <w:p>
            <w:pPr>
              <w:spacing w:after="0"/>
              <w:rPr>
                <w:sz w:val="21"/>
                <w:szCs w:val="21"/>
                <w:color w:val="auto"/>
              </w:rPr>
            </w:pPr>
          </w:p>
        </w:tc>
      </w:tr>
      <w:tr>
        <w:trPr>
          <w:trHeight w:val="238"/>
        </w:trPr>
        <w:tc>
          <w:tcPr>
            <w:tcW w:w="74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Cash paid (refunded) for income taxes, net</w:t>
            </w:r>
          </w:p>
        </w:tc>
        <w:tc>
          <w:tcPr>
            <w:tcW w:w="10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626</w:t>
            </w:r>
          </w:p>
        </w:tc>
        <w:tc>
          <w:tcPr>
            <w:tcW w:w="2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(546 )</w:t>
            </w:r>
          </w:p>
        </w:tc>
      </w:tr>
      <w:tr>
        <w:trPr>
          <w:trHeight w:val="247"/>
        </w:trPr>
        <w:tc>
          <w:tcPr>
            <w:tcW w:w="74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schedule of non-cash investing and financing activities:</w:t>
            </w:r>
          </w:p>
        </w:tc>
        <w:tc>
          <w:tcPr>
            <w:tcW w:w="1060" w:type="dxa"/>
            <w:vAlign w:val="bottom"/>
            <w:shd w:val="clear" w:color="auto" w:fill="CFF0FC"/>
          </w:tcPr>
          <w:p>
            <w:pPr>
              <w:spacing w:after="0"/>
              <w:rPr>
                <w:sz w:val="21"/>
                <w:szCs w:val="21"/>
                <w:color w:val="auto"/>
              </w:rPr>
            </w:pPr>
          </w:p>
        </w:tc>
        <w:tc>
          <w:tcPr>
            <w:tcW w:w="6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3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8"/>
        </w:trPr>
        <w:tc>
          <w:tcPr>
            <w:tcW w:w="74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Equipment purchased and unpaid at period end</w:t>
            </w:r>
          </w:p>
        </w:tc>
        <w:tc>
          <w:tcPr>
            <w:tcW w:w="1060" w:type="dxa"/>
            <w:vAlign w:val="bottom"/>
          </w:tcPr>
          <w:p>
            <w:pPr>
              <w:jc w:val="right"/>
              <w:ind w:right="87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1,171</w:t>
            </w:r>
          </w:p>
        </w:tc>
        <w:tc>
          <w:tcPr>
            <w:tcW w:w="280" w:type="dxa"/>
            <w:vAlign w:val="bottom"/>
          </w:tcPr>
          <w:p>
            <w:pPr>
              <w:spacing w:after="0"/>
              <w:rPr>
                <w:sz w:val="20"/>
                <w:szCs w:val="20"/>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2,234</w:t>
            </w:r>
          </w:p>
        </w:tc>
        <w:tc>
          <w:tcPr>
            <w:tcW w:w="100" w:type="dxa"/>
            <w:vAlign w:val="bottom"/>
          </w:tcPr>
          <w:p>
            <w:pPr>
              <w:spacing w:after="0"/>
              <w:rPr>
                <w:sz w:val="20"/>
                <w:szCs w:val="20"/>
                <w:color w:val="auto"/>
              </w:rPr>
            </w:pPr>
          </w:p>
        </w:tc>
      </w:tr>
      <w:tr>
        <w:trPr>
          <w:trHeight w:val="247"/>
        </w:trPr>
        <w:tc>
          <w:tcPr>
            <w:tcW w:w="74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Right-of-use assets obtained in exchange for operating lease liabilities</w:t>
            </w:r>
          </w:p>
        </w:tc>
        <w:tc>
          <w:tcPr>
            <w:tcW w:w="1060" w:type="dxa"/>
            <w:vAlign w:val="bottom"/>
            <w:shd w:val="clear" w:color="auto" w:fill="CFF0FC"/>
          </w:tcPr>
          <w:p>
            <w:pPr>
              <w:spacing w:after="0"/>
              <w:rPr>
                <w:sz w:val="21"/>
                <w:szCs w:val="21"/>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1,763</w:t>
            </w:r>
          </w:p>
        </w:tc>
        <w:tc>
          <w:tcPr>
            <w:tcW w:w="28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365</w:t>
            </w:r>
          </w:p>
        </w:tc>
        <w:tc>
          <w:tcPr>
            <w:tcW w:w="100" w:type="dxa"/>
            <w:vAlign w:val="bottom"/>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5819140</wp:posOffset>
            </wp:positionH>
            <wp:positionV relativeFrom="paragraph">
              <wp:posOffset>-3475990</wp:posOffset>
            </wp:positionV>
            <wp:extent cx="6858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-3475990</wp:posOffset>
            </wp:positionV>
            <wp:extent cx="6858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5819140</wp:posOffset>
            </wp:positionH>
            <wp:positionV relativeFrom="paragraph">
              <wp:posOffset>-2842260</wp:posOffset>
            </wp:positionV>
            <wp:extent cx="6858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-2842260</wp:posOffset>
            </wp:positionV>
            <wp:extent cx="6858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5819140</wp:posOffset>
            </wp:positionH>
            <wp:positionV relativeFrom="paragraph">
              <wp:posOffset>-1591945</wp:posOffset>
            </wp:positionV>
            <wp:extent cx="6858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-1591945</wp:posOffset>
            </wp:positionV>
            <wp:extent cx="6858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5819140</wp:posOffset>
            </wp:positionH>
            <wp:positionV relativeFrom="paragraph">
              <wp:posOffset>-949960</wp:posOffset>
            </wp:positionV>
            <wp:extent cx="6858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5819140</wp:posOffset>
            </wp:positionH>
            <wp:positionV relativeFrom="paragraph">
              <wp:posOffset>-932815</wp:posOffset>
            </wp:positionV>
            <wp:extent cx="6858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-949960</wp:posOffset>
            </wp:positionV>
            <wp:extent cx="6858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-932815</wp:posOffset>
            </wp:positionV>
            <wp:extent cx="6858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Corsair Gaming, Inc. | Q1 2024 Form 10-Q |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4"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Corsair Gaming,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Description of Business</w:t>
      </w:r>
    </w:p>
    <w:p>
      <w:pPr>
        <w:spacing w:after="0" w:line="121" w:lineRule="exact"/>
        <w:rPr>
          <w:sz w:val="20"/>
          <w:szCs w:val="20"/>
          <w:color w:val="auto"/>
        </w:rPr>
      </w:pPr>
    </w:p>
    <w:p>
      <w:pPr>
        <w:ind w:right="320" w:firstLine="509"/>
        <w:spacing w:after="0" w:line="312" w:lineRule="auto"/>
        <w:rPr>
          <w:sz w:val="20"/>
          <w:szCs w:val="20"/>
          <w:color w:val="auto"/>
        </w:rPr>
      </w:pPr>
      <w:r>
        <w:rPr>
          <w:rFonts w:ascii="Times New Roman" w:cs="Times New Roman" w:eastAsia="Times New Roman" w:hAnsi="Times New Roman"/>
          <w:sz w:val="17"/>
          <w:szCs w:val="17"/>
          <w:color w:val="auto"/>
        </w:rPr>
        <w:t>Corsair Gaming, Inc., a Delaware corporation, together with its subsidiaries (collectively, “Corsair” the “Company”, “we”, “us”, or “our”), is a global provider and innovator of high-performance products for gamers and digital creators, many of which build their own PCs using our components.</w:t>
      </w:r>
    </w:p>
    <w:p>
      <w:pPr>
        <w:spacing w:after="0" w:line="3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Corsair is organized into two reportable segments:</w:t>
      </w:r>
    </w:p>
    <w:p>
      <w:pPr>
        <w:spacing w:after="0" w:line="113" w:lineRule="exact"/>
        <w:rPr>
          <w:sz w:val="20"/>
          <w:szCs w:val="20"/>
          <w:color w:val="auto"/>
        </w:rPr>
      </w:pPr>
    </w:p>
    <w:p>
      <w:pPr>
        <w:ind w:left="1260" w:hanging="368"/>
        <w:spacing w:after="0" w:line="268" w:lineRule="auto"/>
        <w:tabs>
          <w:tab w:leader="none" w:pos="126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Gamer and Creator Peripherals</w:t>
      </w:r>
      <w:r>
        <w:rPr>
          <w:rFonts w:ascii="Times New Roman" w:cs="Times New Roman" w:eastAsia="Times New Roman" w:hAnsi="Times New Roman"/>
          <w:sz w:val="18"/>
          <w:szCs w:val="18"/>
          <w:color w:val="auto"/>
        </w:rPr>
        <w:t>. Includes our high-performance gaming keyboards, mice, headsets, controllers, and streaming products,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which includes capture cards, Stream Decks, microphones and audio interfaces, our Facecam streaming cameras, studio accessories, and gaming furniture, among others.</w:t>
      </w:r>
    </w:p>
    <w:p>
      <w:pPr>
        <w:spacing w:after="0" w:line="61" w:lineRule="exact"/>
        <w:rPr>
          <w:rFonts w:ascii="Times New Roman" w:cs="Times New Roman" w:eastAsia="Times New Roman" w:hAnsi="Times New Roman"/>
          <w:sz w:val="18"/>
          <w:szCs w:val="18"/>
          <w:color w:val="auto"/>
        </w:rPr>
      </w:pPr>
    </w:p>
    <w:p>
      <w:pPr>
        <w:ind w:left="1260" w:right="40" w:hanging="368"/>
        <w:spacing w:after="0" w:line="286" w:lineRule="auto"/>
        <w:tabs>
          <w:tab w:leader="none" w:pos="126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Gaming Components and Systems</w:t>
      </w:r>
      <w:r>
        <w:rPr>
          <w:rFonts w:ascii="Times New Roman" w:cs="Times New Roman" w:eastAsia="Times New Roman" w:hAnsi="Times New Roman"/>
          <w:sz w:val="18"/>
          <w:szCs w:val="18"/>
          <w:color w:val="auto"/>
        </w:rPr>
        <w:t>. Includes our high-performance power supply units, or PSUs, cooling solutions, computer cases,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DRAM modules, as well as high-end prebuilt and custom-built gaming PCs and laptops, and gaming monitors, among others.</w:t>
      </w:r>
    </w:p>
    <w:p>
      <w:pPr>
        <w:spacing w:after="0" w:line="153" w:lineRule="exact"/>
        <w:rPr>
          <w:rFonts w:ascii="Times New Roman" w:cs="Times New Roman" w:eastAsia="Times New Roman" w:hAnsi="Times New Roman"/>
          <w:sz w:val="18"/>
          <w:szCs w:val="18"/>
          <w:color w:val="auto"/>
        </w:rPr>
      </w:pPr>
    </w:p>
    <w:p>
      <w:pPr>
        <w:ind w:left="180" w:hanging="172"/>
        <w:spacing w:after="0"/>
        <w:tabs>
          <w:tab w:leader="none" w:pos="18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21" w:lineRule="exact"/>
        <w:rPr>
          <w:sz w:val="20"/>
          <w:szCs w:val="20"/>
          <w:color w:val="auto"/>
        </w:rPr>
      </w:pPr>
    </w:p>
    <w:p>
      <w:pPr>
        <w:ind w:right="160" w:firstLine="509"/>
        <w:spacing w:after="0" w:line="260" w:lineRule="auto"/>
        <w:rPr>
          <w:sz w:val="20"/>
          <w:szCs w:val="20"/>
          <w:color w:val="auto"/>
        </w:rPr>
      </w:pPr>
      <w:r>
        <w:rPr>
          <w:rFonts w:ascii="Times New Roman" w:cs="Times New Roman" w:eastAsia="Times New Roman" w:hAnsi="Times New Roman"/>
          <w:sz w:val="18"/>
          <w:szCs w:val="18"/>
          <w:color w:val="auto"/>
        </w:rPr>
        <w:t>Our interim condensed consolidated financial statements have been prepared in accordance with U.S. generally accepted accounting principles (“U.S. GAAP”) and applicable rules and regulations of the U.S. Securities and Exchange Commission (“SEC”) regarding interim financial reporting. The accounting policies we follow are set forth in Part II, Item 8, Note 2, “Significant Accounting Policies”, of the Notes to the Consolidated Financial Statements included in our Annual Report on Form 10K for the year ended December 31, 2023 which was filed with the SEC on February 27, 2024.</w:t>
      </w:r>
    </w:p>
    <w:p>
      <w:pPr>
        <w:spacing w:after="0" w:line="74"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The condensed consolidated balance sheet as of December 31, 2023, included herein, was derived from the audited consolidated financial statements as of that date. Certain information and note disclosures normally included in the financial statements prepared in accordance with U.S. GAAP have been condensed, combined or omitted pursuant to such rules and regulations. Therefore, these interim condensed consolidated financial statements should be read in conjunction with our consolidated financial statements and notes thereto for the year ended December 31, 2023, included in our Annual Report on Form 10-K.</w:t>
      </w:r>
    </w:p>
    <w:p>
      <w:pPr>
        <w:spacing w:after="0" w:line="74" w:lineRule="exact"/>
        <w:rPr>
          <w:sz w:val="20"/>
          <w:szCs w:val="20"/>
          <w:color w:val="auto"/>
        </w:rPr>
      </w:pPr>
    </w:p>
    <w:p>
      <w:pPr>
        <w:ind w:right="60" w:firstLine="509"/>
        <w:spacing w:after="0" w:line="260" w:lineRule="auto"/>
        <w:rPr>
          <w:sz w:val="20"/>
          <w:szCs w:val="20"/>
          <w:color w:val="auto"/>
        </w:rPr>
      </w:pPr>
      <w:r>
        <w:rPr>
          <w:rFonts w:ascii="Times New Roman" w:cs="Times New Roman" w:eastAsia="Times New Roman" w:hAnsi="Times New Roman"/>
          <w:sz w:val="18"/>
          <w:szCs w:val="18"/>
          <w:color w:val="auto"/>
        </w:rPr>
        <w:t>The interim condensed consolidated financial statements have been prepared on the same basis as the audited consolidated financial statements, and in management’s opinion, include all adjustments, which consist of only normal recurring adjustments necessary for the fair statement of our condensed consolidated balance sheet as of March 31, 2024 and our results of operations for the three months ended March 31, 2024 and 2023. The results for the three months ended March 31, 2024 are not necessarily indicative of the results expected for the current fiscal year or any other future periods.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Principles of Consolidation</w:t>
      </w:r>
    </w:p>
    <w:p>
      <w:pPr>
        <w:spacing w:after="0" w:line="121" w:lineRule="exact"/>
        <w:rPr>
          <w:sz w:val="20"/>
          <w:szCs w:val="20"/>
          <w:color w:val="auto"/>
        </w:rPr>
      </w:pPr>
    </w:p>
    <w:p>
      <w:pPr>
        <w:ind w:firstLine="509"/>
        <w:spacing w:after="0" w:line="260"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include the accounts of Corsair and its subsidiaries, after the elimination of intercompany accounts and transactions. We consolidate subsidiaries in which we have a controlling interest. For the consolidated subsidiaries in which we own less than 100% of the equity, our consolidated net comprehensive income (loss) is reduced by the portion attributable to the noncontrolling interest. The ownership interest of other investors is recorded as noncontrolling interest in the condensed consolidated balance sheets.</w:t>
      </w:r>
    </w:p>
    <w:p>
      <w:pPr>
        <w:spacing w:after="0" w:line="74" w:lineRule="exact"/>
        <w:rPr>
          <w:sz w:val="20"/>
          <w:szCs w:val="20"/>
          <w:color w:val="auto"/>
        </w:rPr>
      </w:pPr>
    </w:p>
    <w:p>
      <w:pPr>
        <w:ind w:right="20" w:firstLine="509"/>
        <w:spacing w:after="0" w:line="260" w:lineRule="auto"/>
        <w:rPr>
          <w:sz w:val="20"/>
          <w:szCs w:val="20"/>
          <w:color w:val="auto"/>
        </w:rPr>
      </w:pPr>
      <w:r>
        <w:rPr>
          <w:rFonts w:ascii="Times New Roman" w:cs="Times New Roman" w:eastAsia="Times New Roman" w:hAnsi="Times New Roman"/>
          <w:sz w:val="18"/>
          <w:szCs w:val="18"/>
          <w:color w:val="auto"/>
        </w:rPr>
        <w:t>In determining whether an entity is considered a controlled entity, we apply the VIE (variable interest entity) and VOE (voting interest entity) models. Entities that do not qualify as a VIE are assessed for consolidation under the VOE model. Under the VOE model, we consolidate the entity if we determine that we have a controlling financial interest in the entity through our ownership of greater than 50% of the outstanding voting shares of the entity and that other equity holders do not have substantive voting, participating or liquidation rights.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21" w:lineRule="exact"/>
        <w:rPr>
          <w:sz w:val="20"/>
          <w:szCs w:val="20"/>
          <w:color w:val="auto"/>
        </w:rPr>
      </w:pPr>
    </w:p>
    <w:p>
      <w:pPr>
        <w:ind w:right="440" w:firstLine="509"/>
        <w:spacing w:after="0" w:line="258" w:lineRule="auto"/>
        <w:rPr>
          <w:sz w:val="20"/>
          <w:szCs w:val="20"/>
          <w:color w:val="auto"/>
        </w:rPr>
      </w:pPr>
      <w:r>
        <w:rPr>
          <w:rFonts w:ascii="Times New Roman" w:cs="Times New Roman" w:eastAsia="Times New Roman" w:hAnsi="Times New Roman"/>
          <w:sz w:val="18"/>
          <w:szCs w:val="18"/>
          <w:color w:val="auto"/>
        </w:rPr>
        <w:t>The preparation of condensed consolidated financial statements in conformity with U.S. GAAP requires management to make estimates and assumptions that affect the reported amounts of assets and liabilities and disclosure of contingent assets and liabilities as of the date of the condensed consolidated financial statements and the reported amounts of revenues and expenses during the reporting period. Such estimates include, but are not limited to, the valuation of intangible assets, accounts receivable, sales return reserves, reserves for customer incentives, warranty reserves, inventory, derivative instruments, stock-based compensation, and deferred income</w:t>
      </w:r>
    </w:p>
    <w:p>
      <w:pPr>
        <w:spacing w:after="0" w:line="3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Corsair Gaming, Inc. | Q1 2024 Form 10-Q |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14" w:right="35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tax. These estimates and assumptions are based on management’s best estimates and judgment. Management evaluates its estimates and assumptions on an ongoing basis using historical experience and other factors, including the potential impacts from events in the current economic and geopolitical environment. We adjust such estimates and assumptions when facts and circumstances dictate. The extent to which the current macroeconomic conditions and the development of the geopolitical unrest will impact our business going forward depends on numerous dynamic factors that we cannot reliably predict. Actual results could differ materially from those estimates.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Pronouncements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Accounting Pronouncements Issued but Not Yet Adopted</w:t>
      </w:r>
    </w:p>
    <w:p>
      <w:pPr>
        <w:spacing w:after="0" w:line="12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In November 2023, the Financial Accounting Standards Board (“FASB”) issued ASU No. 2023-07, Segment Reporting (Topic 280): Improvement to Reportable Segment Disclosure. This ASU updates the reportable segment disclosure requirements by requiring disclosures of significant reportable segment expenses that are regularly provided to the chief operating decision maker (“CODM”) and included within each reported measure of a segment's profit or loss. This ASU also requires disclosure of the title and position of the individual identified as the CODM and an explanation of how the CODM uses the reported measures of a segment's profit or loss in assessing segment performance and deciding how to allocate resources. The ASU will be effective for annual periods beginning after December 15, 2023, and interim periods within fiscal years beginning after December 15, 2024, with early adoption permitted. Adoption of the ASU should be applied retrospectively to all prior periods presented in the financial statements. This ASU will result in additional required disclosures in our consolidated financial statements, when adopted. We are currently evaluating the provisions of this ASU and expect to adopt them for the year ended December 31, 2024.</w:t>
      </w:r>
    </w:p>
    <w:p>
      <w:pPr>
        <w:spacing w:after="0" w:line="78" w:lineRule="exact"/>
        <w:rPr>
          <w:sz w:val="20"/>
          <w:szCs w:val="20"/>
          <w:color w:val="auto"/>
        </w:rPr>
      </w:pPr>
    </w:p>
    <w:p>
      <w:pPr>
        <w:ind w:right="240" w:firstLine="509"/>
        <w:spacing w:after="0" w:line="258" w:lineRule="auto"/>
        <w:rPr>
          <w:sz w:val="20"/>
          <w:szCs w:val="20"/>
          <w:color w:val="auto"/>
        </w:rPr>
      </w:pPr>
      <w:r>
        <w:rPr>
          <w:rFonts w:ascii="Times New Roman" w:cs="Times New Roman" w:eastAsia="Times New Roman" w:hAnsi="Times New Roman"/>
          <w:sz w:val="18"/>
          <w:szCs w:val="18"/>
          <w:color w:val="auto"/>
        </w:rPr>
        <w:t>In December 2023, the FASB issued ASU No. 2023-09, Income Taxes (Topic 740): Improvements to Income Tax Disclosures. This ASU requires disaggregated information about a reporting entity's effective tax rate reconciliation as well as additional information on income tax paid. The ASU is effective on a prospective basis for annual periods beginning after December 15, 2024, with early adoption permitted. This ASU will result in additional required disclosures in our consolidated financial statements, when adopted. We are currently evaluating the provisions of this ASU and expect to adopt them for the year ended December 31, 2025.</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Fair Value Measurement</w:t>
      </w:r>
    </w:p>
    <w:p>
      <w:pPr>
        <w:spacing w:after="0" w:line="121" w:lineRule="exact"/>
        <w:rPr>
          <w:sz w:val="20"/>
          <w:szCs w:val="20"/>
          <w:color w:val="auto"/>
        </w:rPr>
      </w:pPr>
    </w:p>
    <w:p>
      <w:pPr>
        <w:ind w:right="320" w:firstLine="509"/>
        <w:spacing w:after="0" w:line="265" w:lineRule="auto"/>
        <w:rPr>
          <w:sz w:val="20"/>
          <w:szCs w:val="20"/>
          <w:color w:val="auto"/>
        </w:rPr>
      </w:pPr>
      <w:r>
        <w:rPr>
          <w:rFonts w:ascii="Times New Roman" w:cs="Times New Roman" w:eastAsia="Times New Roman" w:hAnsi="Times New Roman"/>
          <w:sz w:val="18"/>
          <w:szCs w:val="18"/>
          <w:color w:val="auto"/>
        </w:rPr>
        <w:t>U.S. GAAP establishes a fair value hierarchy which requires an entity to maximize the use of observable inputs and minimize the use of unobservable inputs when measuring fair value. The hierarchy is broken down into the following three levels of inputs that may be used to measure fair value:</w:t>
      </w:r>
    </w:p>
    <w:p>
      <w:pPr>
        <w:spacing w:after="0" w:line="2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Level 1</w:t>
      </w:r>
      <w:r>
        <w:rPr>
          <w:rFonts w:ascii="Times New Roman" w:cs="Times New Roman" w:eastAsia="Times New Roman" w:hAnsi="Times New Roman"/>
          <w:sz w:val="18"/>
          <w:szCs w:val="18"/>
          <w:color w:val="auto"/>
        </w:rPr>
        <w:t>—Quoted prices are available in active markets for identical assets or liabilities as of the measurement date.</w:t>
      </w:r>
    </w:p>
    <w:p>
      <w:pPr>
        <w:spacing w:after="0" w:line="90" w:lineRule="exact"/>
        <w:rPr>
          <w:sz w:val="20"/>
          <w:szCs w:val="20"/>
          <w:color w:val="auto"/>
        </w:rPr>
      </w:pPr>
    </w:p>
    <w:p>
      <w:pPr>
        <w:jc w:val="both"/>
        <w:ind w:right="300" w:firstLine="509"/>
        <w:spacing w:after="0" w:line="267" w:lineRule="auto"/>
        <w:rPr>
          <w:sz w:val="20"/>
          <w:szCs w:val="20"/>
          <w:color w:val="auto"/>
        </w:rPr>
      </w:pPr>
      <w:r>
        <w:rPr>
          <w:rFonts w:ascii="Times New Roman" w:cs="Times New Roman" w:eastAsia="Times New Roman" w:hAnsi="Times New Roman"/>
          <w:sz w:val="18"/>
          <w:szCs w:val="18"/>
          <w:i w:val="1"/>
          <w:iCs w:val="1"/>
          <w:color w:val="auto"/>
        </w:rPr>
        <w:t>Level 2</w:t>
      </w:r>
      <w:r>
        <w:rPr>
          <w:rFonts w:ascii="Times New Roman" w:cs="Times New Roman" w:eastAsia="Times New Roman" w:hAnsi="Times New Roman"/>
          <w:sz w:val="18"/>
          <w:szCs w:val="18"/>
          <w:color w:val="auto"/>
        </w:rPr>
        <w:t>—Pricing inputs are other than quoted prices in active market, which are either directly or indirectly observable as of the report date.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nature of these securities includes investments for which quoted prices are available but traded less frequently and investments that are fair valued using other securities, the parameters of which can be directly observed.</w:t>
      </w:r>
    </w:p>
    <w:p>
      <w:pPr>
        <w:spacing w:after="0" w:line="24" w:lineRule="exact"/>
        <w:rPr>
          <w:sz w:val="20"/>
          <w:szCs w:val="20"/>
          <w:color w:val="auto"/>
        </w:rPr>
      </w:pPr>
    </w:p>
    <w:p>
      <w:pPr>
        <w:ind w:right="80" w:firstLine="509"/>
        <w:spacing w:after="0" w:line="283" w:lineRule="auto"/>
        <w:rPr>
          <w:sz w:val="20"/>
          <w:szCs w:val="20"/>
          <w:color w:val="auto"/>
        </w:rPr>
      </w:pPr>
      <w:r>
        <w:rPr>
          <w:rFonts w:ascii="Times New Roman" w:cs="Times New Roman" w:eastAsia="Times New Roman" w:hAnsi="Times New Roman"/>
          <w:sz w:val="18"/>
          <w:szCs w:val="18"/>
          <w:i w:val="1"/>
          <w:iCs w:val="1"/>
          <w:color w:val="auto"/>
        </w:rPr>
        <w:t>Level 3</w:t>
      </w:r>
      <w:r>
        <w:rPr>
          <w:rFonts w:ascii="Times New Roman" w:cs="Times New Roman" w:eastAsia="Times New Roman" w:hAnsi="Times New Roman"/>
          <w:sz w:val="18"/>
          <w:szCs w:val="18"/>
          <w:color w:val="auto"/>
        </w:rPr>
        <w:t>—Securities that have little to no pricing observability as of the report date. These securities are measured using management’s best estimate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fair value, where the inputs into the determination of fair value are not observable and require significant management judgment or estimation.</w:t>
      </w:r>
    </w:p>
    <w:p>
      <w:pPr>
        <w:spacing w:after="0" w:line="13" w:lineRule="exact"/>
        <w:rPr>
          <w:sz w:val="20"/>
          <w:szCs w:val="20"/>
          <w:color w:val="auto"/>
        </w:rPr>
      </w:pPr>
    </w:p>
    <w:p>
      <w:pPr>
        <w:ind w:right="40" w:firstLine="509"/>
        <w:spacing w:after="0" w:line="265" w:lineRule="auto"/>
        <w:rPr>
          <w:sz w:val="20"/>
          <w:szCs w:val="20"/>
          <w:color w:val="auto"/>
        </w:rPr>
      </w:pPr>
      <w:r>
        <w:rPr>
          <w:rFonts w:ascii="Times New Roman" w:cs="Times New Roman" w:eastAsia="Times New Roman" w:hAnsi="Times New Roman"/>
          <w:sz w:val="18"/>
          <w:szCs w:val="18"/>
          <w:color w:val="auto"/>
        </w:rPr>
        <w:t>Fair value accounting is applied to all financial assets and liabilities that are recognized or disclosed at fair value in our condensed consolidated financial statements on a recurring basis. Our financial instruments, including cash, restricted cash, accounts receivable, accounts payable, borrowings from credit lines and other liabilities and accrued expenses approximate fair value due to their short-term maturities.</w:t>
      </w:r>
    </w:p>
    <w:p>
      <w:pPr>
        <w:spacing w:after="0" w:line="43" w:lineRule="exact"/>
        <w:rPr>
          <w:sz w:val="20"/>
          <w:szCs w:val="20"/>
          <w:color w:val="auto"/>
        </w:rPr>
      </w:pPr>
    </w:p>
    <w:p>
      <w:pPr>
        <w:ind w:right="160" w:firstLine="509"/>
        <w:spacing w:after="0" w:line="265" w:lineRule="auto"/>
        <w:rPr>
          <w:sz w:val="20"/>
          <w:szCs w:val="20"/>
          <w:color w:val="auto"/>
        </w:rPr>
      </w:pPr>
      <w:r>
        <w:rPr>
          <w:rFonts w:ascii="Times New Roman" w:cs="Times New Roman" w:eastAsia="Times New Roman" w:hAnsi="Times New Roman"/>
          <w:sz w:val="18"/>
          <w:szCs w:val="18"/>
          <w:color w:val="auto"/>
        </w:rPr>
        <w:t>Our financial assets and liabilities that were measured at fair value on a recurring basis consisted of foreign currency forward contracts and the fair values of these contracts, which were classified as Level 2 of the fair value hierarchy, were based on similar exchange traded derivatives and the related asset or liability. The balances of our financial assets and liabilities as of March 31, 2024 and December 31, 2023 were not material.</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Derivative Financial Instruments</w:t>
      </w:r>
    </w:p>
    <w:p>
      <w:pPr>
        <w:spacing w:after="0" w:line="121"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From time to time, we enter into derivative instruments such as foreign currency forward contracts, to minimize the short-term impact of foreign currency exchange rate fluctuations on certain foreign currency denominated assets and liabilities. The derivative instruments are recorded at fair value in prepaid expenses and other current assets or other liabilities and accrued expenses on the condensed consolidated balance sheets. We do not designate such instruments as hedges for accounting purposes; accordingly, changes in the value of these contracts are recognized in each reporting period in other (expense) income, net in the condensed consolidated statements of operations. We do not enter into derivative instruments for trading purposes.</w:t>
      </w:r>
    </w:p>
    <w:p>
      <w:pPr>
        <w:spacing w:after="0" w:line="3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Corsair Gaming, Inc. | Q1 2024 Form 10-Q |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right="80" w:firstLine="509"/>
        <w:spacing w:after="0" w:line="260" w:lineRule="auto"/>
        <w:rPr>
          <w:sz w:val="20"/>
          <w:szCs w:val="20"/>
          <w:color w:val="auto"/>
        </w:rPr>
      </w:pPr>
      <w:r>
        <w:rPr>
          <w:rFonts w:ascii="Times New Roman" w:cs="Times New Roman" w:eastAsia="Times New Roman" w:hAnsi="Times New Roman"/>
          <w:sz w:val="18"/>
          <w:szCs w:val="18"/>
          <w:color w:val="auto"/>
        </w:rPr>
        <w:t>The foreign currency forward contracts generally mature within two to four months. The notional principal amount of outstanding foreign exchange forward contracts was $28.5 million and $44.3 million as of March 31, 2024 and December 31, 2023, respectively. The net fair value gains (losses) recognized in other (expense) income, net in relation to these derivative instruments was $0.6 million and $(0.4) million for the three months ended March 31, 2024 and 2023, respectively.</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Business Combinations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Drop Acquisition</w:t>
      </w:r>
    </w:p>
    <w:p>
      <w:pPr>
        <w:spacing w:after="0" w:line="121"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On July 14, 2023 (the “Acquisition Date”), we completed the acquisition of the assets and business of Massdrop Inc. (“Drop”), including the assumption of trade payables and certain accrued liabilities (the “Drop Acquisition”) for a cash purchase consideration of approximately $14.2 million, net of $0.6 million of cash acquired. On January 29, 2024, in connection with a joint release letter executed between us and Drop's seller, we received a refund of $1.0 million from escrow funds in relation to a purchase price adjustment for net working capital. With this refund, total purchase consideration, net of cash acquired, decreased to $13.2 million.</w:t>
      </w:r>
    </w:p>
    <w:p>
      <w:pPr>
        <w:spacing w:after="0" w:line="74" w:lineRule="exact"/>
        <w:rPr>
          <w:sz w:val="20"/>
          <w:szCs w:val="20"/>
          <w:color w:val="auto"/>
        </w:rPr>
      </w:pPr>
    </w:p>
    <w:p>
      <w:pPr>
        <w:ind w:right="80" w:firstLine="509"/>
        <w:spacing w:after="0" w:line="260" w:lineRule="auto"/>
        <w:rPr>
          <w:sz w:val="20"/>
          <w:szCs w:val="20"/>
          <w:color w:val="auto"/>
        </w:rPr>
      </w:pPr>
      <w:r>
        <w:rPr>
          <w:rFonts w:ascii="Times New Roman" w:cs="Times New Roman" w:eastAsia="Times New Roman" w:hAnsi="Times New Roman"/>
          <w:sz w:val="18"/>
          <w:szCs w:val="18"/>
          <w:color w:val="auto"/>
        </w:rPr>
        <w:t>Drop, a community-based e-commerce company was headquartered in San Francisco, California, and specialized in customized DIY keyboards and keycaps. We expect this acquisition to give Corsair a leading presence in the personalized keyboards market which is one of the fastest growing trends in the gaming peripherals space as well as allow us to offer specialized Corsair and Elgato products to the enthusiast community that Drop is engaged with. Drop’s results of operations are included in our condensed consolidated statements of operations with effect from July 14, 2023.</w:t>
      </w:r>
    </w:p>
    <w:p>
      <w:pPr>
        <w:spacing w:after="0" w:line="74" w:lineRule="exact"/>
        <w:rPr>
          <w:sz w:val="20"/>
          <w:szCs w:val="20"/>
          <w:color w:val="auto"/>
        </w:rPr>
      </w:pPr>
    </w:p>
    <w:p>
      <w:pPr>
        <w:jc w:val="both"/>
        <w:ind w:right="260" w:firstLine="509"/>
        <w:spacing w:after="0" w:line="257" w:lineRule="auto"/>
        <w:rPr>
          <w:sz w:val="20"/>
          <w:szCs w:val="20"/>
          <w:color w:val="auto"/>
        </w:rPr>
      </w:pPr>
      <w:r>
        <w:rPr>
          <w:rFonts w:ascii="Times New Roman" w:cs="Times New Roman" w:eastAsia="Times New Roman" w:hAnsi="Times New Roman"/>
          <w:sz w:val="18"/>
          <w:szCs w:val="18"/>
          <w:color w:val="auto"/>
        </w:rPr>
        <w:t>The Drop Acquisition was accounted for as a business combination under the acquisition method of accounting. The final allocation of the Drop Acquisition purchase consideration to the estimated fair value of the assets acquired and liabilities assumed, inclusive of immaterial measurement period adjustments, was as follows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90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800" w:type="dxa"/>
            <w:vAlign w:val="bottom"/>
            <w:gridSpan w:val="2"/>
          </w:tcPr>
          <w:p>
            <w:pPr>
              <w:jc w:val="right"/>
              <w:ind w:right="900"/>
              <w:spacing w:after="0"/>
              <w:rPr>
                <w:sz w:val="20"/>
                <w:szCs w:val="20"/>
                <w:color w:val="auto"/>
              </w:rPr>
            </w:pPr>
            <w:r>
              <w:rPr>
                <w:rFonts w:ascii="Times New Roman" w:cs="Times New Roman" w:eastAsia="Times New Roman" w:hAnsi="Times New Roman"/>
                <w:sz w:val="14"/>
                <w:szCs w:val="14"/>
                <w:b w:val="1"/>
                <w:bCs w:val="1"/>
                <w:color w:val="auto"/>
              </w:rPr>
              <w:t>Amounts</w:t>
            </w:r>
          </w:p>
        </w:tc>
      </w:tr>
      <w:tr>
        <w:trPr>
          <w:trHeight w:val="61"/>
        </w:trPr>
        <w:tc>
          <w:tcPr>
            <w:tcW w:w="9000" w:type="dxa"/>
            <w:vAlign w:val="bottom"/>
          </w:tcPr>
          <w:p>
            <w:pPr>
              <w:spacing w:after="0"/>
              <w:rPr>
                <w:sz w:val="5"/>
                <w:szCs w:val="5"/>
                <w:color w:val="auto"/>
              </w:rPr>
            </w:pPr>
          </w:p>
        </w:tc>
        <w:tc>
          <w:tcPr>
            <w:tcW w:w="440" w:type="dxa"/>
            <w:vAlign w:val="bottom"/>
            <w:tcBorders>
              <w:top w:val="single" w:sz="8" w:color="auto"/>
            </w:tcBorders>
          </w:tcPr>
          <w:p>
            <w:pPr>
              <w:spacing w:after="0"/>
              <w:rPr>
                <w:sz w:val="5"/>
                <w:szCs w:val="5"/>
                <w:color w:val="auto"/>
              </w:rPr>
            </w:pPr>
          </w:p>
        </w:tc>
        <w:tc>
          <w:tcPr>
            <w:tcW w:w="1700" w:type="dxa"/>
            <w:vAlign w:val="bottom"/>
            <w:tcBorders>
              <w:top w:val="single" w:sz="8" w:color="auto"/>
            </w:tcBorders>
          </w:tcPr>
          <w:p>
            <w:pPr>
              <w:spacing w:after="0"/>
              <w:rPr>
                <w:sz w:val="5"/>
                <w:szCs w:val="5"/>
                <w:color w:val="auto"/>
              </w:rPr>
            </w:pPr>
          </w:p>
        </w:tc>
        <w:tc>
          <w:tcPr>
            <w:tcW w:w="100" w:type="dxa"/>
            <w:vAlign w:val="bottom"/>
          </w:tcPr>
          <w:p>
            <w:pPr>
              <w:spacing w:after="0"/>
              <w:rPr>
                <w:sz w:val="5"/>
                <w:szCs w:val="5"/>
                <w:color w:val="auto"/>
              </w:rPr>
            </w:pPr>
          </w:p>
        </w:tc>
      </w:tr>
      <w:tr>
        <w:trPr>
          <w:trHeight w:val="243"/>
        </w:trPr>
        <w:tc>
          <w:tcPr>
            <w:tcW w:w="90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Accounts receivable</w:t>
            </w:r>
          </w:p>
        </w:tc>
        <w:tc>
          <w:tcPr>
            <w:tcW w:w="440" w:type="dxa"/>
            <w:vAlign w:val="bottom"/>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00" w:type="dxa"/>
            <w:vAlign w:val="bottom"/>
            <w:shd w:val="clear" w:color="auto" w:fill="CFF0FC"/>
          </w:tcPr>
          <w:p>
            <w:pPr>
              <w:spacing w:after="0"/>
              <w:rPr>
                <w:sz w:val="21"/>
                <w:szCs w:val="21"/>
                <w:color w:val="auto"/>
              </w:rPr>
            </w:pPr>
          </w:p>
        </w:tc>
      </w:tr>
      <w:tr>
        <w:trPr>
          <w:trHeight w:val="238"/>
        </w:trPr>
        <w:tc>
          <w:tcPr>
            <w:tcW w:w="9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Inventories</w:t>
            </w:r>
          </w:p>
        </w:tc>
        <w:tc>
          <w:tcPr>
            <w:tcW w:w="440" w:type="dxa"/>
            <w:vAlign w:val="bottom"/>
          </w:tcPr>
          <w:p>
            <w:pPr>
              <w:spacing w:after="0"/>
              <w:rPr>
                <w:sz w:val="20"/>
                <w:szCs w:val="20"/>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7,739</w:t>
            </w:r>
          </w:p>
        </w:tc>
        <w:tc>
          <w:tcPr>
            <w:tcW w:w="100" w:type="dxa"/>
            <w:vAlign w:val="bottom"/>
          </w:tcPr>
          <w:p>
            <w:pPr>
              <w:spacing w:after="0"/>
              <w:rPr>
                <w:sz w:val="20"/>
                <w:szCs w:val="20"/>
                <w:color w:val="auto"/>
              </w:rPr>
            </w:pPr>
          </w:p>
        </w:tc>
      </w:tr>
      <w:tr>
        <w:trPr>
          <w:trHeight w:val="247"/>
        </w:trPr>
        <w:tc>
          <w:tcPr>
            <w:tcW w:w="90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Prepaid and other assets</w:t>
            </w:r>
          </w:p>
        </w:tc>
        <w:tc>
          <w:tcPr>
            <w:tcW w:w="440" w:type="dxa"/>
            <w:vAlign w:val="bottom"/>
            <w:shd w:val="clear" w:color="auto" w:fill="CFF0FC"/>
          </w:tcPr>
          <w:p>
            <w:pPr>
              <w:spacing w:after="0"/>
              <w:rPr>
                <w:sz w:val="21"/>
                <w:szCs w:val="21"/>
                <w:color w:val="auto"/>
              </w:rPr>
            </w:pPr>
          </w:p>
        </w:tc>
        <w:tc>
          <w:tcPr>
            <w:tcW w:w="1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866</w:t>
            </w:r>
          </w:p>
        </w:tc>
        <w:tc>
          <w:tcPr>
            <w:tcW w:w="100" w:type="dxa"/>
            <w:vAlign w:val="bottom"/>
            <w:shd w:val="clear" w:color="auto" w:fill="CFF0FC"/>
          </w:tcPr>
          <w:p>
            <w:pPr>
              <w:spacing w:after="0"/>
              <w:rPr>
                <w:sz w:val="21"/>
                <w:szCs w:val="21"/>
                <w:color w:val="auto"/>
              </w:rPr>
            </w:pPr>
          </w:p>
        </w:tc>
      </w:tr>
      <w:tr>
        <w:trPr>
          <w:trHeight w:val="238"/>
        </w:trPr>
        <w:tc>
          <w:tcPr>
            <w:tcW w:w="9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and equipment</w:t>
            </w:r>
          </w:p>
        </w:tc>
        <w:tc>
          <w:tcPr>
            <w:tcW w:w="440" w:type="dxa"/>
            <w:vAlign w:val="bottom"/>
          </w:tcPr>
          <w:p>
            <w:pPr>
              <w:spacing w:after="0"/>
              <w:rPr>
                <w:sz w:val="20"/>
                <w:szCs w:val="20"/>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00" w:type="dxa"/>
            <w:vAlign w:val="bottom"/>
          </w:tcPr>
          <w:p>
            <w:pPr>
              <w:spacing w:after="0"/>
              <w:rPr>
                <w:sz w:val="20"/>
                <w:szCs w:val="20"/>
                <w:color w:val="auto"/>
              </w:rPr>
            </w:pPr>
          </w:p>
        </w:tc>
      </w:tr>
      <w:tr>
        <w:trPr>
          <w:trHeight w:val="247"/>
        </w:trPr>
        <w:tc>
          <w:tcPr>
            <w:tcW w:w="90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Identifiable intangible assets</w:t>
            </w:r>
          </w:p>
        </w:tc>
        <w:tc>
          <w:tcPr>
            <w:tcW w:w="440" w:type="dxa"/>
            <w:vAlign w:val="bottom"/>
            <w:shd w:val="clear" w:color="auto" w:fill="CFF0FC"/>
          </w:tcPr>
          <w:p>
            <w:pPr>
              <w:spacing w:after="0"/>
              <w:rPr>
                <w:sz w:val="21"/>
                <w:szCs w:val="21"/>
                <w:color w:val="auto"/>
              </w:rPr>
            </w:pPr>
          </w:p>
        </w:tc>
        <w:tc>
          <w:tcPr>
            <w:tcW w:w="1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9,160</w:t>
            </w:r>
          </w:p>
        </w:tc>
        <w:tc>
          <w:tcPr>
            <w:tcW w:w="100" w:type="dxa"/>
            <w:vAlign w:val="bottom"/>
            <w:shd w:val="clear" w:color="auto" w:fill="CFF0FC"/>
          </w:tcPr>
          <w:p>
            <w:pPr>
              <w:spacing w:after="0"/>
              <w:rPr>
                <w:sz w:val="21"/>
                <w:szCs w:val="21"/>
                <w:color w:val="auto"/>
              </w:rPr>
            </w:pPr>
          </w:p>
        </w:tc>
      </w:tr>
      <w:tr>
        <w:trPr>
          <w:trHeight w:val="238"/>
        </w:trPr>
        <w:tc>
          <w:tcPr>
            <w:tcW w:w="9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440" w:type="dxa"/>
            <w:vAlign w:val="bottom"/>
          </w:tcPr>
          <w:p>
            <w:pPr>
              <w:spacing w:after="0"/>
              <w:rPr>
                <w:sz w:val="20"/>
                <w:szCs w:val="20"/>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5,960</w:t>
            </w:r>
          </w:p>
        </w:tc>
        <w:tc>
          <w:tcPr>
            <w:tcW w:w="100" w:type="dxa"/>
            <w:vAlign w:val="bottom"/>
          </w:tcPr>
          <w:p>
            <w:pPr>
              <w:spacing w:after="0"/>
              <w:rPr>
                <w:sz w:val="20"/>
                <w:szCs w:val="20"/>
                <w:color w:val="auto"/>
              </w:rPr>
            </w:pPr>
          </w:p>
        </w:tc>
      </w:tr>
      <w:tr>
        <w:trPr>
          <w:trHeight w:val="247"/>
        </w:trPr>
        <w:tc>
          <w:tcPr>
            <w:tcW w:w="90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Accounts payable</w:t>
            </w:r>
          </w:p>
        </w:tc>
        <w:tc>
          <w:tcPr>
            <w:tcW w:w="440" w:type="dxa"/>
            <w:vAlign w:val="bottom"/>
            <w:shd w:val="clear" w:color="auto" w:fill="CFF0FC"/>
          </w:tcPr>
          <w:p>
            <w:pPr>
              <w:spacing w:after="0"/>
              <w:rPr>
                <w:sz w:val="21"/>
                <w:szCs w:val="21"/>
                <w:color w:val="auto"/>
              </w:rPr>
            </w:pPr>
          </w:p>
        </w:tc>
        <w:tc>
          <w:tcPr>
            <w:tcW w:w="18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(7,064 )</w:t>
            </w:r>
          </w:p>
        </w:tc>
      </w:tr>
      <w:tr>
        <w:trPr>
          <w:trHeight w:val="238"/>
        </w:trPr>
        <w:tc>
          <w:tcPr>
            <w:tcW w:w="9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liabilities</w:t>
            </w:r>
          </w:p>
        </w:tc>
        <w:tc>
          <w:tcPr>
            <w:tcW w:w="440" w:type="dxa"/>
            <w:vAlign w:val="bottom"/>
          </w:tcPr>
          <w:p>
            <w:pPr>
              <w:spacing w:after="0"/>
              <w:rPr>
                <w:sz w:val="20"/>
                <w:szCs w:val="20"/>
                <w:color w:val="auto"/>
              </w:rPr>
            </w:pPr>
          </w:p>
        </w:tc>
        <w:tc>
          <w:tcPr>
            <w:tcW w:w="1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(3,726 )</w:t>
            </w:r>
          </w:p>
        </w:tc>
      </w:tr>
      <w:tr>
        <w:trPr>
          <w:trHeight w:val="276"/>
        </w:trPr>
        <w:tc>
          <w:tcPr>
            <w:tcW w:w="900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Purchase consideration, net of cash acquired</w:t>
            </w:r>
          </w:p>
        </w:tc>
        <w:tc>
          <w:tcPr>
            <w:tcW w:w="440" w:type="dxa"/>
            <w:vAlign w:val="bottom"/>
            <w:tcBorders>
              <w:top w:val="single" w:sz="8" w:color="auto"/>
              <w:bottom w:val="single" w:sz="8" w:color="auto"/>
            </w:tcBorders>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13,179</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0"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18"/>
          <w:szCs w:val="18"/>
          <w:color w:val="auto"/>
        </w:rPr>
        <w:t>The fair value of certain working capital related items, including accounts receivable, prepaid and other assets, accounts payable and accrued liabilities, as well as the fair value of property and equipment approximated their book values at the Acquisition Date. The fair value of the inventories was estimated by major category, at net realizable value, which we believe approximates the price a market participant could achieve in a current sale. The difference between the fair value of the inventories and the book value recorded on the Acquisition Date was $2.0 million, of which we recognized $0.2 million and $1.5 million in cost of revenue in the condensed consolidated statements of operations for the three months ended March 31, 2024 and for the year ended December 31, 2023, respectively, upon the sale of the acquired inventory.</w:t>
      </w:r>
    </w:p>
    <w:p>
      <w:pPr>
        <w:spacing w:after="0" w:line="78" w:lineRule="exact"/>
        <w:rPr>
          <w:sz w:val="20"/>
          <w:szCs w:val="20"/>
          <w:color w:val="auto"/>
        </w:rPr>
      </w:pPr>
    </w:p>
    <w:p>
      <w:pPr>
        <w:jc w:val="both"/>
        <w:ind w:right="300" w:firstLine="509"/>
        <w:spacing w:after="0" w:line="265" w:lineRule="auto"/>
        <w:rPr>
          <w:sz w:val="20"/>
          <w:szCs w:val="20"/>
          <w:color w:val="auto"/>
        </w:rPr>
      </w:pPr>
      <w:r>
        <w:rPr>
          <w:rFonts w:ascii="Times New Roman" w:cs="Times New Roman" w:eastAsia="Times New Roman" w:hAnsi="Times New Roman"/>
          <w:sz w:val="18"/>
          <w:szCs w:val="18"/>
          <w:color w:val="auto"/>
        </w:rPr>
        <w:t>The goodwill of $6.0 million represents the expansion of our market presence by utilizing Drop's strength in direct consumer reach as well as the ability to expand the customizable keyboard and keycap market. The goodwill is deductible for tax purposes and is assigned to our Gaming Peripherals reporting unit.</w:t>
      </w:r>
    </w:p>
    <w:p>
      <w:pPr>
        <w:spacing w:after="0" w:line="69" w:lineRule="exact"/>
        <w:rPr>
          <w:sz w:val="20"/>
          <w:szCs w:val="20"/>
          <w:color w:val="auto"/>
        </w:rPr>
      </w:pPr>
    </w:p>
    <w:p>
      <w:pPr>
        <w:jc w:val="both"/>
        <w:ind w:firstLine="509"/>
        <w:spacing w:after="0" w:line="260" w:lineRule="auto"/>
        <w:rPr>
          <w:sz w:val="20"/>
          <w:szCs w:val="20"/>
          <w:color w:val="auto"/>
        </w:rPr>
      </w:pPr>
      <w:r>
        <w:rPr>
          <w:rFonts w:ascii="Times New Roman" w:cs="Times New Roman" w:eastAsia="Times New Roman" w:hAnsi="Times New Roman"/>
          <w:sz w:val="18"/>
          <w:szCs w:val="18"/>
          <w:color w:val="auto"/>
        </w:rPr>
        <w:t>The $9.2 million identifiable intangible assets acquired include developed technology of $5.2 million, trade name of $2.3 million and domain name of $1.7 million. The fair values of the identified intangible assets were estimated primarily using the income approach and were based on inputs that are not observable in the market which we consider to be Level 3 inputs. These intangible assets are being amortized over their estimated useful lives, ranging from 5 to 15 years, using the straight-line method of amortization. The identifiable intangible assets acquired are deductible for tax purposes.</w:t>
      </w:r>
    </w:p>
    <w:p>
      <w:pPr>
        <w:spacing w:after="0" w:line="7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acquisition-related costs incurred in the three months ended March 31 2024 and 2023 were not material.</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Corsair Gaming, Inc. | Q1 2024 Form 10-Q |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Goodwill and Intangible Assets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the changes in the carrying amount of goodwill by reportable segment (in thousands):</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860" w:type="dxa"/>
            <w:vAlign w:val="bottom"/>
            <w:gridSpan w:val="2"/>
          </w:tcPr>
          <w:p>
            <w:pPr>
              <w:jc w:val="center"/>
              <w:ind w:right="620"/>
              <w:spacing w:after="0"/>
              <w:rPr>
                <w:sz w:val="20"/>
                <w:szCs w:val="20"/>
                <w:color w:val="auto"/>
              </w:rPr>
            </w:pPr>
            <w:r>
              <w:rPr>
                <w:rFonts w:ascii="Times New Roman" w:cs="Times New Roman" w:eastAsia="Times New Roman" w:hAnsi="Times New Roman"/>
                <w:sz w:val="14"/>
                <w:szCs w:val="14"/>
                <w:b w:val="1"/>
                <w:bCs w:val="1"/>
                <w:color w:val="auto"/>
                <w:w w:val="99"/>
              </w:rPr>
              <w:t>Gaming</w:t>
            </w:r>
          </w:p>
        </w:tc>
        <w:tc>
          <w:tcPr>
            <w:tcW w:w="340" w:type="dxa"/>
            <w:vAlign w:val="bottom"/>
          </w:tcPr>
          <w:p>
            <w:pPr>
              <w:spacing w:after="0"/>
              <w:rPr>
                <w:sz w:val="13"/>
                <w:szCs w:val="13"/>
                <w:color w:val="auto"/>
              </w:rPr>
            </w:pPr>
          </w:p>
        </w:tc>
        <w:tc>
          <w:tcPr>
            <w:tcW w:w="1840" w:type="dxa"/>
            <w:vAlign w:val="bottom"/>
            <w:gridSpan w:val="2"/>
            <w:vMerge w:val="restart"/>
          </w:tcPr>
          <w:p>
            <w:pPr>
              <w:jc w:val="center"/>
              <w:ind w:right="620"/>
              <w:spacing w:after="0"/>
              <w:rPr>
                <w:sz w:val="20"/>
                <w:szCs w:val="20"/>
                <w:color w:val="auto"/>
              </w:rPr>
            </w:pPr>
            <w:r>
              <w:rPr>
                <w:rFonts w:ascii="Times New Roman" w:cs="Times New Roman" w:eastAsia="Times New Roman" w:hAnsi="Times New Roman"/>
                <w:sz w:val="14"/>
                <w:szCs w:val="14"/>
                <w:b w:val="1"/>
                <w:bCs w:val="1"/>
                <w:color w:val="auto"/>
              </w:rPr>
              <w:t>Gamer and</w:t>
            </w:r>
          </w:p>
        </w:tc>
        <w:tc>
          <w:tcPr>
            <w:tcW w:w="44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8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60" w:type="dxa"/>
            <w:vAlign w:val="bottom"/>
            <w:gridSpan w:val="2"/>
          </w:tcPr>
          <w:p>
            <w:pPr>
              <w:jc w:val="center"/>
              <w:ind w:right="620"/>
              <w:spacing w:after="0" w:line="149" w:lineRule="exact"/>
              <w:rPr>
                <w:sz w:val="20"/>
                <w:szCs w:val="20"/>
                <w:color w:val="auto"/>
              </w:rPr>
            </w:pPr>
            <w:r>
              <w:rPr>
                <w:rFonts w:ascii="Times New Roman" w:cs="Times New Roman" w:eastAsia="Times New Roman" w:hAnsi="Times New Roman"/>
                <w:sz w:val="14"/>
                <w:szCs w:val="14"/>
                <w:b w:val="1"/>
                <w:bCs w:val="1"/>
                <w:color w:val="auto"/>
              </w:rPr>
              <w:t>Components</w:t>
            </w:r>
          </w:p>
        </w:tc>
        <w:tc>
          <w:tcPr>
            <w:tcW w:w="340" w:type="dxa"/>
            <w:vAlign w:val="bottom"/>
          </w:tcPr>
          <w:p>
            <w:pPr>
              <w:spacing w:after="0"/>
              <w:rPr>
                <w:sz w:val="12"/>
                <w:szCs w:val="12"/>
                <w:color w:val="auto"/>
              </w:rPr>
            </w:pPr>
          </w:p>
        </w:tc>
        <w:tc>
          <w:tcPr>
            <w:tcW w:w="1840" w:type="dxa"/>
            <w:vAlign w:val="bottom"/>
            <w:gridSpan w:val="2"/>
            <w:vMerge w:val="continue"/>
          </w:tcPr>
          <w:p>
            <w:pPr>
              <w:spacing w:after="0"/>
              <w:rPr>
                <w:sz w:val="12"/>
                <w:szCs w:val="12"/>
                <w:color w:val="auto"/>
              </w:rPr>
            </w:pPr>
          </w:p>
        </w:tc>
        <w:tc>
          <w:tcPr>
            <w:tcW w:w="4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8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60" w:type="dxa"/>
            <w:vAlign w:val="bottom"/>
            <w:gridSpan w:val="2"/>
          </w:tcPr>
          <w:p>
            <w:pPr>
              <w:jc w:val="center"/>
              <w:ind w:right="620"/>
              <w:spacing w:after="0" w:line="149" w:lineRule="exact"/>
              <w:rPr>
                <w:sz w:val="20"/>
                <w:szCs w:val="20"/>
                <w:color w:val="auto"/>
              </w:rPr>
            </w:pPr>
            <w:r>
              <w:rPr>
                <w:rFonts w:ascii="Times New Roman" w:cs="Times New Roman" w:eastAsia="Times New Roman" w:hAnsi="Times New Roman"/>
                <w:sz w:val="14"/>
                <w:szCs w:val="14"/>
                <w:b w:val="1"/>
                <w:bCs w:val="1"/>
                <w:color w:val="auto"/>
              </w:rPr>
              <w:t>and</w:t>
            </w:r>
          </w:p>
        </w:tc>
        <w:tc>
          <w:tcPr>
            <w:tcW w:w="340" w:type="dxa"/>
            <w:vAlign w:val="bottom"/>
          </w:tcPr>
          <w:p>
            <w:pPr>
              <w:spacing w:after="0"/>
              <w:rPr>
                <w:sz w:val="12"/>
                <w:szCs w:val="12"/>
                <w:color w:val="auto"/>
              </w:rPr>
            </w:pPr>
          </w:p>
        </w:tc>
        <w:tc>
          <w:tcPr>
            <w:tcW w:w="1840" w:type="dxa"/>
            <w:vAlign w:val="bottom"/>
            <w:gridSpan w:val="2"/>
          </w:tcPr>
          <w:p>
            <w:pPr>
              <w:jc w:val="center"/>
              <w:ind w:right="640"/>
              <w:spacing w:after="0" w:line="149" w:lineRule="exact"/>
              <w:rPr>
                <w:sz w:val="20"/>
                <w:szCs w:val="20"/>
                <w:color w:val="auto"/>
              </w:rPr>
            </w:pPr>
            <w:r>
              <w:rPr>
                <w:rFonts w:ascii="Times New Roman" w:cs="Times New Roman" w:eastAsia="Times New Roman" w:hAnsi="Times New Roman"/>
                <w:sz w:val="14"/>
                <w:szCs w:val="14"/>
                <w:b w:val="1"/>
                <w:bCs w:val="1"/>
                <w:color w:val="auto"/>
              </w:rPr>
              <w:t>Creator</w:t>
            </w:r>
          </w:p>
        </w:tc>
        <w:tc>
          <w:tcPr>
            <w:tcW w:w="440" w:type="dxa"/>
            <w:vAlign w:val="bottom"/>
          </w:tcPr>
          <w:p>
            <w:pPr>
              <w:spacing w:after="0"/>
              <w:rPr>
                <w:sz w:val="12"/>
                <w:szCs w:val="12"/>
                <w:color w:val="auto"/>
              </w:rPr>
            </w:pPr>
          </w:p>
        </w:tc>
        <w:tc>
          <w:tcPr>
            <w:tcW w:w="1540" w:type="dxa"/>
            <w:vAlign w:val="bottom"/>
            <w:gridSpan w:val="2"/>
            <w:vMerge w:val="restart"/>
          </w:tcPr>
          <w:p>
            <w:pPr>
              <w:jc w:val="right"/>
              <w:ind w:right="8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7"/>
        </w:trPr>
        <w:tc>
          <w:tcPr>
            <w:tcW w:w="48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860" w:type="dxa"/>
            <w:vAlign w:val="bottom"/>
            <w:gridSpan w:val="2"/>
          </w:tcPr>
          <w:p>
            <w:pPr>
              <w:jc w:val="center"/>
              <w:ind w:right="620"/>
              <w:spacing w:after="0"/>
              <w:rPr>
                <w:sz w:val="20"/>
                <w:szCs w:val="20"/>
                <w:color w:val="auto"/>
              </w:rPr>
            </w:pPr>
            <w:r>
              <w:rPr>
                <w:rFonts w:ascii="Times New Roman" w:cs="Times New Roman" w:eastAsia="Times New Roman" w:hAnsi="Times New Roman"/>
                <w:sz w:val="14"/>
                <w:szCs w:val="14"/>
                <w:b w:val="1"/>
                <w:bCs w:val="1"/>
                <w:color w:val="auto"/>
                <w:w w:val="99"/>
              </w:rPr>
              <w:t>Systems</w:t>
            </w:r>
          </w:p>
        </w:tc>
        <w:tc>
          <w:tcPr>
            <w:tcW w:w="340" w:type="dxa"/>
            <w:vAlign w:val="bottom"/>
          </w:tcPr>
          <w:p>
            <w:pPr>
              <w:spacing w:after="0"/>
              <w:rPr>
                <w:sz w:val="16"/>
                <w:szCs w:val="16"/>
                <w:color w:val="auto"/>
              </w:rPr>
            </w:pPr>
          </w:p>
        </w:tc>
        <w:tc>
          <w:tcPr>
            <w:tcW w:w="1840" w:type="dxa"/>
            <w:vAlign w:val="bottom"/>
            <w:gridSpan w:val="2"/>
          </w:tcPr>
          <w:p>
            <w:pPr>
              <w:jc w:val="center"/>
              <w:ind w:right="640"/>
              <w:spacing w:after="0"/>
              <w:rPr>
                <w:sz w:val="20"/>
                <w:szCs w:val="20"/>
                <w:color w:val="auto"/>
              </w:rPr>
            </w:pPr>
            <w:r>
              <w:rPr>
                <w:rFonts w:ascii="Times New Roman" w:cs="Times New Roman" w:eastAsia="Times New Roman" w:hAnsi="Times New Roman"/>
                <w:sz w:val="14"/>
                <w:szCs w:val="14"/>
                <w:b w:val="1"/>
                <w:bCs w:val="1"/>
                <w:color w:val="auto"/>
              </w:rPr>
              <w:t>Peripherals</w:t>
            </w:r>
          </w:p>
        </w:tc>
        <w:tc>
          <w:tcPr>
            <w:tcW w:w="440" w:type="dxa"/>
            <w:vAlign w:val="bottom"/>
          </w:tcPr>
          <w:p>
            <w:pPr>
              <w:spacing w:after="0"/>
              <w:rPr>
                <w:sz w:val="16"/>
                <w:szCs w:val="16"/>
                <w:color w:val="auto"/>
              </w:rPr>
            </w:pPr>
          </w:p>
        </w:tc>
        <w:tc>
          <w:tcPr>
            <w:tcW w:w="15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61"/>
        </w:trPr>
        <w:tc>
          <w:tcPr>
            <w:tcW w:w="4880" w:type="dxa"/>
            <w:vAlign w:val="bottom"/>
          </w:tcPr>
          <w:p>
            <w:pPr>
              <w:spacing w:after="0"/>
              <w:rPr>
                <w:sz w:val="5"/>
                <w:szCs w:val="5"/>
                <w:color w:val="auto"/>
              </w:rPr>
            </w:pPr>
          </w:p>
        </w:tc>
        <w:tc>
          <w:tcPr>
            <w:tcW w:w="340" w:type="dxa"/>
            <w:vAlign w:val="bottom"/>
            <w:tcBorders>
              <w:top w:val="single" w:sz="8" w:color="auto"/>
            </w:tcBorders>
          </w:tcPr>
          <w:p>
            <w:pPr>
              <w:spacing w:after="0"/>
              <w:rPr>
                <w:sz w:val="5"/>
                <w:szCs w:val="5"/>
                <w:color w:val="auto"/>
              </w:rPr>
            </w:pPr>
          </w:p>
        </w:tc>
        <w:tc>
          <w:tcPr>
            <w:tcW w:w="1580" w:type="dxa"/>
            <w:vAlign w:val="bottom"/>
            <w:tcBorders>
              <w:top w:val="single" w:sz="8" w:color="auto"/>
            </w:tcBorders>
          </w:tcPr>
          <w:p>
            <w:pPr>
              <w:spacing w:after="0"/>
              <w:rPr>
                <w:sz w:val="5"/>
                <w:szCs w:val="5"/>
                <w:color w:val="auto"/>
              </w:rPr>
            </w:pPr>
          </w:p>
        </w:tc>
        <w:tc>
          <w:tcPr>
            <w:tcW w:w="280" w:type="dxa"/>
            <w:vAlign w:val="bottom"/>
          </w:tcPr>
          <w:p>
            <w:pPr>
              <w:spacing w:after="0"/>
              <w:rPr>
                <w:sz w:val="5"/>
                <w:szCs w:val="5"/>
                <w:color w:val="auto"/>
              </w:rPr>
            </w:pPr>
          </w:p>
        </w:tc>
        <w:tc>
          <w:tcPr>
            <w:tcW w:w="340" w:type="dxa"/>
            <w:vAlign w:val="bottom"/>
            <w:tcBorders>
              <w:top w:val="single" w:sz="8" w:color="auto"/>
            </w:tcBorders>
          </w:tcPr>
          <w:p>
            <w:pPr>
              <w:spacing w:after="0"/>
              <w:rPr>
                <w:sz w:val="5"/>
                <w:szCs w:val="5"/>
                <w:color w:val="auto"/>
              </w:rPr>
            </w:pPr>
          </w:p>
        </w:tc>
        <w:tc>
          <w:tcPr>
            <w:tcW w:w="1540" w:type="dxa"/>
            <w:vAlign w:val="bottom"/>
            <w:tcBorders>
              <w:top w:val="single" w:sz="8" w:color="auto"/>
            </w:tcBorders>
          </w:tcPr>
          <w:p>
            <w:pPr>
              <w:spacing w:after="0"/>
              <w:rPr>
                <w:sz w:val="5"/>
                <w:szCs w:val="5"/>
                <w:color w:val="auto"/>
              </w:rPr>
            </w:pPr>
          </w:p>
        </w:tc>
        <w:tc>
          <w:tcPr>
            <w:tcW w:w="300" w:type="dxa"/>
            <w:vAlign w:val="bottom"/>
          </w:tcPr>
          <w:p>
            <w:pPr>
              <w:spacing w:after="0"/>
              <w:rPr>
                <w:sz w:val="5"/>
                <w:szCs w:val="5"/>
                <w:color w:val="auto"/>
              </w:rPr>
            </w:pPr>
          </w:p>
        </w:tc>
        <w:tc>
          <w:tcPr>
            <w:tcW w:w="440" w:type="dxa"/>
            <w:vAlign w:val="bottom"/>
            <w:tcBorders>
              <w:top w:val="single" w:sz="8" w:color="auto"/>
            </w:tcBorders>
          </w:tcPr>
          <w:p>
            <w:pPr>
              <w:spacing w:after="0"/>
              <w:rPr>
                <w:sz w:val="5"/>
                <w:szCs w:val="5"/>
                <w:color w:val="auto"/>
              </w:rPr>
            </w:pPr>
          </w:p>
        </w:tc>
        <w:tc>
          <w:tcPr>
            <w:tcW w:w="1440" w:type="dxa"/>
            <w:vAlign w:val="bottom"/>
            <w:tcBorders>
              <w:top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48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2023</w:t>
            </w:r>
          </w:p>
        </w:tc>
        <w:tc>
          <w:tcPr>
            <w:tcW w:w="34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148,936</w:t>
            </w:r>
          </w:p>
        </w:tc>
        <w:tc>
          <w:tcPr>
            <w:tcW w:w="280" w:type="dxa"/>
            <w:vAlign w:val="bottom"/>
            <w:shd w:val="clear" w:color="auto" w:fill="CFF0FC"/>
          </w:tcPr>
          <w:p>
            <w:pPr>
              <w:spacing w:after="0"/>
              <w:rPr>
                <w:sz w:val="21"/>
                <w:szCs w:val="21"/>
                <w:color w:val="auto"/>
              </w:rPr>
            </w:pPr>
          </w:p>
        </w:tc>
        <w:tc>
          <w:tcPr>
            <w:tcW w:w="34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205,769</w:t>
            </w:r>
          </w:p>
        </w:tc>
        <w:tc>
          <w:tcPr>
            <w:tcW w:w="300" w:type="dxa"/>
            <w:vAlign w:val="bottom"/>
            <w:shd w:val="clear" w:color="auto" w:fill="CFF0FC"/>
          </w:tcPr>
          <w:p>
            <w:pPr>
              <w:spacing w:after="0"/>
              <w:rPr>
                <w:sz w:val="21"/>
                <w:szCs w:val="21"/>
                <w:color w:val="auto"/>
              </w:rPr>
            </w:pPr>
          </w:p>
        </w:tc>
        <w:tc>
          <w:tcPr>
            <w:tcW w:w="440" w:type="dxa"/>
            <w:vAlign w:val="bottom"/>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354,705</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48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Measurement period adjustments</w:t>
            </w:r>
          </w:p>
        </w:tc>
        <w:tc>
          <w:tcPr>
            <w:tcW w:w="340" w:type="dxa"/>
            <w:vAlign w:val="bottom"/>
          </w:tcPr>
          <w:p>
            <w:pPr>
              <w:spacing w:after="0"/>
              <w:rPr>
                <w:sz w:val="20"/>
                <w:szCs w:val="20"/>
                <w:color w:val="auto"/>
              </w:rPr>
            </w:pPr>
          </w:p>
        </w:tc>
        <w:tc>
          <w:tcPr>
            <w:tcW w:w="18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0"/>
                <w:szCs w:val="20"/>
                <w:color w:val="auto"/>
              </w:rPr>
            </w:pPr>
          </w:p>
        </w:tc>
        <w:tc>
          <w:tcPr>
            <w:tcW w:w="18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(27 )</w:t>
            </w:r>
          </w:p>
        </w:tc>
        <w:tc>
          <w:tcPr>
            <w:tcW w:w="440" w:type="dxa"/>
            <w:vAlign w:val="bottom"/>
          </w:tcPr>
          <w:p>
            <w:pPr>
              <w:spacing w:after="0"/>
              <w:rPr>
                <w:sz w:val="20"/>
                <w:szCs w:val="20"/>
                <w:color w:val="auto"/>
              </w:rPr>
            </w:pPr>
          </w:p>
        </w:tc>
        <w:tc>
          <w:tcPr>
            <w:tcW w:w="15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(27 )</w:t>
            </w:r>
          </w:p>
        </w:tc>
        <w:tc>
          <w:tcPr>
            <w:tcW w:w="0" w:type="dxa"/>
            <w:vAlign w:val="bottom"/>
          </w:tcPr>
          <w:p>
            <w:pPr>
              <w:spacing w:after="0"/>
              <w:rPr>
                <w:sz w:val="1"/>
                <w:szCs w:val="1"/>
                <w:color w:val="auto"/>
              </w:rPr>
            </w:pPr>
          </w:p>
        </w:tc>
      </w:tr>
      <w:tr>
        <w:trPr>
          <w:trHeight w:val="247"/>
        </w:trPr>
        <w:tc>
          <w:tcPr>
            <w:tcW w:w="48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Effect of foreign currency exchange rates</w:t>
            </w:r>
          </w:p>
        </w:tc>
        <w:tc>
          <w:tcPr>
            <w:tcW w:w="340" w:type="dxa"/>
            <w:vAlign w:val="bottom"/>
            <w:shd w:val="clear" w:color="auto" w:fill="CFF0FC"/>
          </w:tcPr>
          <w:p>
            <w:pPr>
              <w:spacing w:after="0"/>
              <w:rPr>
                <w:sz w:val="21"/>
                <w:szCs w:val="21"/>
                <w:color w:val="auto"/>
              </w:rPr>
            </w:pPr>
          </w:p>
        </w:tc>
        <w:tc>
          <w:tcPr>
            <w:tcW w:w="18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(34 )</w:t>
            </w:r>
          </w:p>
        </w:tc>
        <w:tc>
          <w:tcPr>
            <w:tcW w:w="340" w:type="dxa"/>
            <w:vAlign w:val="bottom"/>
            <w:shd w:val="clear" w:color="auto" w:fill="CFF0FC"/>
          </w:tcPr>
          <w:p>
            <w:pPr>
              <w:spacing w:after="0"/>
              <w:rPr>
                <w:sz w:val="21"/>
                <w:szCs w:val="21"/>
                <w:color w:val="auto"/>
              </w:rPr>
            </w:pPr>
          </w:p>
        </w:tc>
        <w:tc>
          <w:tcPr>
            <w:tcW w:w="18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(234 )</w:t>
            </w:r>
          </w:p>
        </w:tc>
        <w:tc>
          <w:tcPr>
            <w:tcW w:w="440" w:type="dxa"/>
            <w:vAlign w:val="bottom"/>
            <w:shd w:val="clear" w:color="auto" w:fill="CFF0FC"/>
          </w:tcPr>
          <w:p>
            <w:pPr>
              <w:spacing w:after="0"/>
              <w:rPr>
                <w:sz w:val="21"/>
                <w:szCs w:val="21"/>
                <w:color w:val="auto"/>
              </w:rPr>
            </w:pPr>
          </w:p>
        </w:tc>
        <w:tc>
          <w:tcPr>
            <w:tcW w:w="15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(268 )</w:t>
            </w:r>
          </w:p>
        </w:tc>
        <w:tc>
          <w:tcPr>
            <w:tcW w:w="0" w:type="dxa"/>
            <w:vAlign w:val="bottom"/>
          </w:tcPr>
          <w:p>
            <w:pPr>
              <w:spacing w:after="0"/>
              <w:rPr>
                <w:sz w:val="1"/>
                <w:szCs w:val="1"/>
                <w:color w:val="auto"/>
              </w:rPr>
            </w:pPr>
          </w:p>
        </w:tc>
      </w:tr>
      <w:tr>
        <w:trPr>
          <w:trHeight w:val="236"/>
        </w:trPr>
        <w:tc>
          <w:tcPr>
            <w:tcW w:w="488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Balance as of March 31, 2024</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148,902</w:t>
            </w:r>
          </w:p>
        </w:tc>
        <w:tc>
          <w:tcPr>
            <w:tcW w:w="280" w:type="dxa"/>
            <w:vAlign w:val="bottom"/>
            <w:tcBorders>
              <w:top w:val="single" w:sz="8" w:color="CFF0FC"/>
            </w:tcBorders>
          </w:tcPr>
          <w:p>
            <w:pPr>
              <w:spacing w:after="0"/>
              <w:rPr>
                <w:sz w:val="20"/>
                <w:szCs w:val="20"/>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205,508</w:t>
            </w:r>
          </w:p>
        </w:tc>
        <w:tc>
          <w:tcPr>
            <w:tcW w:w="300" w:type="dxa"/>
            <w:vAlign w:val="bottom"/>
            <w:tcBorders>
              <w:top w:val="single" w:sz="8" w:color="CFF0FC"/>
            </w:tcBorders>
          </w:tcPr>
          <w:p>
            <w:pPr>
              <w:spacing w:after="0"/>
              <w:rPr>
                <w:sz w:val="20"/>
                <w:szCs w:val="20"/>
                <w:color w:val="auto"/>
              </w:rPr>
            </w:pPr>
          </w:p>
        </w:tc>
        <w:tc>
          <w:tcPr>
            <w:tcW w:w="44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354,410</w:t>
            </w:r>
          </w:p>
        </w:tc>
        <w:tc>
          <w:tcPr>
            <w:tcW w:w="100" w:type="dxa"/>
            <w:vAlign w:val="bottom"/>
            <w:tcBorders>
              <w:top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8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4311650</wp:posOffset>
            </wp:positionH>
            <wp:positionV relativeFrom="paragraph">
              <wp:posOffset>-187960</wp:posOffset>
            </wp:positionV>
            <wp:extent cx="6858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5690235</wp:posOffset>
            </wp:positionH>
            <wp:positionV relativeFrom="paragraph">
              <wp:posOffset>-187960</wp:posOffset>
            </wp:positionV>
            <wp:extent cx="6858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Intangible assets, net</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is a summary of intangible assets, net (in thousands):</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1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24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3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60" w:type="dxa"/>
            <w:vAlign w:val="bottom"/>
          </w:tcPr>
          <w:p>
            <w:pPr>
              <w:jc w:val="center"/>
              <w:ind w:right="115"/>
              <w:spacing w:after="0" w:line="131" w:lineRule="exact"/>
              <w:rPr>
                <w:sz w:val="20"/>
                <w:szCs w:val="20"/>
                <w:color w:val="auto"/>
              </w:rPr>
            </w:pPr>
            <w:r>
              <w:rPr>
                <w:rFonts w:ascii="Times New Roman" w:cs="Times New Roman" w:eastAsia="Times New Roman" w:hAnsi="Times New Roman"/>
                <w:sz w:val="14"/>
                <w:szCs w:val="14"/>
                <w:b w:val="1"/>
                <w:bCs w:val="1"/>
                <w:color w:val="auto"/>
              </w:rPr>
              <w:t>Gross</w:t>
            </w: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vMerge w:val="restart"/>
          </w:tcPr>
          <w:p>
            <w:pPr>
              <w:jc w:val="right"/>
              <w:ind w:right="55"/>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80" w:type="dxa"/>
            <w:vAlign w:val="bottom"/>
          </w:tcPr>
          <w:p>
            <w:pPr>
              <w:jc w:val="center"/>
              <w:ind w:right="135"/>
              <w:spacing w:after="0" w:line="131" w:lineRule="exact"/>
              <w:rPr>
                <w:sz w:val="20"/>
                <w:szCs w:val="20"/>
                <w:color w:val="auto"/>
              </w:rPr>
            </w:pPr>
            <w:r>
              <w:rPr>
                <w:rFonts w:ascii="Times New Roman" w:cs="Times New Roman" w:eastAsia="Times New Roman" w:hAnsi="Times New Roman"/>
                <w:sz w:val="14"/>
                <w:szCs w:val="14"/>
                <w:b w:val="1"/>
                <w:bCs w:val="1"/>
                <w:color w:val="auto"/>
              </w:rPr>
              <w:t>Net</w:t>
            </w: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jc w:val="center"/>
              <w:ind w:right="55"/>
              <w:spacing w:after="0" w:line="131" w:lineRule="exact"/>
              <w:rPr>
                <w:sz w:val="20"/>
                <w:szCs w:val="20"/>
                <w:color w:val="auto"/>
              </w:rPr>
            </w:pPr>
            <w:r>
              <w:rPr>
                <w:rFonts w:ascii="Times New Roman" w:cs="Times New Roman" w:eastAsia="Times New Roman" w:hAnsi="Times New Roman"/>
                <w:sz w:val="14"/>
                <w:szCs w:val="14"/>
                <w:b w:val="1"/>
                <w:bCs w:val="1"/>
                <w:color w:val="auto"/>
              </w:rPr>
              <w:t>Gross</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6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80" w:type="dxa"/>
            <w:vAlign w:val="bottom"/>
          </w:tcPr>
          <w:p>
            <w:pPr>
              <w:spacing w:after="0"/>
              <w:rPr>
                <w:sz w:val="11"/>
                <w:szCs w:val="11"/>
                <w:color w:val="auto"/>
              </w:rPr>
            </w:pPr>
          </w:p>
        </w:tc>
        <w:tc>
          <w:tcPr>
            <w:tcW w:w="880" w:type="dxa"/>
            <w:vAlign w:val="bottom"/>
          </w:tcPr>
          <w:p>
            <w:pPr>
              <w:jc w:val="center"/>
              <w:ind w:right="95"/>
              <w:spacing w:after="0" w:line="131" w:lineRule="exact"/>
              <w:rPr>
                <w:sz w:val="20"/>
                <w:szCs w:val="20"/>
                <w:color w:val="auto"/>
              </w:rPr>
            </w:pPr>
            <w:r>
              <w:rPr>
                <w:rFonts w:ascii="Times New Roman" w:cs="Times New Roman" w:eastAsia="Times New Roman" w:hAnsi="Times New Roman"/>
                <w:sz w:val="14"/>
                <w:szCs w:val="14"/>
                <w:b w:val="1"/>
                <w:bCs w:val="1"/>
                <w:color w:val="auto"/>
              </w:rPr>
              <w:t>Net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tcPr>
          <w:p>
            <w:pPr>
              <w:jc w:val="center"/>
              <w:ind w:right="115"/>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80" w:type="dxa"/>
            <w:vAlign w:val="bottom"/>
          </w:tcPr>
          <w:p>
            <w:pPr>
              <w:jc w:val="center"/>
              <w:ind w:right="135"/>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jc w:val="center"/>
              <w:ind w:right="55"/>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0" w:type="dxa"/>
            <w:vAlign w:val="bottom"/>
          </w:tcPr>
          <w:p>
            <w:pPr>
              <w:spacing w:after="0"/>
              <w:rPr>
                <w:sz w:val="1"/>
                <w:szCs w:val="1"/>
                <w:color w:val="auto"/>
              </w:rPr>
            </w:pPr>
          </w:p>
        </w:tc>
      </w:tr>
      <w:tr>
        <w:trPr>
          <w:trHeight w:val="187"/>
        </w:trPr>
        <w:tc>
          <w:tcPr>
            <w:tcW w:w="3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jc w:val="center"/>
              <w:ind w:right="135"/>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jc w:val="right"/>
              <w:ind w:right="55"/>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tcPr>
          <w:p>
            <w:pPr>
              <w:jc w:val="center"/>
              <w:ind w:right="135"/>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jc w:val="center"/>
              <w:ind w:right="35"/>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80" w:type="dxa"/>
            <w:vAlign w:val="bottom"/>
          </w:tcPr>
          <w:p>
            <w:pPr>
              <w:spacing w:after="0"/>
              <w:rPr>
                <w:sz w:val="16"/>
                <w:szCs w:val="16"/>
                <w:color w:val="auto"/>
              </w:rPr>
            </w:pPr>
          </w:p>
        </w:tc>
        <w:tc>
          <w:tcPr>
            <w:tcW w:w="9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169"/>
        </w:trPr>
        <w:tc>
          <w:tcPr>
            <w:tcW w:w="314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3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Developed technology</w:t>
            </w:r>
          </w:p>
        </w:tc>
        <w:tc>
          <w:tcPr>
            <w:tcW w:w="2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47,221</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23,227</w:t>
            </w:r>
          </w:p>
        </w:tc>
        <w:tc>
          <w:tcPr>
            <w:tcW w:w="48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23,994</w:t>
            </w:r>
          </w:p>
        </w:tc>
        <w:tc>
          <w:tcPr>
            <w:tcW w:w="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47,221</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21,206</w:t>
            </w:r>
          </w:p>
        </w:tc>
        <w:tc>
          <w:tcPr>
            <w:tcW w:w="220" w:type="dxa"/>
            <w:vAlign w:val="bottom"/>
            <w:shd w:val="clear" w:color="auto" w:fill="CFF0FC"/>
          </w:tcPr>
          <w:p>
            <w:pPr>
              <w:spacing w:after="0"/>
              <w:rPr>
                <w:sz w:val="21"/>
                <w:szCs w:val="21"/>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26,015</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3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Trade name</w:t>
            </w:r>
          </w:p>
        </w:tc>
        <w:tc>
          <w:tcPr>
            <w:tcW w:w="2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34,050</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9,633</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24,417</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34,114</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9,060</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25,054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3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22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218,452</w:t>
            </w:r>
          </w:p>
        </w:tc>
        <w:tc>
          <w:tcPr>
            <w:tcW w:w="2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144,292</w:t>
            </w:r>
          </w:p>
        </w:tc>
        <w:tc>
          <w:tcPr>
            <w:tcW w:w="2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74,160</w:t>
            </w:r>
          </w:p>
        </w:tc>
        <w:tc>
          <w:tcPr>
            <w:tcW w:w="2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218,453</w:t>
            </w:r>
          </w:p>
        </w:tc>
        <w:tc>
          <w:tcPr>
            <w:tcW w:w="2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138,800</w:t>
            </w:r>
          </w:p>
        </w:tc>
        <w:tc>
          <w:tcPr>
            <w:tcW w:w="2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79,653</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3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Patent portfolio</w:t>
            </w:r>
          </w:p>
        </w:tc>
        <w:tc>
          <w:tcPr>
            <w:tcW w:w="2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34,512</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18,046</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16,466</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34,781</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17,031</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17,750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31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Supplier relationships</w:t>
            </w:r>
          </w:p>
        </w:tc>
        <w:tc>
          <w:tcPr>
            <w:tcW w:w="220" w:type="dxa"/>
            <w:vAlign w:val="bottom"/>
            <w:tcBorders>
              <w:bottom w:val="single" w:sz="8" w:color="auto"/>
            </w:tcBorders>
            <w:shd w:val="clear" w:color="auto" w:fill="CFF0FC"/>
          </w:tcPr>
          <w:p>
            <w:pPr>
              <w:spacing w:after="0"/>
              <w:rPr>
                <w:sz w:val="21"/>
                <w:szCs w:val="21"/>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5,888</w:t>
            </w:r>
          </w:p>
        </w:tc>
        <w:tc>
          <w:tcPr>
            <w:tcW w:w="24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2,208</w:t>
            </w:r>
          </w:p>
        </w:tc>
        <w:tc>
          <w:tcPr>
            <w:tcW w:w="24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3,680</w:t>
            </w:r>
          </w:p>
        </w:tc>
        <w:tc>
          <w:tcPr>
            <w:tcW w:w="28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6,136</w:t>
            </w:r>
          </w:p>
        </w:tc>
        <w:tc>
          <w:tcPr>
            <w:tcW w:w="22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2,045</w:t>
            </w:r>
          </w:p>
        </w:tc>
        <w:tc>
          <w:tcPr>
            <w:tcW w:w="22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4,091</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2"/>
        </w:trPr>
        <w:tc>
          <w:tcPr>
            <w:tcW w:w="31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finite-life intangibles</w:t>
            </w:r>
          </w:p>
        </w:tc>
        <w:tc>
          <w:tcPr>
            <w:tcW w:w="2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340,123</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197,406</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142,717</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340,705</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188,142</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152,563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3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Indefinite life trade name</w:t>
            </w:r>
          </w:p>
        </w:tc>
        <w:tc>
          <w:tcPr>
            <w:tcW w:w="22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35,430</w:t>
            </w:r>
          </w:p>
        </w:tc>
        <w:tc>
          <w:tcPr>
            <w:tcW w:w="2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35,430</w:t>
            </w:r>
          </w:p>
        </w:tc>
        <w:tc>
          <w:tcPr>
            <w:tcW w:w="2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35,430</w:t>
            </w:r>
          </w:p>
        </w:tc>
        <w:tc>
          <w:tcPr>
            <w:tcW w:w="2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2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35,430</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4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8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31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 intangible assets</w:t>
            </w:r>
          </w:p>
        </w:tc>
        <w:tc>
          <w:tcPr>
            <w:tcW w:w="22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375,557</w:t>
            </w:r>
          </w:p>
        </w:tc>
        <w:tc>
          <w:tcPr>
            <w:tcW w:w="24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197,406</w:t>
            </w:r>
          </w:p>
        </w:tc>
        <w:tc>
          <w:tcPr>
            <w:tcW w:w="24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178,151</w:t>
            </w:r>
          </w:p>
        </w:tc>
        <w:tc>
          <w:tcPr>
            <w:tcW w:w="28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376,151</w:t>
            </w:r>
          </w:p>
        </w:tc>
        <w:tc>
          <w:tcPr>
            <w:tcW w:w="22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188,142</w:t>
            </w:r>
          </w:p>
        </w:tc>
        <w:tc>
          <w:tcPr>
            <w:tcW w:w="22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188,009</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2745105</wp:posOffset>
            </wp:positionH>
            <wp:positionV relativeFrom="paragraph">
              <wp:posOffset>-658495</wp:posOffset>
            </wp:positionV>
            <wp:extent cx="7683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3609975</wp:posOffset>
            </wp:positionH>
            <wp:positionV relativeFrom="paragraph">
              <wp:posOffset>-658495</wp:posOffset>
            </wp:positionV>
            <wp:extent cx="7683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4603115</wp:posOffset>
            </wp:positionH>
            <wp:positionV relativeFrom="paragraph">
              <wp:posOffset>-658495</wp:posOffset>
            </wp:positionV>
            <wp:extent cx="6858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5365115</wp:posOffset>
            </wp:positionH>
            <wp:positionV relativeFrom="paragraph">
              <wp:posOffset>-658495</wp:posOffset>
            </wp:positionV>
            <wp:extent cx="6858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6264275</wp:posOffset>
            </wp:positionH>
            <wp:positionV relativeFrom="paragraph">
              <wp:posOffset>-658495</wp:posOffset>
            </wp:positionV>
            <wp:extent cx="6858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-658495</wp:posOffset>
            </wp:positionV>
            <wp:extent cx="6858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2745105</wp:posOffset>
            </wp:positionH>
            <wp:positionV relativeFrom="paragraph">
              <wp:posOffset>-24765</wp:posOffset>
            </wp:positionV>
            <wp:extent cx="7683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2745105</wp:posOffset>
            </wp:positionH>
            <wp:positionV relativeFrom="paragraph">
              <wp:posOffset>-7620</wp:posOffset>
            </wp:positionV>
            <wp:extent cx="7683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3609975</wp:posOffset>
            </wp:positionH>
            <wp:positionV relativeFrom="paragraph">
              <wp:posOffset>-24765</wp:posOffset>
            </wp:positionV>
            <wp:extent cx="7683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3609975</wp:posOffset>
            </wp:positionH>
            <wp:positionV relativeFrom="paragraph">
              <wp:posOffset>-7620</wp:posOffset>
            </wp:positionV>
            <wp:extent cx="7683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4603115</wp:posOffset>
            </wp:positionH>
            <wp:positionV relativeFrom="paragraph">
              <wp:posOffset>-24765</wp:posOffset>
            </wp:positionV>
            <wp:extent cx="6858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4603115</wp:posOffset>
            </wp:positionH>
            <wp:positionV relativeFrom="paragraph">
              <wp:posOffset>-7620</wp:posOffset>
            </wp:positionV>
            <wp:extent cx="6858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5365115</wp:posOffset>
            </wp:positionH>
            <wp:positionV relativeFrom="paragraph">
              <wp:posOffset>-24765</wp:posOffset>
            </wp:positionV>
            <wp:extent cx="6858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5365115</wp:posOffset>
            </wp:positionH>
            <wp:positionV relativeFrom="paragraph">
              <wp:posOffset>-7620</wp:posOffset>
            </wp:positionV>
            <wp:extent cx="6858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6264275</wp:posOffset>
            </wp:positionH>
            <wp:positionV relativeFrom="paragraph">
              <wp:posOffset>-24765</wp:posOffset>
            </wp:positionV>
            <wp:extent cx="6858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6264275</wp:posOffset>
            </wp:positionH>
            <wp:positionV relativeFrom="paragraph">
              <wp:posOffset>-7620</wp:posOffset>
            </wp:positionV>
            <wp:extent cx="6858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50" w:lineRule="exact"/>
        <w:rPr>
          <w:sz w:val="20"/>
          <w:szCs w:val="20"/>
          <w:color w:val="auto"/>
        </w:rPr>
      </w:pPr>
    </w:p>
    <w:p>
      <w:pPr>
        <w:ind w:right="740" w:firstLine="509"/>
        <w:spacing w:after="0" w:line="281" w:lineRule="auto"/>
        <w:rPr>
          <w:sz w:val="20"/>
          <w:szCs w:val="20"/>
          <w:color w:val="auto"/>
        </w:rPr>
      </w:pPr>
      <w:r>
        <w:rPr>
          <w:rFonts w:ascii="Times New Roman" w:cs="Times New Roman" w:eastAsia="Times New Roman" w:hAnsi="Times New Roman"/>
          <w:sz w:val="18"/>
          <w:szCs w:val="18"/>
          <w:color w:val="auto"/>
        </w:rPr>
        <w:t>In the year when an identified intangible asset becomes fully amortized, the fully amortized balances from the gross asset and accumulated amortization amounts are removed from the table above.</w:t>
      </w:r>
    </w:p>
    <w:p>
      <w:pPr>
        <w:spacing w:after="0" w:line="5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estimated future amortization expense of intangible assets as of March 31, 2024 is as follows (in thousands):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140" w:type="dxa"/>
            <w:vAlign w:val="bottom"/>
            <w:tcBorders>
              <w:bottom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Amounts</w:t>
            </w:r>
          </w:p>
        </w:tc>
        <w:tc>
          <w:tcPr>
            <w:tcW w:w="13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1"/>
        </w:trPr>
        <w:tc>
          <w:tcPr>
            <w:tcW w:w="75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540" w:type="dxa"/>
            <w:vAlign w:val="bottom"/>
          </w:tcPr>
          <w:p>
            <w:pPr>
              <w:spacing w:after="0"/>
              <w:rPr>
                <w:sz w:val="5"/>
                <w:szCs w:val="5"/>
                <w:color w:val="auto"/>
              </w:rPr>
            </w:pPr>
          </w:p>
        </w:tc>
        <w:tc>
          <w:tcPr>
            <w:tcW w:w="280" w:type="dxa"/>
            <w:vAlign w:val="bottom"/>
          </w:tcPr>
          <w:p>
            <w:pPr>
              <w:spacing w:after="0"/>
              <w:rPr>
                <w:sz w:val="5"/>
                <w:szCs w:val="5"/>
                <w:color w:val="auto"/>
              </w:rPr>
            </w:pPr>
          </w:p>
        </w:tc>
        <w:tc>
          <w:tcPr>
            <w:tcW w:w="320" w:type="dxa"/>
            <w:vAlign w:val="bottom"/>
          </w:tcPr>
          <w:p>
            <w:pPr>
              <w:spacing w:after="0"/>
              <w:rPr>
                <w:sz w:val="5"/>
                <w:szCs w:val="5"/>
                <w:color w:val="auto"/>
              </w:rPr>
            </w:pPr>
          </w:p>
        </w:tc>
        <w:tc>
          <w:tcPr>
            <w:tcW w:w="136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75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Remainder of 2024</w:t>
            </w:r>
          </w:p>
        </w:tc>
        <w:tc>
          <w:tcPr>
            <w:tcW w:w="140" w:type="dxa"/>
            <w:vAlign w:val="bottom"/>
            <w:shd w:val="clear" w:color="auto" w:fill="CFF0FC"/>
          </w:tcPr>
          <w:p>
            <w:pPr>
              <w:spacing w:after="0"/>
              <w:rPr>
                <w:sz w:val="21"/>
                <w:szCs w:val="21"/>
                <w:color w:val="auto"/>
              </w:rPr>
            </w:pPr>
          </w:p>
        </w:tc>
        <w:tc>
          <w:tcPr>
            <w:tcW w:w="1540" w:type="dxa"/>
            <w:vAlign w:val="bottom"/>
            <w:shd w:val="clear" w:color="auto" w:fill="CFF0FC"/>
          </w:tcPr>
          <w:p>
            <w:pPr>
              <w:jc w:val="right"/>
              <w:ind w:right="1356"/>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28,488</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7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14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37,620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1"/>
        </w:trPr>
        <w:tc>
          <w:tcPr>
            <w:tcW w:w="75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140" w:type="dxa"/>
            <w:vAlign w:val="bottom"/>
            <w:shd w:val="clear" w:color="auto" w:fill="CFF0FC"/>
          </w:tcPr>
          <w:p>
            <w:pPr>
              <w:spacing w:after="0"/>
              <w:rPr>
                <w:sz w:val="21"/>
                <w:szCs w:val="21"/>
                <w:color w:val="auto"/>
              </w:rPr>
            </w:pPr>
          </w:p>
        </w:tc>
        <w:tc>
          <w:tcPr>
            <w:tcW w:w="15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34,315</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7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14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24,661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1"/>
        </w:trPr>
        <w:tc>
          <w:tcPr>
            <w:tcW w:w="75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140" w:type="dxa"/>
            <w:vAlign w:val="bottom"/>
            <w:shd w:val="clear" w:color="auto" w:fill="CFF0FC"/>
          </w:tcPr>
          <w:p>
            <w:pPr>
              <w:spacing w:after="0"/>
              <w:rPr>
                <w:sz w:val="21"/>
                <w:szCs w:val="21"/>
                <w:color w:val="auto"/>
              </w:rPr>
            </w:pPr>
          </w:p>
        </w:tc>
        <w:tc>
          <w:tcPr>
            <w:tcW w:w="15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4,370</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140" w:type="dxa"/>
            <w:vAlign w:val="bottom"/>
          </w:tcPr>
          <w:p>
            <w:pPr>
              <w:spacing w:after="0"/>
              <w:rPr>
                <w:sz w:val="21"/>
                <w:szCs w:val="21"/>
                <w:color w:val="auto"/>
              </w:rPr>
            </w:pPr>
          </w:p>
        </w:tc>
        <w:tc>
          <w:tcPr>
            <w:tcW w:w="154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13,263</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750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bottom w:val="single" w:sz="8" w:color="CFF0FC"/>
            </w:tcBorders>
            <w:shd w:val="clear" w:color="auto" w:fill="CFF0FC"/>
          </w:tcPr>
          <w:p>
            <w:pPr>
              <w:spacing w:after="0"/>
              <w:rPr>
                <w:sz w:val="24"/>
                <w:szCs w:val="24"/>
                <w:color w:val="auto"/>
              </w:rPr>
            </w:pPr>
          </w:p>
        </w:tc>
        <w:tc>
          <w:tcPr>
            <w:tcW w:w="1540" w:type="dxa"/>
            <w:vAlign w:val="bottom"/>
            <w:tcBorders>
              <w:bottom w:val="single" w:sz="8" w:color="auto"/>
            </w:tcBorders>
            <w:shd w:val="clear" w:color="auto" w:fill="CFF0FC"/>
          </w:tcPr>
          <w:p>
            <w:pPr>
              <w:jc w:val="right"/>
              <w:ind w:right="1356"/>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tcBorders>
              <w:bottom w:val="single" w:sz="8" w:color="auto"/>
            </w:tcBorders>
            <w:shd w:val="clear" w:color="auto" w:fill="CFF0FC"/>
          </w:tcPr>
          <w:p>
            <w:pPr>
              <w:spacing w:after="0"/>
              <w:rPr>
                <w:sz w:val="24"/>
                <w:szCs w:val="24"/>
                <w:color w:val="auto"/>
              </w:rPr>
            </w:pPr>
          </w:p>
        </w:tc>
        <w:tc>
          <w:tcPr>
            <w:tcW w:w="320" w:type="dxa"/>
            <w:vAlign w:val="bottom"/>
            <w:tcBorders>
              <w:bottom w:val="single" w:sz="8" w:color="auto"/>
            </w:tcBorders>
            <w:shd w:val="clear" w:color="auto" w:fill="CFF0FC"/>
          </w:tcPr>
          <w:p>
            <w:pPr>
              <w:spacing w:after="0"/>
              <w:rPr>
                <w:sz w:val="24"/>
                <w:szCs w:val="24"/>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142,717</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628"/>
        </w:trPr>
        <w:tc>
          <w:tcPr>
            <w:tcW w:w="75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7. Balance Sheet Components</w:t>
            </w:r>
          </w:p>
        </w:tc>
        <w:tc>
          <w:tcPr>
            <w:tcW w:w="1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75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The following tables present the components of certain balance sheet amounts (in thousands):</w:t>
            </w:r>
          </w:p>
        </w:tc>
        <w:tc>
          <w:tcPr>
            <w:tcW w:w="140" w:type="dxa"/>
            <w:vAlign w:val="bottom"/>
          </w:tcPr>
          <w:p>
            <w:pPr>
              <w:spacing w:after="0"/>
              <w:rPr>
                <w:sz w:val="24"/>
                <w:szCs w:val="24"/>
                <w:color w:val="auto"/>
              </w:rPr>
            </w:pPr>
          </w:p>
        </w:tc>
        <w:tc>
          <w:tcPr>
            <w:tcW w:w="1540" w:type="dxa"/>
            <w:vAlign w:val="bottom"/>
            <w:vMerge w:val="restart"/>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37"/>
        </w:trPr>
        <w:tc>
          <w:tcPr>
            <w:tcW w:w="7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540" w:type="dxa"/>
            <w:vAlign w:val="bottom"/>
            <w:vMerge w:val="continue"/>
          </w:tcPr>
          <w:p>
            <w:pPr>
              <w:spacing w:after="0"/>
              <w:rPr>
                <w:sz w:val="11"/>
                <w:szCs w:val="11"/>
                <w:color w:val="auto"/>
              </w:rPr>
            </w:pPr>
          </w:p>
        </w:tc>
        <w:tc>
          <w:tcPr>
            <w:tcW w:w="2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6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7"/>
        </w:trPr>
        <w:tc>
          <w:tcPr>
            <w:tcW w:w="75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ind w:right="616"/>
              <w:spacing w:after="0"/>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61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1"/>
        </w:trPr>
        <w:tc>
          <w:tcPr>
            <w:tcW w:w="75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540" w:type="dxa"/>
            <w:vAlign w:val="bottom"/>
          </w:tcPr>
          <w:p>
            <w:pPr>
              <w:spacing w:after="0"/>
              <w:rPr>
                <w:sz w:val="5"/>
                <w:szCs w:val="5"/>
                <w:color w:val="auto"/>
              </w:rPr>
            </w:pPr>
          </w:p>
        </w:tc>
        <w:tc>
          <w:tcPr>
            <w:tcW w:w="280" w:type="dxa"/>
            <w:vAlign w:val="bottom"/>
          </w:tcPr>
          <w:p>
            <w:pPr>
              <w:spacing w:after="0"/>
              <w:rPr>
                <w:sz w:val="5"/>
                <w:szCs w:val="5"/>
                <w:color w:val="auto"/>
              </w:rPr>
            </w:pPr>
          </w:p>
        </w:tc>
        <w:tc>
          <w:tcPr>
            <w:tcW w:w="320" w:type="dxa"/>
            <w:vAlign w:val="bottom"/>
          </w:tcPr>
          <w:p>
            <w:pPr>
              <w:spacing w:after="0"/>
              <w:rPr>
                <w:sz w:val="5"/>
                <w:szCs w:val="5"/>
                <w:color w:val="auto"/>
              </w:rPr>
            </w:pPr>
          </w:p>
        </w:tc>
        <w:tc>
          <w:tcPr>
            <w:tcW w:w="136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75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127,768</w:t>
            </w:r>
          </w:p>
        </w:tc>
        <w:tc>
          <w:tcPr>
            <w:tcW w:w="6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175,620</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7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cash—short term</w:t>
            </w:r>
          </w:p>
        </w:tc>
        <w:tc>
          <w:tcPr>
            <w:tcW w:w="14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2,174</w:t>
            </w: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75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Restricted cash—noncurrent</w:t>
            </w:r>
          </w:p>
        </w:tc>
        <w:tc>
          <w:tcPr>
            <w:tcW w:w="140" w:type="dxa"/>
            <w:vAlign w:val="bottom"/>
            <w:tcBorders>
              <w:bottom w:val="single" w:sz="8" w:color="auto"/>
            </w:tcBorders>
            <w:shd w:val="clear" w:color="auto" w:fill="CFF0FC"/>
          </w:tcPr>
          <w:p>
            <w:pPr>
              <w:spacing w:after="0"/>
              <w:rPr>
                <w:sz w:val="21"/>
                <w:szCs w:val="21"/>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241</w:t>
            </w:r>
          </w:p>
        </w:tc>
        <w:tc>
          <w:tcPr>
            <w:tcW w:w="28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239</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75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cash and restricted cash</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130,183</w:t>
            </w:r>
          </w:p>
        </w:tc>
        <w:tc>
          <w:tcPr>
            <w:tcW w:w="6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178,564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5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-1574800</wp:posOffset>
            </wp:positionV>
            <wp:extent cx="6858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-1557655</wp:posOffset>
            </wp:positionV>
            <wp:extent cx="6858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5827395</wp:posOffset>
            </wp:positionH>
            <wp:positionV relativeFrom="paragraph">
              <wp:posOffset>-187960</wp:posOffset>
            </wp:positionV>
            <wp:extent cx="6858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41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Corsair Gaming, Inc. | Q1 2024 Form 10-Q |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71755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4" w:right="339" w:bottom="1440" w:gutter="0" w:footer="0" w:header="0"/>
          <w:type w:val="continuous"/>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60" w:type="dxa"/>
            <w:vAlign w:val="bottom"/>
            <w:gridSpan w:val="2"/>
          </w:tcPr>
          <w:p>
            <w:pPr>
              <w:jc w:val="right"/>
              <w:ind w:right="82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60" w:type="dxa"/>
            <w:vAlign w:val="bottom"/>
          </w:tcPr>
          <w:p>
            <w:pPr>
              <w:spacing w:after="0"/>
              <w:rPr>
                <w:sz w:val="13"/>
                <w:szCs w:val="13"/>
                <w:color w:val="auto"/>
              </w:rPr>
            </w:pPr>
          </w:p>
        </w:tc>
        <w:tc>
          <w:tcPr>
            <w:tcW w:w="152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7"/>
        </w:trPr>
        <w:tc>
          <w:tcPr>
            <w:tcW w:w="75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616"/>
              <w:spacing w:after="0"/>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61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r>
      <w:tr>
        <w:trPr>
          <w:trHeight w:val="74"/>
        </w:trPr>
        <w:tc>
          <w:tcPr>
            <w:tcW w:w="7500" w:type="dxa"/>
            <w:vAlign w:val="bottom"/>
          </w:tcPr>
          <w:p>
            <w:pPr>
              <w:spacing w:after="0"/>
              <w:rPr>
                <w:sz w:val="6"/>
                <w:szCs w:val="6"/>
                <w:color w:val="auto"/>
              </w:rPr>
            </w:pPr>
          </w:p>
        </w:tc>
        <w:tc>
          <w:tcPr>
            <w:tcW w:w="300" w:type="dxa"/>
            <w:vAlign w:val="bottom"/>
          </w:tcPr>
          <w:p>
            <w:pPr>
              <w:spacing w:after="0"/>
              <w:rPr>
                <w:sz w:val="6"/>
                <w:szCs w:val="6"/>
                <w:color w:val="auto"/>
              </w:rPr>
            </w:pPr>
          </w:p>
        </w:tc>
        <w:tc>
          <w:tcPr>
            <w:tcW w:w="1380" w:type="dxa"/>
            <w:vAlign w:val="bottom"/>
          </w:tcPr>
          <w:p>
            <w:pPr>
              <w:spacing w:after="0"/>
              <w:rPr>
                <w:sz w:val="6"/>
                <w:szCs w:val="6"/>
                <w:color w:val="auto"/>
              </w:rPr>
            </w:pPr>
          </w:p>
        </w:tc>
        <w:tc>
          <w:tcPr>
            <w:tcW w:w="280" w:type="dxa"/>
            <w:vAlign w:val="bottom"/>
          </w:tcPr>
          <w:p>
            <w:pPr>
              <w:spacing w:after="0"/>
              <w:rPr>
                <w:sz w:val="6"/>
                <w:szCs w:val="6"/>
                <w:color w:val="auto"/>
              </w:rPr>
            </w:pPr>
          </w:p>
        </w:tc>
        <w:tc>
          <w:tcPr>
            <w:tcW w:w="260" w:type="dxa"/>
            <w:vAlign w:val="bottom"/>
          </w:tcPr>
          <w:p>
            <w:pPr>
              <w:spacing w:after="0"/>
              <w:rPr>
                <w:sz w:val="6"/>
                <w:szCs w:val="6"/>
                <w:color w:val="auto"/>
              </w:rPr>
            </w:pPr>
          </w:p>
        </w:tc>
        <w:tc>
          <w:tcPr>
            <w:tcW w:w="1420" w:type="dxa"/>
            <w:vAlign w:val="bottom"/>
          </w:tcPr>
          <w:p>
            <w:pPr>
              <w:spacing w:after="0"/>
              <w:rPr>
                <w:sz w:val="6"/>
                <w:szCs w:val="6"/>
                <w:color w:val="auto"/>
              </w:rPr>
            </w:pPr>
          </w:p>
        </w:tc>
        <w:tc>
          <w:tcPr>
            <w:tcW w:w="100" w:type="dxa"/>
            <w:vAlign w:val="bottom"/>
          </w:tcPr>
          <w:p>
            <w:pPr>
              <w:spacing w:after="0"/>
              <w:rPr>
                <w:sz w:val="6"/>
                <w:szCs w:val="6"/>
                <w:color w:val="auto"/>
              </w:rPr>
            </w:pPr>
          </w:p>
        </w:tc>
      </w:tr>
      <w:tr>
        <w:trPr>
          <w:trHeight w:val="243"/>
        </w:trPr>
        <w:tc>
          <w:tcPr>
            <w:tcW w:w="75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Accounts receivable</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206,156</w:t>
            </w:r>
          </w:p>
        </w:tc>
        <w:tc>
          <w:tcPr>
            <w:tcW w:w="280" w:type="dxa"/>
            <w:vAlign w:val="bottom"/>
            <w:shd w:val="clear" w:color="auto" w:fill="CFF0FC"/>
          </w:tcPr>
          <w:p>
            <w:pPr>
              <w:spacing w:after="0"/>
              <w:rPr>
                <w:sz w:val="21"/>
                <w:szCs w:val="21"/>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254,433</w:t>
            </w:r>
          </w:p>
        </w:tc>
        <w:tc>
          <w:tcPr>
            <w:tcW w:w="100" w:type="dxa"/>
            <w:vAlign w:val="bottom"/>
            <w:shd w:val="clear" w:color="auto" w:fill="CFF0FC"/>
          </w:tcPr>
          <w:p>
            <w:pPr>
              <w:spacing w:after="0"/>
              <w:rPr>
                <w:sz w:val="21"/>
                <w:szCs w:val="21"/>
                <w:color w:val="auto"/>
              </w:rPr>
            </w:pPr>
          </w:p>
        </w:tc>
      </w:tr>
      <w:tr>
        <w:trPr>
          <w:trHeight w:val="238"/>
        </w:trPr>
        <w:tc>
          <w:tcPr>
            <w:tcW w:w="7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Due from Factor</w:t>
            </w:r>
          </w:p>
        </w:tc>
        <w:tc>
          <w:tcPr>
            <w:tcW w:w="300" w:type="dxa"/>
            <w:vAlign w:val="bottom"/>
          </w:tcPr>
          <w:p>
            <w:pPr>
              <w:spacing w:after="0"/>
              <w:rPr>
                <w:sz w:val="20"/>
                <w:szCs w:val="20"/>
                <w:color w:val="auto"/>
              </w:rPr>
            </w:pPr>
          </w:p>
        </w:tc>
        <w:tc>
          <w:tcPr>
            <w:tcW w:w="16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w:t>
            </w:r>
          </w:p>
        </w:tc>
        <w:tc>
          <w:tcPr>
            <w:tcW w:w="100" w:type="dxa"/>
            <w:vAlign w:val="bottom"/>
          </w:tcPr>
          <w:p>
            <w:pPr>
              <w:spacing w:after="0"/>
              <w:rPr>
                <w:sz w:val="20"/>
                <w:szCs w:val="20"/>
                <w:color w:val="auto"/>
              </w:rPr>
            </w:pPr>
          </w:p>
        </w:tc>
      </w:tr>
      <w:tr>
        <w:trPr>
          <w:trHeight w:val="243"/>
        </w:trPr>
        <w:tc>
          <w:tcPr>
            <w:tcW w:w="75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Allowance for doubtful accounts</w:t>
            </w:r>
          </w:p>
        </w:tc>
        <w:tc>
          <w:tcPr>
            <w:tcW w:w="300" w:type="dxa"/>
            <w:vAlign w:val="bottom"/>
            <w:shd w:val="clear" w:color="auto" w:fill="CFF0FC"/>
          </w:tcPr>
          <w:p>
            <w:pPr>
              <w:spacing w:after="0"/>
              <w:rPr>
                <w:sz w:val="21"/>
                <w:szCs w:val="21"/>
                <w:color w:val="auto"/>
              </w:rPr>
            </w:pPr>
          </w:p>
        </w:tc>
        <w:tc>
          <w:tcPr>
            <w:tcW w:w="16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(1,236 )</w:t>
            </w:r>
          </w:p>
        </w:tc>
        <w:tc>
          <w:tcPr>
            <w:tcW w:w="260" w:type="dxa"/>
            <w:vAlign w:val="bottom"/>
            <w:shd w:val="clear" w:color="auto" w:fill="CFF0FC"/>
          </w:tcPr>
          <w:p>
            <w:pPr>
              <w:spacing w:after="0"/>
              <w:rPr>
                <w:sz w:val="21"/>
                <w:szCs w:val="21"/>
                <w:color w:val="auto"/>
              </w:rPr>
            </w:pPr>
          </w:p>
        </w:tc>
        <w:tc>
          <w:tcPr>
            <w:tcW w:w="15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(1,448 )</w:t>
            </w:r>
          </w:p>
        </w:tc>
      </w:tr>
      <w:tr>
        <w:trPr>
          <w:trHeight w:val="236"/>
        </w:trPr>
        <w:tc>
          <w:tcPr>
            <w:tcW w:w="7500" w:type="dxa"/>
            <w:vAlign w:val="bottom"/>
            <w:tcBorders>
              <w:top w:val="single" w:sz="8" w:color="CFF0FC"/>
            </w:tcBorders>
          </w:tcPr>
          <w:p>
            <w:pPr>
              <w:ind w:left="200"/>
              <w:spacing w:after="0"/>
              <w:rPr>
                <w:sz w:val="20"/>
                <w:szCs w:val="20"/>
                <w:color w:val="auto"/>
              </w:rPr>
            </w:pPr>
            <w:r>
              <w:rPr>
                <w:rFonts w:ascii="Times New Roman" w:cs="Times New Roman" w:eastAsia="Times New Roman" w:hAnsi="Times New Roman"/>
                <w:sz w:val="18"/>
                <w:szCs w:val="18"/>
                <w:color w:val="auto"/>
              </w:rPr>
              <w:t>Accounts receivable, net</w:t>
            </w: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204,920</w:t>
            </w:r>
          </w:p>
        </w:tc>
        <w:tc>
          <w:tcPr>
            <w:tcW w:w="280" w:type="dxa"/>
            <w:vAlign w:val="bottom"/>
            <w:tcBorders>
              <w:top w:val="single" w:sz="8" w:color="CFF0FC"/>
            </w:tcBorders>
          </w:tcPr>
          <w:p>
            <w:pPr>
              <w:spacing w:after="0"/>
              <w:rPr>
                <w:sz w:val="20"/>
                <w:szCs w:val="20"/>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253,268</w:t>
            </w:r>
          </w:p>
        </w:tc>
        <w:tc>
          <w:tcPr>
            <w:tcW w:w="100" w:type="dxa"/>
            <w:vAlign w:val="bottom"/>
            <w:tcBorders>
              <w:top w:val="single" w:sz="8" w:color="CFF0FC"/>
            </w:tcBorders>
          </w:tcPr>
          <w:p>
            <w:pPr>
              <w:spacing w:after="0"/>
              <w:rPr>
                <w:sz w:val="20"/>
                <w:szCs w:val="20"/>
                <w:color w:val="auto"/>
              </w:rPr>
            </w:pPr>
          </w:p>
        </w:tc>
      </w:tr>
      <w:tr>
        <w:trPr>
          <w:trHeight w:val="20"/>
        </w:trPr>
        <w:tc>
          <w:tcPr>
            <w:tcW w:w="75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5827395</wp:posOffset>
            </wp:positionH>
            <wp:positionV relativeFrom="paragraph">
              <wp:posOffset>-187960</wp:posOffset>
            </wp:positionV>
            <wp:extent cx="6858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10" w:lineRule="exact"/>
        <w:rPr>
          <w:sz w:val="20"/>
          <w:szCs w:val="20"/>
          <w:color w:val="auto"/>
        </w:rPr>
      </w:pPr>
    </w:p>
    <w:p>
      <w:pPr>
        <w:jc w:val="both"/>
        <w:ind w:right="40" w:firstLine="509"/>
        <w:spacing w:after="0" w:line="281" w:lineRule="auto"/>
        <w:rPr>
          <w:sz w:val="20"/>
          <w:szCs w:val="20"/>
          <w:color w:val="auto"/>
        </w:rPr>
      </w:pPr>
      <w:r>
        <w:rPr>
          <w:rFonts w:ascii="Times New Roman" w:cs="Times New Roman" w:eastAsia="Times New Roman" w:hAnsi="Times New Roman"/>
          <w:sz w:val="18"/>
          <w:szCs w:val="18"/>
          <w:color w:val="auto"/>
        </w:rPr>
        <w:t>As of March 31, 2024, two customers represented 42.3% and 17.8% of our accounts receivable, net balance, respectively. As of December 31, 2023, two customers represented 42.9% and 18.5% of our accounts receivable, net balance, respectively.</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80" w:type="dxa"/>
            <w:vAlign w:val="bottom"/>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52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7"/>
        </w:trPr>
        <w:tc>
          <w:tcPr>
            <w:tcW w:w="75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616"/>
              <w:spacing w:after="0"/>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61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r>
      <w:tr>
        <w:trPr>
          <w:trHeight w:val="74"/>
        </w:trPr>
        <w:tc>
          <w:tcPr>
            <w:tcW w:w="7500" w:type="dxa"/>
            <w:vAlign w:val="bottom"/>
          </w:tcPr>
          <w:p>
            <w:pPr>
              <w:spacing w:after="0"/>
              <w:rPr>
                <w:sz w:val="6"/>
                <w:szCs w:val="6"/>
                <w:color w:val="auto"/>
              </w:rPr>
            </w:pPr>
          </w:p>
        </w:tc>
        <w:tc>
          <w:tcPr>
            <w:tcW w:w="300" w:type="dxa"/>
            <w:vAlign w:val="bottom"/>
          </w:tcPr>
          <w:p>
            <w:pPr>
              <w:spacing w:after="0"/>
              <w:rPr>
                <w:sz w:val="6"/>
                <w:szCs w:val="6"/>
                <w:color w:val="auto"/>
              </w:rPr>
            </w:pPr>
          </w:p>
        </w:tc>
        <w:tc>
          <w:tcPr>
            <w:tcW w:w="1380" w:type="dxa"/>
            <w:vAlign w:val="bottom"/>
          </w:tcPr>
          <w:p>
            <w:pPr>
              <w:spacing w:after="0"/>
              <w:rPr>
                <w:sz w:val="6"/>
                <w:szCs w:val="6"/>
                <w:color w:val="auto"/>
              </w:rPr>
            </w:pPr>
          </w:p>
        </w:tc>
        <w:tc>
          <w:tcPr>
            <w:tcW w:w="280" w:type="dxa"/>
            <w:vAlign w:val="bottom"/>
          </w:tcPr>
          <w:p>
            <w:pPr>
              <w:spacing w:after="0"/>
              <w:rPr>
                <w:sz w:val="6"/>
                <w:szCs w:val="6"/>
                <w:color w:val="auto"/>
              </w:rPr>
            </w:pPr>
          </w:p>
        </w:tc>
        <w:tc>
          <w:tcPr>
            <w:tcW w:w="260" w:type="dxa"/>
            <w:vAlign w:val="bottom"/>
          </w:tcPr>
          <w:p>
            <w:pPr>
              <w:spacing w:after="0"/>
              <w:rPr>
                <w:sz w:val="6"/>
                <w:szCs w:val="6"/>
                <w:color w:val="auto"/>
              </w:rPr>
            </w:pPr>
          </w:p>
        </w:tc>
        <w:tc>
          <w:tcPr>
            <w:tcW w:w="1420" w:type="dxa"/>
            <w:vAlign w:val="bottom"/>
          </w:tcPr>
          <w:p>
            <w:pPr>
              <w:spacing w:after="0"/>
              <w:rPr>
                <w:sz w:val="6"/>
                <w:szCs w:val="6"/>
                <w:color w:val="auto"/>
              </w:rPr>
            </w:pPr>
          </w:p>
        </w:tc>
        <w:tc>
          <w:tcPr>
            <w:tcW w:w="100" w:type="dxa"/>
            <w:vAlign w:val="bottom"/>
          </w:tcPr>
          <w:p>
            <w:pPr>
              <w:spacing w:after="0"/>
              <w:rPr>
                <w:sz w:val="6"/>
                <w:szCs w:val="6"/>
                <w:color w:val="auto"/>
              </w:rPr>
            </w:pPr>
          </w:p>
        </w:tc>
      </w:tr>
      <w:tr>
        <w:trPr>
          <w:trHeight w:val="243"/>
        </w:trPr>
        <w:tc>
          <w:tcPr>
            <w:tcW w:w="75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Raw materials</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45,876</w:t>
            </w:r>
          </w:p>
        </w:tc>
        <w:tc>
          <w:tcPr>
            <w:tcW w:w="5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64,576</w:t>
            </w:r>
          </w:p>
        </w:tc>
        <w:tc>
          <w:tcPr>
            <w:tcW w:w="100" w:type="dxa"/>
            <w:vAlign w:val="bottom"/>
            <w:shd w:val="clear" w:color="auto" w:fill="CFF0FC"/>
          </w:tcPr>
          <w:p>
            <w:pPr>
              <w:spacing w:after="0"/>
              <w:rPr>
                <w:sz w:val="21"/>
                <w:szCs w:val="21"/>
                <w:color w:val="auto"/>
              </w:rPr>
            </w:pPr>
          </w:p>
        </w:tc>
      </w:tr>
      <w:tr>
        <w:trPr>
          <w:trHeight w:val="238"/>
        </w:trPr>
        <w:tc>
          <w:tcPr>
            <w:tcW w:w="7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Work in progress</w:t>
            </w:r>
          </w:p>
        </w:tc>
        <w:tc>
          <w:tcPr>
            <w:tcW w:w="30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8,980</w:t>
            </w: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5,204</w:t>
            </w:r>
          </w:p>
        </w:tc>
        <w:tc>
          <w:tcPr>
            <w:tcW w:w="100" w:type="dxa"/>
            <w:vAlign w:val="bottom"/>
          </w:tcPr>
          <w:p>
            <w:pPr>
              <w:spacing w:after="0"/>
              <w:rPr>
                <w:sz w:val="20"/>
                <w:szCs w:val="20"/>
                <w:color w:val="auto"/>
              </w:rPr>
            </w:pPr>
          </w:p>
        </w:tc>
      </w:tr>
      <w:tr>
        <w:trPr>
          <w:trHeight w:val="243"/>
        </w:trPr>
        <w:tc>
          <w:tcPr>
            <w:tcW w:w="75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Finished goods</w:t>
            </w:r>
          </w:p>
        </w:tc>
        <w:tc>
          <w:tcPr>
            <w:tcW w:w="300" w:type="dxa"/>
            <w:vAlign w:val="bottom"/>
            <w:tcBorders>
              <w:bottom w:val="single" w:sz="8" w:color="auto"/>
            </w:tcBorders>
            <w:shd w:val="clear" w:color="auto" w:fill="CFF0FC"/>
          </w:tcPr>
          <w:p>
            <w:pPr>
              <w:spacing w:after="0"/>
              <w:rPr>
                <w:sz w:val="21"/>
                <w:szCs w:val="21"/>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196,891</w:t>
            </w:r>
          </w:p>
        </w:tc>
        <w:tc>
          <w:tcPr>
            <w:tcW w:w="28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170,392</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75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Inventories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251,747</w:t>
            </w:r>
          </w:p>
        </w:tc>
        <w:tc>
          <w:tcPr>
            <w:tcW w:w="5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240,172</w:t>
            </w:r>
          </w:p>
        </w:tc>
        <w:tc>
          <w:tcPr>
            <w:tcW w:w="100" w:type="dxa"/>
            <w:vAlign w:val="bottom"/>
          </w:tcPr>
          <w:p>
            <w:pPr>
              <w:spacing w:after="0"/>
              <w:rPr>
                <w:sz w:val="20"/>
                <w:szCs w:val="20"/>
                <w:color w:val="auto"/>
              </w:rPr>
            </w:pPr>
          </w:p>
        </w:tc>
      </w:tr>
      <w:tr>
        <w:trPr>
          <w:trHeight w:val="20"/>
        </w:trPr>
        <w:tc>
          <w:tcPr>
            <w:tcW w:w="75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5827395</wp:posOffset>
            </wp:positionH>
            <wp:positionV relativeFrom="paragraph">
              <wp:posOffset>-187960</wp:posOffset>
            </wp:positionV>
            <wp:extent cx="6858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p>
      <w:pPr>
        <w:spacing w:after="0" w:line="83" w:lineRule="exact"/>
        <w:rPr>
          <w:sz w:val="20"/>
          <w:szCs w:val="20"/>
          <w:color w:val="auto"/>
        </w:rPr>
      </w:pPr>
    </w:p>
    <w:p>
      <w:pPr>
        <w:jc w:val="center"/>
        <w:ind w:left="750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5" w:lineRule="exact"/>
        <w:rPr>
          <w:sz w:val="20"/>
          <w:szCs w:val="20"/>
          <w:color w:val="auto"/>
        </w:rPr>
      </w:pPr>
    </w:p>
    <w:p>
      <w:pPr>
        <w:jc w:val="center"/>
        <w:ind w:left="7500"/>
        <w:spacing w:after="0"/>
        <w:rPr>
          <w:sz w:val="20"/>
          <w:szCs w:val="20"/>
          <w:color w:val="auto"/>
        </w:rPr>
      </w:pPr>
      <w:r>
        <w:rPr>
          <w:rFonts w:ascii="Times New Roman" w:cs="Times New Roman" w:eastAsia="Times New Roman" w:hAnsi="Times New Roman"/>
          <w:sz w:val="14"/>
          <w:szCs w:val="14"/>
          <w:b w:val="1"/>
          <w:bCs w:val="1"/>
          <w:color w:val="auto"/>
        </w:rPr>
        <w:t>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4757420</wp:posOffset>
            </wp:positionH>
            <wp:positionV relativeFrom="paragraph">
              <wp:posOffset>5080</wp:posOffset>
            </wp:positionV>
            <wp:extent cx="107061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07061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63"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December 31,</w:t>
      </w:r>
    </w:p>
    <w:p>
      <w:pPr>
        <w:spacing w:after="0" w:line="5"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-266065</wp:posOffset>
            </wp:positionH>
            <wp:positionV relativeFrom="paragraph">
              <wp:posOffset>5080</wp:posOffset>
            </wp:positionV>
            <wp:extent cx="106172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061720" cy="8255"/>
                    </a:xfrm>
                    <a:prstGeom prst="rect">
                      <a:avLst/>
                    </a:prstGeom>
                    <a:noFill/>
                  </pic:spPr>
                </pic:pic>
              </a:graphicData>
            </a:graphic>
          </wp:anchor>
        </w:drawing>
      </w:r>
    </w:p>
    <w:p>
      <w:pPr>
        <w:spacing w:after="0" w:line="102" w:lineRule="exact"/>
        <w:rPr>
          <w:sz w:val="20"/>
          <w:szCs w:val="20"/>
          <w:color w:val="auto"/>
        </w:rPr>
      </w:pPr>
    </w:p>
    <w:p>
      <w:pPr>
        <w:sectPr>
          <w:pgSz w:w="11900" w:h="16838" w:orient="portrait"/>
          <w:cols w:equalWidth="0" w:num="2">
            <w:col w:w="9160" w:space="720"/>
            <w:col w:w="1360"/>
          </w:cols>
          <w:pgMar w:left="320" w:top="360" w:right="339" w:bottom="1440" w:gutter="0" w:footer="0" w:header="0"/>
          <w:type w:val="continuous"/>
        </w:sectPr>
      </w:pPr>
    </w:p>
    <w:tbl>
      <w:tblPr>
        <w:tblLayout w:type="fixed"/>
        <w:tblInd w:w="0" w:type="dxa"/>
        <w:tblCellMar>
          <w:top w:w="0" w:type="dxa"/>
          <w:left w:w="0" w:type="dxa"/>
          <w:bottom w:w="0" w:type="dxa"/>
          <w:right w:w="0" w:type="dxa"/>
        </w:tblCellMar>
      </w:tblPr>
      <w:tr>
        <w:trPr>
          <w:trHeight w:val="243"/>
        </w:trPr>
        <w:tc>
          <w:tcPr>
            <w:tcW w:w="75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Manufacturing equipment</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29,121</w:t>
            </w:r>
          </w:p>
        </w:tc>
        <w:tc>
          <w:tcPr>
            <w:tcW w:w="280" w:type="dxa"/>
            <w:vAlign w:val="bottom"/>
            <w:shd w:val="clear" w:color="auto" w:fill="CFF0FC"/>
          </w:tcPr>
          <w:p>
            <w:pPr>
              <w:spacing w:after="0"/>
              <w:rPr>
                <w:sz w:val="21"/>
                <w:szCs w:val="21"/>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28,168</w:t>
            </w:r>
          </w:p>
        </w:tc>
        <w:tc>
          <w:tcPr>
            <w:tcW w:w="100" w:type="dxa"/>
            <w:vAlign w:val="bottom"/>
            <w:shd w:val="clear" w:color="auto" w:fill="CFF0FC"/>
          </w:tcPr>
          <w:p>
            <w:pPr>
              <w:spacing w:after="0"/>
              <w:rPr>
                <w:sz w:val="21"/>
                <w:szCs w:val="21"/>
                <w:color w:val="auto"/>
              </w:rPr>
            </w:pPr>
          </w:p>
        </w:tc>
      </w:tr>
      <w:tr>
        <w:trPr>
          <w:trHeight w:val="238"/>
        </w:trPr>
        <w:tc>
          <w:tcPr>
            <w:tcW w:w="7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30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20,419</w:t>
            </w: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19,789</w:t>
            </w:r>
          </w:p>
        </w:tc>
        <w:tc>
          <w:tcPr>
            <w:tcW w:w="100" w:type="dxa"/>
            <w:vAlign w:val="bottom"/>
          </w:tcPr>
          <w:p>
            <w:pPr>
              <w:spacing w:after="0"/>
              <w:rPr>
                <w:sz w:val="20"/>
                <w:szCs w:val="20"/>
                <w:color w:val="auto"/>
              </w:rPr>
            </w:pPr>
          </w:p>
        </w:tc>
      </w:tr>
      <w:tr>
        <w:trPr>
          <w:trHeight w:val="247"/>
        </w:trPr>
        <w:tc>
          <w:tcPr>
            <w:tcW w:w="75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Computer equipment, software and office equipment</w:t>
            </w:r>
          </w:p>
        </w:tc>
        <w:tc>
          <w:tcPr>
            <w:tcW w:w="30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15,932</w:t>
            </w:r>
          </w:p>
        </w:tc>
        <w:tc>
          <w:tcPr>
            <w:tcW w:w="2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16,083</w:t>
            </w:r>
          </w:p>
        </w:tc>
        <w:tc>
          <w:tcPr>
            <w:tcW w:w="100" w:type="dxa"/>
            <w:vAlign w:val="bottom"/>
            <w:shd w:val="clear" w:color="auto" w:fill="CFF0FC"/>
          </w:tcPr>
          <w:p>
            <w:pPr>
              <w:spacing w:after="0"/>
              <w:rPr>
                <w:sz w:val="21"/>
                <w:szCs w:val="21"/>
                <w:color w:val="auto"/>
              </w:rPr>
            </w:pPr>
          </w:p>
        </w:tc>
      </w:tr>
      <w:tr>
        <w:trPr>
          <w:trHeight w:val="238"/>
        </w:trPr>
        <w:tc>
          <w:tcPr>
            <w:tcW w:w="7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Furniture and fixtures</w:t>
            </w:r>
          </w:p>
        </w:tc>
        <w:tc>
          <w:tcPr>
            <w:tcW w:w="3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3,846</w:t>
            </w:r>
          </w:p>
        </w:tc>
        <w:tc>
          <w:tcPr>
            <w:tcW w:w="2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3,825</w:t>
            </w:r>
          </w:p>
        </w:tc>
        <w:tc>
          <w:tcPr>
            <w:tcW w:w="100" w:type="dxa"/>
            <w:vAlign w:val="bottom"/>
          </w:tcPr>
          <w:p>
            <w:pPr>
              <w:spacing w:after="0"/>
              <w:rPr>
                <w:sz w:val="20"/>
                <w:szCs w:val="20"/>
                <w:color w:val="auto"/>
              </w:rPr>
            </w:pPr>
          </w:p>
        </w:tc>
      </w:tr>
      <w:tr>
        <w:trPr>
          <w:trHeight w:val="240"/>
        </w:trPr>
        <w:tc>
          <w:tcPr>
            <w:tcW w:w="75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 property and equipment</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69,318</w:t>
            </w:r>
          </w:p>
        </w:tc>
        <w:tc>
          <w:tcPr>
            <w:tcW w:w="280" w:type="dxa"/>
            <w:vAlign w:val="bottom"/>
            <w:shd w:val="clear" w:color="auto" w:fill="CFF0FC"/>
          </w:tcPr>
          <w:p>
            <w:pPr>
              <w:spacing w:after="0"/>
              <w:rPr>
                <w:sz w:val="20"/>
                <w:szCs w:val="20"/>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67,865</w:t>
            </w:r>
          </w:p>
        </w:tc>
        <w:tc>
          <w:tcPr>
            <w:tcW w:w="100" w:type="dxa"/>
            <w:vAlign w:val="bottom"/>
            <w:shd w:val="clear" w:color="auto" w:fill="CFF0FC"/>
          </w:tcPr>
          <w:p>
            <w:pPr>
              <w:spacing w:after="0"/>
              <w:rPr>
                <w:sz w:val="20"/>
                <w:szCs w:val="20"/>
                <w:color w:val="auto"/>
              </w:rPr>
            </w:pPr>
          </w:p>
        </w:tc>
      </w:tr>
      <w:tr>
        <w:trPr>
          <w:trHeight w:val="238"/>
        </w:trPr>
        <w:tc>
          <w:tcPr>
            <w:tcW w:w="7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300" w:type="dxa"/>
            <w:vAlign w:val="bottom"/>
          </w:tcPr>
          <w:p>
            <w:pPr>
              <w:spacing w:after="0"/>
              <w:rPr>
                <w:sz w:val="20"/>
                <w:szCs w:val="20"/>
                <w:color w:val="auto"/>
              </w:rPr>
            </w:pPr>
          </w:p>
        </w:tc>
        <w:tc>
          <w:tcPr>
            <w:tcW w:w="16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(38,133 )</w:t>
            </w:r>
          </w:p>
        </w:tc>
        <w:tc>
          <w:tcPr>
            <w:tcW w:w="260" w:type="dxa"/>
            <w:vAlign w:val="bottom"/>
          </w:tcPr>
          <w:p>
            <w:pPr>
              <w:spacing w:after="0"/>
              <w:rPr>
                <w:sz w:val="20"/>
                <w:szCs w:val="20"/>
                <w:color w:val="auto"/>
              </w:rPr>
            </w:pPr>
          </w:p>
        </w:tc>
        <w:tc>
          <w:tcPr>
            <w:tcW w:w="15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(35,653 )</w:t>
            </w:r>
          </w:p>
        </w:tc>
      </w:tr>
      <w:tr>
        <w:trPr>
          <w:trHeight w:val="276"/>
        </w:trPr>
        <w:tc>
          <w:tcPr>
            <w:tcW w:w="750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30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31,185</w:t>
            </w:r>
          </w:p>
        </w:tc>
        <w:tc>
          <w:tcPr>
            <w:tcW w:w="28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32,212</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216"/>
        </w:trPr>
        <w:tc>
          <w:tcPr>
            <w:tcW w:w="7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60" w:type="dxa"/>
            <w:vAlign w:val="bottom"/>
            <w:gridSpan w:val="2"/>
          </w:tcPr>
          <w:p>
            <w:pPr>
              <w:jc w:val="right"/>
              <w:ind w:right="82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60" w:type="dxa"/>
            <w:vAlign w:val="bottom"/>
          </w:tcPr>
          <w:p>
            <w:pPr>
              <w:spacing w:after="0"/>
              <w:rPr>
                <w:sz w:val="18"/>
                <w:szCs w:val="18"/>
                <w:color w:val="auto"/>
              </w:rPr>
            </w:pPr>
          </w:p>
        </w:tc>
        <w:tc>
          <w:tcPr>
            <w:tcW w:w="152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7"/>
        </w:trPr>
        <w:tc>
          <w:tcPr>
            <w:tcW w:w="75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613"/>
              <w:spacing w:after="0"/>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61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r>
      <w:tr>
        <w:trPr>
          <w:trHeight w:val="74"/>
        </w:trPr>
        <w:tc>
          <w:tcPr>
            <w:tcW w:w="7500" w:type="dxa"/>
            <w:vAlign w:val="bottom"/>
          </w:tcPr>
          <w:p>
            <w:pPr>
              <w:spacing w:after="0"/>
              <w:rPr>
                <w:sz w:val="6"/>
                <w:szCs w:val="6"/>
                <w:color w:val="auto"/>
              </w:rPr>
            </w:pPr>
          </w:p>
        </w:tc>
        <w:tc>
          <w:tcPr>
            <w:tcW w:w="300" w:type="dxa"/>
            <w:vAlign w:val="bottom"/>
          </w:tcPr>
          <w:p>
            <w:pPr>
              <w:spacing w:after="0"/>
              <w:rPr>
                <w:sz w:val="6"/>
                <w:szCs w:val="6"/>
                <w:color w:val="auto"/>
              </w:rPr>
            </w:pPr>
          </w:p>
        </w:tc>
        <w:tc>
          <w:tcPr>
            <w:tcW w:w="1380" w:type="dxa"/>
            <w:vAlign w:val="bottom"/>
          </w:tcPr>
          <w:p>
            <w:pPr>
              <w:spacing w:after="0"/>
              <w:rPr>
                <w:sz w:val="6"/>
                <w:szCs w:val="6"/>
                <w:color w:val="auto"/>
              </w:rPr>
            </w:pPr>
          </w:p>
        </w:tc>
        <w:tc>
          <w:tcPr>
            <w:tcW w:w="280" w:type="dxa"/>
            <w:vAlign w:val="bottom"/>
          </w:tcPr>
          <w:p>
            <w:pPr>
              <w:spacing w:after="0"/>
              <w:rPr>
                <w:sz w:val="6"/>
                <w:szCs w:val="6"/>
                <w:color w:val="auto"/>
              </w:rPr>
            </w:pPr>
          </w:p>
        </w:tc>
        <w:tc>
          <w:tcPr>
            <w:tcW w:w="260" w:type="dxa"/>
            <w:vAlign w:val="bottom"/>
          </w:tcPr>
          <w:p>
            <w:pPr>
              <w:spacing w:after="0"/>
              <w:rPr>
                <w:sz w:val="6"/>
                <w:szCs w:val="6"/>
                <w:color w:val="auto"/>
              </w:rPr>
            </w:pPr>
          </w:p>
        </w:tc>
        <w:tc>
          <w:tcPr>
            <w:tcW w:w="1420" w:type="dxa"/>
            <w:vAlign w:val="bottom"/>
          </w:tcPr>
          <w:p>
            <w:pPr>
              <w:spacing w:after="0"/>
              <w:rPr>
                <w:sz w:val="6"/>
                <w:szCs w:val="6"/>
                <w:color w:val="auto"/>
              </w:rPr>
            </w:pPr>
          </w:p>
        </w:tc>
        <w:tc>
          <w:tcPr>
            <w:tcW w:w="100" w:type="dxa"/>
            <w:vAlign w:val="bottom"/>
          </w:tcPr>
          <w:p>
            <w:pPr>
              <w:spacing w:after="0"/>
              <w:rPr>
                <w:sz w:val="6"/>
                <w:szCs w:val="6"/>
                <w:color w:val="auto"/>
              </w:rPr>
            </w:pPr>
          </w:p>
        </w:tc>
      </w:tr>
      <w:tr>
        <w:trPr>
          <w:trHeight w:val="243"/>
        </w:trPr>
        <w:tc>
          <w:tcPr>
            <w:tcW w:w="75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Right-of-use assets</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35,049</w:t>
            </w:r>
          </w:p>
        </w:tc>
        <w:tc>
          <w:tcPr>
            <w:tcW w:w="280" w:type="dxa"/>
            <w:vAlign w:val="bottom"/>
            <w:shd w:val="clear" w:color="auto" w:fill="CFF0FC"/>
          </w:tcPr>
          <w:p>
            <w:pPr>
              <w:spacing w:after="0"/>
              <w:rPr>
                <w:sz w:val="21"/>
                <w:szCs w:val="21"/>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36,324</w:t>
            </w:r>
          </w:p>
        </w:tc>
        <w:tc>
          <w:tcPr>
            <w:tcW w:w="100" w:type="dxa"/>
            <w:vAlign w:val="bottom"/>
            <w:shd w:val="clear" w:color="auto" w:fill="CFF0FC"/>
          </w:tcPr>
          <w:p>
            <w:pPr>
              <w:spacing w:after="0"/>
              <w:rPr>
                <w:sz w:val="21"/>
                <w:szCs w:val="21"/>
                <w:color w:val="auto"/>
              </w:rPr>
            </w:pPr>
          </w:p>
        </w:tc>
      </w:tr>
      <w:tr>
        <w:trPr>
          <w:trHeight w:val="238"/>
        </w:trPr>
        <w:tc>
          <w:tcPr>
            <w:tcW w:w="7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tax asset</w:t>
            </w:r>
          </w:p>
        </w:tc>
        <w:tc>
          <w:tcPr>
            <w:tcW w:w="30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30,794</w:t>
            </w: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27,749</w:t>
            </w:r>
          </w:p>
        </w:tc>
        <w:tc>
          <w:tcPr>
            <w:tcW w:w="100" w:type="dxa"/>
            <w:vAlign w:val="bottom"/>
          </w:tcPr>
          <w:p>
            <w:pPr>
              <w:spacing w:after="0"/>
              <w:rPr>
                <w:sz w:val="20"/>
                <w:szCs w:val="20"/>
                <w:color w:val="auto"/>
              </w:rPr>
            </w:pPr>
          </w:p>
        </w:tc>
      </w:tr>
      <w:tr>
        <w:trPr>
          <w:trHeight w:val="243"/>
        </w:trPr>
        <w:tc>
          <w:tcPr>
            <w:tcW w:w="75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00" w:type="dxa"/>
            <w:vAlign w:val="bottom"/>
            <w:tcBorders>
              <w:bottom w:val="single" w:sz="8" w:color="auto"/>
            </w:tcBorders>
            <w:shd w:val="clear" w:color="auto" w:fill="CFF0FC"/>
          </w:tcPr>
          <w:p>
            <w:pPr>
              <w:spacing w:after="0"/>
              <w:rPr>
                <w:sz w:val="21"/>
                <w:szCs w:val="21"/>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6,179</w:t>
            </w:r>
          </w:p>
        </w:tc>
        <w:tc>
          <w:tcPr>
            <w:tcW w:w="28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6,636</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75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assets</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72,022</w:t>
            </w:r>
          </w:p>
        </w:tc>
        <w:tc>
          <w:tcPr>
            <w:tcW w:w="280" w:type="dxa"/>
            <w:vAlign w:val="bottom"/>
          </w:tcPr>
          <w:p>
            <w:pPr>
              <w:spacing w:after="0"/>
              <w:rPr>
                <w:sz w:val="20"/>
                <w:szCs w:val="20"/>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70,709</w:t>
            </w:r>
          </w:p>
        </w:tc>
        <w:tc>
          <w:tcPr>
            <w:tcW w:w="100" w:type="dxa"/>
            <w:vAlign w:val="bottom"/>
          </w:tcPr>
          <w:p>
            <w:pPr>
              <w:spacing w:after="0"/>
              <w:rPr>
                <w:sz w:val="20"/>
                <w:szCs w:val="20"/>
                <w:color w:val="auto"/>
              </w:rPr>
            </w:pPr>
          </w:p>
        </w:tc>
      </w:tr>
      <w:tr>
        <w:trPr>
          <w:trHeight w:val="20"/>
        </w:trPr>
        <w:tc>
          <w:tcPr>
            <w:tcW w:w="75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5827395</wp:posOffset>
            </wp:positionH>
            <wp:positionV relativeFrom="paragraph">
              <wp:posOffset>-1001395</wp:posOffset>
            </wp:positionV>
            <wp:extent cx="6858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5827395</wp:posOffset>
            </wp:positionH>
            <wp:positionV relativeFrom="paragraph">
              <wp:posOffset>-984250</wp:posOffset>
            </wp:positionV>
            <wp:extent cx="6858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-1001395</wp:posOffset>
            </wp:positionV>
            <wp:extent cx="6858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-984250</wp:posOffset>
            </wp:positionV>
            <wp:extent cx="6858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5827395</wp:posOffset>
            </wp:positionH>
            <wp:positionV relativeFrom="paragraph">
              <wp:posOffset>-187960</wp:posOffset>
            </wp:positionV>
            <wp:extent cx="6858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type w:val="continuous"/>
        </w:sectPr>
      </w:pPr>
    </w:p>
    <w:p>
      <w:pPr>
        <w:spacing w:after="0" w:line="83" w:lineRule="exact"/>
        <w:rPr>
          <w:sz w:val="20"/>
          <w:szCs w:val="20"/>
          <w:color w:val="auto"/>
        </w:rPr>
      </w:pPr>
    </w:p>
    <w:p>
      <w:pPr>
        <w:jc w:val="center"/>
        <w:ind w:left="750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5" w:lineRule="exact"/>
        <w:rPr>
          <w:sz w:val="20"/>
          <w:szCs w:val="20"/>
          <w:color w:val="auto"/>
        </w:rPr>
      </w:pPr>
    </w:p>
    <w:p>
      <w:pPr>
        <w:jc w:val="center"/>
        <w:ind w:left="7500"/>
        <w:spacing w:after="0"/>
        <w:rPr>
          <w:sz w:val="20"/>
          <w:szCs w:val="20"/>
          <w:color w:val="auto"/>
        </w:rPr>
      </w:pPr>
      <w:r>
        <w:rPr>
          <w:rFonts w:ascii="Times New Roman" w:cs="Times New Roman" w:eastAsia="Times New Roman" w:hAnsi="Times New Roman"/>
          <w:sz w:val="14"/>
          <w:szCs w:val="14"/>
          <w:b w:val="1"/>
          <w:bCs w:val="1"/>
          <w:color w:val="auto"/>
        </w:rPr>
        <w:t>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4757420</wp:posOffset>
            </wp:positionH>
            <wp:positionV relativeFrom="paragraph">
              <wp:posOffset>5080</wp:posOffset>
            </wp:positionV>
            <wp:extent cx="107061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07061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63"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December 31,</w:t>
      </w:r>
    </w:p>
    <w:p>
      <w:pPr>
        <w:spacing w:after="0" w:line="5"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-266065</wp:posOffset>
            </wp:positionH>
            <wp:positionV relativeFrom="paragraph">
              <wp:posOffset>5080</wp:posOffset>
            </wp:positionV>
            <wp:extent cx="106172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061720" cy="8255"/>
                    </a:xfrm>
                    <a:prstGeom prst="rect">
                      <a:avLst/>
                    </a:prstGeom>
                    <a:noFill/>
                  </pic:spPr>
                </pic:pic>
              </a:graphicData>
            </a:graphic>
          </wp:anchor>
        </w:drawing>
      </w:r>
    </w:p>
    <w:p>
      <w:pPr>
        <w:spacing w:after="0" w:line="102" w:lineRule="exact"/>
        <w:rPr>
          <w:sz w:val="20"/>
          <w:szCs w:val="20"/>
          <w:color w:val="auto"/>
        </w:rPr>
      </w:pPr>
    </w:p>
    <w:p>
      <w:pPr>
        <w:sectPr>
          <w:pgSz w:w="11900" w:h="16838" w:orient="portrait"/>
          <w:cols w:equalWidth="0" w:num="2">
            <w:col w:w="9160" w:space="720"/>
            <w:col w:w="1360"/>
          </w:cols>
          <w:pgMar w:left="320" w:top="360" w:right="339" w:bottom="1440" w:gutter="0" w:footer="0" w:header="0"/>
          <w:type w:val="continuous"/>
        </w:sectPr>
      </w:pPr>
    </w:p>
    <w:tbl>
      <w:tblPr>
        <w:tblLayout w:type="fixed"/>
        <w:tblInd w:w="0" w:type="dxa"/>
        <w:tblCellMar>
          <w:top w:w="0" w:type="dxa"/>
          <w:left w:w="0" w:type="dxa"/>
          <w:bottom w:w="0" w:type="dxa"/>
          <w:right w:w="0" w:type="dxa"/>
        </w:tblCellMar>
      </w:tblPr>
      <w:tr>
        <w:trPr>
          <w:trHeight w:val="243"/>
        </w:trPr>
        <w:tc>
          <w:tcPr>
            <w:tcW w:w="75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Accrued reserves for customer incentive programs</w:t>
            </w:r>
          </w:p>
        </w:tc>
        <w:tc>
          <w:tcPr>
            <w:tcW w:w="580" w:type="dxa"/>
            <w:vAlign w:val="bottom"/>
            <w:shd w:val="clear" w:color="auto" w:fill="CFF0FC"/>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32,391</w:t>
            </w:r>
          </w:p>
        </w:tc>
        <w:tc>
          <w:tcPr>
            <w:tcW w:w="860" w:type="dxa"/>
            <w:vAlign w:val="bottom"/>
            <w:gridSpan w:val="2"/>
            <w:shd w:val="clear" w:color="auto" w:fill="CFF0FC"/>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41,148</w:t>
            </w:r>
          </w:p>
        </w:tc>
        <w:tc>
          <w:tcPr>
            <w:tcW w:w="100" w:type="dxa"/>
            <w:vAlign w:val="bottom"/>
            <w:shd w:val="clear" w:color="auto" w:fill="CFF0FC"/>
          </w:tcPr>
          <w:p>
            <w:pPr>
              <w:spacing w:after="0"/>
              <w:rPr>
                <w:sz w:val="21"/>
                <w:szCs w:val="21"/>
                <w:color w:val="auto"/>
              </w:rPr>
            </w:pPr>
          </w:p>
        </w:tc>
      </w:tr>
      <w:tr>
        <w:trPr>
          <w:trHeight w:val="238"/>
        </w:trPr>
        <w:tc>
          <w:tcPr>
            <w:tcW w:w="7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reserves for sales returns</w:t>
            </w:r>
          </w:p>
        </w:tc>
        <w:tc>
          <w:tcPr>
            <w:tcW w:w="5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32,951</w:t>
            </w:r>
          </w:p>
        </w:tc>
        <w:tc>
          <w:tcPr>
            <w:tcW w:w="2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36,822</w:t>
            </w:r>
          </w:p>
        </w:tc>
        <w:tc>
          <w:tcPr>
            <w:tcW w:w="100" w:type="dxa"/>
            <w:vAlign w:val="bottom"/>
          </w:tcPr>
          <w:p>
            <w:pPr>
              <w:spacing w:after="0"/>
              <w:rPr>
                <w:sz w:val="20"/>
                <w:szCs w:val="20"/>
                <w:color w:val="auto"/>
              </w:rPr>
            </w:pPr>
          </w:p>
        </w:tc>
      </w:tr>
      <w:tr>
        <w:trPr>
          <w:trHeight w:val="247"/>
        </w:trPr>
        <w:tc>
          <w:tcPr>
            <w:tcW w:w="75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Accrued payroll and related expenses</w:t>
            </w:r>
          </w:p>
        </w:tc>
        <w:tc>
          <w:tcPr>
            <w:tcW w:w="58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14,056</w:t>
            </w:r>
          </w:p>
        </w:tc>
        <w:tc>
          <w:tcPr>
            <w:tcW w:w="280" w:type="dxa"/>
            <w:vAlign w:val="bottom"/>
            <w:shd w:val="clear" w:color="auto" w:fill="CFF0FC"/>
          </w:tcPr>
          <w:p>
            <w:pPr>
              <w:spacing w:after="0"/>
              <w:rPr>
                <w:sz w:val="21"/>
                <w:szCs w:val="21"/>
                <w:color w:val="auto"/>
              </w:rPr>
            </w:pPr>
          </w:p>
        </w:tc>
        <w:tc>
          <w:tcPr>
            <w:tcW w:w="58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17,989</w:t>
            </w:r>
          </w:p>
        </w:tc>
        <w:tc>
          <w:tcPr>
            <w:tcW w:w="100" w:type="dxa"/>
            <w:vAlign w:val="bottom"/>
            <w:shd w:val="clear" w:color="auto" w:fill="CFF0FC"/>
          </w:tcPr>
          <w:p>
            <w:pPr>
              <w:spacing w:after="0"/>
              <w:rPr>
                <w:sz w:val="21"/>
                <w:szCs w:val="21"/>
                <w:color w:val="auto"/>
              </w:rPr>
            </w:pPr>
          </w:p>
        </w:tc>
      </w:tr>
      <w:tr>
        <w:trPr>
          <w:trHeight w:val="238"/>
        </w:trPr>
        <w:tc>
          <w:tcPr>
            <w:tcW w:w="7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freight expenses</w:t>
            </w:r>
          </w:p>
        </w:tc>
        <w:tc>
          <w:tcPr>
            <w:tcW w:w="5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9,968</w:t>
            </w:r>
          </w:p>
        </w:tc>
        <w:tc>
          <w:tcPr>
            <w:tcW w:w="2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13,553</w:t>
            </w:r>
          </w:p>
        </w:tc>
        <w:tc>
          <w:tcPr>
            <w:tcW w:w="100" w:type="dxa"/>
            <w:vAlign w:val="bottom"/>
          </w:tcPr>
          <w:p>
            <w:pPr>
              <w:spacing w:after="0"/>
              <w:rPr>
                <w:sz w:val="20"/>
                <w:szCs w:val="20"/>
                <w:color w:val="auto"/>
              </w:rPr>
            </w:pPr>
          </w:p>
        </w:tc>
      </w:tr>
      <w:tr>
        <w:trPr>
          <w:trHeight w:val="247"/>
        </w:trPr>
        <w:tc>
          <w:tcPr>
            <w:tcW w:w="75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lease liabilities, current</w:t>
            </w:r>
          </w:p>
        </w:tc>
        <w:tc>
          <w:tcPr>
            <w:tcW w:w="58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9,151</w:t>
            </w:r>
          </w:p>
        </w:tc>
        <w:tc>
          <w:tcPr>
            <w:tcW w:w="280" w:type="dxa"/>
            <w:vAlign w:val="bottom"/>
            <w:shd w:val="clear" w:color="auto" w:fill="CFF0FC"/>
          </w:tcPr>
          <w:p>
            <w:pPr>
              <w:spacing w:after="0"/>
              <w:rPr>
                <w:sz w:val="21"/>
                <w:szCs w:val="21"/>
                <w:color w:val="auto"/>
              </w:rPr>
            </w:pPr>
          </w:p>
        </w:tc>
        <w:tc>
          <w:tcPr>
            <w:tcW w:w="58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9,721</w:t>
            </w:r>
          </w:p>
        </w:tc>
        <w:tc>
          <w:tcPr>
            <w:tcW w:w="100" w:type="dxa"/>
            <w:vAlign w:val="bottom"/>
            <w:shd w:val="clear" w:color="auto" w:fill="CFF0FC"/>
          </w:tcPr>
          <w:p>
            <w:pPr>
              <w:spacing w:after="0"/>
              <w:rPr>
                <w:sz w:val="21"/>
                <w:szCs w:val="21"/>
                <w:color w:val="auto"/>
              </w:rPr>
            </w:pPr>
          </w:p>
        </w:tc>
      </w:tr>
      <w:tr>
        <w:trPr>
          <w:trHeight w:val="238"/>
        </w:trPr>
        <w:tc>
          <w:tcPr>
            <w:tcW w:w="7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legal expense</w:t>
            </w:r>
          </w:p>
        </w:tc>
        <w:tc>
          <w:tcPr>
            <w:tcW w:w="5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6,516</w:t>
            </w:r>
          </w:p>
        </w:tc>
        <w:tc>
          <w:tcPr>
            <w:tcW w:w="2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1,014</w:t>
            </w:r>
          </w:p>
        </w:tc>
        <w:tc>
          <w:tcPr>
            <w:tcW w:w="100" w:type="dxa"/>
            <w:vAlign w:val="bottom"/>
          </w:tcPr>
          <w:p>
            <w:pPr>
              <w:spacing w:after="0"/>
              <w:rPr>
                <w:sz w:val="20"/>
                <w:szCs w:val="20"/>
                <w:color w:val="auto"/>
              </w:rPr>
            </w:pPr>
          </w:p>
        </w:tc>
      </w:tr>
      <w:tr>
        <w:trPr>
          <w:trHeight w:val="247"/>
        </w:trPr>
        <w:tc>
          <w:tcPr>
            <w:tcW w:w="75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Accrued warranty</w:t>
            </w:r>
          </w:p>
        </w:tc>
        <w:tc>
          <w:tcPr>
            <w:tcW w:w="58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6,323</w:t>
            </w:r>
          </w:p>
        </w:tc>
        <w:tc>
          <w:tcPr>
            <w:tcW w:w="280" w:type="dxa"/>
            <w:vAlign w:val="bottom"/>
            <w:shd w:val="clear" w:color="auto" w:fill="CFF0FC"/>
          </w:tcPr>
          <w:p>
            <w:pPr>
              <w:spacing w:after="0"/>
              <w:rPr>
                <w:sz w:val="21"/>
                <w:szCs w:val="21"/>
                <w:color w:val="auto"/>
              </w:rPr>
            </w:pPr>
          </w:p>
        </w:tc>
        <w:tc>
          <w:tcPr>
            <w:tcW w:w="58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7,155</w:t>
            </w:r>
          </w:p>
        </w:tc>
        <w:tc>
          <w:tcPr>
            <w:tcW w:w="100" w:type="dxa"/>
            <w:vAlign w:val="bottom"/>
            <w:shd w:val="clear" w:color="auto" w:fill="CFF0FC"/>
          </w:tcPr>
          <w:p>
            <w:pPr>
              <w:spacing w:after="0"/>
              <w:rPr>
                <w:sz w:val="21"/>
                <w:szCs w:val="21"/>
                <w:color w:val="auto"/>
              </w:rPr>
            </w:pPr>
          </w:p>
        </w:tc>
      </w:tr>
      <w:tr>
        <w:trPr>
          <w:trHeight w:val="238"/>
        </w:trPr>
        <w:tc>
          <w:tcPr>
            <w:tcW w:w="7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Contract liabilities</w:t>
            </w:r>
          </w:p>
        </w:tc>
        <w:tc>
          <w:tcPr>
            <w:tcW w:w="5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4,490</w:t>
            </w:r>
          </w:p>
        </w:tc>
        <w:tc>
          <w:tcPr>
            <w:tcW w:w="2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7,442</w:t>
            </w:r>
          </w:p>
        </w:tc>
        <w:tc>
          <w:tcPr>
            <w:tcW w:w="100" w:type="dxa"/>
            <w:vAlign w:val="bottom"/>
          </w:tcPr>
          <w:p>
            <w:pPr>
              <w:spacing w:after="0"/>
              <w:rPr>
                <w:sz w:val="20"/>
                <w:szCs w:val="20"/>
                <w:color w:val="auto"/>
              </w:rPr>
            </w:pPr>
          </w:p>
        </w:tc>
      </w:tr>
      <w:tr>
        <w:trPr>
          <w:trHeight w:val="243"/>
        </w:trPr>
        <w:tc>
          <w:tcPr>
            <w:tcW w:w="75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580" w:type="dxa"/>
            <w:vAlign w:val="bottom"/>
            <w:tcBorders>
              <w:bottom w:val="single" w:sz="8" w:color="auto"/>
            </w:tcBorders>
            <w:shd w:val="clear" w:color="auto" w:fill="CFF0FC"/>
          </w:tcPr>
          <w:p>
            <w:pPr>
              <w:spacing w:after="0"/>
              <w:rPr>
                <w:sz w:val="21"/>
                <w:szCs w:val="21"/>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22,641</w:t>
            </w:r>
          </w:p>
        </w:tc>
        <w:tc>
          <w:tcPr>
            <w:tcW w:w="280" w:type="dxa"/>
            <w:vAlign w:val="bottom"/>
            <w:tcBorders>
              <w:bottom w:val="single" w:sz="8" w:color="CFF0FC"/>
            </w:tcBorders>
            <w:shd w:val="clear" w:color="auto" w:fill="CFF0FC"/>
          </w:tcPr>
          <w:p>
            <w:pPr>
              <w:spacing w:after="0"/>
              <w:rPr>
                <w:sz w:val="21"/>
                <w:szCs w:val="21"/>
                <w:color w:val="auto"/>
              </w:rPr>
            </w:pPr>
          </w:p>
        </w:tc>
        <w:tc>
          <w:tcPr>
            <w:tcW w:w="580" w:type="dxa"/>
            <w:vAlign w:val="bottom"/>
            <w:tcBorders>
              <w:bottom w:val="single" w:sz="8" w:color="auto"/>
            </w:tcBorders>
            <w:shd w:val="clear" w:color="auto" w:fill="CFF0FC"/>
          </w:tcPr>
          <w:p>
            <w:pPr>
              <w:spacing w:after="0"/>
              <w:rPr>
                <w:sz w:val="21"/>
                <w:szCs w:val="21"/>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31,496</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75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liabilities and accrued expenses</w:t>
            </w:r>
          </w:p>
        </w:tc>
        <w:tc>
          <w:tcPr>
            <w:tcW w:w="58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138,487</w:t>
            </w:r>
          </w:p>
        </w:tc>
        <w:tc>
          <w:tcPr>
            <w:tcW w:w="86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166,340</w:t>
            </w:r>
          </w:p>
        </w:tc>
        <w:tc>
          <w:tcPr>
            <w:tcW w:w="100" w:type="dxa"/>
            <w:vAlign w:val="bottom"/>
          </w:tcPr>
          <w:p>
            <w:pPr>
              <w:spacing w:after="0"/>
              <w:rPr>
                <w:sz w:val="20"/>
                <w:szCs w:val="20"/>
                <w:color w:val="auto"/>
              </w:rPr>
            </w:pPr>
          </w:p>
        </w:tc>
      </w:tr>
      <w:tr>
        <w:trPr>
          <w:trHeight w:val="20"/>
        </w:trPr>
        <w:tc>
          <w:tcPr>
            <w:tcW w:w="75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5827395</wp:posOffset>
            </wp:positionH>
            <wp:positionV relativeFrom="paragraph">
              <wp:posOffset>-187960</wp:posOffset>
            </wp:positionV>
            <wp:extent cx="6858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type w:val="continuous"/>
        </w:sectPr>
      </w:pPr>
    </w:p>
    <w:p>
      <w:pPr>
        <w:spacing w:after="0" w:line="83" w:lineRule="exact"/>
        <w:rPr>
          <w:sz w:val="20"/>
          <w:szCs w:val="20"/>
          <w:color w:val="auto"/>
        </w:rPr>
      </w:pPr>
    </w:p>
    <w:p>
      <w:pPr>
        <w:jc w:val="center"/>
        <w:ind w:left="750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5" w:lineRule="exact"/>
        <w:rPr>
          <w:sz w:val="20"/>
          <w:szCs w:val="20"/>
          <w:color w:val="auto"/>
        </w:rPr>
      </w:pPr>
    </w:p>
    <w:p>
      <w:pPr>
        <w:jc w:val="center"/>
        <w:ind w:left="7500"/>
        <w:spacing w:after="0"/>
        <w:rPr>
          <w:sz w:val="20"/>
          <w:szCs w:val="20"/>
          <w:color w:val="auto"/>
        </w:rPr>
      </w:pPr>
      <w:r>
        <w:rPr>
          <w:rFonts w:ascii="Times New Roman" w:cs="Times New Roman" w:eastAsia="Times New Roman" w:hAnsi="Times New Roman"/>
          <w:sz w:val="14"/>
          <w:szCs w:val="14"/>
          <w:b w:val="1"/>
          <w:bCs w:val="1"/>
          <w:color w:val="auto"/>
        </w:rPr>
        <w:t>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4757420</wp:posOffset>
            </wp:positionH>
            <wp:positionV relativeFrom="paragraph">
              <wp:posOffset>5080</wp:posOffset>
            </wp:positionV>
            <wp:extent cx="107061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07061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63"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December 31,</w:t>
      </w:r>
    </w:p>
    <w:p>
      <w:pPr>
        <w:spacing w:after="0" w:line="5"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-266065</wp:posOffset>
            </wp:positionH>
            <wp:positionV relativeFrom="paragraph">
              <wp:posOffset>5080</wp:posOffset>
            </wp:positionV>
            <wp:extent cx="106172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061720" cy="8255"/>
                    </a:xfrm>
                    <a:prstGeom prst="rect">
                      <a:avLst/>
                    </a:prstGeom>
                    <a:noFill/>
                  </pic:spPr>
                </pic:pic>
              </a:graphicData>
            </a:graphic>
          </wp:anchor>
        </w:drawing>
      </w:r>
    </w:p>
    <w:p>
      <w:pPr>
        <w:spacing w:after="0" w:line="102" w:lineRule="exact"/>
        <w:rPr>
          <w:sz w:val="20"/>
          <w:szCs w:val="20"/>
          <w:color w:val="auto"/>
        </w:rPr>
      </w:pPr>
    </w:p>
    <w:p>
      <w:pPr>
        <w:sectPr>
          <w:pgSz w:w="11900" w:h="16838" w:orient="portrait"/>
          <w:cols w:equalWidth="0" w:num="2">
            <w:col w:w="9160" w:space="720"/>
            <w:col w:w="1360"/>
          </w:cols>
          <w:pgMar w:left="320" w:top="360" w:right="339" w:bottom="1440" w:gutter="0" w:footer="0" w:header="0"/>
          <w:type w:val="continuous"/>
        </w:sectPr>
      </w:pPr>
    </w:p>
    <w:tbl>
      <w:tblPr>
        <w:tblLayout w:type="fixed"/>
        <w:tblInd w:w="0" w:type="dxa"/>
        <w:tblCellMar>
          <w:top w:w="0" w:type="dxa"/>
          <w:left w:w="0" w:type="dxa"/>
          <w:bottom w:w="0" w:type="dxa"/>
          <w:right w:w="0" w:type="dxa"/>
        </w:tblCellMar>
      </w:tblPr>
      <w:tr>
        <w:trPr>
          <w:trHeight w:val="243"/>
        </w:trPr>
        <w:tc>
          <w:tcPr>
            <w:tcW w:w="75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lease liabilities, noncurrent</w:t>
            </w:r>
          </w:p>
        </w:tc>
        <w:tc>
          <w:tcPr>
            <w:tcW w:w="640" w:type="dxa"/>
            <w:vAlign w:val="bottom"/>
            <w:shd w:val="clear" w:color="auto" w:fill="CFF0FC"/>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37,575</w:t>
            </w:r>
          </w:p>
        </w:tc>
        <w:tc>
          <w:tcPr>
            <w:tcW w:w="920" w:type="dxa"/>
            <w:vAlign w:val="bottom"/>
            <w:gridSpan w:val="2"/>
            <w:shd w:val="clear" w:color="auto" w:fill="CFF0FC"/>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38,587</w:t>
            </w:r>
          </w:p>
        </w:tc>
        <w:tc>
          <w:tcPr>
            <w:tcW w:w="100" w:type="dxa"/>
            <w:vAlign w:val="bottom"/>
            <w:shd w:val="clear" w:color="auto" w:fill="CFF0FC"/>
          </w:tcPr>
          <w:p>
            <w:pPr>
              <w:spacing w:after="0"/>
              <w:rPr>
                <w:sz w:val="21"/>
                <w:szCs w:val="21"/>
                <w:color w:val="auto"/>
              </w:rPr>
            </w:pPr>
          </w:p>
        </w:tc>
      </w:tr>
      <w:tr>
        <w:trPr>
          <w:trHeight w:val="238"/>
        </w:trPr>
        <w:tc>
          <w:tcPr>
            <w:tcW w:w="7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6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3,054</w:t>
            </w:r>
          </w:p>
        </w:tc>
        <w:tc>
          <w:tcPr>
            <w:tcW w:w="280" w:type="dxa"/>
            <w:vAlign w:val="bottom"/>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3,008</w:t>
            </w:r>
          </w:p>
        </w:tc>
        <w:tc>
          <w:tcPr>
            <w:tcW w:w="100" w:type="dxa"/>
            <w:vAlign w:val="bottom"/>
          </w:tcPr>
          <w:p>
            <w:pPr>
              <w:spacing w:after="0"/>
              <w:rPr>
                <w:sz w:val="20"/>
                <w:szCs w:val="20"/>
                <w:color w:val="auto"/>
              </w:rPr>
            </w:pPr>
          </w:p>
        </w:tc>
      </w:tr>
      <w:tr>
        <w:trPr>
          <w:trHeight w:val="276"/>
        </w:trPr>
        <w:tc>
          <w:tcPr>
            <w:tcW w:w="750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Other liabilities, noncurrent</w:t>
            </w:r>
          </w:p>
        </w:tc>
        <w:tc>
          <w:tcPr>
            <w:tcW w:w="640" w:type="dxa"/>
            <w:vAlign w:val="bottom"/>
            <w:tcBorders>
              <w:bottom w:val="single" w:sz="8" w:color="auto"/>
            </w:tcBorders>
            <w:shd w:val="clear" w:color="auto" w:fill="CFF0FC"/>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40,629</w:t>
            </w:r>
          </w:p>
        </w:tc>
        <w:tc>
          <w:tcPr>
            <w:tcW w:w="280" w:type="dxa"/>
            <w:vAlign w:val="bottom"/>
            <w:tcBorders>
              <w:bottom w:val="single" w:sz="8" w:color="CFF0FC"/>
            </w:tcBorders>
            <w:shd w:val="clear" w:color="auto" w:fill="CFF0FC"/>
          </w:tcPr>
          <w:p>
            <w:pPr>
              <w:spacing w:after="0"/>
              <w:rPr>
                <w:sz w:val="24"/>
                <w:szCs w:val="24"/>
                <w:color w:val="auto"/>
              </w:rPr>
            </w:pPr>
          </w:p>
        </w:tc>
        <w:tc>
          <w:tcPr>
            <w:tcW w:w="640" w:type="dxa"/>
            <w:vAlign w:val="bottom"/>
            <w:tcBorders>
              <w:bottom w:val="single" w:sz="8" w:color="auto"/>
            </w:tcBorders>
            <w:shd w:val="clear" w:color="auto" w:fill="CFF0FC"/>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41,595</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5827395</wp:posOffset>
            </wp:positionH>
            <wp:positionV relativeFrom="paragraph">
              <wp:posOffset>-24765</wp:posOffset>
            </wp:positionV>
            <wp:extent cx="6858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5827395</wp:posOffset>
            </wp:positionH>
            <wp:positionV relativeFrom="paragraph">
              <wp:posOffset>-7620</wp:posOffset>
            </wp:positionV>
            <wp:extent cx="6858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Debt</w:t>
      </w:r>
    </w:p>
    <w:p>
      <w:pPr>
        <w:spacing w:after="0" w:line="148" w:lineRule="exact"/>
        <w:rPr>
          <w:sz w:val="20"/>
          <w:szCs w:val="20"/>
          <w:color w:val="auto"/>
        </w:rPr>
      </w:pPr>
    </w:p>
    <w:p>
      <w:pPr>
        <w:ind w:right="640" w:firstLine="509"/>
        <w:spacing w:after="0" w:line="281" w:lineRule="auto"/>
        <w:rPr>
          <w:sz w:val="20"/>
          <w:szCs w:val="20"/>
          <w:color w:val="auto"/>
        </w:rPr>
      </w:pPr>
      <w:r>
        <w:rPr>
          <w:rFonts w:ascii="Times New Roman" w:cs="Times New Roman" w:eastAsia="Times New Roman" w:hAnsi="Times New Roman"/>
          <w:sz w:val="18"/>
          <w:szCs w:val="18"/>
          <w:color w:val="auto"/>
        </w:rPr>
        <w:t>On September 3, 2021, we refinanced the First Lien Credit and Guaranty Agreement with a new Credit Agreement (as amended, the “Credit Agreement”). The Credit Agreement provides for a $100.0 million five-year revolving credit facility (“Revolving</w:t>
      </w:r>
    </w:p>
    <w:p>
      <w:pPr>
        <w:sectPr>
          <w:pgSz w:w="11900" w:h="16838" w:orient="portrait"/>
          <w:cols w:equalWidth="0" w:num="1">
            <w:col w:w="11240"/>
          </w:cols>
          <w:pgMar w:left="320" w:top="360" w:right="339" w:bottom="1440" w:gutter="0" w:footer="0" w:header="0"/>
          <w:type w:val="continuous"/>
        </w:sectPr>
      </w:pP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Corsair Gaming, Inc. | Q1 2024 Form 10-Q |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71755</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type w:val="continuous"/>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right="280"/>
        <w:spacing w:after="0" w:line="260" w:lineRule="auto"/>
        <w:rPr>
          <w:sz w:val="20"/>
          <w:szCs w:val="20"/>
          <w:color w:val="auto"/>
        </w:rPr>
      </w:pPr>
      <w:r>
        <w:rPr>
          <w:rFonts w:ascii="Times New Roman" w:cs="Times New Roman" w:eastAsia="Times New Roman" w:hAnsi="Times New Roman"/>
          <w:sz w:val="18"/>
          <w:szCs w:val="18"/>
          <w:color w:val="auto"/>
        </w:rPr>
        <w:t>Facility”) and a $250.0 million five-year term loan facility (“Term Loan”), with each maturing in September 2026. The Credit Agreement also permits, subject to conditions stated therein, additional incremental facilities in a maximum aggregate principal amount not to exceed $250.0 million. We may prepay the Term Loan and the Revolving Facility at any time without premium or penalty. We prepaid $11.9 million and $34.1 million of the Term Loan principal in the three months ended March 31, 2024 and in the year ended December 31, 2023, respectively.</w:t>
      </w:r>
    </w:p>
    <w:p>
      <w:pPr>
        <w:spacing w:after="0" w:line="10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presents the carrying value of our Term Loan (in thousands):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60" w:type="dxa"/>
            <w:vAlign w:val="bottom"/>
            <w:gridSpan w:val="2"/>
          </w:tcPr>
          <w:p>
            <w:pPr>
              <w:jc w:val="right"/>
              <w:ind w:right="82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60" w:type="dxa"/>
            <w:vAlign w:val="bottom"/>
          </w:tcPr>
          <w:p>
            <w:pPr>
              <w:spacing w:after="0"/>
              <w:rPr>
                <w:sz w:val="13"/>
                <w:szCs w:val="13"/>
                <w:color w:val="auto"/>
              </w:rPr>
            </w:pPr>
          </w:p>
        </w:tc>
        <w:tc>
          <w:tcPr>
            <w:tcW w:w="152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7"/>
        </w:trPr>
        <w:tc>
          <w:tcPr>
            <w:tcW w:w="74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615"/>
              <w:spacing w:after="0"/>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61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r>
      <w:tr>
        <w:trPr>
          <w:trHeight w:val="74"/>
        </w:trPr>
        <w:tc>
          <w:tcPr>
            <w:tcW w:w="7480" w:type="dxa"/>
            <w:vAlign w:val="bottom"/>
          </w:tcPr>
          <w:p>
            <w:pPr>
              <w:spacing w:after="0"/>
              <w:rPr>
                <w:sz w:val="6"/>
                <w:szCs w:val="6"/>
                <w:color w:val="auto"/>
              </w:rPr>
            </w:pPr>
          </w:p>
        </w:tc>
        <w:tc>
          <w:tcPr>
            <w:tcW w:w="320" w:type="dxa"/>
            <w:vAlign w:val="bottom"/>
          </w:tcPr>
          <w:p>
            <w:pPr>
              <w:spacing w:after="0"/>
              <w:rPr>
                <w:sz w:val="6"/>
                <w:szCs w:val="6"/>
                <w:color w:val="auto"/>
              </w:rPr>
            </w:pPr>
          </w:p>
        </w:tc>
        <w:tc>
          <w:tcPr>
            <w:tcW w:w="1380" w:type="dxa"/>
            <w:vAlign w:val="bottom"/>
          </w:tcPr>
          <w:p>
            <w:pPr>
              <w:spacing w:after="0"/>
              <w:rPr>
                <w:sz w:val="6"/>
                <w:szCs w:val="6"/>
                <w:color w:val="auto"/>
              </w:rPr>
            </w:pPr>
          </w:p>
        </w:tc>
        <w:tc>
          <w:tcPr>
            <w:tcW w:w="280" w:type="dxa"/>
            <w:vAlign w:val="bottom"/>
          </w:tcPr>
          <w:p>
            <w:pPr>
              <w:spacing w:after="0"/>
              <w:rPr>
                <w:sz w:val="6"/>
                <w:szCs w:val="6"/>
                <w:color w:val="auto"/>
              </w:rPr>
            </w:pPr>
          </w:p>
        </w:tc>
        <w:tc>
          <w:tcPr>
            <w:tcW w:w="260" w:type="dxa"/>
            <w:vAlign w:val="bottom"/>
          </w:tcPr>
          <w:p>
            <w:pPr>
              <w:spacing w:after="0"/>
              <w:rPr>
                <w:sz w:val="6"/>
                <w:szCs w:val="6"/>
                <w:color w:val="auto"/>
              </w:rPr>
            </w:pPr>
          </w:p>
        </w:tc>
        <w:tc>
          <w:tcPr>
            <w:tcW w:w="1420" w:type="dxa"/>
            <w:vAlign w:val="bottom"/>
          </w:tcPr>
          <w:p>
            <w:pPr>
              <w:spacing w:after="0"/>
              <w:rPr>
                <w:sz w:val="6"/>
                <w:szCs w:val="6"/>
                <w:color w:val="auto"/>
              </w:rPr>
            </w:pPr>
          </w:p>
        </w:tc>
        <w:tc>
          <w:tcPr>
            <w:tcW w:w="100" w:type="dxa"/>
            <w:vAlign w:val="bottom"/>
          </w:tcPr>
          <w:p>
            <w:pPr>
              <w:spacing w:after="0"/>
              <w:rPr>
                <w:sz w:val="6"/>
                <w:szCs w:val="6"/>
                <w:color w:val="auto"/>
              </w:rPr>
            </w:pPr>
          </w:p>
        </w:tc>
      </w:tr>
      <w:tr>
        <w:trPr>
          <w:trHeight w:val="243"/>
        </w:trPr>
        <w:tc>
          <w:tcPr>
            <w:tcW w:w="7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Term Loan (variable rate) due September 2026</w:t>
            </w: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184,000</w:t>
            </w:r>
          </w:p>
        </w:tc>
        <w:tc>
          <w:tcPr>
            <w:tcW w:w="280" w:type="dxa"/>
            <w:vAlign w:val="bottom"/>
            <w:shd w:val="clear" w:color="auto" w:fill="CFF0FC"/>
          </w:tcPr>
          <w:p>
            <w:pPr>
              <w:spacing w:after="0"/>
              <w:rPr>
                <w:sz w:val="21"/>
                <w:szCs w:val="21"/>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199,000</w:t>
            </w:r>
          </w:p>
        </w:tc>
        <w:tc>
          <w:tcPr>
            <w:tcW w:w="100" w:type="dxa"/>
            <w:vAlign w:val="bottom"/>
            <w:shd w:val="clear" w:color="auto" w:fill="CFF0FC"/>
          </w:tcPr>
          <w:p>
            <w:pPr>
              <w:spacing w:after="0"/>
              <w:rPr>
                <w:sz w:val="21"/>
                <w:szCs w:val="21"/>
                <w:color w:val="auto"/>
              </w:rPr>
            </w:pPr>
          </w:p>
        </w:tc>
      </w:tr>
      <w:tr>
        <w:trPr>
          <w:trHeight w:val="238"/>
        </w:trPr>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Debt discount and issuance cost, net of amortization</w:t>
            </w:r>
          </w:p>
        </w:tc>
        <w:tc>
          <w:tcPr>
            <w:tcW w:w="320" w:type="dxa"/>
            <w:vAlign w:val="bottom"/>
          </w:tcPr>
          <w:p>
            <w:pPr>
              <w:spacing w:after="0"/>
              <w:rPr>
                <w:sz w:val="20"/>
                <w:szCs w:val="20"/>
                <w:color w:val="auto"/>
              </w:rPr>
            </w:pPr>
          </w:p>
        </w:tc>
        <w:tc>
          <w:tcPr>
            <w:tcW w:w="16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(681 )</w:t>
            </w:r>
          </w:p>
        </w:tc>
        <w:tc>
          <w:tcPr>
            <w:tcW w:w="260" w:type="dxa"/>
            <w:vAlign w:val="bottom"/>
          </w:tcPr>
          <w:p>
            <w:pPr>
              <w:spacing w:after="0"/>
              <w:rPr>
                <w:sz w:val="20"/>
                <w:szCs w:val="20"/>
                <w:color w:val="auto"/>
              </w:rPr>
            </w:pPr>
          </w:p>
        </w:tc>
        <w:tc>
          <w:tcPr>
            <w:tcW w:w="15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(804 )</w:t>
            </w:r>
          </w:p>
        </w:tc>
      </w:tr>
      <w:tr>
        <w:trPr>
          <w:trHeight w:val="240"/>
        </w:trPr>
        <w:tc>
          <w:tcPr>
            <w:tcW w:w="74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 debt</w:t>
            </w:r>
          </w:p>
        </w:tc>
        <w:tc>
          <w:tcPr>
            <w:tcW w:w="320" w:type="dxa"/>
            <w:vAlign w:val="bottom"/>
            <w:tcBorders>
              <w:top w:val="single" w:sz="8" w:color="auto"/>
            </w:tcBorders>
            <w:shd w:val="clear" w:color="auto" w:fill="CFF0FC"/>
          </w:tcPr>
          <w:p>
            <w:pPr>
              <w:spacing w:after="0"/>
              <w:rPr>
                <w:sz w:val="20"/>
                <w:szCs w:val="20"/>
                <w:color w:val="auto"/>
              </w:rPr>
            </w:pPr>
          </w:p>
        </w:tc>
        <w:tc>
          <w:tcPr>
            <w:tcW w:w="13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183,319</w:t>
            </w:r>
          </w:p>
        </w:tc>
        <w:tc>
          <w:tcPr>
            <w:tcW w:w="280" w:type="dxa"/>
            <w:vAlign w:val="bottom"/>
            <w:shd w:val="clear" w:color="auto" w:fill="CFF0FC"/>
          </w:tcPr>
          <w:p>
            <w:pPr>
              <w:spacing w:after="0"/>
              <w:rPr>
                <w:sz w:val="20"/>
                <w:szCs w:val="20"/>
                <w:color w:val="auto"/>
              </w:rPr>
            </w:pPr>
          </w:p>
        </w:tc>
        <w:tc>
          <w:tcPr>
            <w:tcW w:w="260" w:type="dxa"/>
            <w:vAlign w:val="bottom"/>
            <w:tcBorders>
              <w:top w:val="single" w:sz="8" w:color="auto"/>
            </w:tcBorders>
            <w:shd w:val="clear" w:color="auto" w:fill="CFF0FC"/>
          </w:tcPr>
          <w:p>
            <w:pPr>
              <w:spacing w:after="0"/>
              <w:rPr>
                <w:sz w:val="20"/>
                <w:szCs w:val="20"/>
                <w:color w:val="auto"/>
              </w:rPr>
            </w:pPr>
          </w:p>
        </w:tc>
        <w:tc>
          <w:tcPr>
            <w:tcW w:w="14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198,196</w:t>
            </w:r>
          </w:p>
        </w:tc>
        <w:tc>
          <w:tcPr>
            <w:tcW w:w="100" w:type="dxa"/>
            <w:vAlign w:val="bottom"/>
            <w:shd w:val="clear" w:color="auto" w:fill="CFF0FC"/>
          </w:tcPr>
          <w:p>
            <w:pPr>
              <w:spacing w:after="0"/>
              <w:rPr>
                <w:sz w:val="20"/>
                <w:szCs w:val="20"/>
                <w:color w:val="auto"/>
              </w:rPr>
            </w:pPr>
          </w:p>
        </w:tc>
      </w:tr>
      <w:tr>
        <w:trPr>
          <w:trHeight w:val="250"/>
        </w:trPr>
        <w:tc>
          <w:tcPr>
            <w:tcW w:w="74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Less: debt maturing within one year, net</w:t>
            </w:r>
          </w:p>
        </w:tc>
        <w:tc>
          <w:tcPr>
            <w:tcW w:w="32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12,213</w:t>
            </w:r>
          </w:p>
        </w:tc>
        <w:tc>
          <w:tcPr>
            <w:tcW w:w="28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12,190</w:t>
            </w:r>
          </w:p>
        </w:tc>
        <w:tc>
          <w:tcPr>
            <w:tcW w:w="100" w:type="dxa"/>
            <w:vAlign w:val="bottom"/>
          </w:tcPr>
          <w:p>
            <w:pPr>
              <w:spacing w:after="0"/>
              <w:rPr>
                <w:sz w:val="21"/>
                <w:szCs w:val="21"/>
                <w:color w:val="auto"/>
              </w:rPr>
            </w:pPr>
          </w:p>
        </w:tc>
      </w:tr>
      <w:tr>
        <w:trPr>
          <w:trHeight w:val="278"/>
        </w:trPr>
        <w:tc>
          <w:tcPr>
            <w:tcW w:w="748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Long-term debt, net</w:t>
            </w: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171,106</w:t>
            </w:r>
          </w:p>
        </w:tc>
        <w:tc>
          <w:tcPr>
            <w:tcW w:w="28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186,006</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5827395</wp:posOffset>
            </wp:positionH>
            <wp:positionV relativeFrom="paragraph">
              <wp:posOffset>-24765</wp:posOffset>
            </wp:positionV>
            <wp:extent cx="6858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5827395</wp:posOffset>
            </wp:positionH>
            <wp:positionV relativeFrom="paragraph">
              <wp:posOffset>-7620</wp:posOffset>
            </wp:positionV>
            <wp:extent cx="6858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10" w:lineRule="exact"/>
        <w:rPr>
          <w:sz w:val="20"/>
          <w:szCs w:val="20"/>
          <w:color w:val="auto"/>
        </w:rPr>
      </w:pPr>
    </w:p>
    <w:p>
      <w:pPr>
        <w:ind w:right="340" w:firstLine="509"/>
        <w:spacing w:after="0" w:line="281" w:lineRule="auto"/>
        <w:rPr>
          <w:sz w:val="20"/>
          <w:szCs w:val="20"/>
          <w:color w:val="auto"/>
        </w:rPr>
      </w:pPr>
      <w:r>
        <w:rPr>
          <w:rFonts w:ascii="Times New Roman" w:cs="Times New Roman" w:eastAsia="Times New Roman" w:hAnsi="Times New Roman"/>
          <w:sz w:val="18"/>
          <w:szCs w:val="18"/>
          <w:color w:val="auto"/>
        </w:rPr>
        <w:t>As of March 31, 2024, the estimated fair value of the Term Loan, which we have classified as a Level 2 financial instrument, was approximately $181.8 million.</w:t>
      </w:r>
    </w:p>
    <w:p>
      <w:pPr>
        <w:spacing w:after="0" w:line="9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As of March 31, 2024, and December 31, 2023, we had $100.0 million unused capacity under the Revolving Facility.</w:t>
      </w:r>
    </w:p>
    <w:p>
      <w:pPr>
        <w:spacing w:after="0" w:line="144" w:lineRule="exact"/>
        <w:rPr>
          <w:sz w:val="20"/>
          <w:szCs w:val="20"/>
          <w:color w:val="auto"/>
        </w:rPr>
      </w:pPr>
    </w:p>
    <w:p>
      <w:pPr>
        <w:ind w:right="100" w:firstLine="509"/>
        <w:spacing w:after="0" w:line="255" w:lineRule="auto"/>
        <w:rPr>
          <w:sz w:val="20"/>
          <w:szCs w:val="20"/>
          <w:color w:val="auto"/>
        </w:rPr>
      </w:pPr>
      <w:r>
        <w:rPr>
          <w:rFonts w:ascii="Times New Roman" w:cs="Times New Roman" w:eastAsia="Times New Roman" w:hAnsi="Times New Roman"/>
          <w:sz w:val="18"/>
          <w:szCs w:val="18"/>
          <w:color w:val="auto"/>
        </w:rPr>
        <w:t>The Credit Agreement has a variable rate structure. According to the provisions in the Third Amendment to the Credit Agreement (“Third Amendment”), beginning 2024, the Term Loan and the Revolving Facility carry interest at our election at either (a) Bloomberg Short-Term Bank Yield Index rate (“BSBY”) plus a percentage spread (ranging from 1.25% to 2.25%) based on our total net leverage ratio, or (b) the base rate (as described in the Credit Agreement as the greatest of (i) the prime rate, (ii) the federal funds rate plus 0.50% and (iii) one-month BSBY plus 1.0%) plus a percentage spread (ranging from 0.25% to 1.25%) based on our total net leverage ratio. Additionally, the commitment fees on the unused portion of the Revolving Facility ranges from 0.2% to 0.4% based on our total net leverage ratio. The effective interest rate of our Term Loan, inclusive of the debt discount and debt issuance costs, was approximately 7.48% and 7.06% for the three months ended March 31, 2024, and 2023, respectively.</w:t>
      </w:r>
    </w:p>
    <w:p>
      <w:pPr>
        <w:spacing w:after="0" w:line="119"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The Credit Agreement contains covenants with which we must comply during the term of the agreement, which we believe are ordinary and standard for agreements of this nature, including the maintenance of a maximum Consolidated Total Net Leverage Ratio (“CTNL Ratio”) and a minimum Consolidated Interest Coverage Ratio (“CIC Ratio”) (as defined in the Credit Agreement). According to the provisions in the Third Amendment, beginning 2024, we are required to maintain a maximum CTNL Ratio of 3.00 to 1.00 and a minimum CIC ratio of 3.00 to 1.00, with the provision that the maximum CTNL Ratio can be temporarily increased to 3.50 to 1.00 upon the occurrence of a Qualified Acquisition (as defined in, and subject to the requirements of the Credit Agreement). As of March 31, 2024, we were not in default under the Credit Agreement.</w:t>
      </w:r>
    </w:p>
    <w:p>
      <w:pPr>
        <w:spacing w:after="0" w:line="118" w:lineRule="exact"/>
        <w:rPr>
          <w:sz w:val="20"/>
          <w:szCs w:val="20"/>
          <w:color w:val="auto"/>
        </w:rPr>
      </w:pPr>
    </w:p>
    <w:p>
      <w:pPr>
        <w:ind w:right="200" w:firstLine="509"/>
        <w:spacing w:after="0" w:line="265" w:lineRule="auto"/>
        <w:rPr>
          <w:sz w:val="20"/>
          <w:szCs w:val="20"/>
          <w:color w:val="auto"/>
        </w:rPr>
      </w:pPr>
      <w:r>
        <w:rPr>
          <w:rFonts w:ascii="Times New Roman" w:cs="Times New Roman" w:eastAsia="Times New Roman" w:hAnsi="Times New Roman"/>
          <w:sz w:val="18"/>
          <w:szCs w:val="18"/>
          <w:color w:val="auto"/>
        </w:rPr>
        <w:t>Our obligations under the Credit Agreement are guaranteed by substantially all of our U.S. subsidiaries and secured by a security interest in substantially all assets of the Company and the guarantor subsidiaries, subject to certain exceptions detailed in the Credit Agreement and related ancillary documentation.</w:t>
      </w:r>
    </w:p>
    <w:p>
      <w:pPr>
        <w:spacing w:after="0" w:line="9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the interest expense recognized for all periods presented (in thousands):</w:t>
      </w:r>
    </w:p>
    <w:p>
      <w:pPr>
        <w:spacing w:after="0" w:line="124" w:lineRule="exact"/>
        <w:rPr>
          <w:sz w:val="20"/>
          <w:szCs w:val="20"/>
          <w:color w:val="auto"/>
        </w:rPr>
      </w:pPr>
    </w:p>
    <w:p>
      <w:pPr>
        <w:jc w:val="center"/>
        <w:ind w:left="736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5" w:lineRule="exact"/>
        <w:rPr>
          <w:sz w:val="20"/>
          <w:szCs w:val="20"/>
          <w:color w:val="auto"/>
        </w:rPr>
      </w:pPr>
    </w:p>
    <w:p>
      <w:pPr>
        <w:jc w:val="center"/>
        <w:ind w:left="736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7480" w:type="dxa"/>
            <w:vAlign w:val="bottom"/>
          </w:tcPr>
          <w:p>
            <w:pPr>
              <w:spacing w:after="0"/>
              <w:rPr>
                <w:sz w:val="14"/>
                <w:szCs w:val="14"/>
                <w:color w:val="auto"/>
              </w:rPr>
            </w:pPr>
          </w:p>
        </w:tc>
        <w:tc>
          <w:tcPr>
            <w:tcW w:w="1140" w:type="dxa"/>
            <w:vAlign w:val="bottom"/>
            <w:tcBorders>
              <w:top w:val="single" w:sz="8" w:color="auto"/>
              <w:bottom w:val="single" w:sz="8" w:color="auto"/>
            </w:tcBorders>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2024</w:t>
            </w:r>
          </w:p>
        </w:tc>
        <w:tc>
          <w:tcPr>
            <w:tcW w:w="560" w:type="dxa"/>
            <w:vAlign w:val="bottom"/>
            <w:tcBorders>
              <w:top w:val="single" w:sz="8" w:color="auto"/>
              <w:bottom w:val="single" w:sz="8" w:color="auto"/>
            </w:tcBorders>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400" w:type="dxa"/>
            <w:vAlign w:val="bottom"/>
            <w:tcBorders>
              <w:top w:val="single" w:sz="8" w:color="auto"/>
              <w:bottom w:val="single" w:sz="8" w:color="auto"/>
            </w:tcBorders>
          </w:tcPr>
          <w:p>
            <w:pPr>
              <w:spacing w:after="0"/>
              <w:rPr>
                <w:sz w:val="14"/>
                <w:szCs w:val="14"/>
                <w:color w:val="auto"/>
              </w:rPr>
            </w:pPr>
          </w:p>
        </w:tc>
        <w:tc>
          <w:tcPr>
            <w:tcW w:w="1280" w:type="dxa"/>
            <w:vAlign w:val="bottom"/>
            <w:tcBorders>
              <w:top w:val="single" w:sz="8" w:color="auto"/>
              <w:bottom w:val="single" w:sz="8" w:color="auto"/>
            </w:tcBorders>
          </w:tcPr>
          <w:p>
            <w:pPr>
              <w:jc w:val="right"/>
              <w:ind w:right="61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r>
      <w:tr>
        <w:trPr>
          <w:trHeight w:val="61"/>
        </w:trPr>
        <w:tc>
          <w:tcPr>
            <w:tcW w:w="74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560" w:type="dxa"/>
            <w:vAlign w:val="bottom"/>
          </w:tcPr>
          <w:p>
            <w:pPr>
              <w:spacing w:after="0"/>
              <w:rPr>
                <w:sz w:val="5"/>
                <w:szCs w:val="5"/>
                <w:color w:val="auto"/>
              </w:rPr>
            </w:pPr>
          </w:p>
        </w:tc>
        <w:tc>
          <w:tcPr>
            <w:tcW w:w="280" w:type="dxa"/>
            <w:vAlign w:val="bottom"/>
          </w:tcPr>
          <w:p>
            <w:pPr>
              <w:spacing w:after="0"/>
              <w:rPr>
                <w:sz w:val="5"/>
                <w:szCs w:val="5"/>
                <w:color w:val="auto"/>
              </w:rPr>
            </w:pPr>
          </w:p>
        </w:tc>
        <w:tc>
          <w:tcPr>
            <w:tcW w:w="400" w:type="dxa"/>
            <w:vAlign w:val="bottom"/>
          </w:tcPr>
          <w:p>
            <w:pPr>
              <w:spacing w:after="0"/>
              <w:rPr>
                <w:sz w:val="5"/>
                <w:szCs w:val="5"/>
                <w:color w:val="auto"/>
              </w:rPr>
            </w:pPr>
          </w:p>
        </w:tc>
        <w:tc>
          <w:tcPr>
            <w:tcW w:w="1280" w:type="dxa"/>
            <w:vAlign w:val="bottom"/>
          </w:tcPr>
          <w:p>
            <w:pPr>
              <w:spacing w:after="0"/>
              <w:rPr>
                <w:sz w:val="5"/>
                <w:szCs w:val="5"/>
                <w:color w:val="auto"/>
              </w:rPr>
            </w:pPr>
          </w:p>
        </w:tc>
        <w:tc>
          <w:tcPr>
            <w:tcW w:w="100" w:type="dxa"/>
            <w:vAlign w:val="bottom"/>
          </w:tcPr>
          <w:p>
            <w:pPr>
              <w:spacing w:after="0"/>
              <w:rPr>
                <w:sz w:val="5"/>
                <w:szCs w:val="5"/>
                <w:color w:val="auto"/>
              </w:rPr>
            </w:pPr>
          </w:p>
        </w:tc>
      </w:tr>
      <w:tr>
        <w:trPr>
          <w:trHeight w:val="243"/>
        </w:trPr>
        <w:tc>
          <w:tcPr>
            <w:tcW w:w="7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Credit Agreement:</w:t>
            </w:r>
          </w:p>
        </w:tc>
        <w:tc>
          <w:tcPr>
            <w:tcW w:w="1140" w:type="dxa"/>
            <w:vAlign w:val="bottom"/>
            <w:shd w:val="clear" w:color="auto" w:fill="CFF0FC"/>
          </w:tcPr>
          <w:p>
            <w:pPr>
              <w:spacing w:after="0"/>
              <w:rPr>
                <w:sz w:val="21"/>
                <w:szCs w:val="21"/>
                <w:color w:val="auto"/>
              </w:rPr>
            </w:pPr>
          </w:p>
        </w:tc>
        <w:tc>
          <w:tcPr>
            <w:tcW w:w="5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12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8"/>
        </w:trPr>
        <w:tc>
          <w:tcPr>
            <w:tcW w:w="7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Contractual interest expense for term loan</w:t>
            </w:r>
          </w:p>
        </w:tc>
        <w:tc>
          <w:tcPr>
            <w:tcW w:w="1140" w:type="dxa"/>
            <w:vAlign w:val="bottom"/>
          </w:tcPr>
          <w:p>
            <w:pPr>
              <w:jc w:val="right"/>
              <w:ind w:right="956"/>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3,456</w:t>
            </w:r>
          </w:p>
        </w:tc>
        <w:tc>
          <w:tcPr>
            <w:tcW w:w="68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4,065</w:t>
            </w:r>
          </w:p>
        </w:tc>
        <w:tc>
          <w:tcPr>
            <w:tcW w:w="100" w:type="dxa"/>
            <w:vAlign w:val="bottom"/>
          </w:tcPr>
          <w:p>
            <w:pPr>
              <w:spacing w:after="0"/>
              <w:rPr>
                <w:sz w:val="20"/>
                <w:szCs w:val="20"/>
                <w:color w:val="auto"/>
              </w:rPr>
            </w:pPr>
          </w:p>
        </w:tc>
      </w:tr>
      <w:tr>
        <w:trPr>
          <w:trHeight w:val="247"/>
        </w:trPr>
        <w:tc>
          <w:tcPr>
            <w:tcW w:w="74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Amortization of debt discount and issuance cost</w:t>
            </w:r>
          </w:p>
        </w:tc>
        <w:tc>
          <w:tcPr>
            <w:tcW w:w="1140" w:type="dxa"/>
            <w:vAlign w:val="bottom"/>
            <w:shd w:val="clear" w:color="auto" w:fill="CFF0FC"/>
          </w:tcPr>
          <w:p>
            <w:pPr>
              <w:spacing w:after="0"/>
              <w:rPr>
                <w:sz w:val="21"/>
                <w:szCs w:val="21"/>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28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100" w:type="dxa"/>
            <w:vAlign w:val="bottom"/>
            <w:shd w:val="clear" w:color="auto" w:fill="CFF0FC"/>
          </w:tcPr>
          <w:p>
            <w:pPr>
              <w:spacing w:after="0"/>
              <w:rPr>
                <w:sz w:val="21"/>
                <w:szCs w:val="21"/>
                <w:color w:val="auto"/>
              </w:rPr>
            </w:pPr>
          </w:p>
        </w:tc>
      </w:tr>
      <w:tr>
        <w:trPr>
          <w:trHeight w:val="238"/>
        </w:trPr>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14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28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00" w:type="dxa"/>
            <w:vAlign w:val="bottom"/>
          </w:tcPr>
          <w:p>
            <w:pPr>
              <w:spacing w:after="0"/>
              <w:rPr>
                <w:sz w:val="20"/>
                <w:szCs w:val="20"/>
                <w:color w:val="auto"/>
              </w:rPr>
            </w:pPr>
          </w:p>
        </w:tc>
      </w:tr>
      <w:tr>
        <w:trPr>
          <w:trHeight w:val="276"/>
        </w:trPr>
        <w:tc>
          <w:tcPr>
            <w:tcW w:w="748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 interest expense</w:t>
            </w:r>
          </w:p>
        </w:tc>
        <w:tc>
          <w:tcPr>
            <w:tcW w:w="1140" w:type="dxa"/>
            <w:vAlign w:val="bottom"/>
            <w:tcBorders>
              <w:bottom w:val="single" w:sz="8" w:color="auto"/>
            </w:tcBorders>
            <w:shd w:val="clear" w:color="auto" w:fill="CFF0FC"/>
          </w:tcPr>
          <w:p>
            <w:pPr>
              <w:jc w:val="right"/>
              <w:ind w:right="956"/>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3,691</w:t>
            </w:r>
          </w:p>
        </w:tc>
        <w:tc>
          <w:tcPr>
            <w:tcW w:w="280" w:type="dxa"/>
            <w:vAlign w:val="bottom"/>
            <w:tcBorders>
              <w:bottom w:val="single" w:sz="8" w:color="CFF0FC"/>
            </w:tcBorders>
            <w:shd w:val="clear" w:color="auto" w:fill="CFF0FC"/>
          </w:tcPr>
          <w:p>
            <w:pPr>
              <w:spacing w:after="0"/>
              <w:rPr>
                <w:sz w:val="24"/>
                <w:szCs w:val="24"/>
                <w:color w:val="auto"/>
              </w:rPr>
            </w:pPr>
          </w:p>
        </w:tc>
        <w:tc>
          <w:tcPr>
            <w:tcW w:w="400" w:type="dxa"/>
            <w:vAlign w:val="bottom"/>
            <w:tcBorders>
              <w:bottom w:val="single" w:sz="8" w:color="auto"/>
            </w:tcBorders>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4,302</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5827395</wp:posOffset>
            </wp:positionH>
            <wp:positionV relativeFrom="paragraph">
              <wp:posOffset>-24765</wp:posOffset>
            </wp:positionV>
            <wp:extent cx="6858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5827395</wp:posOffset>
            </wp:positionH>
            <wp:positionV relativeFrom="paragraph">
              <wp:posOffset>-7620</wp:posOffset>
            </wp:positionV>
            <wp:extent cx="6858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Corsair Gaming, Inc. | Q1 2024 Form 10-Q |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future principal payments under our total long-term debt as of March 31, 2024 are as follows (in thousands):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90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740" w:type="dxa"/>
            <w:vAlign w:val="bottom"/>
            <w:gridSpan w:val="2"/>
          </w:tcPr>
          <w:p>
            <w:pPr>
              <w:ind w:left="320"/>
              <w:spacing w:after="0"/>
              <w:rPr>
                <w:sz w:val="20"/>
                <w:szCs w:val="20"/>
                <w:color w:val="auto"/>
              </w:rPr>
            </w:pPr>
            <w:r>
              <w:rPr>
                <w:rFonts w:ascii="Times New Roman" w:cs="Times New Roman" w:eastAsia="Times New Roman" w:hAnsi="Times New Roman"/>
                <w:sz w:val="14"/>
                <w:szCs w:val="14"/>
                <w:b w:val="1"/>
                <w:bCs w:val="1"/>
                <w:color w:val="auto"/>
              </w:rPr>
              <w:t>Amounts</w:t>
            </w:r>
          </w:p>
        </w:tc>
      </w:tr>
      <w:tr>
        <w:trPr>
          <w:trHeight w:val="61"/>
        </w:trPr>
        <w:tc>
          <w:tcPr>
            <w:tcW w:w="9060" w:type="dxa"/>
            <w:vAlign w:val="bottom"/>
          </w:tcPr>
          <w:p>
            <w:pPr>
              <w:spacing w:after="0"/>
              <w:rPr>
                <w:sz w:val="5"/>
                <w:szCs w:val="5"/>
                <w:color w:val="auto"/>
              </w:rPr>
            </w:pPr>
          </w:p>
        </w:tc>
        <w:tc>
          <w:tcPr>
            <w:tcW w:w="440" w:type="dxa"/>
            <w:vAlign w:val="bottom"/>
            <w:tcBorders>
              <w:top w:val="single" w:sz="8" w:color="auto"/>
            </w:tcBorders>
          </w:tcPr>
          <w:p>
            <w:pPr>
              <w:spacing w:after="0"/>
              <w:rPr>
                <w:sz w:val="5"/>
                <w:szCs w:val="5"/>
                <w:color w:val="auto"/>
              </w:rPr>
            </w:pPr>
          </w:p>
        </w:tc>
        <w:tc>
          <w:tcPr>
            <w:tcW w:w="1640" w:type="dxa"/>
            <w:vAlign w:val="bottom"/>
            <w:tcBorders>
              <w:top w:val="single" w:sz="8" w:color="auto"/>
            </w:tcBorders>
          </w:tcPr>
          <w:p>
            <w:pPr>
              <w:spacing w:after="0"/>
              <w:rPr>
                <w:sz w:val="5"/>
                <w:szCs w:val="5"/>
                <w:color w:val="auto"/>
              </w:rPr>
            </w:pPr>
          </w:p>
        </w:tc>
        <w:tc>
          <w:tcPr>
            <w:tcW w:w="100" w:type="dxa"/>
            <w:vAlign w:val="bottom"/>
          </w:tcPr>
          <w:p>
            <w:pPr>
              <w:spacing w:after="0"/>
              <w:rPr>
                <w:sz w:val="5"/>
                <w:szCs w:val="5"/>
                <w:color w:val="auto"/>
              </w:rPr>
            </w:pPr>
          </w:p>
        </w:tc>
      </w:tr>
      <w:tr>
        <w:trPr>
          <w:trHeight w:val="243"/>
        </w:trPr>
        <w:tc>
          <w:tcPr>
            <w:tcW w:w="90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Remainder of 2024</w:t>
            </w:r>
          </w:p>
        </w:tc>
        <w:tc>
          <w:tcPr>
            <w:tcW w:w="440" w:type="dxa"/>
            <w:vAlign w:val="bottom"/>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9,375</w:t>
            </w:r>
          </w:p>
        </w:tc>
        <w:tc>
          <w:tcPr>
            <w:tcW w:w="100" w:type="dxa"/>
            <w:vAlign w:val="bottom"/>
            <w:shd w:val="clear" w:color="auto" w:fill="CFF0FC"/>
          </w:tcPr>
          <w:p>
            <w:pPr>
              <w:spacing w:after="0"/>
              <w:rPr>
                <w:sz w:val="21"/>
                <w:szCs w:val="21"/>
                <w:color w:val="auto"/>
              </w:rPr>
            </w:pPr>
          </w:p>
        </w:tc>
      </w:tr>
      <w:tr>
        <w:trPr>
          <w:trHeight w:val="238"/>
        </w:trPr>
        <w:tc>
          <w:tcPr>
            <w:tcW w:w="9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44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12,500</w:t>
            </w:r>
          </w:p>
        </w:tc>
        <w:tc>
          <w:tcPr>
            <w:tcW w:w="100" w:type="dxa"/>
            <w:vAlign w:val="bottom"/>
          </w:tcPr>
          <w:p>
            <w:pPr>
              <w:spacing w:after="0"/>
              <w:rPr>
                <w:sz w:val="20"/>
                <w:szCs w:val="20"/>
                <w:color w:val="auto"/>
              </w:rPr>
            </w:pPr>
          </w:p>
        </w:tc>
      </w:tr>
      <w:tr>
        <w:trPr>
          <w:trHeight w:val="247"/>
        </w:trPr>
        <w:tc>
          <w:tcPr>
            <w:tcW w:w="90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440" w:type="dxa"/>
            <w:vAlign w:val="bottom"/>
            <w:shd w:val="clear" w:color="auto" w:fill="CFF0FC"/>
          </w:tcPr>
          <w:p>
            <w:pPr>
              <w:spacing w:after="0"/>
              <w:rPr>
                <w:sz w:val="21"/>
                <w:szCs w:val="21"/>
                <w:color w:val="auto"/>
              </w:rPr>
            </w:pP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162,125</w:t>
            </w:r>
          </w:p>
        </w:tc>
        <w:tc>
          <w:tcPr>
            <w:tcW w:w="100" w:type="dxa"/>
            <w:vAlign w:val="bottom"/>
            <w:shd w:val="clear" w:color="auto" w:fill="CFF0FC"/>
          </w:tcPr>
          <w:p>
            <w:pPr>
              <w:spacing w:after="0"/>
              <w:rPr>
                <w:sz w:val="21"/>
                <w:szCs w:val="21"/>
                <w:color w:val="auto"/>
              </w:rPr>
            </w:pPr>
          </w:p>
        </w:tc>
      </w:tr>
      <w:tr>
        <w:trPr>
          <w:trHeight w:val="238"/>
        </w:trPr>
        <w:tc>
          <w:tcPr>
            <w:tcW w:w="9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440" w:type="dxa"/>
            <w:vAlign w:val="bottom"/>
          </w:tcPr>
          <w:p>
            <w:pPr>
              <w:spacing w:after="0"/>
              <w:rPr>
                <w:sz w:val="20"/>
                <w:szCs w:val="20"/>
                <w:color w:val="auto"/>
              </w:rPr>
            </w:pPr>
          </w:p>
        </w:tc>
        <w:tc>
          <w:tcPr>
            <w:tcW w:w="17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90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440" w:type="dxa"/>
            <w:vAlign w:val="bottom"/>
            <w:shd w:val="clear" w:color="auto" w:fill="CFF0FC"/>
          </w:tcPr>
          <w:p>
            <w:pPr>
              <w:spacing w:after="0"/>
              <w:rPr>
                <w:sz w:val="21"/>
                <w:szCs w:val="21"/>
                <w:color w:val="auto"/>
              </w:rPr>
            </w:pPr>
          </w:p>
        </w:tc>
        <w:tc>
          <w:tcPr>
            <w:tcW w:w="17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6"/>
        </w:trPr>
        <w:tc>
          <w:tcPr>
            <w:tcW w:w="9060" w:type="dxa"/>
            <w:vAlign w:val="bottom"/>
            <w:tcBorders>
              <w:top w:val="single" w:sz="8" w:color="CFF0FC"/>
            </w:tcBorders>
          </w:tcPr>
          <w:p>
            <w:pPr>
              <w:ind w:left="200"/>
              <w:spacing w:after="0"/>
              <w:rPr>
                <w:sz w:val="20"/>
                <w:szCs w:val="20"/>
                <w:color w:val="auto"/>
              </w:rPr>
            </w:pPr>
            <w:r>
              <w:rPr>
                <w:rFonts w:ascii="Times New Roman" w:cs="Times New Roman" w:eastAsia="Times New Roman" w:hAnsi="Times New Roman"/>
                <w:sz w:val="18"/>
                <w:szCs w:val="18"/>
                <w:color w:val="auto"/>
              </w:rPr>
              <w:t>Total debt</w:t>
            </w:r>
          </w:p>
        </w:tc>
        <w:tc>
          <w:tcPr>
            <w:tcW w:w="44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184,000</w:t>
            </w:r>
          </w:p>
        </w:tc>
        <w:tc>
          <w:tcPr>
            <w:tcW w:w="100" w:type="dxa"/>
            <w:vAlign w:val="bottom"/>
            <w:tcBorders>
              <w:top w:val="single" w:sz="8" w:color="CFF0FC"/>
            </w:tcBorders>
          </w:tcPr>
          <w:p>
            <w:pPr>
              <w:spacing w:after="0"/>
              <w:rPr>
                <w:sz w:val="20"/>
                <w:szCs w:val="20"/>
                <w:color w:val="auto"/>
              </w:rPr>
            </w:pPr>
          </w:p>
        </w:tc>
      </w:tr>
      <w:tr>
        <w:trPr>
          <w:trHeight w:val="20"/>
        </w:trPr>
        <w:tc>
          <w:tcPr>
            <w:tcW w:w="90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Commitments and Contingencies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Product Warranties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Changes in our assurance-type warranty obligations were as follows (in thousands):</w:t>
      </w:r>
    </w:p>
    <w:p>
      <w:pPr>
        <w:spacing w:after="0" w:line="21" w:lineRule="exact"/>
        <w:rPr>
          <w:sz w:val="20"/>
          <w:szCs w:val="20"/>
          <w:color w:val="auto"/>
        </w:rPr>
      </w:pPr>
    </w:p>
    <w:p>
      <w:pPr>
        <w:jc w:val="center"/>
        <w:ind w:left="758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jc w:val="center"/>
        <w:ind w:left="758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7700" w:type="dxa"/>
            <w:vAlign w:val="bottom"/>
          </w:tcPr>
          <w:p>
            <w:pPr>
              <w:spacing w:after="0"/>
              <w:rPr>
                <w:sz w:val="14"/>
                <w:szCs w:val="14"/>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60" w:type="dxa"/>
            <w:vAlign w:val="bottom"/>
            <w:tcBorders>
              <w:top w:val="single" w:sz="8" w:color="auto"/>
              <w:bottom w:val="single" w:sz="8" w:color="auto"/>
            </w:tcBorders>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200" w:type="dxa"/>
            <w:vAlign w:val="bottom"/>
            <w:tcBorders>
              <w:top w:val="single" w:sz="8" w:color="auto"/>
              <w:bottom w:val="single" w:sz="8" w:color="auto"/>
            </w:tcBorders>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r>
      <w:tr>
        <w:trPr>
          <w:trHeight w:val="61"/>
        </w:trPr>
        <w:tc>
          <w:tcPr>
            <w:tcW w:w="7700" w:type="dxa"/>
            <w:vAlign w:val="bottom"/>
          </w:tcPr>
          <w:p>
            <w:pPr>
              <w:spacing w:after="0"/>
              <w:rPr>
                <w:sz w:val="5"/>
                <w:szCs w:val="5"/>
                <w:color w:val="auto"/>
              </w:rPr>
            </w:pPr>
          </w:p>
        </w:tc>
        <w:tc>
          <w:tcPr>
            <w:tcW w:w="10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360" w:type="dxa"/>
            <w:vAlign w:val="bottom"/>
          </w:tcPr>
          <w:p>
            <w:pPr>
              <w:spacing w:after="0"/>
              <w:rPr>
                <w:sz w:val="5"/>
                <w:szCs w:val="5"/>
                <w:color w:val="auto"/>
              </w:rPr>
            </w:pPr>
          </w:p>
        </w:tc>
        <w:tc>
          <w:tcPr>
            <w:tcW w:w="1200" w:type="dxa"/>
            <w:vAlign w:val="bottom"/>
          </w:tcPr>
          <w:p>
            <w:pPr>
              <w:spacing w:after="0"/>
              <w:rPr>
                <w:sz w:val="5"/>
                <w:szCs w:val="5"/>
                <w:color w:val="auto"/>
              </w:rPr>
            </w:pPr>
          </w:p>
        </w:tc>
        <w:tc>
          <w:tcPr>
            <w:tcW w:w="100" w:type="dxa"/>
            <w:vAlign w:val="bottom"/>
          </w:tcPr>
          <w:p>
            <w:pPr>
              <w:spacing w:after="0"/>
              <w:rPr>
                <w:sz w:val="5"/>
                <w:szCs w:val="5"/>
                <w:color w:val="auto"/>
              </w:rPr>
            </w:pPr>
          </w:p>
        </w:tc>
      </w:tr>
      <w:tr>
        <w:trPr>
          <w:trHeight w:val="243"/>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Beginning of the period</w:t>
            </w:r>
          </w:p>
        </w:tc>
        <w:tc>
          <w:tcPr>
            <w:tcW w:w="1020" w:type="dxa"/>
            <w:vAlign w:val="bottom"/>
            <w:shd w:val="clear" w:color="auto" w:fill="CFF0FC"/>
          </w:tcPr>
          <w:p>
            <w:pPr>
              <w:jc w:val="right"/>
              <w:ind w:right="816"/>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7,155</w:t>
            </w:r>
          </w:p>
        </w:tc>
        <w:tc>
          <w:tcPr>
            <w:tcW w:w="300" w:type="dxa"/>
            <w:vAlign w:val="bottom"/>
            <w:shd w:val="clear" w:color="auto" w:fill="CFF0FC"/>
          </w:tcPr>
          <w:p>
            <w:pPr>
              <w:spacing w:after="0"/>
              <w:rPr>
                <w:sz w:val="21"/>
                <w:szCs w:val="21"/>
                <w:color w:val="auto"/>
              </w:rPr>
            </w:pP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3,685</w:t>
            </w:r>
          </w:p>
        </w:tc>
        <w:tc>
          <w:tcPr>
            <w:tcW w:w="100" w:type="dxa"/>
            <w:vAlign w:val="bottom"/>
            <w:shd w:val="clear" w:color="auto" w:fill="CFF0FC"/>
          </w:tcPr>
          <w:p>
            <w:pPr>
              <w:spacing w:after="0"/>
              <w:rPr>
                <w:sz w:val="21"/>
                <w:szCs w:val="21"/>
                <w:color w:val="auto"/>
              </w:rPr>
            </w:pPr>
          </w:p>
        </w:tc>
      </w:tr>
      <w:tr>
        <w:trPr>
          <w:trHeight w:val="238"/>
        </w:trPr>
        <w:tc>
          <w:tcPr>
            <w:tcW w:w="7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Warranty provision related to products shipped</w:t>
            </w:r>
          </w:p>
        </w:tc>
        <w:tc>
          <w:tcPr>
            <w:tcW w:w="102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993</w:t>
            </w:r>
          </w:p>
        </w:tc>
        <w:tc>
          <w:tcPr>
            <w:tcW w:w="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1,378</w:t>
            </w:r>
          </w:p>
        </w:tc>
        <w:tc>
          <w:tcPr>
            <w:tcW w:w="100" w:type="dxa"/>
            <w:vAlign w:val="bottom"/>
          </w:tcPr>
          <w:p>
            <w:pPr>
              <w:spacing w:after="0"/>
              <w:rPr>
                <w:sz w:val="20"/>
                <w:szCs w:val="20"/>
                <w:color w:val="auto"/>
              </w:rPr>
            </w:pPr>
          </w:p>
        </w:tc>
      </w:tr>
      <w:tr>
        <w:trPr>
          <w:trHeight w:val="243"/>
        </w:trPr>
        <w:tc>
          <w:tcPr>
            <w:tcW w:w="7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Deductions for warranty claims processed</w:t>
            </w:r>
          </w:p>
        </w:tc>
        <w:tc>
          <w:tcPr>
            <w:tcW w:w="1020" w:type="dxa"/>
            <w:vAlign w:val="bottom"/>
            <w:shd w:val="clear" w:color="auto" w:fill="CFF0FC"/>
          </w:tcPr>
          <w:p>
            <w:pPr>
              <w:spacing w:after="0"/>
              <w:rPr>
                <w:sz w:val="21"/>
                <w:szCs w:val="21"/>
                <w:color w:val="auto"/>
              </w:rPr>
            </w:pPr>
          </w:p>
        </w:tc>
        <w:tc>
          <w:tcPr>
            <w:tcW w:w="8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(1,825 )</w:t>
            </w:r>
          </w:p>
        </w:tc>
        <w:tc>
          <w:tcPr>
            <w:tcW w:w="36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(1,596 )</w:t>
            </w:r>
          </w:p>
        </w:tc>
      </w:tr>
      <w:tr>
        <w:trPr>
          <w:trHeight w:val="236"/>
        </w:trPr>
        <w:tc>
          <w:tcPr>
            <w:tcW w:w="770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End of period</w:t>
            </w:r>
          </w:p>
        </w:tc>
        <w:tc>
          <w:tcPr>
            <w:tcW w:w="1020" w:type="dxa"/>
            <w:vAlign w:val="bottom"/>
            <w:tcBorders>
              <w:top w:val="single" w:sz="8" w:color="auto"/>
              <w:bottom w:val="single" w:sz="8" w:color="auto"/>
            </w:tcBorders>
          </w:tcPr>
          <w:p>
            <w:pPr>
              <w:jc w:val="right"/>
              <w:ind w:right="816"/>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6,323</w:t>
            </w:r>
          </w:p>
        </w:tc>
        <w:tc>
          <w:tcPr>
            <w:tcW w:w="300" w:type="dxa"/>
            <w:vAlign w:val="bottom"/>
            <w:tcBorders>
              <w:top w:val="single" w:sz="8" w:color="CFF0FC"/>
            </w:tcBorders>
          </w:tcPr>
          <w:p>
            <w:pPr>
              <w:spacing w:after="0"/>
              <w:rPr>
                <w:sz w:val="20"/>
                <w:szCs w:val="20"/>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3,467</w:t>
            </w:r>
          </w:p>
        </w:tc>
        <w:tc>
          <w:tcPr>
            <w:tcW w:w="100" w:type="dxa"/>
            <w:vAlign w:val="bottom"/>
            <w:tcBorders>
              <w:top w:val="single" w:sz="8" w:color="CFF0FC"/>
            </w:tcBorders>
          </w:tcPr>
          <w:p>
            <w:pPr>
              <w:spacing w:after="0"/>
              <w:rPr>
                <w:sz w:val="20"/>
                <w:szCs w:val="20"/>
                <w:color w:val="auto"/>
              </w:rPr>
            </w:pPr>
          </w:p>
        </w:tc>
      </w:tr>
      <w:tr>
        <w:trPr>
          <w:trHeight w:val="20"/>
        </w:trPr>
        <w:tc>
          <w:tcPr>
            <w:tcW w:w="77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5895975</wp:posOffset>
            </wp:positionH>
            <wp:positionV relativeFrom="paragraph">
              <wp:posOffset>-187960</wp:posOffset>
            </wp:positionV>
            <wp:extent cx="6858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Unconditional Purchase Obligations</w:t>
      </w:r>
    </w:p>
    <w:p>
      <w:pPr>
        <w:spacing w:after="0" w:line="121" w:lineRule="exact"/>
        <w:rPr>
          <w:sz w:val="20"/>
          <w:szCs w:val="20"/>
          <w:color w:val="auto"/>
        </w:rPr>
      </w:pPr>
    </w:p>
    <w:p>
      <w:pPr>
        <w:ind w:right="180" w:firstLine="509"/>
        <w:spacing w:after="0" w:line="255" w:lineRule="auto"/>
        <w:rPr>
          <w:sz w:val="20"/>
          <w:szCs w:val="20"/>
          <w:color w:val="auto"/>
        </w:rPr>
      </w:pPr>
      <w:r>
        <w:rPr>
          <w:rFonts w:ascii="Times New Roman" w:cs="Times New Roman" w:eastAsia="Times New Roman" w:hAnsi="Times New Roman"/>
          <w:sz w:val="18"/>
          <w:szCs w:val="18"/>
          <w:color w:val="auto"/>
        </w:rPr>
        <w:t>In the normal course of business, we enter into various purchase commitments for goods or services. Our long-term non-cancelable purchase commitments consist primarily of multi-year contractual arrangements relating to subscriptions for cloud computing hosting arrangements for our enterprise resource planning (“ERP”) system and the related support services. The total long-term non-cancelable purchase commitments as of March 31, 2024 was as follows (in thousands):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92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62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Amounts</w:t>
            </w:r>
          </w:p>
        </w:tc>
      </w:tr>
      <w:tr>
        <w:trPr>
          <w:trHeight w:val="61"/>
        </w:trPr>
        <w:tc>
          <w:tcPr>
            <w:tcW w:w="9240" w:type="dxa"/>
            <w:vAlign w:val="bottom"/>
          </w:tcPr>
          <w:p>
            <w:pPr>
              <w:spacing w:after="0"/>
              <w:rPr>
                <w:sz w:val="5"/>
                <w:szCs w:val="5"/>
                <w:color w:val="auto"/>
              </w:rPr>
            </w:pPr>
          </w:p>
        </w:tc>
        <w:tc>
          <w:tcPr>
            <w:tcW w:w="380" w:type="dxa"/>
            <w:vAlign w:val="bottom"/>
            <w:tcBorders>
              <w:top w:val="single" w:sz="8" w:color="auto"/>
            </w:tcBorders>
          </w:tcPr>
          <w:p>
            <w:pPr>
              <w:spacing w:after="0"/>
              <w:rPr>
                <w:sz w:val="5"/>
                <w:szCs w:val="5"/>
                <w:color w:val="auto"/>
              </w:rPr>
            </w:pPr>
          </w:p>
        </w:tc>
        <w:tc>
          <w:tcPr>
            <w:tcW w:w="1520" w:type="dxa"/>
            <w:vAlign w:val="bottom"/>
            <w:tcBorders>
              <w:top w:val="single" w:sz="8" w:color="auto"/>
            </w:tcBorders>
          </w:tcPr>
          <w:p>
            <w:pPr>
              <w:spacing w:after="0"/>
              <w:rPr>
                <w:sz w:val="5"/>
                <w:szCs w:val="5"/>
                <w:color w:val="auto"/>
              </w:rPr>
            </w:pPr>
          </w:p>
        </w:tc>
        <w:tc>
          <w:tcPr>
            <w:tcW w:w="100" w:type="dxa"/>
            <w:vAlign w:val="bottom"/>
          </w:tcPr>
          <w:p>
            <w:pPr>
              <w:spacing w:after="0"/>
              <w:rPr>
                <w:sz w:val="5"/>
                <w:szCs w:val="5"/>
                <w:color w:val="auto"/>
              </w:rPr>
            </w:pPr>
          </w:p>
        </w:tc>
      </w:tr>
      <w:tr>
        <w:trPr>
          <w:trHeight w:val="243"/>
        </w:trPr>
        <w:tc>
          <w:tcPr>
            <w:tcW w:w="9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Remainder of 2024</w:t>
            </w:r>
          </w:p>
        </w:tc>
        <w:tc>
          <w:tcPr>
            <w:tcW w:w="38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766</w:t>
            </w:r>
          </w:p>
        </w:tc>
        <w:tc>
          <w:tcPr>
            <w:tcW w:w="100" w:type="dxa"/>
            <w:vAlign w:val="bottom"/>
            <w:shd w:val="clear" w:color="auto" w:fill="CFF0FC"/>
          </w:tcPr>
          <w:p>
            <w:pPr>
              <w:spacing w:after="0"/>
              <w:rPr>
                <w:sz w:val="21"/>
                <w:szCs w:val="21"/>
                <w:color w:val="auto"/>
              </w:rPr>
            </w:pPr>
          </w:p>
        </w:tc>
      </w:tr>
      <w:tr>
        <w:trPr>
          <w:trHeight w:val="238"/>
        </w:trPr>
        <w:tc>
          <w:tcPr>
            <w:tcW w:w="9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38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w:t>
            </w:r>
          </w:p>
        </w:tc>
        <w:tc>
          <w:tcPr>
            <w:tcW w:w="100" w:type="dxa"/>
            <w:vAlign w:val="bottom"/>
          </w:tcPr>
          <w:p>
            <w:pPr>
              <w:spacing w:after="0"/>
              <w:rPr>
                <w:sz w:val="20"/>
                <w:szCs w:val="20"/>
                <w:color w:val="auto"/>
              </w:rPr>
            </w:pPr>
          </w:p>
        </w:tc>
      </w:tr>
      <w:tr>
        <w:trPr>
          <w:trHeight w:val="247"/>
        </w:trPr>
        <w:tc>
          <w:tcPr>
            <w:tcW w:w="9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380" w:type="dxa"/>
            <w:vAlign w:val="bottom"/>
            <w:shd w:val="clear" w:color="auto" w:fill="CFF0FC"/>
          </w:tcPr>
          <w:p>
            <w:pPr>
              <w:spacing w:after="0"/>
              <w:rPr>
                <w:sz w:val="21"/>
                <w:szCs w:val="21"/>
                <w:color w:val="auto"/>
              </w:rPr>
            </w:pPr>
          </w:p>
        </w:tc>
        <w:tc>
          <w:tcPr>
            <w:tcW w:w="16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8"/>
        </w:trPr>
        <w:tc>
          <w:tcPr>
            <w:tcW w:w="9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380" w:type="dxa"/>
            <w:vAlign w:val="bottom"/>
          </w:tcPr>
          <w:p>
            <w:pPr>
              <w:spacing w:after="0"/>
              <w:rPr>
                <w:sz w:val="20"/>
                <w:szCs w:val="20"/>
                <w:color w:val="auto"/>
              </w:rPr>
            </w:pPr>
          </w:p>
        </w:tc>
        <w:tc>
          <w:tcPr>
            <w:tcW w:w="16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9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380" w:type="dxa"/>
            <w:vAlign w:val="bottom"/>
            <w:shd w:val="clear" w:color="auto" w:fill="CFF0FC"/>
          </w:tcPr>
          <w:p>
            <w:pPr>
              <w:spacing w:after="0"/>
              <w:rPr>
                <w:sz w:val="21"/>
                <w:szCs w:val="21"/>
                <w:color w:val="auto"/>
              </w:rPr>
            </w:pPr>
          </w:p>
        </w:tc>
        <w:tc>
          <w:tcPr>
            <w:tcW w:w="16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9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380" w:type="dxa"/>
            <w:vAlign w:val="bottom"/>
          </w:tcPr>
          <w:p>
            <w:pPr>
              <w:spacing w:after="0"/>
              <w:rPr>
                <w:sz w:val="21"/>
                <w:szCs w:val="21"/>
                <w:color w:val="auto"/>
              </w:rPr>
            </w:pPr>
          </w:p>
        </w:tc>
        <w:tc>
          <w:tcPr>
            <w:tcW w:w="16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76"/>
        </w:trPr>
        <w:tc>
          <w:tcPr>
            <w:tcW w:w="92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w:t>
            </w:r>
          </w:p>
        </w:tc>
        <w:tc>
          <w:tcPr>
            <w:tcW w:w="380" w:type="dxa"/>
            <w:vAlign w:val="bottom"/>
            <w:tcBorders>
              <w:top w:val="single" w:sz="8" w:color="auto"/>
              <w:bottom w:val="single" w:sz="8" w:color="auto"/>
            </w:tcBorders>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1,103</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304"/>
        </w:trPr>
        <w:tc>
          <w:tcPr>
            <w:tcW w:w="924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Our total non-cancelable long term purchase commitments outstanding as of December 31, 2023 was $1.5 million.</w:t>
            </w:r>
          </w:p>
        </w:tc>
        <w:tc>
          <w:tcPr>
            <w:tcW w:w="3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-230505</wp:posOffset>
            </wp:positionV>
            <wp:extent cx="6858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-213360</wp:posOffset>
            </wp:positionV>
            <wp:extent cx="6858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Letters of Credit</w:t>
      </w:r>
    </w:p>
    <w:p>
      <w:pPr>
        <w:spacing w:after="0" w:line="121" w:lineRule="exact"/>
        <w:rPr>
          <w:sz w:val="20"/>
          <w:szCs w:val="20"/>
          <w:color w:val="auto"/>
        </w:rPr>
      </w:pPr>
    </w:p>
    <w:p>
      <w:pPr>
        <w:ind w:right="40" w:firstLine="509"/>
        <w:spacing w:after="0" w:line="281" w:lineRule="auto"/>
        <w:rPr>
          <w:sz w:val="20"/>
          <w:szCs w:val="20"/>
          <w:color w:val="auto"/>
        </w:rPr>
      </w:pPr>
      <w:r>
        <w:rPr>
          <w:rFonts w:ascii="Times New Roman" w:cs="Times New Roman" w:eastAsia="Times New Roman" w:hAnsi="Times New Roman"/>
          <w:sz w:val="18"/>
          <w:szCs w:val="18"/>
          <w:color w:val="auto"/>
        </w:rPr>
        <w:t>There were no letters of credit outstanding as of March 31, 2024 and December 31, 2023. No amounts have been drawn upon the letters of credit for all periods presented.</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Proceedings</w:t>
      </w:r>
    </w:p>
    <w:p>
      <w:pPr>
        <w:spacing w:after="0" w:line="121"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We may from time to time be involved in various claims and legal proceedings of a character normally incident to the ordinary course of business. Litigation can be expensive and disruptive to normal business operations, and the results of complex legal proceedings are difficult to predict, and our view of these matters may change in the future as the litigation and events related thereto unfold. We expense legal fees as incurred and we record a provision for contingent losses when it is both probable that a liability has been incurred and the amount of the loss can be reasonably estimated. Based on currently available information, we believe that existing claims or proceedings are not likely to have a material adverse effect on our financial position, or the outcome of these matters is currently not determinable. An unfavorable outcome to any legal matter, if material, could have an adverse effect on our operations or financial position, liquidity of results of operations.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Indemnification</w:t>
      </w:r>
    </w:p>
    <w:p>
      <w:pPr>
        <w:spacing w:after="0" w:line="121" w:lineRule="exact"/>
        <w:rPr>
          <w:sz w:val="20"/>
          <w:szCs w:val="20"/>
          <w:color w:val="auto"/>
        </w:rPr>
      </w:pPr>
    </w:p>
    <w:p>
      <w:pPr>
        <w:ind w:right="560" w:firstLine="509"/>
        <w:spacing w:after="0" w:line="281" w:lineRule="auto"/>
        <w:rPr>
          <w:sz w:val="20"/>
          <w:szCs w:val="20"/>
          <w:color w:val="auto"/>
        </w:rPr>
      </w:pPr>
      <w:r>
        <w:rPr>
          <w:rFonts w:ascii="Times New Roman" w:cs="Times New Roman" w:eastAsia="Times New Roman" w:hAnsi="Times New Roman"/>
          <w:sz w:val="18"/>
          <w:szCs w:val="18"/>
          <w:color w:val="auto"/>
        </w:rPr>
        <w:t>In the ordinary course of business, we may provide indemnifications of varying scope and terms with respect to certain transactions. We have entered into indemnification agreements with directors and certain officers and employees that will require</w:t>
      </w:r>
    </w:p>
    <w:p>
      <w:pPr>
        <w:sectPr>
          <w:pgSz w:w="11900" w:h="16838" w:orient="portrait"/>
          <w:cols w:equalWidth="0" w:num="1">
            <w:col w:w="11240"/>
          </w:cols>
          <w:pgMar w:left="320" w:top="387" w:right="339" w:bottom="1440" w:gutter="0" w:footer="0" w:header="0"/>
        </w:sect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Corsair Gaming, Inc. | Q1 2024 Form 10-Q |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80010</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87" w:right="339" w:bottom="1440" w:gutter="0" w:footer="0" w:header="0"/>
          <w:type w:val="continuous"/>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right="100"/>
        <w:spacing w:after="0" w:line="260" w:lineRule="auto"/>
        <w:rPr>
          <w:sz w:val="20"/>
          <w:szCs w:val="20"/>
          <w:color w:val="auto"/>
        </w:rPr>
      </w:pPr>
      <w:r>
        <w:rPr>
          <w:rFonts w:ascii="Times New Roman" w:cs="Times New Roman" w:eastAsia="Times New Roman" w:hAnsi="Times New Roman"/>
          <w:sz w:val="18"/>
          <w:szCs w:val="18"/>
          <w:color w:val="auto"/>
        </w:rPr>
        <w:t>Corsair, among other things, to indemnify them against certain liabilities that may arise by reason of their status or service as directors, officers or employees. No demands have been made upon Corsair to provide indemnification under such agreements, and thus, there are no claims that we are aware of that could have a material effect on our condensed consolidated balance sheets, statements of operations, or statements of cash flows. We currently have directors’ and officers’ insurance.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Stockholders’ Equity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Shelf-Registration Statement</w:t>
      </w:r>
    </w:p>
    <w:p>
      <w:pPr>
        <w:spacing w:after="0" w:line="121"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On July 22, 2022, we filed a shelf registration statement on Form S-3 with the SEC, which was declared effective August 1, 2022 (the “2022 Shelf Registration Statement”). The 2022 Shelf Registration Statement registered securities to be offered by us, in an amount up to $300.0 million, including common stock, preferred stock and warrants, through August 1, 2025. In addition, the 2022 Shelf Registration Statement registered 54,179,559 shares of common stock held by the selling securityholders named in the 2022 Shelf Registration Statement. We will not receive any of the proceeds from the sale of the shares registered by the selling securityholders.</w:t>
      </w:r>
    </w:p>
    <w:p>
      <w:pPr>
        <w:spacing w:after="0" w:line="7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As of March 31, 2024, $216.7 million remained available for issuance under the 2022 Shelf Registration Statement.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Equity Incentive Plans and Stock-Based Compensation</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As of March 31, 2024, we have two active equity incentive plans: the 2020 Equity Incentive Plan and the Employee Stock Purchase Plan (“ESPP”).</w:t>
      </w:r>
    </w:p>
    <w:p>
      <w:pPr>
        <w:spacing w:after="0" w:line="117"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In February 2024, we granted performance stock units (“PSU”) to certain senior members of our management team under the 2020 Equity Incentive Plan. The vesting of PSUs is conditional upon the achievement of certain internal financial targets for the year ended December 31, 2024 and these will vest over a three-year service period. The number of units issued can range from 0% to 200% of the target shares depending on the achievement of the financial targets. In the event such targets are achieved, one-third of the eligible PSUs would vest and the remaining two-thirds would thereafter vest evenly over the second and third years. In the event the minimum targets are not achieved, no PSUs would vest. The compensation expense associated with PSUs is recognized using the accelerated attribution method over the requisite service period, and it is based on the estimated number of shares that is considered probable of vesting. Adjustments to the compensation expense will be made in each reporting period based on changes in our estimate of the number of PSUs that are probable of vesting.</w:t>
      </w:r>
    </w:p>
    <w:p>
      <w:pPr>
        <w:spacing w:after="0" w:line="81" w:lineRule="exact"/>
        <w:rPr>
          <w:sz w:val="20"/>
          <w:szCs w:val="20"/>
          <w:color w:val="auto"/>
        </w:rPr>
      </w:pPr>
    </w:p>
    <w:p>
      <w:pPr>
        <w:ind w:right="100" w:firstLine="509"/>
        <w:spacing w:after="0" w:line="260" w:lineRule="auto"/>
        <w:rPr>
          <w:sz w:val="20"/>
          <w:szCs w:val="20"/>
          <w:color w:val="auto"/>
        </w:rPr>
      </w:pPr>
      <w:r>
        <w:rPr>
          <w:rFonts w:ascii="Times New Roman" w:cs="Times New Roman" w:eastAsia="Times New Roman" w:hAnsi="Times New Roman"/>
          <w:sz w:val="18"/>
          <w:szCs w:val="18"/>
          <w:color w:val="auto"/>
        </w:rPr>
        <w:t>We measure and recognize compensation for all stock-based compensation awards, including stock options, stock purchase rights, restricted stock units (“RSU”) and PSU, based upon the grant-date fair value of those awards. The grant-date fair value of our stock options and stock purchase rights is estimated using a Black-Scholes-Merton option-pricing model. The fair value of our RSUs and PSUs are calculated based on the market value of our stock at the grant date.</w:t>
      </w:r>
    </w:p>
    <w:p>
      <w:pPr>
        <w:spacing w:after="0" w:line="74" w:lineRule="exact"/>
        <w:rPr>
          <w:sz w:val="20"/>
          <w:szCs w:val="20"/>
          <w:color w:val="auto"/>
        </w:rPr>
      </w:pPr>
    </w:p>
    <w:p>
      <w:pPr>
        <w:ind w:right="700" w:firstLine="509"/>
        <w:spacing w:after="0" w:line="260" w:lineRule="auto"/>
        <w:rPr>
          <w:sz w:val="20"/>
          <w:szCs w:val="20"/>
          <w:color w:val="auto"/>
        </w:rPr>
      </w:pPr>
      <w:r>
        <w:rPr>
          <w:rFonts w:ascii="Times New Roman" w:cs="Times New Roman" w:eastAsia="Times New Roman" w:hAnsi="Times New Roman"/>
          <w:sz w:val="18"/>
          <w:szCs w:val="18"/>
          <w:color w:val="auto"/>
        </w:rPr>
        <w:t>The following table summarizes stock-based compensation expense by line item in the condensed consolidated statements of operations (in thousands):</w:t>
      </w:r>
    </w:p>
    <w:p>
      <w:pPr>
        <w:jc w:val="center"/>
        <w:ind w:left="7540"/>
        <w:spacing w:after="0" w:line="233" w:lineRule="auto"/>
        <w:rPr>
          <w:sz w:val="20"/>
          <w:szCs w:val="20"/>
          <w:color w:val="auto"/>
        </w:rPr>
      </w:pPr>
      <w:r>
        <w:rPr>
          <w:rFonts w:ascii="Times New Roman" w:cs="Times New Roman" w:eastAsia="Times New Roman" w:hAnsi="Times New Roman"/>
          <w:sz w:val="14"/>
          <w:szCs w:val="14"/>
          <w:b w:val="1"/>
          <w:bCs w:val="1"/>
          <w:color w:val="auto"/>
        </w:rPr>
        <w:t>Three Months Ended</w:t>
      </w:r>
    </w:p>
    <w:p>
      <w:pPr>
        <w:jc w:val="center"/>
        <w:ind w:left="754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7660" w:type="dxa"/>
            <w:vAlign w:val="bottom"/>
          </w:tcPr>
          <w:p>
            <w:pPr>
              <w:spacing w:after="0"/>
              <w:rPr>
                <w:sz w:val="14"/>
                <w:szCs w:val="14"/>
                <w:color w:val="auto"/>
              </w:rPr>
            </w:pPr>
          </w:p>
        </w:tc>
        <w:tc>
          <w:tcPr>
            <w:tcW w:w="1060" w:type="dxa"/>
            <w:vAlign w:val="bottom"/>
            <w:tcBorders>
              <w:top w:val="single" w:sz="8" w:color="auto"/>
              <w:bottom w:val="single" w:sz="8" w:color="auto"/>
            </w:tcBorders>
          </w:tcPr>
          <w:p>
            <w:pPr>
              <w:jc w:val="right"/>
              <w:ind w:right="35"/>
              <w:spacing w:after="0"/>
              <w:rPr>
                <w:sz w:val="20"/>
                <w:szCs w:val="20"/>
                <w:color w:val="auto"/>
              </w:rPr>
            </w:pPr>
            <w:r>
              <w:rPr>
                <w:rFonts w:ascii="Times New Roman" w:cs="Times New Roman" w:eastAsia="Times New Roman" w:hAnsi="Times New Roman"/>
                <w:sz w:val="14"/>
                <w:szCs w:val="14"/>
                <w:b w:val="1"/>
                <w:bCs w:val="1"/>
                <w:color w:val="auto"/>
              </w:rPr>
              <w:t>2024</w:t>
            </w:r>
          </w:p>
        </w:tc>
        <w:tc>
          <w:tcPr>
            <w:tcW w:w="520" w:type="dxa"/>
            <w:vAlign w:val="bottom"/>
            <w:tcBorders>
              <w:top w:val="single" w:sz="8" w:color="auto"/>
              <w:bottom w:val="single" w:sz="8" w:color="auto"/>
            </w:tcBorders>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380" w:type="dxa"/>
            <w:vAlign w:val="bottom"/>
            <w:tcBorders>
              <w:top w:val="single" w:sz="8" w:color="auto"/>
              <w:bottom w:val="single" w:sz="8" w:color="auto"/>
            </w:tcBorders>
          </w:tcPr>
          <w:p>
            <w:pPr>
              <w:spacing w:after="0"/>
              <w:rPr>
                <w:sz w:val="14"/>
                <w:szCs w:val="14"/>
                <w:color w:val="auto"/>
              </w:rPr>
            </w:pPr>
          </w:p>
        </w:tc>
        <w:tc>
          <w:tcPr>
            <w:tcW w:w="1240" w:type="dxa"/>
            <w:vAlign w:val="bottom"/>
            <w:tcBorders>
              <w:top w:val="single" w:sz="8" w:color="auto"/>
              <w:bottom w:val="single" w:sz="8" w:color="auto"/>
            </w:tcBorders>
          </w:tcPr>
          <w:p>
            <w:pPr>
              <w:jc w:val="right"/>
              <w:ind w:right="59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r>
      <w:tr>
        <w:trPr>
          <w:trHeight w:val="61"/>
        </w:trPr>
        <w:tc>
          <w:tcPr>
            <w:tcW w:w="76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520" w:type="dxa"/>
            <w:vAlign w:val="bottom"/>
          </w:tcPr>
          <w:p>
            <w:pPr>
              <w:spacing w:after="0"/>
              <w:rPr>
                <w:sz w:val="5"/>
                <w:szCs w:val="5"/>
                <w:color w:val="auto"/>
              </w:rPr>
            </w:pPr>
          </w:p>
        </w:tc>
        <w:tc>
          <w:tcPr>
            <w:tcW w:w="280" w:type="dxa"/>
            <w:vAlign w:val="bottom"/>
          </w:tcPr>
          <w:p>
            <w:pPr>
              <w:spacing w:after="0"/>
              <w:rPr>
                <w:sz w:val="5"/>
                <w:szCs w:val="5"/>
                <w:color w:val="auto"/>
              </w:rPr>
            </w:pPr>
          </w:p>
        </w:tc>
        <w:tc>
          <w:tcPr>
            <w:tcW w:w="380" w:type="dxa"/>
            <w:vAlign w:val="bottom"/>
          </w:tcPr>
          <w:p>
            <w:pPr>
              <w:spacing w:after="0"/>
              <w:rPr>
                <w:sz w:val="5"/>
                <w:szCs w:val="5"/>
                <w:color w:val="auto"/>
              </w:rPr>
            </w:pPr>
          </w:p>
        </w:tc>
        <w:tc>
          <w:tcPr>
            <w:tcW w:w="1240" w:type="dxa"/>
            <w:vAlign w:val="bottom"/>
          </w:tcPr>
          <w:p>
            <w:pPr>
              <w:spacing w:after="0"/>
              <w:rPr>
                <w:sz w:val="5"/>
                <w:szCs w:val="5"/>
                <w:color w:val="auto"/>
              </w:rPr>
            </w:pPr>
          </w:p>
        </w:tc>
        <w:tc>
          <w:tcPr>
            <w:tcW w:w="100" w:type="dxa"/>
            <w:vAlign w:val="bottom"/>
          </w:tcPr>
          <w:p>
            <w:pPr>
              <w:spacing w:after="0"/>
              <w:rPr>
                <w:sz w:val="5"/>
                <w:szCs w:val="5"/>
                <w:color w:val="auto"/>
              </w:rPr>
            </w:pPr>
          </w:p>
        </w:tc>
      </w:tr>
      <w:tr>
        <w:trPr>
          <w:trHeight w:val="243"/>
        </w:trPr>
        <w:tc>
          <w:tcPr>
            <w:tcW w:w="7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1060" w:type="dxa"/>
            <w:vAlign w:val="bottom"/>
            <w:shd w:val="clear" w:color="auto" w:fill="CFF0FC"/>
          </w:tcPr>
          <w:p>
            <w:pPr>
              <w:jc w:val="right"/>
              <w:ind w:right="855"/>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545</w:t>
            </w:r>
          </w:p>
        </w:tc>
        <w:tc>
          <w:tcPr>
            <w:tcW w:w="6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440</w:t>
            </w:r>
          </w:p>
        </w:tc>
        <w:tc>
          <w:tcPr>
            <w:tcW w:w="100" w:type="dxa"/>
            <w:vAlign w:val="bottom"/>
            <w:shd w:val="clear" w:color="auto" w:fill="CFF0FC"/>
          </w:tcPr>
          <w:p>
            <w:pPr>
              <w:spacing w:after="0"/>
              <w:rPr>
                <w:sz w:val="21"/>
                <w:szCs w:val="21"/>
                <w:color w:val="auto"/>
              </w:rPr>
            </w:pPr>
          </w:p>
        </w:tc>
      </w:tr>
      <w:tr>
        <w:trPr>
          <w:trHeight w:val="238"/>
        </w:trPr>
        <w:tc>
          <w:tcPr>
            <w:tcW w:w="7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Sales, general and administrative</w:t>
            </w:r>
          </w:p>
        </w:tc>
        <w:tc>
          <w:tcPr>
            <w:tcW w:w="106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6,281</w:t>
            </w:r>
          </w:p>
        </w:tc>
        <w:tc>
          <w:tcPr>
            <w:tcW w:w="2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5,871</w:t>
            </w:r>
          </w:p>
        </w:tc>
        <w:tc>
          <w:tcPr>
            <w:tcW w:w="100" w:type="dxa"/>
            <w:vAlign w:val="bottom"/>
          </w:tcPr>
          <w:p>
            <w:pPr>
              <w:spacing w:after="0"/>
              <w:rPr>
                <w:sz w:val="20"/>
                <w:szCs w:val="20"/>
                <w:color w:val="auto"/>
              </w:rPr>
            </w:pPr>
          </w:p>
        </w:tc>
      </w:tr>
      <w:tr>
        <w:trPr>
          <w:trHeight w:val="243"/>
        </w:trPr>
        <w:tc>
          <w:tcPr>
            <w:tcW w:w="76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Product development</w:t>
            </w:r>
          </w:p>
        </w:tc>
        <w:tc>
          <w:tcPr>
            <w:tcW w:w="1060" w:type="dxa"/>
            <w:vAlign w:val="bottom"/>
            <w:tcBorders>
              <w:bottom w:val="single" w:sz="8" w:color="auto"/>
            </w:tcBorders>
            <w:shd w:val="clear" w:color="auto" w:fill="CFF0FC"/>
          </w:tcPr>
          <w:p>
            <w:pPr>
              <w:spacing w:after="0"/>
              <w:rPr>
                <w:sz w:val="21"/>
                <w:szCs w:val="21"/>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865</w:t>
            </w:r>
          </w:p>
        </w:tc>
        <w:tc>
          <w:tcPr>
            <w:tcW w:w="280" w:type="dxa"/>
            <w:vAlign w:val="bottom"/>
            <w:tcBorders>
              <w:bottom w:val="single" w:sz="8" w:color="CFF0FC"/>
            </w:tcBorders>
            <w:shd w:val="clear" w:color="auto" w:fill="CFF0FC"/>
          </w:tcPr>
          <w:p>
            <w:pPr>
              <w:spacing w:after="0"/>
              <w:rPr>
                <w:sz w:val="21"/>
                <w:szCs w:val="21"/>
                <w:color w:val="auto"/>
              </w:rPr>
            </w:pPr>
          </w:p>
        </w:tc>
        <w:tc>
          <w:tcPr>
            <w:tcW w:w="380" w:type="dxa"/>
            <w:vAlign w:val="bottom"/>
            <w:tcBorders>
              <w:bottom w:val="single" w:sz="8" w:color="auto"/>
            </w:tcBorders>
            <w:shd w:val="clear" w:color="auto" w:fill="CFF0FC"/>
          </w:tcPr>
          <w:p>
            <w:pPr>
              <w:spacing w:after="0"/>
              <w:rPr>
                <w:sz w:val="21"/>
                <w:szCs w:val="21"/>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935</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40"/>
        </w:trPr>
        <w:tc>
          <w:tcPr>
            <w:tcW w:w="7660" w:type="dxa"/>
            <w:vAlign w:val="bottom"/>
          </w:tcPr>
          <w:p>
            <w:pPr>
              <w:ind w:left="200"/>
              <w:spacing w:after="0" w:line="241" w:lineRule="exact"/>
              <w:rPr>
                <w:sz w:val="20"/>
                <w:szCs w:val="20"/>
                <w:color w:val="auto"/>
              </w:rPr>
            </w:pPr>
            <w:r>
              <w:rPr>
                <w:rFonts w:ascii="Times New Roman" w:cs="Times New Roman" w:eastAsia="Times New Roman" w:hAnsi="Times New Roman"/>
                <w:sz w:val="18"/>
                <w:szCs w:val="18"/>
                <w:color w:val="auto"/>
              </w:rPr>
              <w:t xml:space="preserve">Stock-based compensation expense, net of amounts capitalized </w:t>
            </w:r>
            <w:r>
              <w:rPr>
                <w:rFonts w:ascii="Times New Roman" w:cs="Times New Roman" w:eastAsia="Times New Roman" w:hAnsi="Times New Roman"/>
                <w:sz w:val="24"/>
                <w:szCs w:val="24"/>
                <w:color w:val="auto"/>
                <w:vertAlign w:val="superscript"/>
              </w:rPr>
              <w:t>(1)</w:t>
            </w:r>
          </w:p>
        </w:tc>
        <w:tc>
          <w:tcPr>
            <w:tcW w:w="1060" w:type="dxa"/>
            <w:vAlign w:val="bottom"/>
          </w:tcPr>
          <w:p>
            <w:pPr>
              <w:jc w:val="right"/>
              <w:ind w:right="855"/>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7,691</w:t>
            </w:r>
          </w:p>
        </w:tc>
        <w:tc>
          <w:tcPr>
            <w:tcW w:w="6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7,246</w:t>
            </w:r>
          </w:p>
        </w:tc>
        <w:tc>
          <w:tcPr>
            <w:tcW w:w="100" w:type="dxa"/>
            <w:vAlign w:val="bottom"/>
          </w:tcPr>
          <w:p>
            <w:pPr>
              <w:spacing w:after="0"/>
              <w:rPr>
                <w:sz w:val="20"/>
                <w:szCs w:val="20"/>
                <w:color w:val="auto"/>
              </w:rPr>
            </w:pPr>
          </w:p>
        </w:tc>
      </w:tr>
      <w:tr>
        <w:trPr>
          <w:trHeight w:val="20"/>
        </w:trPr>
        <w:tc>
          <w:tcPr>
            <w:tcW w:w="766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3"/>
        </w:trPr>
        <w:tc>
          <w:tcPr>
            <w:tcW w:w="76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Income tax benefits related to stock-based compensation expense</w:t>
            </w:r>
          </w:p>
        </w:tc>
        <w:tc>
          <w:tcPr>
            <w:tcW w:w="1060" w:type="dxa"/>
            <w:vAlign w:val="bottom"/>
            <w:shd w:val="clear" w:color="auto" w:fill="CFF0FC"/>
          </w:tcPr>
          <w:p>
            <w:pPr>
              <w:jc w:val="right"/>
              <w:ind w:right="855"/>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447</w:t>
            </w:r>
          </w:p>
        </w:tc>
        <w:tc>
          <w:tcPr>
            <w:tcW w:w="6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1,354</w:t>
            </w:r>
          </w:p>
        </w:tc>
        <w:tc>
          <w:tcPr>
            <w:tcW w:w="100" w:type="dxa"/>
            <w:vAlign w:val="bottom"/>
            <w:shd w:val="clear" w:color="auto" w:fill="CFF0FC"/>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5869940</wp:posOffset>
            </wp:positionH>
            <wp:positionV relativeFrom="paragraph">
              <wp:posOffset>-341630</wp:posOffset>
            </wp:positionV>
            <wp:extent cx="6858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-341630</wp:posOffset>
            </wp:positionV>
            <wp:extent cx="6858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28" w:lineRule="exact"/>
        <w:rPr>
          <w:sz w:val="20"/>
          <w:szCs w:val="20"/>
          <w:color w:val="auto"/>
        </w:rPr>
      </w:pPr>
    </w:p>
    <w:p>
      <w:pPr>
        <w:ind w:left="840" w:hanging="368"/>
        <w:spacing w:after="0"/>
        <w:tabs>
          <w:tab w:leader="none" w:pos="84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6"/>
          <w:szCs w:val="16"/>
          <w:color w:val="auto"/>
        </w:rPr>
        <w:t>Stock-based compensation expense capitalized were not material for each of the periods presented.</w:t>
      </w:r>
    </w:p>
    <w:p>
      <w:pPr>
        <w:spacing w:after="0" w:line="122" w:lineRule="exact"/>
        <w:rPr>
          <w:sz w:val="20"/>
          <w:szCs w:val="20"/>
          <w:color w:val="auto"/>
        </w:rPr>
      </w:pPr>
    </w:p>
    <w:p>
      <w:pPr>
        <w:ind w:right="280" w:firstLine="509"/>
        <w:spacing w:after="0" w:line="260" w:lineRule="auto"/>
        <w:rPr>
          <w:sz w:val="20"/>
          <w:szCs w:val="20"/>
          <w:color w:val="auto"/>
        </w:rPr>
      </w:pPr>
      <w:r>
        <w:rPr>
          <w:rFonts w:ascii="Times New Roman" w:cs="Times New Roman" w:eastAsia="Times New Roman" w:hAnsi="Times New Roman"/>
          <w:sz w:val="18"/>
          <w:szCs w:val="18"/>
          <w:color w:val="auto"/>
        </w:rPr>
        <w:t>The following table summarizes by type of grant, the total unrecognized stock-based compensation expense and the remaining period over which such expense is expected to be recognized (in thousands, except number of years):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660" w:type="dxa"/>
            <w:vAlign w:val="bottom"/>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3000" w:type="dxa"/>
            <w:vAlign w:val="bottom"/>
            <w:tcBorders>
              <w:bottom w:val="single" w:sz="8" w:color="auto"/>
            </w:tcBorders>
            <w:gridSpan w:val="3"/>
          </w:tcPr>
          <w:p>
            <w:pPr>
              <w:ind w:left="740"/>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0" w:type="dxa"/>
            <w:vAlign w:val="bottom"/>
          </w:tcPr>
          <w:p>
            <w:pPr>
              <w:spacing w:after="0"/>
              <w:rPr>
                <w:sz w:val="1"/>
                <w:szCs w:val="1"/>
                <w:color w:val="auto"/>
              </w:rPr>
            </w:pPr>
          </w:p>
        </w:tc>
      </w:tr>
      <w:tr>
        <w:trPr>
          <w:trHeight w:val="131"/>
        </w:trPr>
        <w:tc>
          <w:tcPr>
            <w:tcW w:w="7660" w:type="dxa"/>
            <w:vAlign w:val="bottom"/>
          </w:tcPr>
          <w:p>
            <w:pPr>
              <w:spacing w:after="0"/>
              <w:rPr>
                <w:sz w:val="11"/>
                <w:szCs w:val="11"/>
                <w:color w:val="auto"/>
              </w:rPr>
            </w:pPr>
          </w:p>
        </w:tc>
        <w:tc>
          <w:tcPr>
            <w:tcW w:w="1580" w:type="dxa"/>
            <w:vAlign w:val="bottom"/>
            <w:gridSpan w:val="2"/>
            <w:vMerge w:val="restart"/>
          </w:tcPr>
          <w:p>
            <w:pPr>
              <w:jc w:val="right"/>
              <w:ind w:right="13"/>
              <w:spacing w:after="0"/>
              <w:rPr>
                <w:sz w:val="20"/>
                <w:szCs w:val="20"/>
                <w:color w:val="auto"/>
              </w:rPr>
            </w:pPr>
            <w:r>
              <w:rPr>
                <w:rFonts w:ascii="Times New Roman" w:cs="Times New Roman" w:eastAsia="Times New Roman" w:hAnsi="Times New Roman"/>
                <w:sz w:val="14"/>
                <w:szCs w:val="14"/>
                <w:b w:val="1"/>
                <w:bCs w:val="1"/>
                <w:color w:val="auto"/>
              </w:rPr>
              <w:t>Unrecognized Expense</w:t>
            </w:r>
          </w:p>
        </w:tc>
        <w:tc>
          <w:tcPr>
            <w:tcW w:w="260" w:type="dxa"/>
            <w:vAlign w:val="bottom"/>
          </w:tcPr>
          <w:p>
            <w:pPr>
              <w:spacing w:after="0"/>
              <w:rPr>
                <w:sz w:val="11"/>
                <w:szCs w:val="11"/>
                <w:color w:val="auto"/>
              </w:rPr>
            </w:pPr>
          </w:p>
        </w:tc>
        <w:tc>
          <w:tcPr>
            <w:tcW w:w="174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Remaining weighted</w:t>
            </w:r>
          </w:p>
        </w:tc>
        <w:tc>
          <w:tcPr>
            <w:tcW w:w="0" w:type="dxa"/>
            <w:vAlign w:val="bottom"/>
          </w:tcPr>
          <w:p>
            <w:pPr>
              <w:spacing w:after="0"/>
              <w:rPr>
                <w:sz w:val="1"/>
                <w:szCs w:val="1"/>
                <w:color w:val="auto"/>
              </w:rPr>
            </w:pPr>
          </w:p>
        </w:tc>
      </w:tr>
      <w:tr>
        <w:trPr>
          <w:trHeight w:val="187"/>
        </w:trPr>
        <w:tc>
          <w:tcPr>
            <w:tcW w:w="7660" w:type="dxa"/>
            <w:vAlign w:val="bottom"/>
          </w:tcPr>
          <w:p>
            <w:pPr>
              <w:spacing w:after="0"/>
              <w:rPr>
                <w:sz w:val="16"/>
                <w:szCs w:val="16"/>
                <w:color w:val="auto"/>
              </w:rPr>
            </w:pPr>
          </w:p>
        </w:tc>
        <w:tc>
          <w:tcPr>
            <w:tcW w:w="1580" w:type="dxa"/>
            <w:vAlign w:val="bottom"/>
            <w:tcBorders>
              <w:bottom w:val="single" w:sz="8" w:color="auto"/>
            </w:tcBorders>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average period (In years)</w:t>
            </w:r>
          </w:p>
        </w:tc>
        <w:tc>
          <w:tcPr>
            <w:tcW w:w="0" w:type="dxa"/>
            <w:vAlign w:val="bottom"/>
          </w:tcPr>
          <w:p>
            <w:pPr>
              <w:spacing w:after="0"/>
              <w:rPr>
                <w:sz w:val="1"/>
                <w:szCs w:val="1"/>
                <w:color w:val="auto"/>
              </w:rPr>
            </w:pPr>
          </w:p>
        </w:tc>
      </w:tr>
      <w:tr>
        <w:trPr>
          <w:trHeight w:val="61"/>
        </w:trPr>
        <w:tc>
          <w:tcPr>
            <w:tcW w:w="7660" w:type="dxa"/>
            <w:vAlign w:val="bottom"/>
          </w:tcPr>
          <w:p>
            <w:pPr>
              <w:spacing w:after="0"/>
              <w:rPr>
                <w:sz w:val="5"/>
                <w:szCs w:val="5"/>
                <w:color w:val="auto"/>
              </w:rPr>
            </w:pPr>
          </w:p>
        </w:tc>
        <w:tc>
          <w:tcPr>
            <w:tcW w:w="580" w:type="dxa"/>
            <w:vAlign w:val="bottom"/>
          </w:tcPr>
          <w:p>
            <w:pPr>
              <w:spacing w:after="0"/>
              <w:rPr>
                <w:sz w:val="5"/>
                <w:szCs w:val="5"/>
                <w:color w:val="auto"/>
              </w:rPr>
            </w:pPr>
          </w:p>
        </w:tc>
        <w:tc>
          <w:tcPr>
            <w:tcW w:w="1000" w:type="dxa"/>
            <w:vAlign w:val="bottom"/>
          </w:tcPr>
          <w:p>
            <w:pPr>
              <w:spacing w:after="0"/>
              <w:rPr>
                <w:sz w:val="5"/>
                <w:szCs w:val="5"/>
                <w:color w:val="auto"/>
              </w:rPr>
            </w:pPr>
          </w:p>
        </w:tc>
        <w:tc>
          <w:tcPr>
            <w:tcW w:w="260" w:type="dxa"/>
            <w:vAlign w:val="bottom"/>
          </w:tcPr>
          <w:p>
            <w:pPr>
              <w:spacing w:after="0"/>
              <w:rPr>
                <w:sz w:val="5"/>
                <w:szCs w:val="5"/>
                <w:color w:val="auto"/>
              </w:rPr>
            </w:pPr>
          </w:p>
        </w:tc>
        <w:tc>
          <w:tcPr>
            <w:tcW w:w="17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7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Stock options</w:t>
            </w:r>
          </w:p>
        </w:tc>
        <w:tc>
          <w:tcPr>
            <w:tcW w:w="580" w:type="dxa"/>
            <w:vAlign w:val="bottom"/>
            <w:shd w:val="clear" w:color="auto" w:fill="CFF0FC"/>
          </w:tcPr>
          <w:p>
            <w:pPr>
              <w:jc w:val="right"/>
              <w:ind w:right="376"/>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34,687</w:t>
            </w:r>
          </w:p>
        </w:tc>
        <w:tc>
          <w:tcPr>
            <w:tcW w:w="2000" w:type="dxa"/>
            <w:vAlign w:val="bottom"/>
            <w:gridSpan w:val="2"/>
            <w:shd w:val="clear" w:color="auto" w:fill="CFF0FC"/>
          </w:tcPr>
          <w:p>
            <w:pPr>
              <w:jc w:val="center"/>
              <w:ind w:left="170"/>
              <w:spacing w:after="0"/>
              <w:rPr>
                <w:sz w:val="20"/>
                <w:szCs w:val="20"/>
                <w:color w:val="auto"/>
              </w:rPr>
            </w:pPr>
            <w:r>
              <w:rPr>
                <w:rFonts w:ascii="Times New Roman" w:cs="Times New Roman" w:eastAsia="Times New Roman" w:hAnsi="Times New Roman"/>
                <w:sz w:val="18"/>
                <w:szCs w:val="18"/>
                <w:color w:val="auto"/>
                <w:w w:val="97"/>
              </w:rPr>
              <w:t>2.9</w:t>
            </w:r>
          </w:p>
        </w:tc>
        <w:tc>
          <w:tcPr>
            <w:tcW w:w="0" w:type="dxa"/>
            <w:vAlign w:val="bottom"/>
          </w:tcPr>
          <w:p>
            <w:pPr>
              <w:spacing w:after="0"/>
              <w:rPr>
                <w:sz w:val="1"/>
                <w:szCs w:val="1"/>
                <w:color w:val="auto"/>
              </w:rPr>
            </w:pPr>
          </w:p>
        </w:tc>
      </w:tr>
      <w:tr>
        <w:trPr>
          <w:trHeight w:val="238"/>
        </w:trPr>
        <w:tc>
          <w:tcPr>
            <w:tcW w:w="7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RSUs</w:t>
            </w:r>
          </w:p>
        </w:tc>
        <w:tc>
          <w:tcPr>
            <w:tcW w:w="5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30,558</w:t>
            </w:r>
          </w:p>
        </w:tc>
        <w:tc>
          <w:tcPr>
            <w:tcW w:w="2000" w:type="dxa"/>
            <w:vAlign w:val="bottom"/>
            <w:gridSpan w:val="2"/>
          </w:tcPr>
          <w:p>
            <w:pPr>
              <w:jc w:val="center"/>
              <w:ind w:left="170"/>
              <w:spacing w:after="0"/>
              <w:rPr>
                <w:sz w:val="20"/>
                <w:szCs w:val="20"/>
                <w:color w:val="auto"/>
              </w:rPr>
            </w:pPr>
            <w:r>
              <w:rPr>
                <w:rFonts w:ascii="Times New Roman" w:cs="Times New Roman" w:eastAsia="Times New Roman" w:hAnsi="Times New Roman"/>
                <w:sz w:val="18"/>
                <w:szCs w:val="18"/>
                <w:color w:val="auto"/>
                <w:w w:val="97"/>
              </w:rPr>
              <w:t>2.8</w:t>
            </w:r>
          </w:p>
        </w:tc>
        <w:tc>
          <w:tcPr>
            <w:tcW w:w="0" w:type="dxa"/>
            <w:vAlign w:val="bottom"/>
          </w:tcPr>
          <w:p>
            <w:pPr>
              <w:spacing w:after="0"/>
              <w:rPr>
                <w:sz w:val="1"/>
                <w:szCs w:val="1"/>
                <w:color w:val="auto"/>
              </w:rPr>
            </w:pPr>
          </w:p>
        </w:tc>
      </w:tr>
      <w:tr>
        <w:trPr>
          <w:trHeight w:val="247"/>
        </w:trPr>
        <w:tc>
          <w:tcPr>
            <w:tcW w:w="7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PSUs</w:t>
            </w:r>
          </w:p>
        </w:tc>
        <w:tc>
          <w:tcPr>
            <w:tcW w:w="58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4,079</w:t>
            </w:r>
          </w:p>
        </w:tc>
        <w:tc>
          <w:tcPr>
            <w:tcW w:w="2000" w:type="dxa"/>
            <w:vAlign w:val="bottom"/>
            <w:gridSpan w:val="2"/>
            <w:shd w:val="clear" w:color="auto" w:fill="CFF0FC"/>
          </w:tcPr>
          <w:p>
            <w:pPr>
              <w:jc w:val="center"/>
              <w:ind w:left="170"/>
              <w:spacing w:after="0"/>
              <w:rPr>
                <w:sz w:val="20"/>
                <w:szCs w:val="20"/>
                <w:color w:val="auto"/>
              </w:rPr>
            </w:pPr>
            <w:r>
              <w:rPr>
                <w:rFonts w:ascii="Times New Roman" w:cs="Times New Roman" w:eastAsia="Times New Roman" w:hAnsi="Times New Roman"/>
                <w:sz w:val="18"/>
                <w:szCs w:val="18"/>
                <w:color w:val="auto"/>
                <w:w w:val="97"/>
              </w:rPr>
              <w:t>2.9</w:t>
            </w:r>
          </w:p>
        </w:tc>
        <w:tc>
          <w:tcPr>
            <w:tcW w:w="0" w:type="dxa"/>
            <w:vAlign w:val="bottom"/>
          </w:tcPr>
          <w:p>
            <w:pPr>
              <w:spacing w:after="0"/>
              <w:rPr>
                <w:sz w:val="1"/>
                <w:szCs w:val="1"/>
                <w:color w:val="auto"/>
              </w:rPr>
            </w:pPr>
          </w:p>
        </w:tc>
      </w:tr>
      <w:tr>
        <w:trPr>
          <w:trHeight w:val="243"/>
        </w:trPr>
        <w:tc>
          <w:tcPr>
            <w:tcW w:w="7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ESPP</w:t>
            </w:r>
          </w:p>
        </w:tc>
        <w:tc>
          <w:tcPr>
            <w:tcW w:w="58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408</w:t>
            </w:r>
          </w:p>
        </w:tc>
        <w:tc>
          <w:tcPr>
            <w:tcW w:w="2000" w:type="dxa"/>
            <w:vAlign w:val="bottom"/>
            <w:gridSpan w:val="2"/>
          </w:tcPr>
          <w:p>
            <w:pPr>
              <w:jc w:val="center"/>
              <w:ind w:left="170"/>
              <w:spacing w:after="0"/>
              <w:rPr>
                <w:sz w:val="20"/>
                <w:szCs w:val="20"/>
                <w:color w:val="auto"/>
              </w:rPr>
            </w:pPr>
            <w:r>
              <w:rPr>
                <w:rFonts w:ascii="Times New Roman" w:cs="Times New Roman" w:eastAsia="Times New Roman" w:hAnsi="Times New Roman"/>
                <w:sz w:val="18"/>
                <w:szCs w:val="18"/>
                <w:color w:val="auto"/>
                <w:w w:val="97"/>
              </w:rPr>
              <w:t>0.4</w:t>
            </w:r>
          </w:p>
        </w:tc>
        <w:tc>
          <w:tcPr>
            <w:tcW w:w="0" w:type="dxa"/>
            <w:vAlign w:val="bottom"/>
          </w:tcPr>
          <w:p>
            <w:pPr>
              <w:spacing w:after="0"/>
              <w:rPr>
                <w:sz w:val="1"/>
                <w:szCs w:val="1"/>
                <w:color w:val="auto"/>
              </w:rPr>
            </w:pPr>
          </w:p>
        </w:tc>
      </w:tr>
      <w:tr>
        <w:trPr>
          <w:trHeight w:val="272"/>
        </w:trPr>
        <w:tc>
          <w:tcPr>
            <w:tcW w:w="766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 unrecognized stock-based compensation expense</w:t>
            </w:r>
          </w:p>
        </w:tc>
        <w:tc>
          <w:tcPr>
            <w:tcW w:w="580" w:type="dxa"/>
            <w:vAlign w:val="bottom"/>
            <w:tcBorders>
              <w:bottom w:val="single" w:sz="8" w:color="auto"/>
            </w:tcBorders>
            <w:shd w:val="clear" w:color="auto" w:fill="CFF0FC"/>
          </w:tcPr>
          <w:p>
            <w:pPr>
              <w:jc w:val="right"/>
              <w:ind w:right="376"/>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69,732</w:t>
            </w:r>
          </w:p>
        </w:tc>
        <w:tc>
          <w:tcPr>
            <w:tcW w:w="260" w:type="dxa"/>
            <w:vAlign w:val="bottom"/>
            <w:tcBorders>
              <w:bottom w:val="single" w:sz="8" w:color="CFF0FC"/>
            </w:tcBorders>
            <w:shd w:val="clear" w:color="auto" w:fill="CFF0FC"/>
          </w:tcPr>
          <w:p>
            <w:pPr>
              <w:spacing w:after="0"/>
              <w:rPr>
                <w:sz w:val="23"/>
                <w:szCs w:val="23"/>
                <w:color w:val="auto"/>
              </w:rPr>
            </w:pPr>
          </w:p>
        </w:tc>
        <w:tc>
          <w:tcPr>
            <w:tcW w:w="1740" w:type="dxa"/>
            <w:vAlign w:val="bottom"/>
            <w:tcBorders>
              <w:bottom w:val="single" w:sz="8" w:color="CFF0FC"/>
            </w:tcBorders>
            <w:shd w:val="clear" w:color="auto" w:fill="CFF0FC"/>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5861685</wp:posOffset>
            </wp:positionH>
            <wp:positionV relativeFrom="paragraph">
              <wp:posOffset>-24765</wp:posOffset>
            </wp:positionV>
            <wp:extent cx="6858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5861685</wp:posOffset>
            </wp:positionH>
            <wp:positionV relativeFrom="paragraph">
              <wp:posOffset>-7620</wp:posOffset>
            </wp:positionV>
            <wp:extent cx="6858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41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Corsair Gaming, Inc. | Q1 2024 Form 10-Q |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80010</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4" w:right="339" w:bottom="1440" w:gutter="0" w:footer="0" w:header="0"/>
          <w:type w:val="continuous"/>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Net Loss Per Share</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the calculation of basic and diluted net loss per share (in thousands, except per share amounts):</w:t>
      </w:r>
    </w:p>
    <w:p>
      <w:pPr>
        <w:spacing w:after="0" w:line="124" w:lineRule="exact"/>
        <w:rPr>
          <w:sz w:val="20"/>
          <w:szCs w:val="20"/>
          <w:color w:val="auto"/>
        </w:rPr>
      </w:pPr>
    </w:p>
    <w:p>
      <w:pPr>
        <w:jc w:val="center"/>
        <w:ind w:left="764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5" w:lineRule="exact"/>
        <w:rPr>
          <w:sz w:val="20"/>
          <w:szCs w:val="20"/>
          <w:color w:val="auto"/>
        </w:rPr>
      </w:pPr>
    </w:p>
    <w:p>
      <w:pPr>
        <w:jc w:val="center"/>
        <w:ind w:left="764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7760" w:type="dxa"/>
            <w:vAlign w:val="bottom"/>
          </w:tcPr>
          <w:p>
            <w:pPr>
              <w:spacing w:after="0"/>
              <w:rPr>
                <w:sz w:val="14"/>
                <w:szCs w:val="14"/>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20" w:type="dxa"/>
            <w:vAlign w:val="bottom"/>
            <w:tcBorders>
              <w:top w:val="single" w:sz="8" w:color="auto"/>
              <w:bottom w:val="single" w:sz="8" w:color="auto"/>
            </w:tcBorders>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180" w:type="dxa"/>
            <w:vAlign w:val="bottom"/>
            <w:tcBorders>
              <w:top w:val="single" w:sz="8" w:color="auto"/>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r>
      <w:tr>
        <w:trPr>
          <w:trHeight w:val="61"/>
        </w:trPr>
        <w:tc>
          <w:tcPr>
            <w:tcW w:w="7760" w:type="dxa"/>
            <w:vAlign w:val="bottom"/>
          </w:tcPr>
          <w:p>
            <w:pPr>
              <w:spacing w:after="0"/>
              <w:rPr>
                <w:sz w:val="5"/>
                <w:szCs w:val="5"/>
                <w:color w:val="auto"/>
              </w:rPr>
            </w:pPr>
          </w:p>
        </w:tc>
        <w:tc>
          <w:tcPr>
            <w:tcW w:w="9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36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00" w:type="dxa"/>
            <w:vAlign w:val="bottom"/>
          </w:tcPr>
          <w:p>
            <w:pPr>
              <w:spacing w:after="0"/>
              <w:rPr>
                <w:sz w:val="5"/>
                <w:szCs w:val="5"/>
                <w:color w:val="auto"/>
              </w:rPr>
            </w:pPr>
          </w:p>
        </w:tc>
      </w:tr>
      <w:tr>
        <w:trPr>
          <w:trHeight w:val="243"/>
        </w:trPr>
        <w:tc>
          <w:tcPr>
            <w:tcW w:w="7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940" w:type="dxa"/>
            <w:vAlign w:val="bottom"/>
            <w:shd w:val="clear" w:color="auto" w:fill="CFF0FC"/>
          </w:tcPr>
          <w:p>
            <w:pPr>
              <w:spacing w:after="0"/>
              <w:rPr>
                <w:sz w:val="21"/>
                <w:szCs w:val="21"/>
                <w:color w:val="auto"/>
              </w:rPr>
            </w:pPr>
          </w:p>
        </w:tc>
        <w:tc>
          <w:tcPr>
            <w:tcW w:w="6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1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8"/>
        </w:trPr>
        <w:tc>
          <w:tcPr>
            <w:tcW w:w="7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940" w:type="dxa"/>
            <w:vAlign w:val="bottom"/>
          </w:tcPr>
          <w:p>
            <w:pPr>
              <w:jc w:val="right"/>
              <w:ind w:right="754"/>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(11,029 )</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(1,648 )</w:t>
            </w:r>
          </w:p>
        </w:tc>
      </w:tr>
      <w:tr>
        <w:trPr>
          <w:trHeight w:val="247"/>
        </w:trPr>
        <w:tc>
          <w:tcPr>
            <w:tcW w:w="776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Less: Net income attributable to noncontrolling interest</w:t>
            </w:r>
          </w:p>
        </w:tc>
        <w:tc>
          <w:tcPr>
            <w:tcW w:w="940" w:type="dxa"/>
            <w:vAlign w:val="bottom"/>
            <w:tcBorders>
              <w:bottom w:val="single" w:sz="8" w:color="auto"/>
            </w:tcBorders>
            <w:shd w:val="clear" w:color="auto" w:fill="CFF0FC"/>
          </w:tcPr>
          <w:p>
            <w:pPr>
              <w:spacing w:after="0"/>
              <w:rPr>
                <w:sz w:val="21"/>
                <w:szCs w:val="21"/>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536</w:t>
            </w:r>
          </w:p>
        </w:tc>
        <w:tc>
          <w:tcPr>
            <w:tcW w:w="28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spacing w:after="0"/>
              <w:rPr>
                <w:sz w:val="21"/>
                <w:szCs w:val="21"/>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364</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2"/>
        </w:trPr>
        <w:tc>
          <w:tcPr>
            <w:tcW w:w="7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loss attributable to Corsair Gaming, Inc.</w:t>
            </w:r>
          </w:p>
        </w:tc>
        <w:tc>
          <w:tcPr>
            <w:tcW w:w="940" w:type="dxa"/>
            <w:vAlign w:val="bottom"/>
          </w:tcPr>
          <w:p>
            <w:pPr>
              <w:spacing w:after="0"/>
              <w:rPr>
                <w:sz w:val="20"/>
                <w:szCs w:val="20"/>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(11,565 )</w:t>
            </w:r>
          </w:p>
        </w:tc>
        <w:tc>
          <w:tcPr>
            <w:tcW w:w="360" w:type="dxa"/>
            <w:vAlign w:val="bottom"/>
          </w:tcPr>
          <w:p>
            <w:pPr>
              <w:spacing w:after="0"/>
              <w:rPr>
                <w:sz w:val="20"/>
                <w:szCs w:val="20"/>
                <w:color w:val="auto"/>
              </w:rPr>
            </w:pPr>
          </w:p>
        </w:tc>
        <w:tc>
          <w:tcPr>
            <w:tcW w:w="1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(2,012 )</w:t>
            </w:r>
          </w:p>
        </w:tc>
      </w:tr>
      <w:tr>
        <w:trPr>
          <w:trHeight w:val="247"/>
        </w:trPr>
        <w:tc>
          <w:tcPr>
            <w:tcW w:w="77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Change in redemption value of redeemable noncontrolling interest</w:t>
            </w:r>
          </w:p>
        </w:tc>
        <w:tc>
          <w:tcPr>
            <w:tcW w:w="940" w:type="dxa"/>
            <w:vAlign w:val="bottom"/>
            <w:shd w:val="clear" w:color="auto" w:fill="CFF0FC"/>
          </w:tcPr>
          <w:p>
            <w:pPr>
              <w:spacing w:after="0"/>
              <w:rPr>
                <w:sz w:val="21"/>
                <w:szCs w:val="21"/>
                <w:color w:val="auto"/>
              </w:rPr>
            </w:pPr>
          </w:p>
        </w:tc>
        <w:tc>
          <w:tcPr>
            <w:tcW w:w="9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(975 )</w:t>
            </w:r>
          </w:p>
        </w:tc>
        <w:tc>
          <w:tcPr>
            <w:tcW w:w="36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958</w:t>
            </w:r>
          </w:p>
        </w:tc>
        <w:tc>
          <w:tcPr>
            <w:tcW w:w="100" w:type="dxa"/>
            <w:vAlign w:val="bottom"/>
            <w:shd w:val="clear" w:color="auto" w:fill="CFF0FC"/>
          </w:tcPr>
          <w:p>
            <w:pPr>
              <w:spacing w:after="0"/>
              <w:rPr>
                <w:sz w:val="21"/>
                <w:szCs w:val="21"/>
                <w:color w:val="auto"/>
              </w:rPr>
            </w:pPr>
          </w:p>
        </w:tc>
      </w:tr>
      <w:tr>
        <w:trPr>
          <w:trHeight w:val="20"/>
        </w:trPr>
        <w:tc>
          <w:tcPr>
            <w:tcW w:w="7760" w:type="dxa"/>
            <w:vAlign w:val="bottom"/>
            <w:shd w:val="clear" w:color="auto" w:fill="CFF0FC"/>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2"/>
        </w:trPr>
        <w:tc>
          <w:tcPr>
            <w:tcW w:w="77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loss attributable to common stockholders of Corsair Gaming, Inc.</w:t>
            </w:r>
          </w:p>
        </w:tc>
        <w:tc>
          <w:tcPr>
            <w:tcW w:w="940" w:type="dxa"/>
            <w:vAlign w:val="bottom"/>
          </w:tcPr>
          <w:p>
            <w:pPr>
              <w:jc w:val="right"/>
              <w:ind w:right="754"/>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(12,540 )</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(1,054 )</w:t>
            </w:r>
          </w:p>
        </w:tc>
      </w:tr>
      <w:tr>
        <w:trPr>
          <w:trHeight w:val="20"/>
        </w:trPr>
        <w:tc>
          <w:tcPr>
            <w:tcW w:w="776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7"/>
        </w:trPr>
        <w:tc>
          <w:tcPr>
            <w:tcW w:w="7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94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8"/>
        </w:trPr>
        <w:tc>
          <w:tcPr>
            <w:tcW w:w="7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Basic weighted-average shares outstanding</w:t>
            </w:r>
          </w:p>
        </w:tc>
        <w:tc>
          <w:tcPr>
            <w:tcW w:w="9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103,563</w:t>
            </w: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101,685</w:t>
            </w:r>
          </w:p>
        </w:tc>
        <w:tc>
          <w:tcPr>
            <w:tcW w:w="100" w:type="dxa"/>
            <w:vAlign w:val="bottom"/>
          </w:tcPr>
          <w:p>
            <w:pPr>
              <w:spacing w:after="0"/>
              <w:rPr>
                <w:sz w:val="20"/>
                <w:szCs w:val="20"/>
                <w:color w:val="auto"/>
              </w:rPr>
            </w:pPr>
          </w:p>
        </w:tc>
      </w:tr>
      <w:tr>
        <w:trPr>
          <w:trHeight w:val="243"/>
        </w:trPr>
        <w:tc>
          <w:tcPr>
            <w:tcW w:w="7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Effect of dilutive securities</w:t>
            </w:r>
          </w:p>
        </w:tc>
        <w:tc>
          <w:tcPr>
            <w:tcW w:w="940" w:type="dxa"/>
            <w:vAlign w:val="bottom"/>
            <w:shd w:val="clear" w:color="auto" w:fill="CFF0FC"/>
          </w:tcPr>
          <w:p>
            <w:pPr>
              <w:spacing w:after="0"/>
              <w:rPr>
                <w:sz w:val="21"/>
                <w:szCs w:val="21"/>
                <w:color w:val="auto"/>
              </w:rPr>
            </w:pPr>
          </w:p>
        </w:tc>
        <w:tc>
          <w:tcPr>
            <w:tcW w:w="90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FF0FC"/>
          </w:tcPr>
          <w:p>
            <w:pPr>
              <w:spacing w:after="0"/>
              <w:rPr>
                <w:sz w:val="21"/>
                <w:szCs w:val="21"/>
                <w:color w:val="auto"/>
              </w:rPr>
            </w:pPr>
          </w:p>
        </w:tc>
        <w:tc>
          <w:tcPr>
            <w:tcW w:w="12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0"/>
        </w:trPr>
        <w:tc>
          <w:tcPr>
            <w:tcW w:w="776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Total diluted weighted-average shares outstanding</w:t>
            </w:r>
          </w:p>
        </w:tc>
        <w:tc>
          <w:tcPr>
            <w:tcW w:w="94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103,563</w:t>
            </w:r>
          </w:p>
        </w:tc>
        <w:tc>
          <w:tcPr>
            <w:tcW w:w="280" w:type="dxa"/>
            <w:vAlign w:val="bottom"/>
            <w:tcBorders>
              <w:top w:val="single" w:sz="8" w:color="CFF0FC"/>
            </w:tcBorders>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101,685</w:t>
            </w:r>
          </w:p>
        </w:tc>
        <w:tc>
          <w:tcPr>
            <w:tcW w:w="100" w:type="dxa"/>
            <w:vAlign w:val="bottom"/>
            <w:tcBorders>
              <w:top w:val="single" w:sz="8" w:color="CFF0FC"/>
            </w:tcBorders>
          </w:tcPr>
          <w:p>
            <w:pPr>
              <w:spacing w:after="0"/>
              <w:rPr>
                <w:sz w:val="20"/>
                <w:szCs w:val="20"/>
                <w:color w:val="auto"/>
              </w:rPr>
            </w:pPr>
          </w:p>
        </w:tc>
      </w:tr>
      <w:tr>
        <w:trPr>
          <w:trHeight w:val="20"/>
        </w:trPr>
        <w:tc>
          <w:tcPr>
            <w:tcW w:w="77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3"/>
        </w:trPr>
        <w:tc>
          <w:tcPr>
            <w:tcW w:w="77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43"/>
        </w:trPr>
        <w:tc>
          <w:tcPr>
            <w:tcW w:w="7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Net loss per share attributable to common stockholders of Corsair Gaming, Inc.:</w:t>
            </w:r>
          </w:p>
        </w:tc>
        <w:tc>
          <w:tcPr>
            <w:tcW w:w="940" w:type="dxa"/>
            <w:vAlign w:val="bottom"/>
            <w:shd w:val="clear" w:color="auto" w:fill="CFF0FC"/>
          </w:tcPr>
          <w:p>
            <w:pPr>
              <w:spacing w:after="0"/>
              <w:rPr>
                <w:sz w:val="21"/>
                <w:szCs w:val="21"/>
                <w:color w:val="auto"/>
              </w:rPr>
            </w:pPr>
          </w:p>
        </w:tc>
        <w:tc>
          <w:tcPr>
            <w:tcW w:w="6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1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8"/>
        </w:trPr>
        <w:tc>
          <w:tcPr>
            <w:tcW w:w="7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Basic</w:t>
            </w:r>
          </w:p>
        </w:tc>
        <w:tc>
          <w:tcPr>
            <w:tcW w:w="940" w:type="dxa"/>
            <w:vAlign w:val="bottom"/>
          </w:tcPr>
          <w:p>
            <w:pPr>
              <w:jc w:val="right"/>
              <w:ind w:right="754"/>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(0.12 )</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(0.01 )</w:t>
            </w:r>
          </w:p>
        </w:tc>
      </w:tr>
      <w:tr>
        <w:trPr>
          <w:trHeight w:val="20"/>
        </w:trPr>
        <w:tc>
          <w:tcPr>
            <w:tcW w:w="776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63"/>
        </w:trPr>
        <w:tc>
          <w:tcPr>
            <w:tcW w:w="77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Diluted</w:t>
            </w:r>
          </w:p>
        </w:tc>
        <w:tc>
          <w:tcPr>
            <w:tcW w:w="940" w:type="dxa"/>
            <w:vAlign w:val="bottom"/>
            <w:shd w:val="clear" w:color="auto" w:fill="CFF0FC"/>
          </w:tcPr>
          <w:p>
            <w:pPr>
              <w:jc w:val="right"/>
              <w:ind w:right="754"/>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(0.12 )</w:t>
            </w: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(0.01 )</w:t>
            </w:r>
          </w:p>
        </w:tc>
      </w:tr>
      <w:tr>
        <w:trPr>
          <w:trHeight w:val="408"/>
        </w:trPr>
        <w:tc>
          <w:tcPr>
            <w:tcW w:w="776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 xml:space="preserve">Anti-dilutive potential common shares </w:t>
            </w:r>
            <w:r>
              <w:rPr>
                <w:rFonts w:ascii="Calibri" w:cs="Calibri" w:eastAsia="Calibri" w:hAnsi="Calibri"/>
                <w:sz w:val="26"/>
                <w:szCs w:val="26"/>
                <w:color w:val="auto"/>
                <w:vertAlign w:val="superscript"/>
              </w:rPr>
              <w:t>(1)</w:t>
            </w:r>
          </w:p>
        </w:tc>
        <w:tc>
          <w:tcPr>
            <w:tcW w:w="94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12,715</w:t>
            </w:r>
          </w:p>
        </w:tc>
        <w:tc>
          <w:tcPr>
            <w:tcW w:w="280" w:type="dxa"/>
            <w:vAlign w:val="bottom"/>
            <w:tcBorders>
              <w:top w:val="single" w:sz="8" w:color="CFF0FC"/>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11,934</w:t>
            </w:r>
          </w:p>
        </w:tc>
        <w:tc>
          <w:tcPr>
            <w:tcW w:w="100" w:type="dxa"/>
            <w:vAlign w:val="bottom"/>
            <w:tcBorders>
              <w:top w:val="single" w:sz="8" w:color="CFF0FC"/>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5921375</wp:posOffset>
            </wp:positionH>
            <wp:positionV relativeFrom="paragraph">
              <wp:posOffset>-2092325</wp:posOffset>
            </wp:positionV>
            <wp:extent cx="6858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-2092325</wp:posOffset>
            </wp:positionV>
            <wp:extent cx="6858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5921375</wp:posOffset>
            </wp:positionH>
            <wp:positionV relativeFrom="paragraph">
              <wp:posOffset>-1775460</wp:posOffset>
            </wp:positionV>
            <wp:extent cx="6858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-1775460</wp:posOffset>
            </wp:positionV>
            <wp:extent cx="6858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5921375</wp:posOffset>
            </wp:positionH>
            <wp:positionV relativeFrom="paragraph">
              <wp:posOffset>-1124585</wp:posOffset>
            </wp:positionV>
            <wp:extent cx="6858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-1124585</wp:posOffset>
            </wp:positionV>
            <wp:extent cx="6858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5921375</wp:posOffset>
            </wp:positionH>
            <wp:positionV relativeFrom="paragraph">
              <wp:posOffset>-294005</wp:posOffset>
            </wp:positionV>
            <wp:extent cx="6858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5921375</wp:posOffset>
            </wp:positionH>
            <wp:positionV relativeFrom="paragraph">
              <wp:posOffset>-276860</wp:posOffset>
            </wp:positionV>
            <wp:extent cx="6858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-294005</wp:posOffset>
            </wp:positionV>
            <wp:extent cx="6858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-276860</wp:posOffset>
            </wp:positionV>
            <wp:extent cx="6858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63" w:lineRule="exact"/>
        <w:rPr>
          <w:sz w:val="20"/>
          <w:szCs w:val="20"/>
          <w:color w:val="auto"/>
        </w:rPr>
      </w:pPr>
    </w:p>
    <w:p>
      <w:pPr>
        <w:ind w:left="900" w:hanging="518"/>
        <w:spacing w:after="0"/>
        <w:tabs>
          <w:tab w:leader="none" w:pos="900" w:val="left"/>
        </w:tabs>
        <w:numPr>
          <w:ilvl w:val="1"/>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6"/>
          <w:szCs w:val="16"/>
          <w:color w:val="auto"/>
        </w:rPr>
        <w:t>Potential common share equivalents were not included in the calculation of diluted net loss per share as the effect would have been anti-dilutive.</w:t>
      </w:r>
    </w:p>
    <w:p>
      <w:pPr>
        <w:spacing w:after="0" w:line="225" w:lineRule="exact"/>
        <w:rPr>
          <w:rFonts w:ascii="Times New Roman" w:cs="Times New Roman" w:eastAsia="Times New Roman" w:hAnsi="Times New Roman"/>
          <w:sz w:val="14"/>
          <w:szCs w:val="14"/>
          <w:color w:val="auto"/>
        </w:rPr>
      </w:pPr>
    </w:p>
    <w:p>
      <w:pPr>
        <w:ind w:left="280" w:hanging="272"/>
        <w:spacing w:after="0"/>
        <w:tabs>
          <w:tab w:leader="none" w:pos="28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Taxes</w:t>
      </w:r>
    </w:p>
    <w:p>
      <w:pPr>
        <w:spacing w:after="0" w:line="121" w:lineRule="exact"/>
        <w:rPr>
          <w:sz w:val="20"/>
          <w:szCs w:val="20"/>
          <w:color w:val="auto"/>
        </w:rPr>
      </w:pPr>
    </w:p>
    <w:p>
      <w:pPr>
        <w:ind w:right="420" w:firstLine="509"/>
        <w:spacing w:after="0" w:line="260" w:lineRule="auto"/>
        <w:rPr>
          <w:sz w:val="20"/>
          <w:szCs w:val="20"/>
          <w:color w:val="auto"/>
        </w:rPr>
      </w:pPr>
      <w:r>
        <w:rPr>
          <w:rFonts w:ascii="Times New Roman" w:cs="Times New Roman" w:eastAsia="Times New Roman" w:hAnsi="Times New Roman"/>
          <w:sz w:val="18"/>
          <w:szCs w:val="18"/>
          <w:color w:val="auto"/>
        </w:rPr>
        <w:t>The table below presents our loss before income taxes, income tax benefit and effective income tax rates for all periods presented (in thousands, except percentages):</w:t>
      </w:r>
    </w:p>
    <w:p>
      <w:pPr>
        <w:jc w:val="center"/>
        <w:ind w:left="7620"/>
        <w:spacing w:after="0" w:line="233" w:lineRule="auto"/>
        <w:rPr>
          <w:sz w:val="20"/>
          <w:szCs w:val="20"/>
          <w:color w:val="auto"/>
        </w:rPr>
      </w:pPr>
      <w:r>
        <w:rPr>
          <w:rFonts w:ascii="Times New Roman" w:cs="Times New Roman" w:eastAsia="Times New Roman" w:hAnsi="Times New Roman"/>
          <w:sz w:val="14"/>
          <w:szCs w:val="14"/>
          <w:b w:val="1"/>
          <w:bCs w:val="1"/>
          <w:color w:val="auto"/>
        </w:rPr>
        <w:t>Three Months Ended</w:t>
      </w:r>
    </w:p>
    <w:p>
      <w:pPr>
        <w:jc w:val="center"/>
        <w:ind w:left="762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4919980</wp:posOffset>
            </wp:positionH>
            <wp:positionV relativeFrom="paragraph">
              <wp:posOffset>5080</wp:posOffset>
            </wp:positionV>
            <wp:extent cx="2149475"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2149475" cy="8255"/>
                    </a:xfrm>
                    <a:prstGeom prst="rect">
                      <a:avLst/>
                    </a:prstGeom>
                    <a:noFill/>
                  </pic:spPr>
                </pic:pic>
              </a:graphicData>
            </a:graphic>
          </wp:anchor>
        </w:drawing>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740" w:type="dxa"/>
            <w:vAlign w:val="bottom"/>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20" w:type="dxa"/>
            <w:vAlign w:val="bottom"/>
            <w:tcBorders>
              <w:bottom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61"/>
        </w:trPr>
        <w:tc>
          <w:tcPr>
            <w:tcW w:w="7740" w:type="dxa"/>
            <w:vAlign w:val="bottom"/>
          </w:tcPr>
          <w:p>
            <w:pPr>
              <w:spacing w:after="0"/>
              <w:rPr>
                <w:sz w:val="5"/>
                <w:szCs w:val="5"/>
                <w:color w:val="auto"/>
              </w:rPr>
            </w:pPr>
          </w:p>
        </w:tc>
        <w:tc>
          <w:tcPr>
            <w:tcW w:w="960" w:type="dxa"/>
            <w:vAlign w:val="bottom"/>
          </w:tcPr>
          <w:p>
            <w:pPr>
              <w:spacing w:after="0"/>
              <w:rPr>
                <w:sz w:val="5"/>
                <w:szCs w:val="5"/>
                <w:color w:val="auto"/>
              </w:rPr>
            </w:pP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36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r>
      <w:tr>
        <w:trPr>
          <w:trHeight w:val="243"/>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Loss before income taxes</w:t>
            </w:r>
          </w:p>
        </w:tc>
        <w:tc>
          <w:tcPr>
            <w:tcW w:w="960" w:type="dxa"/>
            <w:vAlign w:val="bottom"/>
            <w:shd w:val="clear" w:color="auto" w:fill="CFF0FC"/>
          </w:tcPr>
          <w:p>
            <w:pPr>
              <w:jc w:val="right"/>
              <w:ind w:right="759"/>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3"/>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(12,806 )   $</w:t>
            </w:r>
          </w:p>
        </w:tc>
        <w:tc>
          <w:tcPr>
            <w:tcW w:w="12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(2,287 )</w:t>
            </w:r>
          </w:p>
        </w:tc>
        <w:tc>
          <w:tcPr>
            <w:tcW w:w="60" w:type="dxa"/>
            <w:vAlign w:val="bottom"/>
          </w:tcPr>
          <w:p>
            <w:pPr>
              <w:spacing w:after="0"/>
              <w:rPr>
                <w:sz w:val="21"/>
                <w:szCs w:val="21"/>
                <w:color w:val="auto"/>
              </w:rPr>
            </w:pPr>
          </w:p>
        </w:tc>
      </w:tr>
      <w:tr>
        <w:trPr>
          <w:trHeight w:val="234"/>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benefit</w:t>
            </w:r>
          </w:p>
        </w:tc>
        <w:tc>
          <w:tcPr>
            <w:tcW w:w="9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1,777</w:t>
            </w: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639</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38"/>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Effective tax rate</w:t>
            </w:r>
          </w:p>
        </w:tc>
        <w:tc>
          <w:tcPr>
            <w:tcW w:w="960" w:type="dxa"/>
            <w:vAlign w:val="bottom"/>
          </w:tcPr>
          <w:p>
            <w:pPr>
              <w:spacing w:after="0"/>
              <w:rPr>
                <w:sz w:val="20"/>
                <w:szCs w:val="20"/>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13.9 %</w:t>
            </w:r>
          </w:p>
        </w:tc>
        <w:tc>
          <w:tcPr>
            <w:tcW w:w="360" w:type="dxa"/>
            <w:vAlign w:val="bottom"/>
          </w:tcPr>
          <w:p>
            <w:pPr>
              <w:spacing w:after="0"/>
              <w:rPr>
                <w:sz w:val="20"/>
                <w:szCs w:val="20"/>
                <w:color w:val="auto"/>
              </w:rPr>
            </w:pPr>
          </w:p>
        </w:tc>
        <w:tc>
          <w:tcPr>
            <w:tcW w:w="13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27.9 %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132320" cy="15430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83" w:lineRule="exact"/>
        <w:rPr>
          <w:sz w:val="20"/>
          <w:szCs w:val="20"/>
          <w:color w:val="auto"/>
        </w:rPr>
      </w:pPr>
    </w:p>
    <w:p>
      <w:pPr>
        <w:ind w:right="80" w:firstLine="509"/>
        <w:spacing w:after="0" w:line="260" w:lineRule="auto"/>
        <w:rPr>
          <w:sz w:val="20"/>
          <w:szCs w:val="20"/>
          <w:color w:val="auto"/>
        </w:rPr>
      </w:pPr>
      <w:r>
        <w:rPr>
          <w:rFonts w:ascii="Times New Roman" w:cs="Times New Roman" w:eastAsia="Times New Roman" w:hAnsi="Times New Roman"/>
          <w:sz w:val="18"/>
          <w:szCs w:val="18"/>
          <w:color w:val="auto"/>
        </w:rPr>
        <w:t>We are subject to income taxes in the United States and foreign jurisdictions in which we do business. These foreign jurisdictions have statutory tax rates different from those in the United States. Accordingly, our effective tax rates will vary depending on the relative proportion of foreign to United States income, the utilization of net operating loss and tax credit carry forwards, changes in geographic mix of income and expense, changes in management’s assessment of matters such as the ability to realize deferred tax assets, and changes in tax laws.</w:t>
      </w:r>
    </w:p>
    <w:p>
      <w:pPr>
        <w:spacing w:after="0" w:line="141" w:lineRule="exact"/>
        <w:rPr>
          <w:sz w:val="20"/>
          <w:szCs w:val="20"/>
          <w:color w:val="auto"/>
        </w:rPr>
      </w:pPr>
    </w:p>
    <w:p>
      <w:pPr>
        <w:ind w:right="160" w:firstLine="509"/>
        <w:spacing w:after="0" w:line="265" w:lineRule="auto"/>
        <w:rPr>
          <w:sz w:val="20"/>
          <w:szCs w:val="20"/>
          <w:color w:val="auto"/>
        </w:rPr>
      </w:pPr>
      <w:r>
        <w:rPr>
          <w:rFonts w:ascii="Times New Roman" w:cs="Times New Roman" w:eastAsia="Times New Roman" w:hAnsi="Times New Roman"/>
          <w:sz w:val="18"/>
          <w:szCs w:val="18"/>
          <w:color w:val="auto"/>
        </w:rPr>
        <w:t>Our effective tax rates were 13.9% and 27.9% for the three months ended March 31, 2024 and 2023, respectively. The decrease in our effective rate in the three-month period was primarily due to a change in the mix of income and losses in the various tax jurisdictions in which we operate, and an increase in shortfall tax deficiencies from stock-based compensation.</w:t>
      </w:r>
    </w:p>
    <w:p>
      <w:pPr>
        <w:spacing w:after="0" w:line="69" w:lineRule="exact"/>
        <w:rPr>
          <w:sz w:val="20"/>
          <w:szCs w:val="20"/>
          <w:color w:val="auto"/>
        </w:rPr>
      </w:pPr>
    </w:p>
    <w:p>
      <w:pPr>
        <w:ind w:right="100" w:firstLine="509"/>
        <w:spacing w:after="0" w:line="281" w:lineRule="auto"/>
        <w:rPr>
          <w:sz w:val="20"/>
          <w:szCs w:val="20"/>
          <w:color w:val="auto"/>
        </w:rPr>
      </w:pPr>
      <w:r>
        <w:rPr>
          <w:rFonts w:ascii="Times New Roman" w:cs="Times New Roman" w:eastAsia="Times New Roman" w:hAnsi="Times New Roman"/>
          <w:sz w:val="18"/>
          <w:szCs w:val="18"/>
          <w:color w:val="auto"/>
        </w:rPr>
        <w:t>Unrecognized tax benefits were $3.6 million as of March 31, 2024 and $3.5 million as of December 31, 2023, respectively, and if recognized, would favorably affect the effective income tax rate in future periods.</w:t>
      </w:r>
    </w:p>
    <w:p>
      <w:pPr>
        <w:spacing w:after="0" w:line="55"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18"/>
          <w:szCs w:val="18"/>
          <w:color w:val="auto"/>
        </w:rPr>
        <w:t>On December 15, 2022, the European Union (“EU”) Member States formally adopted the EU’s Pillar Two Directive, which generally provides for a minimum effective tax rate of 15%, as established by the Organization for Economic Co-operation and Development (“OECD”) Pillar Two Framework that was supported by over 130 countries worldwide. The EU effective dates are January 1, 2024, and January 1, 2025, for different aspects of the directive. A significant number of other countries are expected to also implement similar legislation, including United Kingdom which approved the legislation on July 11, 2023 with a full effective date of January 1, 2024. We have evaluated the potential impact from the OECD Pillar Two rules and determined that the effects are immaterial to our financial position for the year of 2024.</w:t>
      </w:r>
    </w:p>
    <w:p>
      <w:pPr>
        <w:spacing w:after="0" w:line="182" w:lineRule="exact"/>
        <w:rPr>
          <w:sz w:val="20"/>
          <w:szCs w:val="20"/>
          <w:color w:val="auto"/>
        </w:rPr>
      </w:pPr>
    </w:p>
    <w:p>
      <w:pPr>
        <w:ind w:left="520" w:right="8100" w:hanging="512"/>
        <w:spacing w:after="0" w:line="449" w:lineRule="auto"/>
        <w:tabs>
          <w:tab w:leader="none" w:pos="281" w:val="left"/>
        </w:tabs>
        <w:numPr>
          <w:ilvl w:val="0"/>
          <w:numId w:val="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Segment and Geographic Information </w:t>
      </w:r>
      <w:r>
        <w:rPr>
          <w:rFonts w:ascii="Times New Roman" w:cs="Times New Roman" w:eastAsia="Times New Roman" w:hAnsi="Times New Roman"/>
          <w:sz w:val="17"/>
          <w:szCs w:val="17"/>
          <w:color w:val="auto"/>
        </w:rPr>
        <w:t>We have two reportable segments:</w:t>
      </w:r>
    </w:p>
    <w:p>
      <w:pPr>
        <w:sectPr>
          <w:pgSz w:w="11900" w:h="16838" w:orient="portrait"/>
          <w:cols w:equalWidth="0" w:num="1">
            <w:col w:w="11300"/>
          </w:cols>
          <w:pgMar w:left="320" w:top="387" w:right="279" w:bottom="1440" w:gutter="0" w:footer="0" w:header="0"/>
        </w:sectPr>
      </w:pPr>
    </w:p>
    <w:p>
      <w:pPr>
        <w:spacing w:after="0" w:line="24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color w:val="auto"/>
        </w:rPr>
        <w:t>Corsair Gaming, Inc. | Q1 2024 Form 10-Q |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71755</wp:posOffset>
            </wp:positionV>
            <wp:extent cx="715772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387" w:right="279" w:bottom="1440" w:gutter="0" w:footer="0" w:header="0"/>
          <w:type w:val="continuous"/>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1260" w:right="20" w:hanging="368"/>
        <w:spacing w:after="0" w:line="268" w:lineRule="auto"/>
        <w:tabs>
          <w:tab w:leader="none" w:pos="12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Gamer and Creator Peripherals</w:t>
      </w:r>
      <w:r>
        <w:rPr>
          <w:rFonts w:ascii="Times New Roman" w:cs="Times New Roman" w:eastAsia="Times New Roman" w:hAnsi="Times New Roman"/>
          <w:sz w:val="18"/>
          <w:szCs w:val="18"/>
          <w:color w:val="auto"/>
        </w:rPr>
        <w:t>. Includes our high-performance gaming keyboards, mice, headsets, controllers, and streaming products,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which includes capture cards, Stream Decks, microphones and audio interfaces, our Facecam streaming cameras, studio accessories, and gaming furniture, among others.</w:t>
      </w:r>
    </w:p>
    <w:p>
      <w:pPr>
        <w:spacing w:after="0" w:line="61" w:lineRule="exact"/>
        <w:rPr>
          <w:rFonts w:ascii="Times New Roman" w:cs="Times New Roman" w:eastAsia="Times New Roman" w:hAnsi="Times New Roman"/>
          <w:sz w:val="18"/>
          <w:szCs w:val="18"/>
          <w:color w:val="auto"/>
        </w:rPr>
      </w:pPr>
    </w:p>
    <w:p>
      <w:pPr>
        <w:ind w:left="1260" w:right="60" w:hanging="368"/>
        <w:spacing w:after="0" w:line="286" w:lineRule="auto"/>
        <w:tabs>
          <w:tab w:leader="none" w:pos="12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Gaming Components and Systems</w:t>
      </w:r>
      <w:r>
        <w:rPr>
          <w:rFonts w:ascii="Times New Roman" w:cs="Times New Roman" w:eastAsia="Times New Roman" w:hAnsi="Times New Roman"/>
          <w:sz w:val="18"/>
          <w:szCs w:val="18"/>
          <w:color w:val="auto"/>
        </w:rPr>
        <w:t>. Includes our high-performance power supply units, or PSUs, cooling solutions, computer cases,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DRAM modules, as well as high-end prebuilt and custom-built gaming PCs and laptops, and gaming monitors, among others.</w:t>
      </w:r>
    </w:p>
    <w:p>
      <w:pPr>
        <w:spacing w:after="0" w:line="50" w:lineRule="exact"/>
        <w:rPr>
          <w:sz w:val="20"/>
          <w:szCs w:val="20"/>
          <w:color w:val="auto"/>
        </w:rPr>
      </w:pPr>
    </w:p>
    <w:p>
      <w:pPr>
        <w:ind w:right="120" w:firstLine="509"/>
        <w:spacing w:after="0" w:line="260" w:lineRule="auto"/>
        <w:rPr>
          <w:sz w:val="20"/>
          <w:szCs w:val="20"/>
          <w:color w:val="auto"/>
        </w:rPr>
      </w:pPr>
      <w:r>
        <w:rPr>
          <w:rFonts w:ascii="Times New Roman" w:cs="Times New Roman" w:eastAsia="Times New Roman" w:hAnsi="Times New Roman"/>
          <w:sz w:val="18"/>
          <w:szCs w:val="18"/>
          <w:color w:val="auto"/>
        </w:rPr>
        <w:t>The segments are defined as those operations our CODM regularly reviews to analyze performance and allocate resources. Our CODM is determined to be Corsair’s Chief Executive Officer. The results of the reportable segments are derived directly from our reporting system and are based on the methods of internal reporting which are not necessarily in conformity with GAAP. Management measures net revenue and gross profit to evaluate the performance of, and allocate resources to, each of the segments.</w:t>
      </w:r>
    </w:p>
    <w:p>
      <w:pPr>
        <w:spacing w:after="0" w:line="7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table below summarizes the financial information for each reportable segment (in thousands):</w:t>
      </w:r>
    </w:p>
    <w:p>
      <w:pPr>
        <w:spacing w:after="0" w:line="21" w:lineRule="exact"/>
        <w:rPr>
          <w:sz w:val="20"/>
          <w:szCs w:val="20"/>
          <w:color w:val="auto"/>
        </w:rPr>
      </w:pPr>
    </w:p>
    <w:p>
      <w:pPr>
        <w:jc w:val="center"/>
        <w:ind w:left="760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jc w:val="center"/>
        <w:ind w:left="760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4911090</wp:posOffset>
            </wp:positionH>
            <wp:positionV relativeFrom="paragraph">
              <wp:posOffset>5080</wp:posOffset>
            </wp:positionV>
            <wp:extent cx="215773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2157730" cy="8255"/>
                    </a:xfrm>
                    <a:prstGeom prst="rect">
                      <a:avLst/>
                    </a:prstGeom>
                    <a:noFill/>
                  </pic:spPr>
                </pic:pic>
              </a:graphicData>
            </a:graphic>
          </wp:anchor>
        </w:drawing>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740" w:type="dxa"/>
            <w:vAlign w:val="bottom"/>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20" w:type="dxa"/>
            <w:vAlign w:val="bottom"/>
            <w:tcBorders>
              <w:bottom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r>
      <w:tr>
        <w:trPr>
          <w:trHeight w:val="61"/>
        </w:trPr>
        <w:tc>
          <w:tcPr>
            <w:tcW w:w="7740" w:type="dxa"/>
            <w:vAlign w:val="bottom"/>
          </w:tcPr>
          <w:p>
            <w:pPr>
              <w:spacing w:after="0"/>
              <w:rPr>
                <w:sz w:val="5"/>
                <w:szCs w:val="5"/>
                <w:color w:val="auto"/>
              </w:rPr>
            </w:pPr>
          </w:p>
        </w:tc>
        <w:tc>
          <w:tcPr>
            <w:tcW w:w="960" w:type="dxa"/>
            <w:vAlign w:val="bottom"/>
          </w:tcPr>
          <w:p>
            <w:pPr>
              <w:spacing w:after="0"/>
              <w:rPr>
                <w:sz w:val="5"/>
                <w:szCs w:val="5"/>
                <w:color w:val="auto"/>
              </w:rPr>
            </w:pPr>
          </w:p>
        </w:tc>
        <w:tc>
          <w:tcPr>
            <w:tcW w:w="620" w:type="dxa"/>
            <w:vAlign w:val="bottom"/>
          </w:tcPr>
          <w:p>
            <w:pPr>
              <w:spacing w:after="0"/>
              <w:rPr>
                <w:sz w:val="5"/>
                <w:szCs w:val="5"/>
                <w:color w:val="auto"/>
              </w:rPr>
            </w:pPr>
          </w:p>
        </w:tc>
        <w:tc>
          <w:tcPr>
            <w:tcW w:w="260" w:type="dxa"/>
            <w:vAlign w:val="bottom"/>
          </w:tcPr>
          <w:p>
            <w:pPr>
              <w:spacing w:after="0"/>
              <w:rPr>
                <w:sz w:val="5"/>
                <w:szCs w:val="5"/>
                <w:color w:val="auto"/>
              </w:rPr>
            </w:pPr>
          </w:p>
        </w:tc>
        <w:tc>
          <w:tcPr>
            <w:tcW w:w="360" w:type="dxa"/>
            <w:vAlign w:val="bottom"/>
          </w:tcPr>
          <w:p>
            <w:pPr>
              <w:spacing w:after="0"/>
              <w:rPr>
                <w:sz w:val="5"/>
                <w:szCs w:val="5"/>
                <w:color w:val="auto"/>
              </w:rPr>
            </w:pPr>
          </w:p>
        </w:tc>
        <w:tc>
          <w:tcPr>
            <w:tcW w:w="1200" w:type="dxa"/>
            <w:vAlign w:val="bottom"/>
          </w:tcPr>
          <w:p>
            <w:pPr>
              <w:spacing w:after="0"/>
              <w:rPr>
                <w:sz w:val="5"/>
                <w:szCs w:val="5"/>
                <w:color w:val="auto"/>
              </w:rPr>
            </w:pPr>
          </w:p>
        </w:tc>
        <w:tc>
          <w:tcPr>
            <w:tcW w:w="100" w:type="dxa"/>
            <w:vAlign w:val="bottom"/>
          </w:tcPr>
          <w:p>
            <w:pPr>
              <w:spacing w:after="0"/>
              <w:rPr>
                <w:sz w:val="5"/>
                <w:szCs w:val="5"/>
                <w:color w:val="auto"/>
              </w:rPr>
            </w:pPr>
          </w:p>
        </w:tc>
      </w:tr>
      <w:tr>
        <w:trPr>
          <w:trHeight w:val="223"/>
        </w:trPr>
        <w:tc>
          <w:tcPr>
            <w:tcW w:w="77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Net revenue</w:t>
            </w:r>
          </w:p>
        </w:tc>
        <w:tc>
          <w:tcPr>
            <w:tcW w:w="960" w:type="dxa"/>
            <w:vAlign w:val="bottom"/>
            <w:tcBorders>
              <w:bottom w:val="single" w:sz="8" w:color="CFF0FC"/>
            </w:tcBorders>
            <w:shd w:val="clear" w:color="auto" w:fill="CFF0FC"/>
          </w:tcPr>
          <w:p>
            <w:pPr>
              <w:spacing w:after="0"/>
              <w:rPr>
                <w:sz w:val="19"/>
                <w:szCs w:val="19"/>
                <w:color w:val="auto"/>
              </w:rPr>
            </w:pPr>
          </w:p>
        </w:tc>
        <w:tc>
          <w:tcPr>
            <w:tcW w:w="62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CFF0FC"/>
            </w:tcBorders>
            <w:shd w:val="clear" w:color="auto" w:fill="CFF0FC"/>
          </w:tcPr>
          <w:p>
            <w:pPr>
              <w:spacing w:after="0"/>
              <w:rPr>
                <w:sz w:val="19"/>
                <w:szCs w:val="19"/>
                <w:color w:val="auto"/>
              </w:rPr>
            </w:pPr>
          </w:p>
        </w:tc>
        <w:tc>
          <w:tcPr>
            <w:tcW w:w="120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r>
      <w:tr>
        <w:trPr>
          <w:trHeight w:val="238"/>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Gamer and Creator Peripherals</w:t>
            </w:r>
          </w:p>
        </w:tc>
        <w:tc>
          <w:tcPr>
            <w:tcW w:w="960" w:type="dxa"/>
            <w:vAlign w:val="bottom"/>
          </w:tcPr>
          <w:p>
            <w:pPr>
              <w:jc w:val="right"/>
              <w:ind w:right="774"/>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106,973</w:t>
            </w:r>
          </w:p>
        </w:tc>
        <w:tc>
          <w:tcPr>
            <w:tcW w:w="6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88,942</w:t>
            </w:r>
          </w:p>
        </w:tc>
        <w:tc>
          <w:tcPr>
            <w:tcW w:w="100" w:type="dxa"/>
            <w:vAlign w:val="bottom"/>
          </w:tcPr>
          <w:p>
            <w:pPr>
              <w:spacing w:after="0"/>
              <w:rPr>
                <w:sz w:val="20"/>
                <w:szCs w:val="20"/>
                <w:color w:val="auto"/>
              </w:rPr>
            </w:pPr>
          </w:p>
        </w:tc>
      </w:tr>
      <w:tr>
        <w:trPr>
          <w:trHeight w:val="243"/>
        </w:trPr>
        <w:tc>
          <w:tcPr>
            <w:tcW w:w="77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Gaming Components and Systems</w:t>
            </w:r>
          </w:p>
        </w:tc>
        <w:tc>
          <w:tcPr>
            <w:tcW w:w="960" w:type="dxa"/>
            <w:vAlign w:val="bottom"/>
            <w:tcBorders>
              <w:bottom w:val="single" w:sz="8" w:color="auto"/>
            </w:tcBorders>
            <w:shd w:val="clear" w:color="auto" w:fill="CFF0FC"/>
          </w:tcPr>
          <w:p>
            <w:pPr>
              <w:spacing w:after="0"/>
              <w:rPr>
                <w:sz w:val="21"/>
                <w:szCs w:val="21"/>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230,284</w:t>
            </w:r>
          </w:p>
        </w:tc>
        <w:tc>
          <w:tcPr>
            <w:tcW w:w="26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spacing w:after="0"/>
              <w:rPr>
                <w:sz w:val="21"/>
                <w:szCs w:val="21"/>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265,022</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net revenue</w:t>
            </w:r>
          </w:p>
        </w:tc>
        <w:tc>
          <w:tcPr>
            <w:tcW w:w="960" w:type="dxa"/>
            <w:vAlign w:val="bottom"/>
          </w:tcPr>
          <w:p>
            <w:pPr>
              <w:jc w:val="right"/>
              <w:ind w:right="774"/>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337,257</w:t>
            </w:r>
          </w:p>
        </w:tc>
        <w:tc>
          <w:tcPr>
            <w:tcW w:w="6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353,964</w:t>
            </w:r>
          </w:p>
        </w:tc>
        <w:tc>
          <w:tcPr>
            <w:tcW w:w="100" w:type="dxa"/>
            <w:vAlign w:val="bottom"/>
          </w:tcPr>
          <w:p>
            <w:pPr>
              <w:spacing w:after="0"/>
              <w:rPr>
                <w:sz w:val="20"/>
                <w:szCs w:val="20"/>
                <w:color w:val="auto"/>
              </w:rPr>
            </w:pPr>
          </w:p>
        </w:tc>
      </w:tr>
      <w:tr>
        <w:trPr>
          <w:trHeight w:val="20"/>
        </w:trPr>
        <w:tc>
          <w:tcPr>
            <w:tcW w:w="774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7"/>
        </w:trPr>
        <w:tc>
          <w:tcPr>
            <w:tcW w:w="77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3"/>
        </w:trPr>
        <w:tc>
          <w:tcPr>
            <w:tcW w:w="77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Gross Profit</w:t>
            </w:r>
          </w:p>
        </w:tc>
        <w:tc>
          <w:tcPr>
            <w:tcW w:w="960" w:type="dxa"/>
            <w:vAlign w:val="bottom"/>
            <w:tcBorders>
              <w:bottom w:val="single" w:sz="8" w:color="CFF0FC"/>
            </w:tcBorders>
            <w:shd w:val="clear" w:color="auto" w:fill="CFF0FC"/>
          </w:tcPr>
          <w:p>
            <w:pPr>
              <w:spacing w:after="0"/>
              <w:rPr>
                <w:sz w:val="19"/>
                <w:szCs w:val="19"/>
                <w:color w:val="auto"/>
              </w:rPr>
            </w:pPr>
          </w:p>
        </w:tc>
        <w:tc>
          <w:tcPr>
            <w:tcW w:w="62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CFF0FC"/>
            </w:tcBorders>
            <w:shd w:val="clear" w:color="auto" w:fill="CFF0FC"/>
          </w:tcPr>
          <w:p>
            <w:pPr>
              <w:spacing w:after="0"/>
              <w:rPr>
                <w:sz w:val="19"/>
                <w:szCs w:val="19"/>
                <w:color w:val="auto"/>
              </w:rPr>
            </w:pPr>
          </w:p>
        </w:tc>
        <w:tc>
          <w:tcPr>
            <w:tcW w:w="120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r>
      <w:tr>
        <w:trPr>
          <w:trHeight w:val="238"/>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Gamer and Creator Peripherals</w:t>
            </w:r>
          </w:p>
        </w:tc>
        <w:tc>
          <w:tcPr>
            <w:tcW w:w="960" w:type="dxa"/>
            <w:vAlign w:val="bottom"/>
          </w:tcPr>
          <w:p>
            <w:pPr>
              <w:jc w:val="right"/>
              <w:ind w:right="774"/>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43,643</w:t>
            </w:r>
          </w:p>
        </w:tc>
        <w:tc>
          <w:tcPr>
            <w:tcW w:w="6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26,648</w:t>
            </w:r>
          </w:p>
        </w:tc>
        <w:tc>
          <w:tcPr>
            <w:tcW w:w="100" w:type="dxa"/>
            <w:vAlign w:val="bottom"/>
          </w:tcPr>
          <w:p>
            <w:pPr>
              <w:spacing w:after="0"/>
              <w:rPr>
                <w:sz w:val="20"/>
                <w:szCs w:val="20"/>
                <w:color w:val="auto"/>
              </w:rPr>
            </w:pPr>
          </w:p>
        </w:tc>
      </w:tr>
      <w:tr>
        <w:trPr>
          <w:trHeight w:val="243"/>
        </w:trPr>
        <w:tc>
          <w:tcPr>
            <w:tcW w:w="77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Gaming Components and Systems</w:t>
            </w:r>
          </w:p>
        </w:tc>
        <w:tc>
          <w:tcPr>
            <w:tcW w:w="960" w:type="dxa"/>
            <w:vAlign w:val="bottom"/>
            <w:tcBorders>
              <w:bottom w:val="single" w:sz="8" w:color="auto"/>
            </w:tcBorders>
            <w:shd w:val="clear" w:color="auto" w:fill="CFF0FC"/>
          </w:tcPr>
          <w:p>
            <w:pPr>
              <w:spacing w:after="0"/>
              <w:rPr>
                <w:sz w:val="21"/>
                <w:szCs w:val="21"/>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42,996</w:t>
            </w:r>
          </w:p>
        </w:tc>
        <w:tc>
          <w:tcPr>
            <w:tcW w:w="26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spacing w:after="0"/>
              <w:rPr>
                <w:sz w:val="21"/>
                <w:szCs w:val="21"/>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58,756</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gross profit</w:t>
            </w:r>
          </w:p>
        </w:tc>
        <w:tc>
          <w:tcPr>
            <w:tcW w:w="960" w:type="dxa"/>
            <w:vAlign w:val="bottom"/>
          </w:tcPr>
          <w:p>
            <w:pPr>
              <w:jc w:val="right"/>
              <w:ind w:right="774"/>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86,639</w:t>
            </w:r>
          </w:p>
        </w:tc>
        <w:tc>
          <w:tcPr>
            <w:tcW w:w="6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85,404</w:t>
            </w:r>
          </w:p>
        </w:tc>
        <w:tc>
          <w:tcPr>
            <w:tcW w:w="100" w:type="dxa"/>
            <w:vAlign w:val="bottom"/>
          </w:tcPr>
          <w:p>
            <w:pPr>
              <w:spacing w:after="0"/>
              <w:rPr>
                <w:sz w:val="20"/>
                <w:szCs w:val="20"/>
                <w:color w:val="auto"/>
              </w:rPr>
            </w:pPr>
          </w:p>
        </w:tc>
      </w:tr>
      <w:tr>
        <w:trPr>
          <w:trHeight w:val="20"/>
        </w:trPr>
        <w:tc>
          <w:tcPr>
            <w:tcW w:w="774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5913120</wp:posOffset>
            </wp:positionH>
            <wp:positionV relativeFrom="paragraph">
              <wp:posOffset>-992505</wp:posOffset>
            </wp:positionV>
            <wp:extent cx="6858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-992505</wp:posOffset>
            </wp:positionV>
            <wp:extent cx="6858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5913120</wp:posOffset>
            </wp:positionH>
            <wp:positionV relativeFrom="paragraph">
              <wp:posOffset>-187960</wp:posOffset>
            </wp:positionV>
            <wp:extent cx="6858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37" w:lineRule="exact"/>
        <w:rPr>
          <w:sz w:val="20"/>
          <w:szCs w:val="20"/>
          <w:color w:val="auto"/>
        </w:rPr>
      </w:pPr>
    </w:p>
    <w:p>
      <w:pPr>
        <w:jc w:val="both"/>
        <w:ind w:right="100" w:firstLine="509"/>
        <w:spacing w:after="0" w:line="281" w:lineRule="auto"/>
        <w:rPr>
          <w:sz w:val="20"/>
          <w:szCs w:val="20"/>
          <w:color w:val="auto"/>
        </w:rPr>
      </w:pPr>
      <w:r>
        <w:rPr>
          <w:rFonts w:ascii="Times New Roman" w:cs="Times New Roman" w:eastAsia="Times New Roman" w:hAnsi="Times New Roman"/>
          <w:sz w:val="18"/>
          <w:szCs w:val="18"/>
          <w:color w:val="auto"/>
        </w:rPr>
        <w:t>The CODM manages assets on a total company basis, not by operating segments; therefore, asset information and capital expenditures by operating segments are not presented.</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Geographic Information</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our net revenue by geographic region based on the location of the customer (in thousands):</w:t>
      </w:r>
    </w:p>
    <w:p>
      <w:pPr>
        <w:spacing w:after="0" w:line="21" w:lineRule="exact"/>
        <w:rPr>
          <w:sz w:val="20"/>
          <w:szCs w:val="20"/>
          <w:color w:val="auto"/>
        </w:rPr>
      </w:pPr>
    </w:p>
    <w:p>
      <w:pPr>
        <w:jc w:val="center"/>
        <w:ind w:left="760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jc w:val="center"/>
        <w:ind w:left="760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4911090</wp:posOffset>
            </wp:positionH>
            <wp:positionV relativeFrom="paragraph">
              <wp:posOffset>5080</wp:posOffset>
            </wp:positionV>
            <wp:extent cx="215773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2157730" cy="8255"/>
                    </a:xfrm>
                    <a:prstGeom prst="rect">
                      <a:avLst/>
                    </a:prstGeom>
                    <a:noFill/>
                  </pic:spPr>
                </pic:pic>
              </a:graphicData>
            </a:graphic>
          </wp:anchor>
        </w:drawing>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740" w:type="dxa"/>
            <w:vAlign w:val="bottom"/>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20" w:type="dxa"/>
            <w:vAlign w:val="bottom"/>
            <w:tcBorders>
              <w:bottom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r>
      <w:tr>
        <w:trPr>
          <w:trHeight w:val="61"/>
        </w:trPr>
        <w:tc>
          <w:tcPr>
            <w:tcW w:w="7740" w:type="dxa"/>
            <w:vAlign w:val="bottom"/>
          </w:tcPr>
          <w:p>
            <w:pPr>
              <w:spacing w:after="0"/>
              <w:rPr>
                <w:sz w:val="5"/>
                <w:szCs w:val="5"/>
                <w:color w:val="auto"/>
              </w:rPr>
            </w:pPr>
          </w:p>
        </w:tc>
        <w:tc>
          <w:tcPr>
            <w:tcW w:w="960" w:type="dxa"/>
            <w:vAlign w:val="bottom"/>
          </w:tcPr>
          <w:p>
            <w:pPr>
              <w:spacing w:after="0"/>
              <w:rPr>
                <w:sz w:val="5"/>
                <w:szCs w:val="5"/>
                <w:color w:val="auto"/>
              </w:rPr>
            </w:pPr>
          </w:p>
        </w:tc>
        <w:tc>
          <w:tcPr>
            <w:tcW w:w="620" w:type="dxa"/>
            <w:vAlign w:val="bottom"/>
          </w:tcPr>
          <w:p>
            <w:pPr>
              <w:spacing w:after="0"/>
              <w:rPr>
                <w:sz w:val="5"/>
                <w:szCs w:val="5"/>
                <w:color w:val="auto"/>
              </w:rPr>
            </w:pPr>
          </w:p>
        </w:tc>
        <w:tc>
          <w:tcPr>
            <w:tcW w:w="260" w:type="dxa"/>
            <w:vAlign w:val="bottom"/>
          </w:tcPr>
          <w:p>
            <w:pPr>
              <w:spacing w:after="0"/>
              <w:rPr>
                <w:sz w:val="5"/>
                <w:szCs w:val="5"/>
                <w:color w:val="auto"/>
              </w:rPr>
            </w:pPr>
          </w:p>
        </w:tc>
        <w:tc>
          <w:tcPr>
            <w:tcW w:w="360" w:type="dxa"/>
            <w:vAlign w:val="bottom"/>
          </w:tcPr>
          <w:p>
            <w:pPr>
              <w:spacing w:after="0"/>
              <w:rPr>
                <w:sz w:val="5"/>
                <w:szCs w:val="5"/>
                <w:color w:val="auto"/>
              </w:rPr>
            </w:pPr>
          </w:p>
        </w:tc>
        <w:tc>
          <w:tcPr>
            <w:tcW w:w="1200" w:type="dxa"/>
            <w:vAlign w:val="bottom"/>
          </w:tcPr>
          <w:p>
            <w:pPr>
              <w:spacing w:after="0"/>
              <w:rPr>
                <w:sz w:val="5"/>
                <w:szCs w:val="5"/>
                <w:color w:val="auto"/>
              </w:rPr>
            </w:pPr>
          </w:p>
        </w:tc>
        <w:tc>
          <w:tcPr>
            <w:tcW w:w="100" w:type="dxa"/>
            <w:vAlign w:val="bottom"/>
          </w:tcPr>
          <w:p>
            <w:pPr>
              <w:spacing w:after="0"/>
              <w:rPr>
                <w:sz w:val="5"/>
                <w:szCs w:val="5"/>
                <w:color w:val="auto"/>
              </w:rPr>
            </w:pPr>
          </w:p>
        </w:tc>
      </w:tr>
      <w:tr>
        <w:trPr>
          <w:trHeight w:val="223"/>
        </w:trPr>
        <w:tc>
          <w:tcPr>
            <w:tcW w:w="77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Net revenue</w:t>
            </w:r>
          </w:p>
        </w:tc>
        <w:tc>
          <w:tcPr>
            <w:tcW w:w="960" w:type="dxa"/>
            <w:vAlign w:val="bottom"/>
            <w:tcBorders>
              <w:bottom w:val="single" w:sz="8" w:color="CFF0FC"/>
            </w:tcBorders>
            <w:shd w:val="clear" w:color="auto" w:fill="CFF0FC"/>
          </w:tcPr>
          <w:p>
            <w:pPr>
              <w:spacing w:after="0"/>
              <w:rPr>
                <w:sz w:val="19"/>
                <w:szCs w:val="19"/>
                <w:color w:val="auto"/>
              </w:rPr>
            </w:pPr>
          </w:p>
        </w:tc>
        <w:tc>
          <w:tcPr>
            <w:tcW w:w="62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CFF0FC"/>
            </w:tcBorders>
            <w:shd w:val="clear" w:color="auto" w:fill="CFF0FC"/>
          </w:tcPr>
          <w:p>
            <w:pPr>
              <w:spacing w:after="0"/>
              <w:rPr>
                <w:sz w:val="19"/>
                <w:szCs w:val="19"/>
                <w:color w:val="auto"/>
              </w:rPr>
            </w:pPr>
          </w:p>
        </w:tc>
        <w:tc>
          <w:tcPr>
            <w:tcW w:w="120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r>
      <w:tr>
        <w:trPr>
          <w:trHeight w:val="238"/>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Americas</w:t>
            </w:r>
          </w:p>
        </w:tc>
        <w:tc>
          <w:tcPr>
            <w:tcW w:w="960" w:type="dxa"/>
            <w:vAlign w:val="bottom"/>
          </w:tcPr>
          <w:p>
            <w:pPr>
              <w:jc w:val="right"/>
              <w:ind w:right="776"/>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174,972</w:t>
            </w:r>
          </w:p>
        </w:tc>
        <w:tc>
          <w:tcPr>
            <w:tcW w:w="62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185,898</w:t>
            </w:r>
          </w:p>
        </w:tc>
        <w:tc>
          <w:tcPr>
            <w:tcW w:w="100" w:type="dxa"/>
            <w:vAlign w:val="bottom"/>
          </w:tcPr>
          <w:p>
            <w:pPr>
              <w:spacing w:after="0"/>
              <w:rPr>
                <w:sz w:val="20"/>
                <w:szCs w:val="20"/>
                <w:color w:val="auto"/>
              </w:rPr>
            </w:pPr>
          </w:p>
        </w:tc>
      </w:tr>
      <w:tr>
        <w:trPr>
          <w:trHeight w:val="247"/>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Europe and Middle East</w:t>
            </w:r>
          </w:p>
        </w:tc>
        <w:tc>
          <w:tcPr>
            <w:tcW w:w="960" w:type="dxa"/>
            <w:vAlign w:val="bottom"/>
            <w:shd w:val="clear" w:color="auto" w:fill="CFF0FC"/>
          </w:tcPr>
          <w:p>
            <w:pPr>
              <w:spacing w:after="0"/>
              <w:rPr>
                <w:sz w:val="21"/>
                <w:szCs w:val="21"/>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115,735</w:t>
            </w:r>
          </w:p>
        </w:tc>
        <w:tc>
          <w:tcPr>
            <w:tcW w:w="26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113,441</w:t>
            </w:r>
          </w:p>
        </w:tc>
        <w:tc>
          <w:tcPr>
            <w:tcW w:w="100" w:type="dxa"/>
            <w:vAlign w:val="bottom"/>
            <w:shd w:val="clear" w:color="auto" w:fill="CFF0FC"/>
          </w:tcPr>
          <w:p>
            <w:pPr>
              <w:spacing w:after="0"/>
              <w:rPr>
                <w:sz w:val="21"/>
                <w:szCs w:val="21"/>
                <w:color w:val="auto"/>
              </w:rPr>
            </w:pPr>
          </w:p>
        </w:tc>
      </w:tr>
      <w:tr>
        <w:trPr>
          <w:trHeight w:val="238"/>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Asia Pacific</w:t>
            </w:r>
          </w:p>
        </w:tc>
        <w:tc>
          <w:tcPr>
            <w:tcW w:w="96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46,550</w:t>
            </w:r>
          </w:p>
        </w:tc>
        <w:tc>
          <w:tcPr>
            <w:tcW w:w="26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54,625</w:t>
            </w:r>
          </w:p>
        </w:tc>
        <w:tc>
          <w:tcPr>
            <w:tcW w:w="100" w:type="dxa"/>
            <w:vAlign w:val="bottom"/>
          </w:tcPr>
          <w:p>
            <w:pPr>
              <w:spacing w:after="0"/>
              <w:rPr>
                <w:sz w:val="20"/>
                <w:szCs w:val="20"/>
                <w:color w:val="auto"/>
              </w:rPr>
            </w:pPr>
          </w:p>
        </w:tc>
      </w:tr>
      <w:tr>
        <w:trPr>
          <w:trHeight w:val="276"/>
        </w:trPr>
        <w:tc>
          <w:tcPr>
            <w:tcW w:w="77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 net revenue</w:t>
            </w:r>
          </w:p>
        </w:tc>
        <w:tc>
          <w:tcPr>
            <w:tcW w:w="960" w:type="dxa"/>
            <w:vAlign w:val="bottom"/>
            <w:tcBorders>
              <w:bottom w:val="single" w:sz="8" w:color="auto"/>
            </w:tcBorders>
            <w:shd w:val="clear" w:color="auto" w:fill="CFF0FC"/>
          </w:tcPr>
          <w:p>
            <w:pPr>
              <w:jc w:val="right"/>
              <w:ind w:right="776"/>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337,257</w:t>
            </w:r>
          </w:p>
        </w:tc>
        <w:tc>
          <w:tcPr>
            <w:tcW w:w="260" w:type="dxa"/>
            <w:vAlign w:val="bottom"/>
            <w:tcBorders>
              <w:bottom w:val="single" w:sz="8" w:color="CFF0FC"/>
            </w:tcBorders>
            <w:shd w:val="clear" w:color="auto" w:fill="CFF0FC"/>
          </w:tcPr>
          <w:p>
            <w:pPr>
              <w:spacing w:after="0"/>
              <w:rPr>
                <w:sz w:val="24"/>
                <w:szCs w:val="24"/>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353,964</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5913120</wp:posOffset>
            </wp:positionH>
            <wp:positionV relativeFrom="paragraph">
              <wp:posOffset>-24765</wp:posOffset>
            </wp:positionV>
            <wp:extent cx="6858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5913120</wp:posOffset>
            </wp:positionH>
            <wp:positionV relativeFrom="paragraph">
              <wp:posOffset>-7620</wp:posOffset>
            </wp:positionV>
            <wp:extent cx="6858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50" w:lineRule="exact"/>
        <w:rPr>
          <w:sz w:val="20"/>
          <w:szCs w:val="20"/>
          <w:color w:val="auto"/>
        </w:rPr>
      </w:pPr>
    </w:p>
    <w:p>
      <w:pPr>
        <w:ind w:right="720" w:firstLine="509"/>
        <w:spacing w:after="0" w:line="281" w:lineRule="auto"/>
        <w:rPr>
          <w:sz w:val="20"/>
          <w:szCs w:val="20"/>
          <w:color w:val="auto"/>
        </w:rPr>
      </w:pPr>
      <w:r>
        <w:rPr>
          <w:rFonts w:ascii="Times New Roman" w:cs="Times New Roman" w:eastAsia="Times New Roman" w:hAnsi="Times New Roman"/>
          <w:sz w:val="18"/>
          <w:szCs w:val="18"/>
          <w:color w:val="auto"/>
        </w:rPr>
        <w:t>Revenues from sales to customers in the United States represented 45.6% and 46.2% for the three months ended March 31, 2024 and 2023, respectively. No other single country represented 10% or more of total net revenue during these periods.</w:t>
      </w:r>
    </w:p>
    <w:p>
      <w:pPr>
        <w:spacing w:after="0" w:line="55" w:lineRule="exact"/>
        <w:rPr>
          <w:sz w:val="20"/>
          <w:szCs w:val="20"/>
          <w:color w:val="auto"/>
        </w:rPr>
      </w:pPr>
    </w:p>
    <w:p>
      <w:pPr>
        <w:ind w:right="80" w:firstLine="509"/>
        <w:spacing w:after="0" w:line="265" w:lineRule="auto"/>
        <w:rPr>
          <w:sz w:val="20"/>
          <w:szCs w:val="20"/>
          <w:color w:val="auto"/>
        </w:rPr>
      </w:pPr>
      <w:r>
        <w:rPr>
          <w:rFonts w:ascii="Times New Roman" w:cs="Times New Roman" w:eastAsia="Times New Roman" w:hAnsi="Times New Roman"/>
          <w:sz w:val="18"/>
          <w:szCs w:val="18"/>
          <w:color w:val="auto"/>
        </w:rPr>
        <w:t>Two customers represented 27.7% and 11.4% of our total net revenue for the three months ended March 31, 2024. One customer represented 25.8% of our total net revenue for the three months ended March 31, 2023. No other customer represented 10% or more of our total net revenue during these periods.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Redeemable Noncontrolling Interest ("RNCI")</w:t>
      </w:r>
    </w:p>
    <w:p>
      <w:pPr>
        <w:spacing w:after="0" w:line="121" w:lineRule="exact"/>
        <w:rPr>
          <w:sz w:val="20"/>
          <w:szCs w:val="20"/>
          <w:color w:val="auto"/>
        </w:rPr>
      </w:pPr>
    </w:p>
    <w:p>
      <w:pPr>
        <w:ind w:right="20" w:firstLine="509"/>
        <w:spacing w:after="0" w:line="281" w:lineRule="auto"/>
        <w:rPr>
          <w:sz w:val="20"/>
          <w:szCs w:val="20"/>
          <w:color w:val="auto"/>
        </w:rPr>
      </w:pPr>
      <w:r>
        <w:rPr>
          <w:rFonts w:ascii="Times New Roman" w:cs="Times New Roman" w:eastAsia="Times New Roman" w:hAnsi="Times New Roman"/>
          <w:sz w:val="18"/>
          <w:szCs w:val="18"/>
          <w:color w:val="auto"/>
        </w:rPr>
        <w:t>On January 1, 2022, we acquired a 51% ownership stake in Elgato iDisplay Holdings LTD. and its related companies (together “iDisplay”). We have determined that we have a controlling financial interest in iDisplay under the VOE model.</w:t>
      </w:r>
    </w:p>
    <w:p>
      <w:pPr>
        <w:spacing w:after="0" w:line="55" w:lineRule="exact"/>
        <w:rPr>
          <w:sz w:val="20"/>
          <w:szCs w:val="20"/>
          <w:color w:val="auto"/>
        </w:rPr>
      </w:pPr>
    </w:p>
    <w:p>
      <w:pPr>
        <w:ind w:right="20" w:firstLine="509"/>
        <w:spacing w:after="0" w:line="260" w:lineRule="auto"/>
        <w:rPr>
          <w:sz w:val="20"/>
          <w:szCs w:val="20"/>
          <w:color w:val="auto"/>
        </w:rPr>
      </w:pPr>
      <w:r>
        <w:rPr>
          <w:rFonts w:ascii="Times New Roman" w:cs="Times New Roman" w:eastAsia="Times New Roman" w:hAnsi="Times New Roman"/>
          <w:sz w:val="18"/>
          <w:szCs w:val="18"/>
          <w:color w:val="auto"/>
        </w:rPr>
        <w:t>Under the Shareholders Agreement between Corsair and the iDisplay Seller a put option was provided to the iDisplay Seller to transfer to Corsair (i) 14% of their ownership interest in iDisplay upon the first anniversary of the Closing Date of the iDisplay Acquisition, and (ii) an additional 15% of their ownership interest in iDisplay upon the second anniversary of the Closing Date. The put option will expire after January 1, 2025. As of March 31, 2024, the iDisplay Seller has not exercised the put option for the transfer of the 29% of their ownership interest to Corsair.</w:t>
      </w:r>
    </w:p>
    <w:p>
      <w:pPr>
        <w:spacing w:after="0" w:line="74" w:lineRule="exact"/>
        <w:rPr>
          <w:sz w:val="20"/>
          <w:szCs w:val="20"/>
          <w:color w:val="auto"/>
        </w:rPr>
      </w:pPr>
    </w:p>
    <w:p>
      <w:pPr>
        <w:ind w:right="120" w:firstLine="509"/>
        <w:spacing w:after="0" w:line="281" w:lineRule="auto"/>
        <w:rPr>
          <w:sz w:val="20"/>
          <w:szCs w:val="20"/>
          <w:color w:val="auto"/>
        </w:rPr>
      </w:pPr>
      <w:r>
        <w:rPr>
          <w:rFonts w:ascii="Times New Roman" w:cs="Times New Roman" w:eastAsia="Times New Roman" w:hAnsi="Times New Roman"/>
          <w:sz w:val="18"/>
          <w:szCs w:val="18"/>
          <w:color w:val="auto"/>
        </w:rPr>
        <w:t>The exercise price of the put option is based on multiples of iDisplay’s historical TTM EBITDA less any debt. The put option makes this portion of the noncontrolling interest redeemable and therefore, the RNCI is classified as temporary equity on our</w:t>
      </w:r>
    </w:p>
    <w:p>
      <w:pPr>
        <w:sectPr>
          <w:pgSz w:w="11900" w:h="16838" w:orient="portrait"/>
          <w:cols w:equalWidth="0" w:num="1">
            <w:col w:w="11240"/>
          </w:cols>
          <w:pgMar w:left="320" w:top="360" w:right="339" w:bottom="1440" w:gutter="0" w:footer="0" w:header="0"/>
        </w:sect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Corsair Gaming, Inc. | Q1 2024 Form 10-Q | 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157720"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type w:val="continuous"/>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right="360"/>
        <w:spacing w:after="0" w:line="265" w:lineRule="auto"/>
        <w:rPr>
          <w:sz w:val="20"/>
          <w:szCs w:val="20"/>
          <w:color w:val="auto"/>
        </w:rPr>
      </w:pPr>
      <w:r>
        <w:rPr>
          <w:rFonts w:ascii="Times New Roman" w:cs="Times New Roman" w:eastAsia="Times New Roman" w:hAnsi="Times New Roman"/>
          <w:sz w:val="18"/>
          <w:szCs w:val="18"/>
          <w:color w:val="auto"/>
        </w:rPr>
        <w:t>condensed consolidated balance sheets and carried at the greater of the initial carrying amount, increased or decreased, for the RNCI share of comprehensive income (loss), contributions and distributions, or the redemption value. The change in redemption value is recognized through retained earnings.</w:t>
      </w:r>
    </w:p>
    <w:p>
      <w:pPr>
        <w:spacing w:after="0" w:line="6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presents the changes in RNCI for the periods presented (in thousands):</w:t>
      </w:r>
    </w:p>
    <w:p>
      <w:pPr>
        <w:spacing w:after="0" w:line="21" w:lineRule="exact"/>
        <w:rPr>
          <w:sz w:val="20"/>
          <w:szCs w:val="20"/>
          <w:color w:val="auto"/>
        </w:rPr>
      </w:pPr>
    </w:p>
    <w:p>
      <w:pPr>
        <w:jc w:val="center"/>
        <w:ind w:left="766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jc w:val="center"/>
        <w:ind w:left="766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4937125</wp:posOffset>
            </wp:positionH>
            <wp:positionV relativeFrom="paragraph">
              <wp:posOffset>5080</wp:posOffset>
            </wp:positionV>
            <wp:extent cx="213233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2132330" cy="8255"/>
                    </a:xfrm>
                    <a:prstGeom prst="rect">
                      <a:avLst/>
                    </a:prstGeom>
                    <a:noFill/>
                  </pic:spPr>
                </pic:pic>
              </a:graphicData>
            </a:graphic>
          </wp:anchor>
        </w:drawing>
      </w:r>
    </w:p>
    <w:p>
      <w:pPr>
        <w:ind w:left="8420"/>
        <w:spacing w:after="0"/>
        <w:tabs>
          <w:tab w:leader="none" w:pos="10180" w:val="left"/>
        </w:tabs>
        <w:rPr>
          <w:sz w:val="20"/>
          <w:szCs w:val="20"/>
          <w:color w:val="auto"/>
        </w:rPr>
      </w:pPr>
      <w:r>
        <w:rPr>
          <w:rFonts w:ascii="Times New Roman" w:cs="Times New Roman" w:eastAsia="Times New Roman" w:hAnsi="Times New Roman"/>
          <w:sz w:val="14"/>
          <w:szCs w:val="14"/>
          <w:b w:val="1"/>
          <w:bCs w:val="1"/>
          <w:color w:val="auto"/>
        </w:rPr>
        <w:t>2024</w:t>
      </w:r>
      <w:r>
        <w:rPr>
          <w:sz w:val="20"/>
          <w:szCs w:val="20"/>
          <w:color w:val="auto"/>
        </w:rPr>
        <w:tab/>
      </w:r>
      <w:r>
        <w:rPr>
          <w:rFonts w:ascii="Times New Roman" w:cs="Times New Roman" w:eastAsia="Times New Roman" w:hAnsi="Times New Roman"/>
          <w:sz w:val="14"/>
          <w:szCs w:val="14"/>
          <w:b w:val="1"/>
          <w:bCs w:val="1"/>
          <w:color w:val="auto"/>
        </w:rPr>
        <w:t>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4937125</wp:posOffset>
            </wp:positionH>
            <wp:positionV relativeFrom="paragraph">
              <wp:posOffset>16510</wp:posOffset>
            </wp:positionV>
            <wp:extent cx="213233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2132330" cy="8255"/>
                    </a:xfrm>
                    <a:prstGeom prst="rect">
                      <a:avLst/>
                    </a:prstGeom>
                    <a:noFill/>
                  </pic:spPr>
                </pic:pic>
              </a:graphicData>
            </a:graphic>
          </wp:anchor>
        </w:drawing>
      </w:r>
    </w:p>
    <w:p>
      <w:pPr>
        <w:sectPr>
          <w:pgSz w:w="11900" w:h="16838" w:orient="portrait"/>
          <w:cols w:equalWidth="0" w:num="1">
            <w:col w:w="11200"/>
          </w:cols>
          <w:pgMar w:left="320" w:top="360" w:right="379" w:bottom="1440" w:gutter="0" w:footer="0" w:header="0"/>
        </w:sectPr>
      </w:pPr>
    </w:p>
    <w:p>
      <w:pPr>
        <w:spacing w:after="0" w:line="11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Balance at beginning of period</w:t>
      </w:r>
    </w:p>
    <w:p>
      <w:pPr>
        <w:spacing w:after="0" w:line="3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Share of net income</w:t>
      </w:r>
    </w:p>
    <w:p>
      <w:pPr>
        <w:spacing w:after="0" w:line="3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Share of other comprehensive income (loss)</w:t>
      </w:r>
    </w:p>
    <w:p>
      <w:pPr>
        <w:spacing w:after="0" w:line="4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Dividend paid</w:t>
      </w:r>
    </w:p>
    <w:p>
      <w:pPr>
        <w:spacing w:after="0" w:line="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 xml:space="preserve">Change in redemption value </w:t>
      </w:r>
      <w:r>
        <w:rPr>
          <w:rFonts w:ascii="Times New Roman" w:cs="Times New Roman" w:eastAsia="Times New Roman" w:hAnsi="Times New Roman"/>
          <w:sz w:val="24"/>
          <w:szCs w:val="24"/>
          <w:color w:val="auto"/>
          <w:vertAlign w:val="superscript"/>
        </w:rPr>
        <w:t>(1)</w:t>
      </w:r>
    </w:p>
    <w:p>
      <w:pPr>
        <w:spacing w:after="0" w:line="4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Balance at end of period</w:t>
      </w:r>
    </w:p>
    <w:p>
      <w:pPr>
        <w:spacing w:after="0" w:line="20" w:lineRule="exact"/>
        <w:rPr>
          <w:sz w:val="20"/>
          <w:szCs w:val="20"/>
          <w:color w:val="auto"/>
        </w:rPr>
      </w:pPr>
      <w:r>
        <w:rPr>
          <w:sz w:val="20"/>
          <w:szCs w:val="20"/>
          <w:color w:val="auto"/>
        </w:rPr>
        <w:br w:type="column"/>
      </w:r>
    </w:p>
    <w:p>
      <w:pPr>
        <w:spacing w:after="0" w:line="9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58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15,937</w:t>
            </w:r>
          </w:p>
        </w:tc>
        <w:tc>
          <w:tcPr>
            <w:tcW w:w="200" w:type="dxa"/>
            <w:vAlign w:val="bottom"/>
          </w:tcPr>
          <w:p>
            <w:pPr>
              <w:spacing w:after="0"/>
              <w:rPr>
                <w:sz w:val="20"/>
                <w:szCs w:val="20"/>
                <w:color w:val="auto"/>
              </w:rPr>
            </w:pPr>
          </w:p>
        </w:tc>
        <w:tc>
          <w:tcPr>
            <w:tcW w:w="58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21,367</w:t>
            </w:r>
          </w:p>
        </w:tc>
        <w:tc>
          <w:tcPr>
            <w:tcW w:w="60" w:type="dxa"/>
            <w:vAlign w:val="bottom"/>
          </w:tcPr>
          <w:p>
            <w:pPr>
              <w:spacing w:after="0"/>
              <w:rPr>
                <w:sz w:val="20"/>
                <w:szCs w:val="20"/>
                <w:color w:val="auto"/>
              </w:rPr>
            </w:pPr>
          </w:p>
        </w:tc>
      </w:tr>
      <w:tr>
        <w:trPr>
          <w:trHeight w:val="243"/>
        </w:trPr>
        <w:tc>
          <w:tcPr>
            <w:tcW w:w="5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w:t>
            </w:r>
          </w:p>
        </w:tc>
        <w:tc>
          <w:tcPr>
            <w:tcW w:w="2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60" w:type="dxa"/>
            <w:vAlign w:val="bottom"/>
          </w:tcPr>
          <w:p>
            <w:pPr>
              <w:spacing w:after="0"/>
              <w:rPr>
                <w:sz w:val="21"/>
                <w:szCs w:val="21"/>
                <w:color w:val="auto"/>
              </w:rPr>
            </w:pPr>
          </w:p>
        </w:tc>
      </w:tr>
      <w:tr>
        <w:trPr>
          <w:trHeight w:val="243"/>
        </w:trPr>
        <w:tc>
          <w:tcPr>
            <w:tcW w:w="580" w:type="dxa"/>
            <w:vAlign w:val="bottom"/>
          </w:tcPr>
          <w:p>
            <w:pPr>
              <w:spacing w:after="0"/>
              <w:rPr>
                <w:sz w:val="21"/>
                <w:szCs w:val="21"/>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(144 )</w:t>
            </w:r>
          </w:p>
        </w:tc>
        <w:tc>
          <w:tcPr>
            <w:tcW w:w="5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60" w:type="dxa"/>
            <w:vAlign w:val="bottom"/>
          </w:tcPr>
          <w:p>
            <w:pPr>
              <w:spacing w:after="0"/>
              <w:rPr>
                <w:sz w:val="21"/>
                <w:szCs w:val="21"/>
                <w:color w:val="auto"/>
              </w:rPr>
            </w:pPr>
          </w:p>
        </w:tc>
      </w:tr>
      <w:tr>
        <w:trPr>
          <w:trHeight w:val="243"/>
        </w:trPr>
        <w:tc>
          <w:tcPr>
            <w:tcW w:w="580" w:type="dxa"/>
            <w:vAlign w:val="bottom"/>
          </w:tcPr>
          <w:p>
            <w:pPr>
              <w:spacing w:after="0"/>
              <w:rPr>
                <w:sz w:val="21"/>
                <w:szCs w:val="21"/>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(1,160 )</w:t>
            </w:r>
          </w:p>
        </w:tc>
        <w:tc>
          <w:tcPr>
            <w:tcW w:w="580" w:type="dxa"/>
            <w:vAlign w:val="bottom"/>
          </w:tcPr>
          <w:p>
            <w:pPr>
              <w:spacing w:after="0"/>
              <w:rPr>
                <w:sz w:val="21"/>
                <w:szCs w:val="21"/>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5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975</w:t>
            </w:r>
          </w:p>
        </w:tc>
        <w:tc>
          <w:tcPr>
            <w:tcW w:w="2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(958 )</w:t>
            </w:r>
          </w:p>
        </w:tc>
      </w:tr>
      <w:tr>
        <w:trPr>
          <w:trHeight w:val="238"/>
        </w:trPr>
        <w:tc>
          <w:tcPr>
            <w:tcW w:w="58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15,925</w:t>
            </w:r>
          </w:p>
        </w:tc>
        <w:tc>
          <w:tcPr>
            <w:tcW w:w="200" w:type="dxa"/>
            <w:vAlign w:val="bottom"/>
          </w:tcPr>
          <w:p>
            <w:pPr>
              <w:spacing w:after="0"/>
              <w:rPr>
                <w:sz w:val="20"/>
                <w:szCs w:val="20"/>
                <w:color w:val="auto"/>
              </w:rPr>
            </w:pPr>
          </w:p>
        </w:tc>
        <w:tc>
          <w:tcPr>
            <w:tcW w:w="580" w:type="dxa"/>
            <w:vAlign w:val="bottom"/>
            <w:tcBorders>
              <w:top w:val="single" w:sz="8" w:color="auto"/>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20,646</w:t>
            </w:r>
          </w:p>
        </w:tc>
        <w:tc>
          <w:tcPr>
            <w:tcW w:w="60" w:type="dxa"/>
            <w:vAlign w:val="bottom"/>
          </w:tcPr>
          <w:p>
            <w:pPr>
              <w:spacing w:after="0"/>
              <w:rPr>
                <w:sz w:val="20"/>
                <w:szCs w:val="20"/>
                <w:color w:val="auto"/>
              </w:rPr>
            </w:pPr>
          </w:p>
        </w:tc>
      </w:tr>
      <w:tr>
        <w:trPr>
          <w:trHeight w:val="20"/>
        </w:trPr>
        <w:tc>
          <w:tcPr>
            <w:tcW w:w="5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-4934585</wp:posOffset>
            </wp:positionH>
            <wp:positionV relativeFrom="paragraph">
              <wp:posOffset>-958215</wp:posOffset>
            </wp:positionV>
            <wp:extent cx="7132320" cy="15430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-4934585</wp:posOffset>
            </wp:positionH>
            <wp:positionV relativeFrom="paragraph">
              <wp:posOffset>-650240</wp:posOffset>
            </wp:positionV>
            <wp:extent cx="7132320" cy="15430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-4934585</wp:posOffset>
            </wp:positionH>
            <wp:positionV relativeFrom="paragraph">
              <wp:posOffset>-341630</wp:posOffset>
            </wp:positionV>
            <wp:extent cx="7132320" cy="16256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161" w:lineRule="exact"/>
        <w:rPr>
          <w:sz w:val="20"/>
          <w:szCs w:val="20"/>
          <w:color w:val="auto"/>
        </w:rPr>
      </w:pPr>
    </w:p>
    <w:p>
      <w:pPr>
        <w:sectPr>
          <w:pgSz w:w="11900" w:h="16838" w:orient="portrait"/>
          <w:cols w:equalWidth="0" w:num="2">
            <w:col w:w="7060" w:space="720"/>
            <w:col w:w="3420"/>
          </w:cols>
          <w:pgMar w:left="320" w:top="360" w:right="379" w:bottom="1440" w:gutter="0" w:footer="0" w:header="0"/>
          <w:type w:val="continuous"/>
        </w:sectPr>
      </w:pPr>
    </w:p>
    <w:p>
      <w:pPr>
        <w:ind w:left="760" w:right="120" w:hanging="378"/>
        <w:spacing w:after="0" w:line="280" w:lineRule="auto"/>
        <w:tabs>
          <w:tab w:leader="none" w:pos="76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6"/>
          <w:szCs w:val="16"/>
          <w:color w:val="auto"/>
        </w:rPr>
        <w:t>These amounts represent increases or (decreases) in redemption value over the carrying value for the respective periods. These amounts were recorded as an offset to retained earnings impacting the net income (loss) used in the calculation of net income (loss) per share attributable to common stockholders of Corsair Gaming, Inc. for these periods.</w:t>
      </w:r>
    </w:p>
    <w:p>
      <w:pPr>
        <w:spacing w:after="0" w:line="39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Corsair Gaming, Inc. | Q1 2024 Form 10-Q | 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60" w:right="379" w:bottom="1440" w:gutter="0" w:footer="0" w:header="0"/>
          <w:type w:val="continuous"/>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RESULTS OF OPERATIONS</w:t>
      </w:r>
    </w:p>
    <w:p>
      <w:pPr>
        <w:spacing w:after="0" w:line="96"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i w:val="1"/>
          <w:iCs w:val="1"/>
          <w:color w:val="auto"/>
        </w:rPr>
        <w:t>You should read the following discussion and analysis of our financial condition and results of operations in conjunction with the condensed consolidated financial statements and the related notes included elsewhere in this Quarterly Report on Form 10-Q as well as in conjunction with the Risk Factors set forth in Part I, Item 1A of our Annual Report on Form 10-K for the year ended December 31, 2023, as filed with the United States Securities and Exchange Commission (“SEC”) on February 27, 2024. The following discussion contains forward-looking statements based upon current expectations that involve risks and uncertainties. Our actual results could differ materially from those anticipated in these forward-looking statements as a result of many factors, including but not limited to those discussed under the heading “Risk Factors” in Part I, Item 1A of our Annual Report on Form 10-K for the year ended December 31, 2023.</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We are a leading global provider and innovator of high-performance products for gamers and digital creators, such as streamers, Vloggers and broadcasters, many of which build their own PCs using our components. Our industry-leading gaming products help digital athletes, from casual gamers to committed professionals, perform at their peak across PC or console platforms, and our streaming products enable creators to produce studio-quality content to share with friends or to broadcast to millions of fans. Our PC components products offer our customers multiple options to build their customized gaming and workstation desktop PCs. Our solution is the most complete suite of products that address the most critical components for both game performance and streaming. Our product offering is enhanced by our two proprietary software platforms: iCUE for gamers and the Elgato streaming suite for content creators, including our Stream Deck control software, which provide unified, intuitive performance, and aesthetic control and customization across their respective product families. We also offer digital services to enhance the customer experience by integrating esports, coaching, Elgato's marketplace, customer care and extended warranty into our product offerings.</w:t>
      </w:r>
    </w:p>
    <w:p>
      <w:pPr>
        <w:spacing w:after="0" w:line="7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group our products into two categories (operating segments):</w:t>
      </w:r>
    </w:p>
    <w:p>
      <w:pPr>
        <w:spacing w:after="0" w:line="113" w:lineRule="exact"/>
        <w:rPr>
          <w:sz w:val="20"/>
          <w:szCs w:val="20"/>
          <w:color w:val="auto"/>
        </w:rPr>
      </w:pPr>
    </w:p>
    <w:p>
      <w:pPr>
        <w:ind w:left="1260" w:right="20" w:hanging="368"/>
        <w:spacing w:after="0" w:line="268" w:lineRule="auto"/>
        <w:tabs>
          <w:tab w:leader="none" w:pos="12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Gamer and Creator Peripherals. </w:t>
      </w:r>
      <w:r>
        <w:rPr>
          <w:rFonts w:ascii="Times New Roman" w:cs="Times New Roman" w:eastAsia="Times New Roman" w:hAnsi="Times New Roman"/>
          <w:sz w:val="18"/>
          <w:szCs w:val="18"/>
          <w:color w:val="auto"/>
        </w:rPr>
        <w:t>Includes our high-performance gaming keyboards, mice, headsets, controllers, and streaming products,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which includes capture cards, Stream Decks, microphones and audio interfaces, our Facecam streaming cameras, studio accessories, and gaming furniture, among others.</w:t>
      </w:r>
    </w:p>
    <w:p>
      <w:pPr>
        <w:spacing w:after="0" w:line="61" w:lineRule="exact"/>
        <w:rPr>
          <w:rFonts w:ascii="Times New Roman" w:cs="Times New Roman" w:eastAsia="Times New Roman" w:hAnsi="Times New Roman"/>
          <w:sz w:val="18"/>
          <w:szCs w:val="18"/>
          <w:color w:val="auto"/>
        </w:rPr>
      </w:pPr>
    </w:p>
    <w:p>
      <w:pPr>
        <w:ind w:left="1260" w:right="60" w:hanging="368"/>
        <w:spacing w:after="0" w:line="286" w:lineRule="auto"/>
        <w:tabs>
          <w:tab w:leader="none" w:pos="12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Gaming Components and Systems. </w:t>
      </w:r>
      <w:r>
        <w:rPr>
          <w:rFonts w:ascii="Times New Roman" w:cs="Times New Roman" w:eastAsia="Times New Roman" w:hAnsi="Times New Roman"/>
          <w:sz w:val="18"/>
          <w:szCs w:val="18"/>
          <w:color w:val="auto"/>
        </w:rPr>
        <w:t>Includes our high-performance power supply units, or PSUs, cooling solutions, computer cases,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DRAM modules, as well as high-end prebuilt and custom-built gaming PCs and laptops, and gaming monitors, among others.</w:t>
      </w:r>
    </w:p>
    <w:p>
      <w:pPr>
        <w:spacing w:after="0" w:line="50" w:lineRule="exact"/>
        <w:rPr>
          <w:sz w:val="20"/>
          <w:szCs w:val="20"/>
          <w:color w:val="auto"/>
        </w:rPr>
      </w:pPr>
    </w:p>
    <w:p>
      <w:pPr>
        <w:jc w:val="both"/>
        <w:ind w:right="80" w:firstLine="509"/>
        <w:spacing w:after="0" w:line="288" w:lineRule="auto"/>
        <w:rPr>
          <w:sz w:val="20"/>
          <w:szCs w:val="20"/>
          <w:color w:val="auto"/>
        </w:rPr>
      </w:pPr>
      <w:r>
        <w:rPr>
          <w:rFonts w:ascii="Times New Roman" w:cs="Times New Roman" w:eastAsia="Times New Roman" w:hAnsi="Times New Roman"/>
          <w:sz w:val="17"/>
          <w:szCs w:val="17"/>
          <w:color w:val="auto"/>
        </w:rPr>
        <w:t>We started 2024 with year-over-year growth and increase in gross margin in the first quarter for our Gamer and Creator Peripherals segment, driven primarily by recent new product launches, including our Stream Deck products, as well as new PC controllers, keyboards, headsets and mice. Demand was slower in the component market as is normal in this stage of the GPU cycle but we believe that we continue to have a high market share in this space.</w:t>
      </w:r>
    </w:p>
    <w:p>
      <w:pPr>
        <w:spacing w:after="0" w:line="51" w:lineRule="exact"/>
        <w:rPr>
          <w:sz w:val="20"/>
          <w:szCs w:val="20"/>
          <w:color w:val="auto"/>
        </w:rPr>
      </w:pPr>
    </w:p>
    <w:p>
      <w:pPr>
        <w:jc w:val="both"/>
        <w:ind w:right="20" w:firstLine="509"/>
        <w:spacing w:after="0" w:line="265" w:lineRule="auto"/>
        <w:rPr>
          <w:sz w:val="20"/>
          <w:szCs w:val="20"/>
          <w:color w:val="auto"/>
        </w:rPr>
      </w:pPr>
      <w:r>
        <w:rPr>
          <w:rFonts w:ascii="Times New Roman" w:cs="Times New Roman" w:eastAsia="Times New Roman" w:hAnsi="Times New Roman"/>
          <w:sz w:val="18"/>
          <w:szCs w:val="18"/>
          <w:color w:val="auto"/>
        </w:rPr>
        <w:t>Furthermore, we successfully expanded the retail presence of Corsair’s full suite of gaming and creator products, introduced the Drop product line to retail channels, expanded our SCUF Gaming product lines in retail, and strengthened our partnerships with several major online retailers. We believe these initiatives will help solidify our position in the market.</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of Financial Results</w:t>
      </w:r>
    </w:p>
    <w:p>
      <w:pPr>
        <w:spacing w:after="0" w:line="121" w:lineRule="exact"/>
        <w:rPr>
          <w:sz w:val="20"/>
          <w:szCs w:val="20"/>
          <w:color w:val="auto"/>
        </w:rPr>
      </w:pPr>
    </w:p>
    <w:p>
      <w:pPr>
        <w:ind w:right="240" w:firstLine="509"/>
        <w:spacing w:after="0" w:line="265" w:lineRule="auto"/>
        <w:rPr>
          <w:sz w:val="20"/>
          <w:szCs w:val="20"/>
          <w:color w:val="auto"/>
        </w:rPr>
      </w:pPr>
      <w:r>
        <w:rPr>
          <w:rFonts w:ascii="Times New Roman" w:cs="Times New Roman" w:eastAsia="Times New Roman" w:hAnsi="Times New Roman"/>
          <w:sz w:val="18"/>
          <w:szCs w:val="18"/>
          <w:color w:val="auto"/>
        </w:rPr>
        <w:t>Our net revenue was $337.3 million and $354.0 million for the three months ended March 31, 2024,and 2023, respectively. Our gross margin was 25.7% and 24.1% for the three months ended March 31, 2024 and 2023, respectively. We had a net loss of $11.6 million and $2.0 million for the three months ended March 31, 2024 and 2023, respectively.</w:t>
      </w:r>
    </w:p>
    <w:p>
      <w:pPr>
        <w:spacing w:after="0" w:line="69" w:lineRule="exact"/>
        <w:rPr>
          <w:sz w:val="20"/>
          <w:szCs w:val="20"/>
          <w:color w:val="auto"/>
        </w:rPr>
      </w:pPr>
    </w:p>
    <w:p>
      <w:pPr>
        <w:ind w:right="180" w:firstLine="509"/>
        <w:spacing w:after="0" w:line="265" w:lineRule="auto"/>
        <w:rPr>
          <w:sz w:val="20"/>
          <w:szCs w:val="20"/>
          <w:color w:val="auto"/>
        </w:rPr>
      </w:pPr>
      <w:r>
        <w:rPr>
          <w:rFonts w:ascii="Times New Roman" w:cs="Times New Roman" w:eastAsia="Times New Roman" w:hAnsi="Times New Roman"/>
          <w:sz w:val="18"/>
          <w:szCs w:val="18"/>
          <w:color w:val="auto"/>
        </w:rPr>
        <w:t>As of March 31, 2024, we had cash and restricted cash, in the aggregate of $130.2 million and the principal balance outstanding on our Term Loan was $184.0 million. Cash used in operations was $26.3 million for the three months ended March 31, 2024, and cash provided by operations was $41.8 million for the three months ended March 31, 2023.</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Factors Affecting Our Business</w:t>
      </w:r>
    </w:p>
    <w:p>
      <w:pPr>
        <w:spacing w:after="0" w:line="121" w:lineRule="exact"/>
        <w:rPr>
          <w:sz w:val="20"/>
          <w:szCs w:val="20"/>
          <w:color w:val="auto"/>
        </w:rPr>
      </w:pPr>
    </w:p>
    <w:p>
      <w:pPr>
        <w:ind w:right="300" w:firstLine="509"/>
        <w:spacing w:after="0" w:line="281" w:lineRule="auto"/>
        <w:rPr>
          <w:sz w:val="20"/>
          <w:szCs w:val="20"/>
          <w:color w:val="auto"/>
        </w:rPr>
      </w:pPr>
      <w:r>
        <w:rPr>
          <w:rFonts w:ascii="Times New Roman" w:cs="Times New Roman" w:eastAsia="Times New Roman" w:hAnsi="Times New Roman"/>
          <w:sz w:val="18"/>
          <w:szCs w:val="18"/>
          <w:color w:val="auto"/>
        </w:rPr>
        <w:t>Our results of operations and financial condition are affected by numerous factors, including those discussed under the heading “Risk Factors” in Part I, Item 1A of our Annual Report on Form 10-K for the year ended December 31, 2023 and those described below.</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Impact of Macroeconomic Conditions</w:t>
      </w:r>
    </w:p>
    <w:p>
      <w:pPr>
        <w:spacing w:after="0" w:line="121" w:lineRule="exact"/>
        <w:rPr>
          <w:sz w:val="20"/>
          <w:szCs w:val="20"/>
          <w:color w:val="auto"/>
        </w:rPr>
      </w:pPr>
    </w:p>
    <w:p>
      <w:pPr>
        <w:ind w:right="620" w:firstLine="509"/>
        <w:spacing w:after="0" w:line="281" w:lineRule="auto"/>
        <w:rPr>
          <w:sz w:val="20"/>
          <w:szCs w:val="20"/>
          <w:color w:val="auto"/>
        </w:rPr>
      </w:pPr>
      <w:r>
        <w:rPr>
          <w:rFonts w:ascii="Times New Roman" w:cs="Times New Roman" w:eastAsia="Times New Roman" w:hAnsi="Times New Roman"/>
          <w:sz w:val="18"/>
          <w:szCs w:val="18"/>
          <w:color w:val="auto"/>
        </w:rPr>
        <w:t>Our business and financial performance depend significantly on worldwide economic conditions. We face global macroeconomic challenges including the ongoing effects of geopolitical conflicts, such as the ongoing war between Russia and</w:t>
      </w:r>
    </w:p>
    <w:p>
      <w:pPr>
        <w:sectPr>
          <w:pgSz w:w="11900" w:h="16838" w:orient="portrait"/>
          <w:cols w:equalWidth="0" w:num="1">
            <w:col w:w="11240"/>
          </w:cols>
          <w:pgMar w:left="320" w:top="414" w:right="339" w:bottom="1440" w:gutter="0" w:footer="0" w:header="0"/>
        </w:sect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Corsair Gaming, Inc. | Q1 2024 Form 10-Q | 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80010</wp:posOffset>
            </wp:positionV>
            <wp:extent cx="7157720"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4" w:right="339" w:bottom="1440" w:gutter="0" w:footer="0" w:header="0"/>
          <w:type w:val="continuous"/>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Ukraine, the ongoing conflict in Gaza, including the heightened tensions in the Red Sea, and any potential conflicts between China and Taiwan, supply chain constraints, uncertainty in global financial markets and the risk of a recession, inflationary trends, volatility in exchange rates and evolving dynamics in the global trade environment. We also experience seasonality in the sale of our products, which may be affected by general economic conditions. During 2023, we observed continued market uncertainty and inflationary pressures, however, since the second half of 2023, we observed some recovery in the markets, evidenced by the strong retail sales performance in the fourth quarter of 2023. Based on market indicators and other factors, we expect this trend to repeat in the second half of 2024, but if these indicators proved to be incorrect, our financial results could be negatively impacted. We have in the past experienced, and may continue to experience supply chain disruptions leading to increased logistics costs, such as the increased freight costs from increased air-shipments in the three months ended March 31, 2024 due to the shipping delays caused by the tension in the Red Sea.</w:t>
      </w:r>
    </w:p>
    <w:p>
      <w:pPr>
        <w:spacing w:after="0" w:line="81" w:lineRule="exact"/>
        <w:rPr>
          <w:sz w:val="20"/>
          <w:szCs w:val="20"/>
          <w:color w:val="auto"/>
        </w:rPr>
      </w:pPr>
    </w:p>
    <w:p>
      <w:pPr>
        <w:ind w:right="320" w:firstLine="509"/>
        <w:spacing w:after="0" w:line="258" w:lineRule="auto"/>
        <w:rPr>
          <w:sz w:val="20"/>
          <w:szCs w:val="20"/>
          <w:color w:val="auto"/>
        </w:rPr>
      </w:pPr>
      <w:r>
        <w:rPr>
          <w:rFonts w:ascii="Times New Roman" w:cs="Times New Roman" w:eastAsia="Times New Roman" w:hAnsi="Times New Roman"/>
          <w:sz w:val="18"/>
          <w:szCs w:val="18"/>
          <w:color w:val="auto"/>
        </w:rPr>
        <w:t>We are exposed to fluctuations in foreign currency exchange rates. As a result of our foreign sales and operations, we have revenue, payroll and other operating expenses denominated in foreign currencies, in particular the Chinese Yuan, Euro and British Pound. Unfavorable movement in the exchange rate between the U.S. dollar and the currencies we conduct sales or operate in may negatively impact our financial results. While the foreign currency fluctuations did not have a material impact to our operating results for the three months ending March 31, 2024, there can be no assurance that future foreign currency fluctuations will not have a material impact to our operating results.</w:t>
      </w:r>
    </w:p>
    <w:p>
      <w:pPr>
        <w:spacing w:after="0" w:line="74" w:lineRule="exact"/>
        <w:rPr>
          <w:sz w:val="20"/>
          <w:szCs w:val="20"/>
          <w:color w:val="auto"/>
        </w:rPr>
      </w:pPr>
    </w:p>
    <w:p>
      <w:pPr>
        <w:jc w:val="both"/>
        <w:ind w:right="640" w:firstLine="509"/>
        <w:spacing w:after="0" w:line="265" w:lineRule="auto"/>
        <w:rPr>
          <w:sz w:val="20"/>
          <w:szCs w:val="20"/>
          <w:color w:val="auto"/>
        </w:rPr>
      </w:pPr>
      <w:r>
        <w:rPr>
          <w:rFonts w:ascii="Times New Roman" w:cs="Times New Roman" w:eastAsia="Times New Roman" w:hAnsi="Times New Roman"/>
          <w:sz w:val="18"/>
          <w:szCs w:val="18"/>
          <w:color w:val="auto"/>
        </w:rPr>
        <w:t>The extent of the impact of macroeconomic conditions and geopolitical tensions on our business, sales, results of operations, cash flows and financial condition will depend on future developments, which are not within our control and are highly uncertain and cannot be predicted. We will continue to evaluate these risks and uncertainties and further our mitigation plans.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Impact of Industry Trends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results of operations and financial condition are impacted by industry trends in the gaming market, including:</w:t>
      </w:r>
    </w:p>
    <w:p>
      <w:pPr>
        <w:spacing w:after="0" w:line="115" w:lineRule="exact"/>
        <w:rPr>
          <w:sz w:val="20"/>
          <w:szCs w:val="20"/>
          <w:color w:val="auto"/>
        </w:rPr>
      </w:pPr>
    </w:p>
    <w:p>
      <w:pPr>
        <w:ind w:left="1260" w:right="40" w:hanging="368"/>
        <w:spacing w:after="0" w:line="269" w:lineRule="auto"/>
        <w:tabs>
          <w:tab w:leader="none" w:pos="126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Increasing gaming engagement. </w:t>
      </w:r>
      <w:r>
        <w:rPr>
          <w:rFonts w:ascii="Times New Roman" w:cs="Times New Roman" w:eastAsia="Times New Roman" w:hAnsi="Times New Roman"/>
          <w:sz w:val="17"/>
          <w:szCs w:val="17"/>
          <w:color w:val="auto"/>
        </w:rPr>
        <w:t>We believe that gaming’s increasing time share of global entertainment consumption will drive continued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growth in spending on both games and gaming products. Gaming continues to become increasingly social, as streaming viewership becomes more widely adopted along with increasing numbers of content creators. This trend, which has accelerated in the past few years experienced a setback in 2022 primarily due to challenging macroeconomic conditions and the ongoing war between Russia and Ukraine. While the gaming peripherals market showed signs of recovery in 2023 in North America and Europe, the streaming market has yet to recover to pre-2022 levels. As and when it does, we believe that we are well positioned to serve this market with best-in-class tools for content creation. We expect the overall gaming market to enter a new growth phase in 2024 as we enter a refresh cycle from the surge of consumer spending that occurred during the COVID-19 pandemic. Specifically, the video gaming industry is experiencing a significant shift and we believe is poised for continued growth and innovation. The convergence of quality content, console availability, favorable regulatory developments, and the expanded implementation of AI are driving such growth and innovation. As anticipated, we saw a surge in demand for our peripherals products in the three months ended March 31, 2024, and we expect this trend to continue into 2024.</w:t>
      </w:r>
    </w:p>
    <w:p>
      <w:pPr>
        <w:spacing w:after="0" w:line="70" w:lineRule="exact"/>
        <w:rPr>
          <w:rFonts w:ascii="Times New Roman" w:cs="Times New Roman" w:eastAsia="Times New Roman" w:hAnsi="Times New Roman"/>
          <w:sz w:val="17"/>
          <w:szCs w:val="17"/>
          <w:color w:val="auto"/>
        </w:rPr>
      </w:pPr>
    </w:p>
    <w:p>
      <w:pPr>
        <w:ind w:left="1260" w:right="80" w:hanging="368"/>
        <w:spacing w:after="0" w:line="268" w:lineRule="auto"/>
        <w:tabs>
          <w:tab w:leader="none" w:pos="126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Introduction of new high-performance computing hardware and sophisticated games</w:t>
      </w:r>
      <w:r>
        <w:rPr>
          <w:rFonts w:ascii="Times New Roman" w:cs="Times New Roman" w:eastAsia="Times New Roman" w:hAnsi="Times New Roman"/>
          <w:sz w:val="17"/>
          <w:szCs w:val="17"/>
          <w:color w:val="auto"/>
        </w:rPr>
        <w:t>. We believe that the introduction of more powerful</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CPUs and GPUs that place increased demands on other system components, such as memory, power supply or cooling, has a significant effect on increasing the demand for our products. In addition, we believe that the introduction and success of games with sophisticated graphics that place increasing demands on system processing speed and capacity and therefore require more powerful CPUs or GPUs, drives demand for our high-performance gaming components and systems, such as PSUs and cooling solutions, and our gaming PC memory. As a result, our operating results may be materially affected by the timing of, and the rate at which computer hardware companies introduce, new and enhanced CPUs and GPUs, the timing of, and rate at which computer game companies and developers introduce sophisticated new and improved games that require increasingly high levels of system and graphics processing power, and whether these new products and games are widely accepted by gamers. During 2023, we experienced overall demand increase for our gaming components and systems products primarily driven by the self-built PC market expansion from the increase in availability of new and reasonably priced GPUs and CPUs as well as the release of new game titles. In 2024, we will be mid-cycle for new GPU platforms and do not expect a similar increase in demand driven by these new GPU platforms until the next substantial GPU launch which is likely to impact second half of 2024 and 2025. Further, as anticipated, the slowdown in the self-built PC market activity, beginning 2024, led to a decrease in demand for our products in the Gaming Components and Systems segment in the three months ended March 31, 2024.</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Impact of Customer Concentration</w:t>
      </w:r>
    </w:p>
    <w:p>
      <w:pPr>
        <w:spacing w:after="0" w:line="121" w:lineRule="exact"/>
        <w:rPr>
          <w:sz w:val="20"/>
          <w:szCs w:val="20"/>
          <w:color w:val="auto"/>
        </w:rPr>
      </w:pPr>
    </w:p>
    <w:p>
      <w:pPr>
        <w:ind w:right="120" w:firstLine="509"/>
        <w:spacing w:after="0" w:line="260" w:lineRule="auto"/>
        <w:rPr>
          <w:sz w:val="20"/>
          <w:szCs w:val="20"/>
          <w:color w:val="auto"/>
        </w:rPr>
      </w:pPr>
      <w:r>
        <w:rPr>
          <w:rFonts w:ascii="Times New Roman" w:cs="Times New Roman" w:eastAsia="Times New Roman" w:hAnsi="Times New Roman"/>
          <w:sz w:val="18"/>
          <w:szCs w:val="18"/>
          <w:color w:val="auto"/>
        </w:rPr>
        <w:t>We operate a global sales network that consists primarily of retailers (including e-retailers), as well as distributors we use to access certain retailers. Further, a limited number of retailers and distributors represent a significant portion of our net revenue, with e-retailer Amazon accounting for 27.7% and 25.8% of our net revenue for the three months ended March 31, 2024 and 2023, respectively, and sales to our ten largest customers accounting for approximately 53.4% and 51.5% of our net revenue for the three</w:t>
      </w:r>
    </w:p>
    <w:p>
      <w:pPr>
        <w:sectPr>
          <w:pgSz w:w="11900" w:h="16838" w:orient="portrait"/>
          <w:cols w:equalWidth="0" w:num="1">
            <w:col w:w="11240"/>
          </w:cols>
          <w:pgMar w:left="320" w:top="414" w:right="339" w:bottom="1440" w:gutter="0" w:footer="0" w:header="0"/>
        </w:sectPr>
      </w:pPr>
    </w:p>
    <w:p>
      <w:pPr>
        <w:spacing w:after="0" w:line="3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Corsair Gaming, Inc. | Q1 2024 Form 10-Q |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80010</wp:posOffset>
            </wp:positionV>
            <wp:extent cx="7157720"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4" w:right="339" w:bottom="1440" w:gutter="0" w:footer="0" w:header="0"/>
          <w:type w:val="continuous"/>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months ended March 31, 2024 and 2023, respectively. Our customers, including Amazon, typically do not enter into long-term agreements to purchase our products but instead enter into purchase orders with us. As a result of this concentration and the lack of long-term agreements with our customers, a primary driver of our net revenue and operating performance is maintaining good relationships with these retailers and distributors. To help maintain good relationships, we implement initiatives such as our updated packaging design which helps e-retailers such as Amazon process our packages more efficiently. Further, given our global operations, a significant percentage of our expenses relate to shipping costs. Our ability to effectively optimize these shipping costs, for example utilizing expensive shipping options such as air freight for smaller packages and more urgent deliveries and more cost-efficient options, such as ground or ocean freight, for other shipments, has an impact on our expenses and results of operations.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Impact of New Product Introductions</w:t>
      </w:r>
    </w:p>
    <w:p>
      <w:pPr>
        <w:spacing w:after="0" w:line="121"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18"/>
          <w:szCs w:val="18"/>
          <w:color w:val="auto"/>
        </w:rPr>
        <w:t>Gamers demand new technology and product features, and we expect our ability to accurately anticipate and meet these demands will be one of the main drivers for any future sales growth and market share expansion. In the last few years, we have entered into several new markets, for example the cameras market for content creators and the gaming monitors market for both gamers and content creators. We launched 108 and 19 new products in 2023 and in the three months ended March 31, 2024, respectively. While we intend to continue to develop and release new products, there can be no assurance that our new product introductions will have a favorable impact on our operating results or that customers will choose our new products over those of our competitors.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Impact of Seasonal Sales Trends</w:t>
      </w:r>
    </w:p>
    <w:p>
      <w:pPr>
        <w:spacing w:after="0" w:line="12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We have experienced and expect to continue to experience seasonal fluctuations in sales due to the buying patterns of our customers and spending patterns of gamers. Our net revenue has generally been lower in the first and second calendar quarters due to lower consumer demand following the fourth quarter holiday season and because of the decline in sales that typically occurs in anticipation of the introduction of new or enhanced CPUs, GPUs, and other computer hardware products, which usually take place in the second calendar quarter, and which tend to drive sales in the following two quarters. Further, our net revenue tends to be higher in the third and fourth calendar quarters due to seasonal sales such as “Black Friday” and “Cyber Monday” as well as “Singles Day” in China, as retailers tend to make purchases in advance of these sales. Our sales also tend to be higher in the fourth quarter due to the introduction of new consoles and high-profile games in connection with the holiday season. As a consequence of seasonality, our net revenue for the second calendar quarter is generally the lowest of the year followed by the first calendar quarter. Historical seasonal patterns may not continue in the future and have been impacted, for example, in 2020 and 2021, primarily due to the impacts of the COVID-19 pandemic, and may be further impacted in the future, by macroeconomic factors, increasing supply constraints, GPU shortages, and shifts in customer behavior.</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Impact of Product Mix</w:t>
      </w:r>
    </w:p>
    <w:p>
      <w:pPr>
        <w:spacing w:after="0" w:line="121"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Our Gamer and Creator Peripherals segment has a higher gross margin than our Gaming Components and Systems segment. As a result, our overall gross margin is affected by changes in product mix. External factors can have an impact on our product mix, such as popular game releases that can increase sales of peripherals and availability of new CPUs and GPUs that can impact component sales. In addition, within our Gamer and Creator Peripherals and Gaming Components and Systems segments, gross margin varies between products, and significant shifts in product mix within either segment may also significantly impact our overall gross margin.</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Impact of Fluctuations in Integrated Circuits Pricing</w:t>
      </w:r>
    </w:p>
    <w:p>
      <w:pPr>
        <w:spacing w:after="0" w:line="121" w:lineRule="exact"/>
        <w:rPr>
          <w:sz w:val="20"/>
          <w:szCs w:val="20"/>
          <w:color w:val="auto"/>
        </w:rPr>
      </w:pPr>
    </w:p>
    <w:p>
      <w:pPr>
        <w:ind w:right="140" w:firstLine="509"/>
        <w:spacing w:after="0" w:line="260" w:lineRule="auto"/>
        <w:rPr>
          <w:sz w:val="20"/>
          <w:szCs w:val="20"/>
          <w:color w:val="auto"/>
        </w:rPr>
      </w:pPr>
      <w:r>
        <w:rPr>
          <w:rFonts w:ascii="Times New Roman" w:cs="Times New Roman" w:eastAsia="Times New Roman" w:hAnsi="Times New Roman"/>
          <w:sz w:val="18"/>
          <w:szCs w:val="18"/>
          <w:color w:val="auto"/>
        </w:rPr>
        <w:t>Integrated circuits, or ICs, account for most of the cost of producing our high-performance memory products. IC prices are subject to pricing fluctuations which can affect the average sales prices of memory modules, and thus impact our net revenue, and can have an effect on gross margins. The impact on net revenues can be significant as our high-performance memory products, included within our Gaming Components and Systems segment, represent a significant portion of our net revenue.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our Operating Results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Revenue</w:t>
      </w:r>
    </w:p>
    <w:p>
      <w:pPr>
        <w:spacing w:after="0" w:line="121" w:lineRule="exact"/>
        <w:rPr>
          <w:sz w:val="20"/>
          <w:szCs w:val="20"/>
          <w:color w:val="auto"/>
        </w:rPr>
      </w:pPr>
    </w:p>
    <w:p>
      <w:pPr>
        <w:ind w:right="60" w:firstLine="509"/>
        <w:spacing w:after="0" w:line="265" w:lineRule="auto"/>
        <w:rPr>
          <w:sz w:val="20"/>
          <w:szCs w:val="20"/>
          <w:color w:val="auto"/>
        </w:rPr>
      </w:pPr>
      <w:r>
        <w:rPr>
          <w:rFonts w:ascii="Times New Roman" w:cs="Times New Roman" w:eastAsia="Times New Roman" w:hAnsi="Times New Roman"/>
          <w:sz w:val="18"/>
          <w:szCs w:val="18"/>
          <w:color w:val="auto"/>
        </w:rPr>
        <w:t>We generate materially all of our net revenue from the sale of gamer and creator peripherals and gaming components and systems to retailers, including e-retailers, gamers and distributors worldwide. Our revenue is recognized net of allowances for returns, discounts, sales incentives and any taxes collected from customers.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w:t>
      </w:r>
    </w:p>
    <w:p>
      <w:pPr>
        <w:spacing w:after="0" w:line="121" w:lineRule="exact"/>
        <w:rPr>
          <w:sz w:val="20"/>
          <w:szCs w:val="20"/>
          <w:color w:val="auto"/>
        </w:rPr>
      </w:pPr>
    </w:p>
    <w:p>
      <w:pPr>
        <w:ind w:right="240" w:firstLine="509"/>
        <w:spacing w:after="0" w:line="281" w:lineRule="auto"/>
        <w:rPr>
          <w:sz w:val="20"/>
          <w:szCs w:val="20"/>
          <w:color w:val="auto"/>
        </w:rPr>
      </w:pPr>
      <w:r>
        <w:rPr>
          <w:rFonts w:ascii="Times New Roman" w:cs="Times New Roman" w:eastAsia="Times New Roman" w:hAnsi="Times New Roman"/>
          <w:sz w:val="18"/>
          <w:szCs w:val="18"/>
          <w:color w:val="auto"/>
        </w:rPr>
        <w:t>Cost of revenue consists of product costs, including costs of contract manufacturers, inbound freight costs from manufacturers to our distribution hubs as well as inter-hub shipments, cost of materials and overhead, duties and tariffs, warranty replacement cost to</w:t>
      </w:r>
    </w:p>
    <w:p>
      <w:pPr>
        <w:sectPr>
          <w:pgSz w:w="11900" w:h="16838" w:orient="portrait"/>
          <w:cols w:equalWidth="0" w:num="1">
            <w:col w:w="11180"/>
          </w:cols>
          <w:pgMar w:left="320" w:top="414" w:right="399" w:bottom="1440" w:gutter="0" w:footer="0" w:header="0"/>
        </w:sectPr>
      </w:pPr>
    </w:p>
    <w:p>
      <w:pPr>
        <w:spacing w:after="0" w:line="37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color w:val="auto"/>
        </w:rPr>
        <w:t>Corsair Gaming, Inc. | Q1 2024 Form 10-Q |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80010</wp:posOffset>
            </wp:positionV>
            <wp:extent cx="7157720"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414" w:right="399" w:bottom="1440" w:gutter="0" w:footer="0" w:header="0"/>
          <w:type w:val="continuous"/>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right="60"/>
        <w:spacing w:after="0" w:line="312" w:lineRule="auto"/>
        <w:rPr>
          <w:sz w:val="20"/>
          <w:szCs w:val="20"/>
          <w:color w:val="auto"/>
        </w:rPr>
      </w:pPr>
      <w:r>
        <w:rPr>
          <w:rFonts w:ascii="Times New Roman" w:cs="Times New Roman" w:eastAsia="Times New Roman" w:hAnsi="Times New Roman"/>
          <w:sz w:val="17"/>
          <w:szCs w:val="17"/>
          <w:color w:val="auto"/>
        </w:rPr>
        <w:t>process and rework returned items, depreciation of tooling equipment, warehousing costs, excess and obsolete inventory write-downs, and certain allocated costs related to facilities and information technology, or IT, and personnel-related expenses and other operating expenses related to supply chain logistics.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Operating expenses consist of sales, general and administrative expenses and product development expenses.</w:t>
      </w:r>
    </w:p>
    <w:p>
      <w:pPr>
        <w:spacing w:after="0" w:line="115" w:lineRule="exact"/>
        <w:rPr>
          <w:sz w:val="20"/>
          <w:szCs w:val="20"/>
          <w:color w:val="auto"/>
        </w:rPr>
      </w:pPr>
    </w:p>
    <w:p>
      <w:pPr>
        <w:ind w:right="100" w:firstLine="509"/>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Sales, general and administrative. </w:t>
      </w:r>
      <w:r>
        <w:rPr>
          <w:rFonts w:ascii="Times New Roman" w:cs="Times New Roman" w:eastAsia="Times New Roman" w:hAnsi="Times New Roman"/>
          <w:sz w:val="18"/>
          <w:szCs w:val="18"/>
          <w:color w:val="auto"/>
        </w:rPr>
        <w:t>Sales, general and administrative, or SG&amp;A, expenses represent the largest component of our operating expenses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consist of distribution costs, sales, marketing and other general and administrative costs. Distribution costs include outbound freight and the costs to operate our distribution hubs. Sales and marketing costs relate to the costs to operate our global sales force that works in conjunction with our channel partners, gaming team and event sponsorships, advertising and marketing promotions of our products and services, costs of maintaining our web store and credit card processing fees related to sales on our webstore, personnel-related cost and allocated overhead costs. General and administrative costs consist primarily of personnel-related expenses for our finance, legal, human resources, IT and administrative personnel, as well as the costs of professional services related to these functions and allocated overhead costs.</w:t>
      </w:r>
    </w:p>
    <w:p>
      <w:pPr>
        <w:spacing w:after="0" w:line="79"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i w:val="1"/>
          <w:iCs w:val="1"/>
          <w:color w:val="auto"/>
        </w:rPr>
        <w:t>Product development</w:t>
      </w:r>
      <w:r>
        <w:rPr>
          <w:rFonts w:ascii="Times New Roman" w:cs="Times New Roman" w:eastAsia="Times New Roman" w:hAnsi="Times New Roman"/>
          <w:sz w:val="18"/>
          <w:szCs w:val="18"/>
          <w:color w:val="auto"/>
        </w:rPr>
        <w:t>. Product development costs are generally expensed as incurred. Product development costs consist primarily of the costs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associated with the design and testing of new products and improvements to existing products. These costs relate primarily to compensation of personnel and consultants involved with product design, definition, compatibility testing and qualification, as well as depreciation costs of equipment used, prototype material costs and allocated overhead costs.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121" w:lineRule="exact"/>
        <w:rPr>
          <w:sz w:val="20"/>
          <w:szCs w:val="20"/>
          <w:color w:val="auto"/>
        </w:rPr>
      </w:pPr>
    </w:p>
    <w:p>
      <w:pPr>
        <w:ind w:right="60" w:firstLine="509"/>
        <w:spacing w:after="0" w:line="281" w:lineRule="auto"/>
        <w:rPr>
          <w:sz w:val="20"/>
          <w:szCs w:val="20"/>
          <w:color w:val="auto"/>
        </w:rPr>
      </w:pPr>
      <w:r>
        <w:rPr>
          <w:rFonts w:ascii="Times New Roman" w:cs="Times New Roman" w:eastAsia="Times New Roman" w:hAnsi="Times New Roman"/>
          <w:sz w:val="18"/>
          <w:szCs w:val="18"/>
          <w:color w:val="auto"/>
        </w:rPr>
        <w:t>Interest expense consists of interest associated with our debt financing arrangements, including our revolving line of credit, and amortization of debt issuance costs and debt discounts.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Income</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Interest income consists of interest earned on interest-bearing accounts.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Expense, Net</w:t>
      </w:r>
    </w:p>
    <w:p>
      <w:pPr>
        <w:spacing w:after="0" w:line="121" w:lineRule="exact"/>
        <w:rPr>
          <w:sz w:val="20"/>
          <w:szCs w:val="20"/>
          <w:color w:val="auto"/>
        </w:rPr>
      </w:pPr>
    </w:p>
    <w:p>
      <w:pPr>
        <w:ind w:right="380" w:firstLine="509"/>
        <w:spacing w:after="0" w:line="281" w:lineRule="auto"/>
        <w:rPr>
          <w:sz w:val="20"/>
          <w:szCs w:val="20"/>
          <w:color w:val="auto"/>
        </w:rPr>
      </w:pPr>
      <w:r>
        <w:rPr>
          <w:rFonts w:ascii="Times New Roman" w:cs="Times New Roman" w:eastAsia="Times New Roman" w:hAnsi="Times New Roman"/>
          <w:sz w:val="18"/>
          <w:szCs w:val="18"/>
          <w:color w:val="auto"/>
        </w:rPr>
        <w:t>Other expense, net consists primarily of our foreign currency exchange gains and losses relating to transactions and remeasurement of asset and liability balances denominated in foreign currencies, and net fair value gains and losses from our foreign currency forward contracts.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Benefit</w:t>
      </w:r>
    </w:p>
    <w:p>
      <w:pPr>
        <w:spacing w:after="0" w:line="121" w:lineRule="exact"/>
        <w:rPr>
          <w:sz w:val="20"/>
          <w:szCs w:val="20"/>
          <w:color w:val="auto"/>
        </w:rPr>
      </w:pPr>
    </w:p>
    <w:p>
      <w:pPr>
        <w:jc w:val="both"/>
        <w:ind w:right="20" w:firstLine="509"/>
        <w:spacing w:after="0" w:line="260" w:lineRule="auto"/>
        <w:rPr>
          <w:sz w:val="20"/>
          <w:szCs w:val="20"/>
          <w:color w:val="auto"/>
        </w:rPr>
      </w:pPr>
      <w:r>
        <w:rPr>
          <w:rFonts w:ascii="Times New Roman" w:cs="Times New Roman" w:eastAsia="Times New Roman" w:hAnsi="Times New Roman"/>
          <w:sz w:val="18"/>
          <w:szCs w:val="18"/>
          <w:color w:val="auto"/>
        </w:rPr>
        <w:t>We are subject to income taxes in the United States and foreign jurisdictions in which we do business. These foreign jurisdictions have statutory tax rates different from those in the United States. Accordingly, our effective tax rates will vary depending on the relative proportion of foreign to United States income, the utilization of foreign tax credits and changes in tax laws. Deferred tax assets are reduced through the establishment of a valuation allowance, if, based upon available evidence, it is determined that it is more likely than not that the deferred tax assets will not be realized.</w:t>
      </w:r>
    </w:p>
    <w:p>
      <w:pPr>
        <w:spacing w:after="0" w:line="74" w:lineRule="exact"/>
        <w:rPr>
          <w:sz w:val="20"/>
          <w:szCs w:val="20"/>
          <w:color w:val="auto"/>
        </w:rPr>
      </w:pPr>
    </w:p>
    <w:p>
      <w:pPr>
        <w:ind w:firstLine="509"/>
        <w:spacing w:after="0" w:line="288" w:lineRule="auto"/>
        <w:rPr>
          <w:sz w:val="20"/>
          <w:szCs w:val="20"/>
          <w:color w:val="auto"/>
        </w:rPr>
      </w:pPr>
      <w:r>
        <w:rPr>
          <w:rFonts w:ascii="Times New Roman" w:cs="Times New Roman" w:eastAsia="Times New Roman" w:hAnsi="Times New Roman"/>
          <w:sz w:val="17"/>
          <w:szCs w:val="17"/>
          <w:color w:val="auto"/>
        </w:rPr>
        <w:t>Income taxes are accounted for under the asset and liability method. Deferred tax assets and liabilities are recognized for the future tax consequences attributable to differences between the tax and financial reporting bases of our assets and liabilities. Deferred tax assets and liabilities are measured using enacted tax rates expected to apply to taxable income in future years in which those temporary differences are expected to be recovered or settled.</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Income Attributable to Noncontrolling Interest</w:t>
      </w:r>
    </w:p>
    <w:p>
      <w:pPr>
        <w:spacing w:after="0" w:line="121" w:lineRule="exact"/>
        <w:rPr>
          <w:sz w:val="20"/>
          <w:szCs w:val="20"/>
          <w:color w:val="auto"/>
        </w:rPr>
      </w:pPr>
    </w:p>
    <w:p>
      <w:pPr>
        <w:ind w:right="440" w:firstLine="509"/>
        <w:spacing w:after="0" w:line="281" w:lineRule="auto"/>
        <w:rPr>
          <w:sz w:val="20"/>
          <w:szCs w:val="20"/>
          <w:color w:val="auto"/>
        </w:rPr>
      </w:pPr>
      <w:r>
        <w:rPr>
          <w:rFonts w:ascii="Times New Roman" w:cs="Times New Roman" w:eastAsia="Times New Roman" w:hAnsi="Times New Roman"/>
          <w:sz w:val="18"/>
          <w:szCs w:val="18"/>
          <w:color w:val="auto"/>
        </w:rPr>
        <w:t>Net income attributable to noncontrolling interest represents the share of the net income of subsidiaries in which we own less than 100% of the equity attributable to the ownership interest that we did not acquire.</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Corsair Gaming, Inc. | Q1 2024 Form 10-Q |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4"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21" w:lineRule="exact"/>
        <w:rPr>
          <w:sz w:val="20"/>
          <w:szCs w:val="20"/>
          <w:color w:val="auto"/>
        </w:rPr>
      </w:pPr>
    </w:p>
    <w:p>
      <w:pPr>
        <w:ind w:right="200" w:firstLine="509"/>
        <w:spacing w:after="0" w:line="260" w:lineRule="auto"/>
        <w:rPr>
          <w:sz w:val="20"/>
          <w:szCs w:val="20"/>
          <w:color w:val="auto"/>
        </w:rPr>
      </w:pPr>
      <w:r>
        <w:rPr>
          <w:rFonts w:ascii="Times New Roman" w:cs="Times New Roman" w:eastAsia="Times New Roman" w:hAnsi="Times New Roman"/>
          <w:sz w:val="18"/>
          <w:szCs w:val="18"/>
          <w:color w:val="auto"/>
        </w:rPr>
        <w:t>The following tables set forth the components of our condensed consolidated statements of operations, in dollars (thousands) and as a percentage of total net revenue, for each of the periods presented.</w:t>
      </w:r>
    </w:p>
    <w:p>
      <w:pPr>
        <w:jc w:val="center"/>
        <w:ind w:left="7020"/>
        <w:spacing w:after="0" w:line="233" w:lineRule="auto"/>
        <w:rPr>
          <w:sz w:val="20"/>
          <w:szCs w:val="20"/>
          <w:color w:val="auto"/>
        </w:rPr>
      </w:pPr>
      <w:r>
        <w:rPr>
          <w:rFonts w:ascii="Times New Roman" w:cs="Times New Roman" w:eastAsia="Times New Roman" w:hAnsi="Times New Roman"/>
          <w:sz w:val="14"/>
          <w:szCs w:val="14"/>
          <w:b w:val="1"/>
          <w:bCs w:val="1"/>
          <w:color w:val="auto"/>
        </w:rPr>
        <w:t>Three Months Ended</w:t>
      </w:r>
    </w:p>
    <w:p>
      <w:pPr>
        <w:jc w:val="center"/>
        <w:ind w:left="702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4542790</wp:posOffset>
            </wp:positionH>
            <wp:positionV relativeFrom="paragraph">
              <wp:posOffset>5080</wp:posOffset>
            </wp:positionV>
            <wp:extent cx="252603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2526030" cy="8255"/>
                    </a:xfrm>
                    <a:prstGeom prst="rect">
                      <a:avLst/>
                    </a:prstGeom>
                    <a:noFill/>
                  </pic:spPr>
                </pic:pic>
              </a:graphicData>
            </a:graphic>
          </wp:anchor>
        </w:drawing>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2024</w:t>
            </w:r>
          </w:p>
        </w:tc>
        <w:tc>
          <w:tcPr>
            <w:tcW w:w="680" w:type="dxa"/>
            <w:vAlign w:val="bottom"/>
            <w:tcBorders>
              <w:bottom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69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r>
      <w:tr>
        <w:trPr>
          <w:trHeight w:val="61"/>
        </w:trPr>
        <w:tc>
          <w:tcPr>
            <w:tcW w:w="7080" w:type="dxa"/>
            <w:vAlign w:val="bottom"/>
          </w:tcPr>
          <w:p>
            <w:pPr>
              <w:spacing w:after="0"/>
              <w:rPr>
                <w:sz w:val="5"/>
                <w:szCs w:val="5"/>
                <w:color w:val="auto"/>
              </w:rPr>
            </w:pPr>
          </w:p>
        </w:tc>
        <w:tc>
          <w:tcPr>
            <w:tcW w:w="80" w:type="dxa"/>
            <w:vAlign w:val="bottom"/>
          </w:tcPr>
          <w:p>
            <w:pPr>
              <w:spacing w:after="0"/>
              <w:rPr>
                <w:sz w:val="5"/>
                <w:szCs w:val="5"/>
                <w:color w:val="auto"/>
              </w:rPr>
            </w:pPr>
          </w:p>
        </w:tc>
        <w:tc>
          <w:tcPr>
            <w:tcW w:w="1160" w:type="dxa"/>
            <w:vAlign w:val="bottom"/>
          </w:tcPr>
          <w:p>
            <w:pPr>
              <w:spacing w:after="0"/>
              <w:rPr>
                <w:sz w:val="5"/>
                <w:szCs w:val="5"/>
                <w:color w:val="auto"/>
              </w:rPr>
            </w:pPr>
          </w:p>
        </w:tc>
        <w:tc>
          <w:tcPr>
            <w:tcW w:w="68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0" w:type="dxa"/>
            <w:vAlign w:val="bottom"/>
          </w:tcPr>
          <w:p>
            <w:pPr>
              <w:spacing w:after="0"/>
              <w:rPr>
                <w:sz w:val="5"/>
                <w:szCs w:val="5"/>
                <w:color w:val="auto"/>
              </w:rPr>
            </w:pPr>
          </w:p>
        </w:tc>
        <w:tc>
          <w:tcPr>
            <w:tcW w:w="1240" w:type="dxa"/>
            <w:vAlign w:val="bottom"/>
          </w:tcPr>
          <w:p>
            <w:pPr>
              <w:spacing w:after="0"/>
              <w:rPr>
                <w:sz w:val="5"/>
                <w:szCs w:val="5"/>
                <w:color w:val="auto"/>
              </w:rPr>
            </w:pPr>
          </w:p>
        </w:tc>
        <w:tc>
          <w:tcPr>
            <w:tcW w:w="100" w:type="dxa"/>
            <w:vAlign w:val="bottom"/>
          </w:tcPr>
          <w:p>
            <w:pPr>
              <w:spacing w:after="0"/>
              <w:rPr>
                <w:sz w:val="5"/>
                <w:szCs w:val="5"/>
                <w:color w:val="auto"/>
              </w:rPr>
            </w:pPr>
          </w:p>
        </w:tc>
      </w:tr>
      <w:tr>
        <w:trPr>
          <w:trHeight w:val="243"/>
        </w:trPr>
        <w:tc>
          <w:tcPr>
            <w:tcW w:w="71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revenue</w:t>
            </w:r>
          </w:p>
        </w:tc>
        <w:tc>
          <w:tcPr>
            <w:tcW w:w="1160" w:type="dxa"/>
            <w:vAlign w:val="bottom"/>
            <w:shd w:val="clear" w:color="auto" w:fill="CFF0FC"/>
          </w:tcPr>
          <w:p>
            <w:pPr>
              <w:jc w:val="right"/>
              <w:ind w:right="979"/>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337,257</w:t>
            </w:r>
          </w:p>
        </w:tc>
        <w:tc>
          <w:tcPr>
            <w:tcW w:w="300" w:type="dxa"/>
            <w:vAlign w:val="bottom"/>
            <w:tcBorders>
              <w:right w:val="single" w:sz="8" w:color="CFF0FC"/>
            </w:tcBorders>
            <w:shd w:val="clear" w:color="auto" w:fill="CFF0FC"/>
          </w:tcPr>
          <w:p>
            <w:pPr>
              <w:spacing w:after="0"/>
              <w:rPr>
                <w:sz w:val="21"/>
                <w:szCs w:val="21"/>
                <w:color w:val="auto"/>
              </w:rPr>
            </w:pPr>
          </w:p>
        </w:tc>
        <w:tc>
          <w:tcPr>
            <w:tcW w:w="600" w:type="dxa"/>
            <w:vAlign w:val="bottom"/>
            <w:shd w:val="clear" w:color="auto" w:fill="CFF0FC"/>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353,964</w:t>
            </w:r>
          </w:p>
        </w:tc>
        <w:tc>
          <w:tcPr>
            <w:tcW w:w="100" w:type="dxa"/>
            <w:vAlign w:val="bottom"/>
            <w:shd w:val="clear" w:color="auto" w:fill="CFF0FC"/>
          </w:tcPr>
          <w:p>
            <w:pPr>
              <w:spacing w:after="0"/>
              <w:rPr>
                <w:sz w:val="21"/>
                <w:szCs w:val="21"/>
                <w:color w:val="auto"/>
              </w:rPr>
            </w:pPr>
          </w:p>
        </w:tc>
      </w:tr>
      <w:tr>
        <w:trPr>
          <w:trHeight w:val="243"/>
        </w:trPr>
        <w:tc>
          <w:tcPr>
            <w:tcW w:w="7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116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250,618</w:t>
            </w:r>
          </w:p>
        </w:tc>
        <w:tc>
          <w:tcPr>
            <w:tcW w:w="300" w:type="dxa"/>
            <w:vAlign w:val="bottom"/>
          </w:tcPr>
          <w:p>
            <w:pPr>
              <w:spacing w:after="0"/>
              <w:rPr>
                <w:sz w:val="21"/>
                <w:szCs w:val="21"/>
                <w:color w:val="auto"/>
              </w:rPr>
            </w:pPr>
          </w:p>
        </w:tc>
        <w:tc>
          <w:tcPr>
            <w:tcW w:w="60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268,560</w:t>
            </w:r>
          </w:p>
        </w:tc>
        <w:tc>
          <w:tcPr>
            <w:tcW w:w="100" w:type="dxa"/>
            <w:vAlign w:val="bottom"/>
          </w:tcPr>
          <w:p>
            <w:pPr>
              <w:spacing w:after="0"/>
              <w:rPr>
                <w:sz w:val="21"/>
                <w:szCs w:val="21"/>
                <w:color w:val="auto"/>
              </w:rPr>
            </w:pPr>
          </w:p>
        </w:tc>
      </w:tr>
      <w:tr>
        <w:trPr>
          <w:trHeight w:val="236"/>
        </w:trPr>
        <w:tc>
          <w:tcPr>
            <w:tcW w:w="71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1160" w:type="dxa"/>
            <w:vAlign w:val="bottom"/>
            <w:shd w:val="clear" w:color="auto" w:fill="CFF0FC"/>
          </w:tcPr>
          <w:p>
            <w:pPr>
              <w:spacing w:after="0"/>
              <w:rPr>
                <w:sz w:val="20"/>
                <w:szCs w:val="20"/>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86,639</w:t>
            </w:r>
          </w:p>
        </w:tc>
        <w:tc>
          <w:tcPr>
            <w:tcW w:w="300" w:type="dxa"/>
            <w:vAlign w:val="bottom"/>
            <w:tcBorders>
              <w:right w:val="single" w:sz="8" w:color="CFF0FC"/>
            </w:tcBorders>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85,404</w:t>
            </w:r>
          </w:p>
        </w:tc>
        <w:tc>
          <w:tcPr>
            <w:tcW w:w="100" w:type="dxa"/>
            <w:vAlign w:val="bottom"/>
            <w:shd w:val="clear" w:color="auto" w:fill="CFF0FC"/>
          </w:tcPr>
          <w:p>
            <w:pPr>
              <w:spacing w:after="0"/>
              <w:rPr>
                <w:sz w:val="20"/>
                <w:szCs w:val="20"/>
                <w:color w:val="auto"/>
              </w:rPr>
            </w:pPr>
          </w:p>
        </w:tc>
      </w:tr>
      <w:tr>
        <w:trPr>
          <w:trHeight w:val="238"/>
        </w:trPr>
        <w:tc>
          <w:tcPr>
            <w:tcW w:w="7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1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716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Sales, general and administrative</w:t>
            </w:r>
          </w:p>
        </w:tc>
        <w:tc>
          <w:tcPr>
            <w:tcW w:w="1160" w:type="dxa"/>
            <w:vAlign w:val="bottom"/>
            <w:shd w:val="clear" w:color="auto" w:fill="CFF0FC"/>
          </w:tcPr>
          <w:p>
            <w:pPr>
              <w:spacing w:after="0"/>
              <w:rPr>
                <w:sz w:val="21"/>
                <w:szCs w:val="21"/>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80,217</w:t>
            </w:r>
          </w:p>
        </w:tc>
        <w:tc>
          <w:tcPr>
            <w:tcW w:w="300" w:type="dxa"/>
            <w:vAlign w:val="bottom"/>
            <w:tcBorders>
              <w:right w:val="single" w:sz="8" w:color="CFF0FC"/>
            </w:tcBorders>
            <w:shd w:val="clear" w:color="auto" w:fill="CFF0FC"/>
          </w:tcPr>
          <w:p>
            <w:pPr>
              <w:spacing w:after="0"/>
              <w:rPr>
                <w:sz w:val="21"/>
                <w:szCs w:val="21"/>
                <w:color w:val="auto"/>
              </w:rPr>
            </w:pPr>
          </w:p>
        </w:tc>
        <w:tc>
          <w:tcPr>
            <w:tcW w:w="600" w:type="dxa"/>
            <w:vAlign w:val="bottom"/>
            <w:shd w:val="clear" w:color="auto" w:fill="CFF0FC"/>
          </w:tcPr>
          <w:p>
            <w:pPr>
              <w:spacing w:after="0"/>
              <w:rPr>
                <w:sz w:val="21"/>
                <w:szCs w:val="21"/>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67,529</w:t>
            </w:r>
          </w:p>
        </w:tc>
        <w:tc>
          <w:tcPr>
            <w:tcW w:w="100" w:type="dxa"/>
            <w:vAlign w:val="bottom"/>
            <w:shd w:val="clear" w:color="auto" w:fill="CFF0FC"/>
          </w:tcPr>
          <w:p>
            <w:pPr>
              <w:spacing w:after="0"/>
              <w:rPr>
                <w:sz w:val="21"/>
                <w:szCs w:val="21"/>
                <w:color w:val="auto"/>
              </w:rPr>
            </w:pPr>
          </w:p>
        </w:tc>
      </w:tr>
      <w:tr>
        <w:trPr>
          <w:trHeight w:val="243"/>
        </w:trPr>
        <w:tc>
          <w:tcPr>
            <w:tcW w:w="71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Product development</w:t>
            </w:r>
          </w:p>
        </w:tc>
        <w:tc>
          <w:tcPr>
            <w:tcW w:w="116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16,641</w:t>
            </w:r>
          </w:p>
        </w:tc>
        <w:tc>
          <w:tcPr>
            <w:tcW w:w="300" w:type="dxa"/>
            <w:vAlign w:val="bottom"/>
          </w:tcPr>
          <w:p>
            <w:pPr>
              <w:spacing w:after="0"/>
              <w:rPr>
                <w:sz w:val="21"/>
                <w:szCs w:val="21"/>
                <w:color w:val="auto"/>
              </w:rPr>
            </w:pPr>
          </w:p>
        </w:tc>
        <w:tc>
          <w:tcPr>
            <w:tcW w:w="60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16,838</w:t>
            </w:r>
          </w:p>
        </w:tc>
        <w:tc>
          <w:tcPr>
            <w:tcW w:w="100" w:type="dxa"/>
            <w:vAlign w:val="bottom"/>
          </w:tcPr>
          <w:p>
            <w:pPr>
              <w:spacing w:after="0"/>
              <w:rPr>
                <w:sz w:val="21"/>
                <w:szCs w:val="21"/>
                <w:color w:val="auto"/>
              </w:rPr>
            </w:pPr>
          </w:p>
        </w:tc>
      </w:tr>
      <w:tr>
        <w:trPr>
          <w:trHeight w:val="236"/>
        </w:trPr>
        <w:tc>
          <w:tcPr>
            <w:tcW w:w="71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160" w:type="dxa"/>
            <w:vAlign w:val="bottom"/>
            <w:shd w:val="clear" w:color="auto" w:fill="CFF0FC"/>
          </w:tcPr>
          <w:p>
            <w:pPr>
              <w:spacing w:after="0"/>
              <w:rPr>
                <w:sz w:val="20"/>
                <w:szCs w:val="20"/>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96,858</w:t>
            </w:r>
          </w:p>
        </w:tc>
        <w:tc>
          <w:tcPr>
            <w:tcW w:w="300" w:type="dxa"/>
            <w:vAlign w:val="bottom"/>
            <w:tcBorders>
              <w:right w:val="single" w:sz="8" w:color="CFF0FC"/>
            </w:tcBorders>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84,367</w:t>
            </w:r>
          </w:p>
        </w:tc>
        <w:tc>
          <w:tcPr>
            <w:tcW w:w="100" w:type="dxa"/>
            <w:vAlign w:val="bottom"/>
            <w:shd w:val="clear" w:color="auto" w:fill="CFF0FC"/>
          </w:tcPr>
          <w:p>
            <w:pPr>
              <w:spacing w:after="0"/>
              <w:rPr>
                <w:sz w:val="20"/>
                <w:szCs w:val="20"/>
                <w:color w:val="auto"/>
              </w:rPr>
            </w:pPr>
          </w:p>
        </w:tc>
      </w:tr>
      <w:tr>
        <w:trPr>
          <w:trHeight w:val="238"/>
        </w:trPr>
        <w:tc>
          <w:tcPr>
            <w:tcW w:w="7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income (loss)</w:t>
            </w:r>
          </w:p>
        </w:tc>
        <w:tc>
          <w:tcPr>
            <w:tcW w:w="116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(10,219 )</w:t>
            </w:r>
          </w:p>
        </w:tc>
        <w:tc>
          <w:tcPr>
            <w:tcW w:w="6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1,037</w:t>
            </w:r>
          </w:p>
        </w:tc>
        <w:tc>
          <w:tcPr>
            <w:tcW w:w="100" w:type="dxa"/>
            <w:vAlign w:val="bottom"/>
          </w:tcPr>
          <w:p>
            <w:pPr>
              <w:spacing w:after="0"/>
              <w:rPr>
                <w:sz w:val="20"/>
                <w:szCs w:val="20"/>
                <w:color w:val="auto"/>
              </w:rPr>
            </w:pPr>
          </w:p>
        </w:tc>
      </w:tr>
      <w:tr>
        <w:trPr>
          <w:trHeight w:val="247"/>
        </w:trPr>
        <w:tc>
          <w:tcPr>
            <w:tcW w:w="71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(expense) income:</w:t>
            </w:r>
          </w:p>
        </w:tc>
        <w:tc>
          <w:tcPr>
            <w:tcW w:w="1160" w:type="dxa"/>
            <w:vAlign w:val="bottom"/>
            <w:shd w:val="clear" w:color="auto" w:fill="CFF0FC"/>
          </w:tcPr>
          <w:p>
            <w:pPr>
              <w:spacing w:after="0"/>
              <w:rPr>
                <w:sz w:val="21"/>
                <w:szCs w:val="21"/>
                <w:color w:val="auto"/>
              </w:rPr>
            </w:pPr>
          </w:p>
        </w:tc>
        <w:tc>
          <w:tcPr>
            <w:tcW w:w="680" w:type="dxa"/>
            <w:vAlign w:val="bottom"/>
            <w:shd w:val="clear" w:color="auto" w:fill="CFF0FC"/>
          </w:tcPr>
          <w:p>
            <w:pPr>
              <w:spacing w:after="0"/>
              <w:rPr>
                <w:sz w:val="21"/>
                <w:szCs w:val="21"/>
                <w:color w:val="auto"/>
              </w:rPr>
            </w:pPr>
          </w:p>
        </w:tc>
        <w:tc>
          <w:tcPr>
            <w:tcW w:w="300" w:type="dxa"/>
            <w:vAlign w:val="bottom"/>
            <w:tcBorders>
              <w:right w:val="single" w:sz="8" w:color="CFF0FC"/>
            </w:tcBorders>
            <w:shd w:val="clear" w:color="auto" w:fill="CFF0FC"/>
          </w:tcPr>
          <w:p>
            <w:pPr>
              <w:spacing w:after="0"/>
              <w:rPr>
                <w:sz w:val="21"/>
                <w:szCs w:val="21"/>
                <w:color w:val="auto"/>
              </w:rPr>
            </w:pPr>
          </w:p>
        </w:tc>
        <w:tc>
          <w:tcPr>
            <w:tcW w:w="600" w:type="dxa"/>
            <w:vAlign w:val="bottom"/>
            <w:shd w:val="clear" w:color="auto" w:fill="CFF0FC"/>
          </w:tcPr>
          <w:p>
            <w:pPr>
              <w:spacing w:after="0"/>
              <w:rPr>
                <w:sz w:val="21"/>
                <w:szCs w:val="21"/>
                <w:color w:val="auto"/>
              </w:rPr>
            </w:pPr>
          </w:p>
        </w:tc>
        <w:tc>
          <w:tcPr>
            <w:tcW w:w="12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8"/>
        </w:trPr>
        <w:tc>
          <w:tcPr>
            <w:tcW w:w="71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Interest expense</w:t>
            </w:r>
          </w:p>
        </w:tc>
        <w:tc>
          <w:tcPr>
            <w:tcW w:w="116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(3,691 )</w:t>
            </w:r>
          </w:p>
        </w:tc>
        <w:tc>
          <w:tcPr>
            <w:tcW w:w="600" w:type="dxa"/>
            <w:vAlign w:val="bottom"/>
          </w:tcPr>
          <w:p>
            <w:pPr>
              <w:spacing w:after="0"/>
              <w:rPr>
                <w:sz w:val="20"/>
                <w:szCs w:val="20"/>
                <w:color w:val="auto"/>
              </w:rPr>
            </w:pPr>
          </w:p>
        </w:tc>
        <w:tc>
          <w:tcPr>
            <w:tcW w:w="1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(4,302 )</w:t>
            </w:r>
          </w:p>
        </w:tc>
      </w:tr>
      <w:tr>
        <w:trPr>
          <w:trHeight w:val="247"/>
        </w:trPr>
        <w:tc>
          <w:tcPr>
            <w:tcW w:w="716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Interest income</w:t>
            </w:r>
          </w:p>
        </w:tc>
        <w:tc>
          <w:tcPr>
            <w:tcW w:w="1160" w:type="dxa"/>
            <w:vAlign w:val="bottom"/>
            <w:shd w:val="clear" w:color="auto" w:fill="CFF0FC"/>
          </w:tcPr>
          <w:p>
            <w:pPr>
              <w:spacing w:after="0"/>
              <w:rPr>
                <w:sz w:val="21"/>
                <w:szCs w:val="21"/>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1,565</w:t>
            </w:r>
          </w:p>
        </w:tc>
        <w:tc>
          <w:tcPr>
            <w:tcW w:w="300" w:type="dxa"/>
            <w:vAlign w:val="bottom"/>
            <w:tcBorders>
              <w:right w:val="single" w:sz="8" w:color="CFF0FC"/>
            </w:tcBorders>
            <w:shd w:val="clear" w:color="auto" w:fill="CFF0FC"/>
          </w:tcPr>
          <w:p>
            <w:pPr>
              <w:spacing w:after="0"/>
              <w:rPr>
                <w:sz w:val="21"/>
                <w:szCs w:val="21"/>
                <w:color w:val="auto"/>
              </w:rPr>
            </w:pPr>
          </w:p>
        </w:tc>
        <w:tc>
          <w:tcPr>
            <w:tcW w:w="600" w:type="dxa"/>
            <w:vAlign w:val="bottom"/>
            <w:shd w:val="clear" w:color="auto" w:fill="CFF0FC"/>
          </w:tcPr>
          <w:p>
            <w:pPr>
              <w:spacing w:after="0"/>
              <w:rPr>
                <w:sz w:val="21"/>
                <w:szCs w:val="21"/>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1,474</w:t>
            </w:r>
          </w:p>
        </w:tc>
        <w:tc>
          <w:tcPr>
            <w:tcW w:w="100" w:type="dxa"/>
            <w:vAlign w:val="bottom"/>
            <w:shd w:val="clear" w:color="auto" w:fill="CFF0FC"/>
          </w:tcPr>
          <w:p>
            <w:pPr>
              <w:spacing w:after="0"/>
              <w:rPr>
                <w:sz w:val="21"/>
                <w:szCs w:val="21"/>
                <w:color w:val="auto"/>
              </w:rPr>
            </w:pPr>
          </w:p>
        </w:tc>
      </w:tr>
      <w:tr>
        <w:trPr>
          <w:trHeight w:val="243"/>
        </w:trPr>
        <w:tc>
          <w:tcPr>
            <w:tcW w:w="71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Other expense, net</w:t>
            </w:r>
          </w:p>
        </w:tc>
        <w:tc>
          <w:tcPr>
            <w:tcW w:w="11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(461 )</w:t>
            </w:r>
          </w:p>
        </w:tc>
        <w:tc>
          <w:tcPr>
            <w:tcW w:w="600" w:type="dxa"/>
            <w:vAlign w:val="bottom"/>
          </w:tcPr>
          <w:p>
            <w:pPr>
              <w:spacing w:after="0"/>
              <w:rPr>
                <w:sz w:val="21"/>
                <w:szCs w:val="21"/>
                <w:color w:val="auto"/>
              </w:rPr>
            </w:pPr>
          </w:p>
        </w:tc>
        <w:tc>
          <w:tcPr>
            <w:tcW w:w="1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(496 )</w:t>
            </w:r>
          </w:p>
        </w:tc>
      </w:tr>
      <w:tr>
        <w:trPr>
          <w:trHeight w:val="20"/>
        </w:trPr>
        <w:tc>
          <w:tcPr>
            <w:tcW w:w="7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6"/>
        </w:trPr>
        <w:tc>
          <w:tcPr>
            <w:tcW w:w="71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other expense, net</w:t>
            </w:r>
          </w:p>
        </w:tc>
        <w:tc>
          <w:tcPr>
            <w:tcW w:w="1160" w:type="dxa"/>
            <w:vAlign w:val="bottom"/>
            <w:shd w:val="clear" w:color="auto" w:fill="CFF0FC"/>
          </w:tcPr>
          <w:p>
            <w:pPr>
              <w:spacing w:after="0"/>
              <w:rPr>
                <w:sz w:val="20"/>
                <w:szCs w:val="20"/>
                <w:color w:val="auto"/>
              </w:rPr>
            </w:pPr>
          </w:p>
        </w:tc>
        <w:tc>
          <w:tcPr>
            <w:tcW w:w="980" w:type="dxa"/>
            <w:vAlign w:val="bottom"/>
            <w:tcBorders>
              <w:right w:val="single" w:sz="8" w:color="CFF0FC"/>
            </w:tcBorders>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(2,587 )</w:t>
            </w:r>
          </w:p>
        </w:tc>
        <w:tc>
          <w:tcPr>
            <w:tcW w:w="600" w:type="dxa"/>
            <w:vAlign w:val="bottom"/>
            <w:shd w:val="clear" w:color="auto" w:fill="CFF0FC"/>
          </w:tcPr>
          <w:p>
            <w:pPr>
              <w:spacing w:after="0"/>
              <w:rPr>
                <w:sz w:val="20"/>
                <w:szCs w:val="20"/>
                <w:color w:val="auto"/>
              </w:rPr>
            </w:pPr>
          </w:p>
        </w:tc>
        <w:tc>
          <w:tcPr>
            <w:tcW w:w="13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(3,324 )</w:t>
            </w:r>
          </w:p>
        </w:tc>
      </w:tr>
      <w:tr>
        <w:trPr>
          <w:trHeight w:val="20"/>
        </w:trPr>
        <w:tc>
          <w:tcPr>
            <w:tcW w:w="708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00" w:type="dxa"/>
            <w:vAlign w:val="bottom"/>
            <w:tcBorders>
              <w:right w:val="single" w:sz="8" w:color="CFF0FC"/>
            </w:tcBorders>
            <w:shd w:val="clear" w:color="auto" w:fill="CFF0FC"/>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2"/>
        </w:trPr>
        <w:tc>
          <w:tcPr>
            <w:tcW w:w="7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Loss before income taxes</w:t>
            </w:r>
          </w:p>
        </w:tc>
        <w:tc>
          <w:tcPr>
            <w:tcW w:w="116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(12,806 )</w:t>
            </w:r>
          </w:p>
        </w:tc>
        <w:tc>
          <w:tcPr>
            <w:tcW w:w="600" w:type="dxa"/>
            <w:vAlign w:val="bottom"/>
          </w:tcPr>
          <w:p>
            <w:pPr>
              <w:spacing w:after="0"/>
              <w:rPr>
                <w:sz w:val="20"/>
                <w:szCs w:val="20"/>
                <w:color w:val="auto"/>
              </w:rPr>
            </w:pPr>
          </w:p>
        </w:tc>
        <w:tc>
          <w:tcPr>
            <w:tcW w:w="1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(2,287 )</w:t>
            </w:r>
          </w:p>
        </w:tc>
      </w:tr>
      <w:tr>
        <w:trPr>
          <w:trHeight w:val="247"/>
        </w:trPr>
        <w:tc>
          <w:tcPr>
            <w:tcW w:w="7160" w:type="dxa"/>
            <w:vAlign w:val="bottom"/>
            <w:tcBorders>
              <w:bottom w:val="single" w:sz="8" w:color="CFF0FC"/>
            </w:tcBorders>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Income tax benefit</w:t>
            </w:r>
          </w:p>
        </w:tc>
        <w:tc>
          <w:tcPr>
            <w:tcW w:w="1160" w:type="dxa"/>
            <w:vAlign w:val="bottom"/>
            <w:tcBorders>
              <w:bottom w:val="single" w:sz="8" w:color="auto"/>
            </w:tcBorders>
            <w:shd w:val="clear" w:color="auto" w:fill="CFF0FC"/>
          </w:tcPr>
          <w:p>
            <w:pPr>
              <w:spacing w:after="0"/>
              <w:rPr>
                <w:sz w:val="21"/>
                <w:szCs w:val="21"/>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1,777</w:t>
            </w:r>
          </w:p>
        </w:tc>
        <w:tc>
          <w:tcPr>
            <w:tcW w:w="300" w:type="dxa"/>
            <w:vAlign w:val="bottom"/>
            <w:tcBorders>
              <w:bottom w:val="single" w:sz="8" w:color="CFF0FC"/>
              <w:right w:val="single" w:sz="8" w:color="CFF0FC"/>
            </w:tcBorders>
            <w:shd w:val="clear" w:color="auto" w:fill="CFF0FC"/>
          </w:tcPr>
          <w:p>
            <w:pPr>
              <w:spacing w:after="0"/>
              <w:rPr>
                <w:sz w:val="21"/>
                <w:szCs w:val="21"/>
                <w:color w:val="auto"/>
              </w:rPr>
            </w:pPr>
          </w:p>
        </w:tc>
        <w:tc>
          <w:tcPr>
            <w:tcW w:w="600" w:type="dxa"/>
            <w:vAlign w:val="bottom"/>
            <w:tcBorders>
              <w:bottom w:val="single" w:sz="8" w:color="auto"/>
            </w:tcBorders>
            <w:shd w:val="clear" w:color="auto" w:fill="CFF0FC"/>
          </w:tcPr>
          <w:p>
            <w:pPr>
              <w:spacing w:after="0"/>
              <w:rPr>
                <w:sz w:val="21"/>
                <w:szCs w:val="21"/>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639</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2"/>
        </w:trPr>
        <w:tc>
          <w:tcPr>
            <w:tcW w:w="7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16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(11,029 )</w:t>
            </w:r>
          </w:p>
        </w:tc>
        <w:tc>
          <w:tcPr>
            <w:tcW w:w="600" w:type="dxa"/>
            <w:vAlign w:val="bottom"/>
          </w:tcPr>
          <w:p>
            <w:pPr>
              <w:spacing w:after="0"/>
              <w:rPr>
                <w:sz w:val="20"/>
                <w:szCs w:val="20"/>
                <w:color w:val="auto"/>
              </w:rPr>
            </w:pPr>
          </w:p>
        </w:tc>
        <w:tc>
          <w:tcPr>
            <w:tcW w:w="1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(1,648 )</w:t>
            </w:r>
          </w:p>
        </w:tc>
      </w:tr>
      <w:tr>
        <w:trPr>
          <w:trHeight w:val="247"/>
        </w:trPr>
        <w:tc>
          <w:tcPr>
            <w:tcW w:w="7160" w:type="dxa"/>
            <w:vAlign w:val="bottom"/>
            <w:tcBorders>
              <w:bottom w:val="single" w:sz="8" w:color="CFF0FC"/>
            </w:tcBorders>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Less: Net income attributable to noncontrolling interest</w:t>
            </w:r>
          </w:p>
        </w:tc>
        <w:tc>
          <w:tcPr>
            <w:tcW w:w="1160" w:type="dxa"/>
            <w:vAlign w:val="bottom"/>
            <w:tcBorders>
              <w:bottom w:val="single" w:sz="8" w:color="auto"/>
            </w:tcBorders>
            <w:shd w:val="clear" w:color="auto" w:fill="CFF0FC"/>
          </w:tcPr>
          <w:p>
            <w:pPr>
              <w:spacing w:after="0"/>
              <w:rPr>
                <w:sz w:val="21"/>
                <w:szCs w:val="21"/>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536</w:t>
            </w:r>
          </w:p>
        </w:tc>
        <w:tc>
          <w:tcPr>
            <w:tcW w:w="300" w:type="dxa"/>
            <w:vAlign w:val="bottom"/>
            <w:tcBorders>
              <w:bottom w:val="single" w:sz="8" w:color="CFF0FC"/>
              <w:right w:val="single" w:sz="8" w:color="CFF0FC"/>
            </w:tcBorders>
            <w:shd w:val="clear" w:color="auto" w:fill="CFF0FC"/>
          </w:tcPr>
          <w:p>
            <w:pPr>
              <w:spacing w:after="0"/>
              <w:rPr>
                <w:sz w:val="21"/>
                <w:szCs w:val="21"/>
                <w:color w:val="auto"/>
              </w:rPr>
            </w:pPr>
          </w:p>
        </w:tc>
        <w:tc>
          <w:tcPr>
            <w:tcW w:w="600" w:type="dxa"/>
            <w:vAlign w:val="bottom"/>
            <w:tcBorders>
              <w:bottom w:val="single" w:sz="8" w:color="auto"/>
            </w:tcBorders>
            <w:shd w:val="clear" w:color="auto" w:fill="CFF0FC"/>
          </w:tcPr>
          <w:p>
            <w:pPr>
              <w:spacing w:after="0"/>
              <w:rPr>
                <w:sz w:val="21"/>
                <w:szCs w:val="21"/>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364</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71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Net loss attributable to Corsair Gaming, Inc.</w:t>
            </w:r>
          </w:p>
        </w:tc>
        <w:tc>
          <w:tcPr>
            <w:tcW w:w="1160" w:type="dxa"/>
            <w:vAlign w:val="bottom"/>
          </w:tcPr>
          <w:p>
            <w:pPr>
              <w:jc w:val="right"/>
              <w:ind w:right="979"/>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(11,565 )</w:t>
            </w:r>
          </w:p>
        </w:tc>
        <w:tc>
          <w:tcPr>
            <w:tcW w:w="60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(2,012 )</w:t>
            </w:r>
          </w:p>
        </w:tc>
      </w:tr>
      <w:tr>
        <w:trPr>
          <w:trHeight w:val="20"/>
        </w:trPr>
        <w:tc>
          <w:tcPr>
            <w:tcW w:w="7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2"/>
        </w:trPr>
        <w:tc>
          <w:tcPr>
            <w:tcW w:w="7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580" w:type="dxa"/>
            <w:vAlign w:val="bottom"/>
            <w:gridSpan w:val="3"/>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87"/>
        </w:trPr>
        <w:tc>
          <w:tcPr>
            <w:tcW w:w="708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3"/>
          </w:tcPr>
          <w:p>
            <w:pPr>
              <w:jc w:val="right"/>
              <w:ind w:right="39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2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23"/>
        </w:trPr>
        <w:tc>
          <w:tcPr>
            <w:tcW w:w="70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2024</w:t>
            </w:r>
          </w:p>
        </w:tc>
        <w:tc>
          <w:tcPr>
            <w:tcW w:w="680" w:type="dxa"/>
            <w:vAlign w:val="bottom"/>
            <w:tcBorders>
              <w:bottom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71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5716270</wp:posOffset>
            </wp:positionH>
            <wp:positionV relativeFrom="paragraph">
              <wp:posOffset>-1249680</wp:posOffset>
            </wp:positionV>
            <wp:extent cx="6858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-1249680</wp:posOffset>
            </wp:positionV>
            <wp:extent cx="6858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5716270</wp:posOffset>
            </wp:positionH>
            <wp:positionV relativeFrom="paragraph">
              <wp:posOffset>-932815</wp:posOffset>
            </wp:positionV>
            <wp:extent cx="6858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-932815</wp:posOffset>
            </wp:positionV>
            <wp:extent cx="6858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5716270</wp:posOffset>
            </wp:positionH>
            <wp:positionV relativeFrom="paragraph">
              <wp:posOffset>-615950</wp:posOffset>
            </wp:positionV>
            <wp:extent cx="6858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-615950</wp:posOffset>
            </wp:positionV>
            <wp:extent cx="6858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340"/>
          </w:cols>
          <w:pgMar w:left="320" w:top="414" w:right="239" w:bottom="828" w:gutter="0" w:footer="0" w:header="0"/>
        </w:sectPr>
      </w:pP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Net revenue</w:t>
      </w:r>
    </w:p>
    <w:p>
      <w:pPr>
        <w:spacing w:after="0" w:line="4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Cost of revenue</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Gross profit</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Operating expenses:</w:t>
      </w:r>
    </w:p>
    <w:p>
      <w:pPr>
        <w:spacing w:after="0" w:line="3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Sales, general and administrative</w:t>
      </w:r>
    </w:p>
    <w:p>
      <w:pPr>
        <w:spacing w:after="0" w:line="4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Product development</w:t>
      </w:r>
    </w:p>
    <w:p>
      <w:pPr>
        <w:spacing w:after="0" w:line="4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Total operating expenses</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Operating income (loss)</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Other (expense) income:</w:t>
      </w:r>
    </w:p>
    <w:p>
      <w:pPr>
        <w:spacing w:after="0" w:line="3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Interest expense</w:t>
      </w:r>
    </w:p>
    <w:p>
      <w:pPr>
        <w:spacing w:after="0" w:line="3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Interest income</w:t>
      </w:r>
    </w:p>
    <w:p>
      <w:pPr>
        <w:spacing w:after="0" w:line="4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Other expense, net</w:t>
      </w:r>
    </w:p>
    <w:p>
      <w:pPr>
        <w:spacing w:after="0" w:line="4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Total other expense, net</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Loss before income taxes</w:t>
      </w:r>
    </w:p>
    <w:p>
      <w:pPr>
        <w:spacing w:after="0" w:line="4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Income tax benefit</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Net loss</w:t>
      </w:r>
    </w:p>
    <w:p>
      <w:pPr>
        <w:spacing w:after="0" w:line="49" w:lineRule="exact"/>
        <w:rPr>
          <w:sz w:val="20"/>
          <w:szCs w:val="20"/>
          <w:color w:val="auto"/>
        </w:rPr>
      </w:pPr>
    </w:p>
    <w:p>
      <w:pPr>
        <w:ind w:left="120" w:right="2260"/>
        <w:spacing w:after="0" w:line="359" w:lineRule="auto"/>
        <w:rPr>
          <w:sz w:val="20"/>
          <w:szCs w:val="20"/>
          <w:color w:val="auto"/>
        </w:rPr>
      </w:pPr>
      <w:r>
        <w:rPr>
          <w:rFonts w:ascii="Times New Roman" w:cs="Times New Roman" w:eastAsia="Times New Roman" w:hAnsi="Times New Roman"/>
          <w:sz w:val="18"/>
          <w:szCs w:val="18"/>
          <w:color w:val="auto"/>
        </w:rPr>
        <w:t>Less: Net income attributable to noncontrolling interest Net loss attributable to Corsair Gaming, Inc.</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Revenue</w:t>
      </w:r>
    </w:p>
    <w:p>
      <w:pPr>
        <w:spacing w:after="0" w:line="20" w:lineRule="exact"/>
        <w:rPr>
          <w:sz w:val="20"/>
          <w:szCs w:val="20"/>
          <w:color w:val="auto"/>
        </w:rPr>
      </w:pPr>
      <w:r>
        <w:rPr>
          <w:sz w:val="20"/>
          <w:szCs w:val="20"/>
          <w:color w:val="auto"/>
        </w:rPr>
        <w:br w:type="column"/>
      </w:r>
    </w:p>
    <w:p>
      <w:pPr>
        <w:spacing w:after="0" w:line="4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2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2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100.0 %</w:t>
            </w:r>
          </w:p>
        </w:tc>
      </w:tr>
      <w:tr>
        <w:trPr>
          <w:trHeight w:val="250"/>
        </w:trPr>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74.3</w:t>
            </w:r>
          </w:p>
        </w:tc>
        <w:tc>
          <w:tcPr>
            <w:tcW w:w="240" w:type="dxa"/>
            <w:vAlign w:val="bottom"/>
          </w:tcPr>
          <w:p>
            <w:pPr>
              <w:spacing w:after="0"/>
              <w:rPr>
                <w:sz w:val="21"/>
                <w:szCs w:val="21"/>
                <w:color w:val="auto"/>
              </w:rPr>
            </w:pP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75.9</w:t>
            </w:r>
          </w:p>
        </w:tc>
        <w:tc>
          <w:tcPr>
            <w:tcW w:w="200" w:type="dxa"/>
            <w:vAlign w:val="bottom"/>
          </w:tcPr>
          <w:p>
            <w:pPr>
              <w:spacing w:after="0"/>
              <w:rPr>
                <w:sz w:val="21"/>
                <w:szCs w:val="21"/>
                <w:color w:val="auto"/>
              </w:rPr>
            </w:pPr>
          </w:p>
        </w:tc>
      </w:tr>
      <w:tr>
        <w:trPr>
          <w:trHeight w:val="234"/>
        </w:trPr>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240" w:type="dxa"/>
            <w:vAlign w:val="bottom"/>
          </w:tcPr>
          <w:p>
            <w:pPr>
              <w:spacing w:after="0"/>
              <w:rPr>
                <w:sz w:val="20"/>
                <w:szCs w:val="20"/>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w:t>
            </w:r>
          </w:p>
        </w:tc>
        <w:tc>
          <w:tcPr>
            <w:tcW w:w="200" w:type="dxa"/>
            <w:vAlign w:val="bottom"/>
          </w:tcPr>
          <w:p>
            <w:pPr>
              <w:spacing w:after="0"/>
              <w:rPr>
                <w:sz w:val="20"/>
                <w:szCs w:val="20"/>
                <w:color w:val="auto"/>
              </w:rPr>
            </w:pPr>
          </w:p>
        </w:tc>
      </w:tr>
      <w:tr>
        <w:trPr>
          <w:trHeight w:val="481"/>
        </w:trPr>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240" w:type="dxa"/>
            <w:vAlign w:val="bottom"/>
          </w:tcPr>
          <w:p>
            <w:pPr>
              <w:spacing w:after="0"/>
              <w:rPr>
                <w:sz w:val="24"/>
                <w:szCs w:val="24"/>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200" w:type="dxa"/>
            <w:vAlign w:val="bottom"/>
          </w:tcPr>
          <w:p>
            <w:pPr>
              <w:spacing w:after="0"/>
              <w:rPr>
                <w:sz w:val="24"/>
                <w:szCs w:val="24"/>
                <w:color w:val="auto"/>
              </w:rPr>
            </w:pPr>
          </w:p>
        </w:tc>
      </w:tr>
      <w:tr>
        <w:trPr>
          <w:trHeight w:val="250"/>
        </w:trPr>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240" w:type="dxa"/>
            <w:vAlign w:val="bottom"/>
          </w:tcPr>
          <w:p>
            <w:pPr>
              <w:spacing w:after="0"/>
              <w:rPr>
                <w:sz w:val="21"/>
                <w:szCs w:val="21"/>
                <w:color w:val="auto"/>
              </w:rPr>
            </w:pP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200" w:type="dxa"/>
            <w:vAlign w:val="bottom"/>
          </w:tcPr>
          <w:p>
            <w:pPr>
              <w:spacing w:after="0"/>
              <w:rPr>
                <w:sz w:val="21"/>
                <w:szCs w:val="21"/>
                <w:color w:val="auto"/>
              </w:rPr>
            </w:pPr>
          </w:p>
        </w:tc>
      </w:tr>
      <w:tr>
        <w:trPr>
          <w:trHeight w:val="238"/>
        </w:trPr>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28.7</w:t>
            </w:r>
          </w:p>
        </w:tc>
        <w:tc>
          <w:tcPr>
            <w:tcW w:w="240" w:type="dxa"/>
            <w:vAlign w:val="bottom"/>
          </w:tcPr>
          <w:p>
            <w:pPr>
              <w:spacing w:after="0"/>
              <w:rPr>
                <w:sz w:val="20"/>
                <w:szCs w:val="20"/>
                <w:color w:val="auto"/>
              </w:rPr>
            </w:pP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w:t>
            </w:r>
          </w:p>
        </w:tc>
        <w:tc>
          <w:tcPr>
            <w:tcW w:w="200" w:type="dxa"/>
            <w:vAlign w:val="bottom"/>
          </w:tcPr>
          <w:p>
            <w:pPr>
              <w:spacing w:after="0"/>
              <w:rPr>
                <w:sz w:val="20"/>
                <w:szCs w:val="20"/>
                <w:color w:val="auto"/>
              </w:rPr>
            </w:pPr>
          </w:p>
        </w:tc>
      </w:tr>
      <w:tr>
        <w:trPr>
          <w:trHeight w:val="232"/>
        </w:trPr>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200" w:type="dxa"/>
            <w:vAlign w:val="bottom"/>
          </w:tcPr>
          <w:p>
            <w:pPr>
              <w:spacing w:after="0"/>
              <w:rPr>
                <w:sz w:val="20"/>
                <w:szCs w:val="20"/>
                <w:color w:val="auto"/>
              </w:rPr>
            </w:pPr>
          </w:p>
        </w:tc>
      </w:tr>
      <w:tr>
        <w:trPr>
          <w:trHeight w:val="481"/>
        </w:trPr>
        <w:tc>
          <w:tcPr>
            <w:tcW w:w="21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(1.1 )</w:t>
            </w:r>
          </w:p>
        </w:tc>
        <w:tc>
          <w:tcPr>
            <w:tcW w:w="210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(1.2 )</w:t>
            </w:r>
          </w:p>
        </w:tc>
      </w:tr>
      <w:tr>
        <w:trPr>
          <w:trHeight w:val="243"/>
        </w:trPr>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240" w:type="dxa"/>
            <w:vAlign w:val="bottom"/>
          </w:tcPr>
          <w:p>
            <w:pPr>
              <w:spacing w:after="0"/>
              <w:rPr>
                <w:sz w:val="21"/>
                <w:szCs w:val="21"/>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200" w:type="dxa"/>
            <w:vAlign w:val="bottom"/>
          </w:tcPr>
          <w:p>
            <w:pPr>
              <w:spacing w:after="0"/>
              <w:rPr>
                <w:sz w:val="21"/>
                <w:szCs w:val="21"/>
                <w:color w:val="auto"/>
              </w:rPr>
            </w:pPr>
          </w:p>
        </w:tc>
      </w:tr>
      <w:tr>
        <w:trPr>
          <w:trHeight w:val="250"/>
        </w:trPr>
        <w:tc>
          <w:tcPr>
            <w:tcW w:w="21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(0.1 )</w:t>
            </w:r>
          </w:p>
        </w:tc>
        <w:tc>
          <w:tcPr>
            <w:tcW w:w="210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(0.1 )</w:t>
            </w:r>
          </w:p>
        </w:tc>
      </w:tr>
      <w:tr>
        <w:trPr>
          <w:trHeight w:val="238"/>
        </w:trPr>
        <w:tc>
          <w:tcPr>
            <w:tcW w:w="1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32"/>
        </w:trPr>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45"/>
        </w:trPr>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240" w:type="dxa"/>
            <w:vAlign w:val="bottom"/>
          </w:tcPr>
          <w:p>
            <w:pPr>
              <w:spacing w:after="0"/>
              <w:rPr>
                <w:sz w:val="21"/>
                <w:szCs w:val="21"/>
                <w:color w:val="auto"/>
              </w:rPr>
            </w:pP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200" w:type="dxa"/>
            <w:vAlign w:val="bottom"/>
          </w:tcPr>
          <w:p>
            <w:pPr>
              <w:spacing w:after="0"/>
              <w:rPr>
                <w:sz w:val="21"/>
                <w:szCs w:val="21"/>
                <w:color w:val="auto"/>
              </w:rPr>
            </w:pPr>
          </w:p>
        </w:tc>
      </w:tr>
      <w:tr>
        <w:trPr>
          <w:trHeight w:val="234"/>
        </w:trPr>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45"/>
        </w:trPr>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240" w:type="dxa"/>
            <w:vAlign w:val="bottom"/>
          </w:tcPr>
          <w:p>
            <w:pPr>
              <w:spacing w:after="0"/>
              <w:rPr>
                <w:sz w:val="21"/>
                <w:szCs w:val="21"/>
                <w:color w:val="auto"/>
              </w:rPr>
            </w:pP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00" w:type="dxa"/>
            <w:vAlign w:val="bottom"/>
          </w:tcPr>
          <w:p>
            <w:pPr>
              <w:spacing w:after="0"/>
              <w:rPr>
                <w:sz w:val="21"/>
                <w:szCs w:val="21"/>
                <w:color w:val="auto"/>
              </w:rPr>
            </w:pPr>
          </w:p>
        </w:tc>
      </w:tr>
      <w:tr>
        <w:trPr>
          <w:trHeight w:val="238"/>
        </w:trPr>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24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5"/>
              </w:rPr>
              <w:t>)%</w:t>
            </w: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w w:val="85"/>
              </w:rPr>
              <w:t>)%</w:t>
            </w:r>
          </w:p>
        </w:tc>
      </w:tr>
      <w:tr>
        <w:trPr>
          <w:trHeight w:val="20"/>
        </w:trPr>
        <w:tc>
          <w:tcPr>
            <w:tcW w:w="1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-4490085</wp:posOffset>
            </wp:positionH>
            <wp:positionV relativeFrom="paragraph">
              <wp:posOffset>-2859405</wp:posOffset>
            </wp:positionV>
            <wp:extent cx="7132320" cy="15430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-4490085</wp:posOffset>
            </wp:positionH>
            <wp:positionV relativeFrom="paragraph">
              <wp:posOffset>-2542540</wp:posOffset>
            </wp:positionV>
            <wp:extent cx="7132320" cy="15430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-4490085</wp:posOffset>
            </wp:positionH>
            <wp:positionV relativeFrom="paragraph">
              <wp:posOffset>-2233930</wp:posOffset>
            </wp:positionV>
            <wp:extent cx="7132320" cy="15430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-4490085</wp:posOffset>
            </wp:positionH>
            <wp:positionV relativeFrom="paragraph">
              <wp:posOffset>-1600835</wp:posOffset>
            </wp:positionV>
            <wp:extent cx="7132320" cy="15430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-4490085</wp:posOffset>
            </wp:positionH>
            <wp:positionV relativeFrom="paragraph">
              <wp:posOffset>-1292225</wp:posOffset>
            </wp:positionV>
            <wp:extent cx="7132320" cy="15430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-4490085</wp:posOffset>
            </wp:positionH>
            <wp:positionV relativeFrom="paragraph">
              <wp:posOffset>-1917065</wp:posOffset>
            </wp:positionV>
            <wp:extent cx="7132320" cy="16256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32320" cy="162560"/>
                    </a:xfrm>
                    <a:prstGeom prst="rect">
                      <a:avLst/>
                    </a:prstGeom>
                    <a:noFill/>
                  </pic:spPr>
                </pic:pic>
              </a:graphicData>
            </a:graphic>
          </wp:anchor>
        </w:drawing>
        <w:drawing>
          <wp:anchor simplePos="0" relativeHeight="251657728" behindDoc="1" locked="0" layoutInCell="0" allowOverlap="1">
            <wp:simplePos x="0" y="0"/>
            <wp:positionH relativeFrom="column">
              <wp:posOffset>-4490085</wp:posOffset>
            </wp:positionH>
            <wp:positionV relativeFrom="paragraph">
              <wp:posOffset>-975360</wp:posOffset>
            </wp:positionV>
            <wp:extent cx="7132320" cy="16256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32320" cy="162560"/>
                    </a:xfrm>
                    <a:prstGeom prst="rect">
                      <a:avLst/>
                    </a:prstGeom>
                    <a:noFill/>
                  </pic:spPr>
                </pic:pic>
              </a:graphicData>
            </a:graphic>
          </wp:anchor>
        </w:drawing>
        <w:drawing>
          <wp:anchor simplePos="0" relativeHeight="251657728" behindDoc="1" locked="0" layoutInCell="0" allowOverlap="1">
            <wp:simplePos x="0" y="0"/>
            <wp:positionH relativeFrom="column">
              <wp:posOffset>-4490085</wp:posOffset>
            </wp:positionH>
            <wp:positionV relativeFrom="paragraph">
              <wp:posOffset>-658495</wp:posOffset>
            </wp:positionV>
            <wp:extent cx="7132320" cy="16256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32320" cy="162560"/>
                    </a:xfrm>
                    <a:prstGeom prst="rect">
                      <a:avLst/>
                    </a:prstGeom>
                    <a:noFill/>
                  </pic:spPr>
                </pic:pic>
              </a:graphicData>
            </a:graphic>
          </wp:anchor>
        </w:drawing>
        <w:drawing>
          <wp:anchor simplePos="0" relativeHeight="251657728" behindDoc="1" locked="0" layoutInCell="0" allowOverlap="1">
            <wp:simplePos x="0" y="0"/>
            <wp:positionH relativeFrom="column">
              <wp:posOffset>-4490085</wp:posOffset>
            </wp:positionH>
            <wp:positionV relativeFrom="paragraph">
              <wp:posOffset>-341630</wp:posOffset>
            </wp:positionV>
            <wp:extent cx="7132320" cy="16256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5"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46990</wp:posOffset>
            </wp:positionH>
            <wp:positionV relativeFrom="paragraph">
              <wp:posOffset>5080</wp:posOffset>
            </wp:positionV>
            <wp:extent cx="252603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2526030" cy="8255"/>
                    </a:xfrm>
                    <a:prstGeom prst="rect">
                      <a:avLst/>
                    </a:prstGeom>
                    <a:noFill/>
                  </pic:spPr>
                </pic:pic>
              </a:graphicData>
            </a:graphic>
          </wp:anchor>
        </w:drawing>
      </w:r>
    </w:p>
    <w:p>
      <w:pPr>
        <w:spacing w:after="0" w:line="44" w:lineRule="exact"/>
        <w:rPr>
          <w:sz w:val="20"/>
          <w:szCs w:val="20"/>
          <w:color w:val="auto"/>
        </w:rPr>
      </w:pPr>
    </w:p>
    <w:p>
      <w:pPr>
        <w:ind w:left="860"/>
        <w:spacing w:after="0"/>
        <w:tabs>
          <w:tab w:leader="none" w:pos="2980" w:val="left"/>
        </w:tabs>
        <w:rPr>
          <w:sz w:val="20"/>
          <w:szCs w:val="20"/>
          <w:color w:val="auto"/>
        </w:rPr>
      </w:pPr>
      <w:r>
        <w:rPr>
          <w:rFonts w:ascii="Times New Roman" w:cs="Times New Roman" w:eastAsia="Times New Roman" w:hAnsi="Times New Roman"/>
          <w:sz w:val="14"/>
          <w:szCs w:val="14"/>
          <w:b w:val="1"/>
          <w:bCs w:val="1"/>
          <w:color w:val="auto"/>
        </w:rPr>
        <w:t>2024</w:t>
      </w:r>
      <w:r>
        <w:rPr>
          <w:sz w:val="20"/>
          <w:szCs w:val="20"/>
          <w:color w:val="auto"/>
        </w:rPr>
        <w:tab/>
      </w:r>
      <w:r>
        <w:rPr>
          <w:rFonts w:ascii="Times New Roman" w:cs="Times New Roman" w:eastAsia="Times New Roman" w:hAnsi="Times New Roman"/>
          <w:sz w:val="14"/>
          <w:szCs w:val="14"/>
          <w:b w:val="1"/>
          <w:bCs w:val="1"/>
          <w:color w:val="auto"/>
        </w:rPr>
        <w:t>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46990</wp:posOffset>
            </wp:positionH>
            <wp:positionV relativeFrom="paragraph">
              <wp:posOffset>16510</wp:posOffset>
            </wp:positionV>
            <wp:extent cx="252603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2526030" cy="8255"/>
                    </a:xfrm>
                    <a:prstGeom prst="rect">
                      <a:avLst/>
                    </a:prstGeom>
                    <a:noFill/>
                  </pic:spPr>
                </pic:pic>
              </a:graphicData>
            </a:graphic>
          </wp:anchor>
        </w:drawing>
      </w:r>
    </w:p>
    <w:p>
      <w:pPr>
        <w:spacing w:after="0" w:line="143"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4"/>
          <w:szCs w:val="14"/>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-4490085</wp:posOffset>
            </wp:positionH>
            <wp:positionV relativeFrom="paragraph">
              <wp:posOffset>16510</wp:posOffset>
            </wp:positionV>
            <wp:extent cx="7132320" cy="15430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7" w:lineRule="exact"/>
        <w:rPr>
          <w:sz w:val="20"/>
          <w:szCs w:val="20"/>
          <w:color w:val="auto"/>
        </w:rPr>
      </w:pPr>
    </w:p>
    <w:p>
      <w:pPr>
        <w:sectPr>
          <w:pgSz w:w="11900" w:h="16838" w:orient="portrait"/>
          <w:cols w:equalWidth="0" w:num="2">
            <w:col w:w="6360" w:space="720"/>
            <w:col w:w="4260"/>
          </w:cols>
          <w:pgMar w:left="320" w:top="414" w:right="239" w:bottom="828" w:gutter="0" w:footer="0" w:header="0"/>
          <w:type w:val="continuous"/>
        </w:sectPr>
      </w:pPr>
    </w:p>
    <w:p>
      <w:pPr>
        <w:ind w:left="20"/>
        <w:spacing w:after="0"/>
        <w:tabs>
          <w:tab w:leader="none" w:pos="7140" w:val="left"/>
          <w:tab w:leader="none" w:pos="8380" w:val="left"/>
          <w:tab w:leader="none" w:pos="9300" w:val="left"/>
          <w:tab w:leader="none" w:pos="10520" w:val="left"/>
        </w:tabs>
        <w:rPr>
          <w:sz w:val="20"/>
          <w:szCs w:val="20"/>
          <w:color w:val="auto"/>
        </w:rPr>
      </w:pPr>
      <w:r>
        <w:rPr>
          <w:rFonts w:ascii="Times New Roman" w:cs="Times New Roman" w:eastAsia="Times New Roman" w:hAnsi="Times New Roman"/>
          <w:sz w:val="18"/>
          <w:szCs w:val="18"/>
          <w:color w:val="auto"/>
        </w:rPr>
        <w:t>Net revenue</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337,257</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353,964</w:t>
      </w:r>
    </w:p>
    <w:p>
      <w:pPr>
        <w:sectPr>
          <w:pgSz w:w="11900" w:h="16838" w:orient="portrait"/>
          <w:cols w:equalWidth="0" w:num="1">
            <w:col w:w="11340"/>
          </w:cols>
          <w:pgMar w:left="320" w:top="414" w:right="239" w:bottom="828"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7"/>
          <w:szCs w:val="17"/>
          <w:color w:val="auto"/>
        </w:rPr>
        <w:t>Corsair Gaming, Inc. | Q1 2024 Form 10-Q | 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80010</wp:posOffset>
            </wp:positionV>
            <wp:extent cx="7157720"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320" w:top="414" w:right="239" w:bottom="828" w:gutter="0" w:footer="0" w:header="0"/>
          <w:type w:val="continuous"/>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both"/>
        <w:ind w:right="420" w:firstLine="509"/>
        <w:spacing w:after="0" w:line="265" w:lineRule="auto"/>
        <w:rPr>
          <w:sz w:val="20"/>
          <w:szCs w:val="20"/>
          <w:color w:val="auto"/>
        </w:rPr>
      </w:pPr>
      <w:r>
        <w:rPr>
          <w:rFonts w:ascii="Times New Roman" w:cs="Times New Roman" w:eastAsia="Times New Roman" w:hAnsi="Times New Roman"/>
          <w:sz w:val="18"/>
          <w:szCs w:val="18"/>
          <w:color w:val="auto"/>
        </w:rPr>
        <w:t>Net revenue decreased by 4.7% for the three months ended March 31, 2024 as compared to the same period last year. The decrease was due to a 13.1% decrease in sales for our Gaming Components and Systems segment, which was partially offset by a 20.3% increase in sales for our Gamer and Creator Peripherals segment.</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Gross Profit and Gross Margin</w:t>
      </w:r>
    </w:p>
    <w:p>
      <w:pPr>
        <w:spacing w:after="0" w:line="25" w:lineRule="exact"/>
        <w:rPr>
          <w:sz w:val="20"/>
          <w:szCs w:val="20"/>
          <w:color w:val="auto"/>
        </w:rPr>
      </w:pPr>
    </w:p>
    <w:p>
      <w:pPr>
        <w:jc w:val="center"/>
        <w:ind w:left="702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jc w:val="center"/>
        <w:ind w:left="702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4542790</wp:posOffset>
            </wp:positionH>
            <wp:positionV relativeFrom="paragraph">
              <wp:posOffset>5080</wp:posOffset>
            </wp:positionV>
            <wp:extent cx="252603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2526030" cy="8255"/>
                    </a:xfrm>
                    <a:prstGeom prst="rect">
                      <a:avLst/>
                    </a:prstGeom>
                    <a:noFill/>
                  </pic:spPr>
                </pic:pic>
              </a:graphicData>
            </a:graphic>
          </wp:anchor>
        </w:drawing>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160" w:type="dxa"/>
            <w:vAlign w:val="bottom"/>
          </w:tcPr>
          <w:p>
            <w:pPr>
              <w:spacing w:after="0"/>
              <w:rPr>
                <w:sz w:val="16"/>
                <w:szCs w:val="16"/>
                <w:color w:val="auto"/>
              </w:rPr>
            </w:pPr>
          </w:p>
        </w:tc>
        <w:tc>
          <w:tcPr>
            <w:tcW w:w="1200" w:type="dxa"/>
            <w:vAlign w:val="bottom"/>
            <w:tcBorders>
              <w:bottom w:val="single" w:sz="8" w:color="auto"/>
            </w:tcBorders>
          </w:tcPr>
          <w:p>
            <w:pPr>
              <w:jc w:val="right"/>
              <w:ind w:right="62"/>
              <w:spacing w:after="0"/>
              <w:rPr>
                <w:sz w:val="20"/>
                <w:szCs w:val="20"/>
                <w:color w:val="auto"/>
              </w:rPr>
            </w:pPr>
            <w:r>
              <w:rPr>
                <w:rFonts w:ascii="Times New Roman" w:cs="Times New Roman" w:eastAsia="Times New Roman" w:hAnsi="Times New Roman"/>
                <w:sz w:val="14"/>
                <w:szCs w:val="14"/>
                <w:b w:val="1"/>
                <w:bCs w:val="1"/>
                <w:color w:val="auto"/>
              </w:rPr>
              <w:t>2024</w:t>
            </w:r>
          </w:p>
        </w:tc>
        <w:tc>
          <w:tcPr>
            <w:tcW w:w="640" w:type="dxa"/>
            <w:vAlign w:val="bottom"/>
            <w:tcBorders>
              <w:bottom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120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2023</w:t>
            </w:r>
          </w:p>
        </w:tc>
        <w:tc>
          <w:tcPr>
            <w:tcW w:w="6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304"/>
        </w:trPr>
        <w:tc>
          <w:tcPr>
            <w:tcW w:w="7160" w:type="dxa"/>
            <w:vAlign w:val="bottom"/>
          </w:tcPr>
          <w:p>
            <w:pPr>
              <w:spacing w:after="0"/>
              <w:rPr>
                <w:sz w:val="24"/>
                <w:szCs w:val="24"/>
                <w:color w:val="auto"/>
              </w:rPr>
            </w:pPr>
          </w:p>
        </w:tc>
        <w:tc>
          <w:tcPr>
            <w:tcW w:w="3340" w:type="dxa"/>
            <w:vAlign w:val="bottom"/>
            <w:gridSpan w:val="4"/>
          </w:tcPr>
          <w:p>
            <w:pPr>
              <w:jc w:val="right"/>
              <w:ind w:right="219"/>
              <w:spacing w:after="0"/>
              <w:rPr>
                <w:sz w:val="20"/>
                <w:szCs w:val="20"/>
                <w:color w:val="auto"/>
              </w:rPr>
            </w:pPr>
            <w:r>
              <w:rPr>
                <w:rFonts w:ascii="Times New Roman" w:cs="Times New Roman" w:eastAsia="Times New Roman" w:hAnsi="Times New Roman"/>
                <w:sz w:val="14"/>
                <w:szCs w:val="14"/>
                <w:b w:val="1"/>
                <w:bCs w:val="1"/>
                <w:color w:val="auto"/>
              </w:rPr>
              <w:t>(In thousands, except percentages)</w:t>
            </w: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43"/>
        </w:trPr>
        <w:tc>
          <w:tcPr>
            <w:tcW w:w="7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1200" w:type="dxa"/>
            <w:vAlign w:val="bottom"/>
            <w:shd w:val="clear" w:color="auto" w:fill="CFF0FC"/>
          </w:tcPr>
          <w:p>
            <w:pPr>
              <w:jc w:val="right"/>
              <w:ind w:right="1022"/>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86,639</w:t>
            </w:r>
          </w:p>
        </w:tc>
        <w:tc>
          <w:tcPr>
            <w:tcW w:w="300" w:type="dxa"/>
            <w:vAlign w:val="bottom"/>
            <w:shd w:val="clear" w:color="auto" w:fill="CFF0FC"/>
          </w:tcPr>
          <w:p>
            <w:pPr>
              <w:spacing w:after="0"/>
              <w:rPr>
                <w:sz w:val="21"/>
                <w:szCs w:val="21"/>
                <w:color w:val="auto"/>
              </w:rPr>
            </w:pPr>
          </w:p>
        </w:tc>
        <w:tc>
          <w:tcPr>
            <w:tcW w:w="1200" w:type="dxa"/>
            <w:vAlign w:val="bottom"/>
            <w:shd w:val="clear" w:color="auto" w:fill="CFF0FC"/>
          </w:tcPr>
          <w:p>
            <w:pPr>
              <w:jc w:val="right"/>
              <w:ind w:right="1019"/>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85,404</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4"/>
        </w:trPr>
        <w:tc>
          <w:tcPr>
            <w:tcW w:w="7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margin</w:t>
            </w:r>
          </w:p>
        </w:tc>
        <w:tc>
          <w:tcPr>
            <w:tcW w:w="1200" w:type="dxa"/>
            <w:vAlign w:val="bottom"/>
          </w:tcPr>
          <w:p>
            <w:pPr>
              <w:spacing w:after="0"/>
              <w:rPr>
                <w:sz w:val="20"/>
                <w:szCs w:val="20"/>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25.7 %</w:t>
            </w:r>
          </w:p>
        </w:tc>
        <w:tc>
          <w:tcPr>
            <w:tcW w:w="1200" w:type="dxa"/>
            <w:vAlign w:val="bottom"/>
          </w:tcPr>
          <w:p>
            <w:pPr>
              <w:spacing w:after="0"/>
              <w:rPr>
                <w:sz w:val="20"/>
                <w:szCs w:val="20"/>
                <w:color w:val="auto"/>
              </w:rPr>
            </w:pPr>
          </w:p>
        </w:tc>
        <w:tc>
          <w:tcPr>
            <w:tcW w:w="8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24.1 %</w:t>
            </w:r>
          </w:p>
        </w:tc>
      </w:tr>
    </w:tbl>
    <w:p>
      <w:pPr>
        <w:spacing w:after="0" w:line="166" w:lineRule="exact"/>
        <w:rPr>
          <w:sz w:val="20"/>
          <w:szCs w:val="20"/>
          <w:color w:val="auto"/>
        </w:rPr>
      </w:pPr>
    </w:p>
    <w:p>
      <w:pPr>
        <w:ind w:right="120" w:firstLine="509"/>
        <w:spacing w:after="0" w:line="265" w:lineRule="auto"/>
        <w:rPr>
          <w:sz w:val="20"/>
          <w:szCs w:val="20"/>
          <w:color w:val="auto"/>
        </w:rPr>
      </w:pPr>
      <w:r>
        <w:rPr>
          <w:rFonts w:ascii="Times New Roman" w:cs="Times New Roman" w:eastAsia="Times New Roman" w:hAnsi="Times New Roman"/>
          <w:sz w:val="18"/>
          <w:szCs w:val="18"/>
          <w:color w:val="auto"/>
        </w:rPr>
        <w:t>Gross margin increased by 1.6% for the three months ended March 31, 2024 as compared to the same period last year primarily due to increased sales of new products that carry higher margins in our Gamer and Creator Peripherals segment, which was partially offset by increased promotion activities for products in our Gaming Components and Systems segment.</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Sales, General and Administrative (SG&amp;A)</w:t>
      </w:r>
    </w:p>
    <w:p>
      <w:pPr>
        <w:spacing w:after="0" w:line="25" w:lineRule="exact"/>
        <w:rPr>
          <w:sz w:val="20"/>
          <w:szCs w:val="20"/>
          <w:color w:val="auto"/>
        </w:rPr>
      </w:pPr>
    </w:p>
    <w:p>
      <w:pPr>
        <w:jc w:val="center"/>
        <w:ind w:left="702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jc w:val="center"/>
        <w:ind w:left="702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4542790</wp:posOffset>
            </wp:positionH>
            <wp:positionV relativeFrom="paragraph">
              <wp:posOffset>5080</wp:posOffset>
            </wp:positionV>
            <wp:extent cx="252603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2526030" cy="8255"/>
                    </a:xfrm>
                    <a:prstGeom prst="rect">
                      <a:avLst/>
                    </a:prstGeom>
                    <a:noFill/>
                  </pic:spPr>
                </pic:pic>
              </a:graphicData>
            </a:graphic>
          </wp:anchor>
        </w:drawing>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16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702"/>
              <w:spacing w:after="0"/>
              <w:rPr>
                <w:sz w:val="20"/>
                <w:szCs w:val="20"/>
                <w:color w:val="auto"/>
              </w:rPr>
            </w:pPr>
            <w:r>
              <w:rPr>
                <w:rFonts w:ascii="Times New Roman" w:cs="Times New Roman" w:eastAsia="Times New Roman" w:hAnsi="Times New Roman"/>
                <w:sz w:val="14"/>
                <w:szCs w:val="14"/>
                <w:b w:val="1"/>
                <w:bCs w:val="1"/>
                <w:color w:val="auto"/>
              </w:rPr>
              <w:t>2024</w:t>
            </w:r>
          </w:p>
        </w:tc>
        <w:tc>
          <w:tcPr>
            <w:tcW w:w="300" w:type="dxa"/>
            <w:vAlign w:val="bottom"/>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69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r>
      <w:tr>
        <w:trPr>
          <w:trHeight w:val="304"/>
        </w:trPr>
        <w:tc>
          <w:tcPr>
            <w:tcW w:w="7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40" w:type="dxa"/>
            <w:vAlign w:val="bottom"/>
            <w:gridSpan w:val="3"/>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43"/>
        </w:trPr>
        <w:tc>
          <w:tcPr>
            <w:tcW w:w="7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Sales, general and administrative</w:t>
            </w:r>
          </w:p>
        </w:tc>
        <w:tc>
          <w:tcPr>
            <w:tcW w:w="440" w:type="dxa"/>
            <w:vAlign w:val="bottom"/>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80,217</w:t>
            </w:r>
          </w:p>
        </w:tc>
        <w:tc>
          <w:tcPr>
            <w:tcW w:w="840" w:type="dxa"/>
            <w:vAlign w:val="bottom"/>
            <w:gridSpan w:val="2"/>
            <w:shd w:val="clear" w:color="auto" w:fill="CFF0FC"/>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67,529</w:t>
            </w:r>
          </w:p>
        </w:tc>
        <w:tc>
          <w:tcPr>
            <w:tcW w:w="100" w:type="dxa"/>
            <w:vAlign w:val="bottom"/>
            <w:shd w:val="clear" w:color="auto" w:fill="CFF0FC"/>
          </w:tcPr>
          <w:p>
            <w:pPr>
              <w:spacing w:after="0"/>
              <w:rPr>
                <w:sz w:val="21"/>
                <w:szCs w:val="21"/>
                <w:color w:val="auto"/>
              </w:rPr>
            </w:pPr>
          </w:p>
        </w:tc>
      </w:tr>
    </w:tbl>
    <w:p>
      <w:pPr>
        <w:spacing w:after="0" w:line="157" w:lineRule="exact"/>
        <w:rPr>
          <w:sz w:val="20"/>
          <w:szCs w:val="20"/>
          <w:color w:val="auto"/>
        </w:rPr>
      </w:pPr>
    </w:p>
    <w:p>
      <w:pPr>
        <w:ind w:right="220" w:firstLine="509"/>
        <w:spacing w:after="0" w:line="265" w:lineRule="auto"/>
        <w:rPr>
          <w:sz w:val="20"/>
          <w:szCs w:val="20"/>
          <w:color w:val="auto"/>
        </w:rPr>
      </w:pPr>
      <w:r>
        <w:rPr>
          <w:rFonts w:ascii="Times New Roman" w:cs="Times New Roman" w:eastAsia="Times New Roman" w:hAnsi="Times New Roman"/>
          <w:sz w:val="18"/>
          <w:szCs w:val="18"/>
          <w:color w:val="auto"/>
        </w:rPr>
        <w:t>SG&amp;A expenses increased 18.8% for the three months ended March 31, 2024 as compared to the same period last year primarily due to one-time higher legal expenses and settlement costs, higher personnel-related costs from merit increases, and higher freight costs which was partly due to increased ocean rates triggered by tensions in the Red Sea.</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Product Development</w:t>
      </w:r>
    </w:p>
    <w:p>
      <w:pPr>
        <w:spacing w:after="0" w:line="25" w:lineRule="exact"/>
        <w:rPr>
          <w:sz w:val="20"/>
          <w:szCs w:val="20"/>
          <w:color w:val="auto"/>
        </w:rPr>
      </w:pPr>
    </w:p>
    <w:p>
      <w:pPr>
        <w:jc w:val="center"/>
        <w:ind w:left="702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jc w:val="center"/>
        <w:ind w:left="702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4542790</wp:posOffset>
            </wp:positionH>
            <wp:positionV relativeFrom="paragraph">
              <wp:posOffset>5080</wp:posOffset>
            </wp:positionV>
            <wp:extent cx="252603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2526030" cy="8255"/>
                    </a:xfrm>
                    <a:prstGeom prst="rect">
                      <a:avLst/>
                    </a:prstGeom>
                    <a:noFill/>
                  </pic:spPr>
                </pic:pic>
              </a:graphicData>
            </a:graphic>
          </wp:anchor>
        </w:drawing>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16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702"/>
              <w:spacing w:after="0"/>
              <w:rPr>
                <w:sz w:val="20"/>
                <w:szCs w:val="20"/>
                <w:color w:val="auto"/>
              </w:rPr>
            </w:pPr>
            <w:r>
              <w:rPr>
                <w:rFonts w:ascii="Times New Roman" w:cs="Times New Roman" w:eastAsia="Times New Roman" w:hAnsi="Times New Roman"/>
                <w:sz w:val="14"/>
                <w:szCs w:val="14"/>
                <w:b w:val="1"/>
                <w:bCs w:val="1"/>
                <w:color w:val="auto"/>
              </w:rPr>
              <w:t>2024</w:t>
            </w:r>
          </w:p>
        </w:tc>
        <w:tc>
          <w:tcPr>
            <w:tcW w:w="300" w:type="dxa"/>
            <w:vAlign w:val="bottom"/>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69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r>
      <w:tr>
        <w:trPr>
          <w:trHeight w:val="304"/>
        </w:trPr>
        <w:tc>
          <w:tcPr>
            <w:tcW w:w="7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40" w:type="dxa"/>
            <w:vAlign w:val="bottom"/>
            <w:gridSpan w:val="3"/>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43"/>
        </w:trPr>
        <w:tc>
          <w:tcPr>
            <w:tcW w:w="7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Product development</w:t>
            </w:r>
          </w:p>
        </w:tc>
        <w:tc>
          <w:tcPr>
            <w:tcW w:w="440" w:type="dxa"/>
            <w:vAlign w:val="bottom"/>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16,641</w:t>
            </w:r>
          </w:p>
        </w:tc>
        <w:tc>
          <w:tcPr>
            <w:tcW w:w="840" w:type="dxa"/>
            <w:vAlign w:val="bottom"/>
            <w:gridSpan w:val="2"/>
            <w:shd w:val="clear" w:color="auto" w:fill="CFF0FC"/>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16,838</w:t>
            </w:r>
          </w:p>
        </w:tc>
        <w:tc>
          <w:tcPr>
            <w:tcW w:w="100" w:type="dxa"/>
            <w:vAlign w:val="bottom"/>
            <w:shd w:val="clear" w:color="auto" w:fill="CFF0FC"/>
          </w:tcPr>
          <w:p>
            <w:pPr>
              <w:spacing w:after="0"/>
              <w:rPr>
                <w:sz w:val="21"/>
                <w:szCs w:val="21"/>
                <w:color w:val="auto"/>
              </w:rPr>
            </w:pPr>
          </w:p>
        </w:tc>
      </w:tr>
    </w:tbl>
    <w:p>
      <w:pPr>
        <w:spacing w:after="0" w:line="170" w:lineRule="exact"/>
        <w:rPr>
          <w:sz w:val="20"/>
          <w:szCs w:val="20"/>
          <w:color w:val="auto"/>
        </w:rPr>
      </w:pPr>
    </w:p>
    <w:p>
      <w:pPr>
        <w:ind w:right="240" w:firstLine="509"/>
        <w:spacing w:after="0" w:line="281" w:lineRule="auto"/>
        <w:rPr>
          <w:sz w:val="20"/>
          <w:szCs w:val="20"/>
          <w:color w:val="auto"/>
        </w:rPr>
      </w:pPr>
      <w:r>
        <w:rPr>
          <w:rFonts w:ascii="Times New Roman" w:cs="Times New Roman" w:eastAsia="Times New Roman" w:hAnsi="Times New Roman"/>
          <w:sz w:val="18"/>
          <w:szCs w:val="18"/>
          <w:color w:val="auto"/>
        </w:rPr>
        <w:t>Product development expenses decreased 1.2% for the three months ended March 31, 2024 as compared to the same period last year primarily due to lower consulting and contractor costs, which was partially offset by higher personnel-related cost.</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 Interest Income and Other Expense, Net</w:t>
      </w:r>
    </w:p>
    <w:p>
      <w:pPr>
        <w:spacing w:after="0" w:line="25" w:lineRule="exact"/>
        <w:rPr>
          <w:sz w:val="20"/>
          <w:szCs w:val="20"/>
          <w:color w:val="auto"/>
        </w:rPr>
      </w:pPr>
    </w:p>
    <w:p>
      <w:pPr>
        <w:jc w:val="center"/>
        <w:ind w:left="702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jc w:val="center"/>
        <w:ind w:left="702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4542790</wp:posOffset>
            </wp:positionH>
            <wp:positionV relativeFrom="paragraph">
              <wp:posOffset>5080</wp:posOffset>
            </wp:positionV>
            <wp:extent cx="252603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2526030" cy="8255"/>
                    </a:xfrm>
                    <a:prstGeom prst="rect">
                      <a:avLst/>
                    </a:prstGeom>
                    <a:noFill/>
                  </pic:spPr>
                </pic:pic>
              </a:graphicData>
            </a:graphic>
          </wp:anchor>
        </w:drawing>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160" w:type="dxa"/>
            <w:vAlign w:val="bottom"/>
          </w:tcPr>
          <w:p>
            <w:pPr>
              <w:spacing w:after="0"/>
              <w:rPr>
                <w:sz w:val="16"/>
                <w:szCs w:val="16"/>
                <w:color w:val="auto"/>
              </w:rPr>
            </w:pPr>
          </w:p>
        </w:tc>
        <w:tc>
          <w:tcPr>
            <w:tcW w:w="122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4"/>
                <w:szCs w:val="14"/>
                <w:b w:val="1"/>
                <w:bCs w:val="1"/>
                <w:color w:val="auto"/>
              </w:rPr>
              <w:t>2024</w:t>
            </w:r>
          </w:p>
        </w:tc>
        <w:tc>
          <w:tcPr>
            <w:tcW w:w="620" w:type="dxa"/>
            <w:vAlign w:val="bottom"/>
            <w:tcBorders>
              <w:bottom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69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r>
      <w:tr>
        <w:trPr>
          <w:trHeight w:val="304"/>
        </w:trPr>
        <w:tc>
          <w:tcPr>
            <w:tcW w:w="7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460" w:type="dxa"/>
            <w:vAlign w:val="bottom"/>
            <w:gridSpan w:val="3"/>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43"/>
        </w:trPr>
        <w:tc>
          <w:tcPr>
            <w:tcW w:w="7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1220" w:type="dxa"/>
            <w:vAlign w:val="bottom"/>
            <w:shd w:val="clear" w:color="auto" w:fill="CFF0FC"/>
          </w:tcPr>
          <w:p>
            <w:pPr>
              <w:jc w:val="right"/>
              <w:ind w:right="1039"/>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3"/>
            <w:shd w:val="clear" w:color="auto" w:fill="CFF0FC"/>
          </w:tcPr>
          <w:p>
            <w:pPr>
              <w:jc w:val="right"/>
              <w:ind w:right="440"/>
              <w:spacing w:after="0"/>
              <w:rPr>
                <w:sz w:val="20"/>
                <w:szCs w:val="20"/>
                <w:color w:val="auto"/>
              </w:rPr>
            </w:pPr>
            <w:r>
              <w:rPr>
                <w:rFonts w:ascii="Times New Roman" w:cs="Times New Roman" w:eastAsia="Times New Roman" w:hAnsi="Times New Roman"/>
                <w:sz w:val="18"/>
                <w:szCs w:val="18"/>
                <w:color w:val="auto"/>
              </w:rPr>
              <w:t>(3,691 )   $</w:t>
            </w:r>
          </w:p>
        </w:tc>
        <w:tc>
          <w:tcPr>
            <w:tcW w:w="14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(4,302 )</w:t>
            </w:r>
          </w:p>
        </w:tc>
      </w:tr>
      <w:tr>
        <w:trPr>
          <w:trHeight w:val="238"/>
        </w:trPr>
        <w:tc>
          <w:tcPr>
            <w:tcW w:w="7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12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1,565</w:t>
            </w:r>
          </w:p>
        </w:tc>
        <w:tc>
          <w:tcPr>
            <w:tcW w:w="3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1,474</w:t>
            </w:r>
          </w:p>
        </w:tc>
        <w:tc>
          <w:tcPr>
            <w:tcW w:w="100" w:type="dxa"/>
            <w:vAlign w:val="bottom"/>
          </w:tcPr>
          <w:p>
            <w:pPr>
              <w:spacing w:after="0"/>
              <w:rPr>
                <w:sz w:val="20"/>
                <w:szCs w:val="20"/>
                <w:color w:val="auto"/>
              </w:rPr>
            </w:pPr>
          </w:p>
        </w:tc>
      </w:tr>
      <w:tr>
        <w:trPr>
          <w:trHeight w:val="247"/>
        </w:trPr>
        <w:tc>
          <w:tcPr>
            <w:tcW w:w="7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expense, net</w:t>
            </w:r>
          </w:p>
        </w:tc>
        <w:tc>
          <w:tcPr>
            <w:tcW w:w="1220" w:type="dxa"/>
            <w:vAlign w:val="bottom"/>
            <w:shd w:val="clear" w:color="auto" w:fill="CFF0FC"/>
          </w:tcPr>
          <w:p>
            <w:pPr>
              <w:spacing w:after="0"/>
              <w:rPr>
                <w:sz w:val="21"/>
                <w:szCs w:val="21"/>
                <w:color w:val="auto"/>
              </w:rPr>
            </w:pPr>
          </w:p>
        </w:tc>
        <w:tc>
          <w:tcPr>
            <w:tcW w:w="9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(461 )</w:t>
            </w:r>
          </w:p>
        </w:tc>
        <w:tc>
          <w:tcPr>
            <w:tcW w:w="540" w:type="dxa"/>
            <w:vAlign w:val="bottom"/>
            <w:shd w:val="clear" w:color="auto" w:fill="CFF0FC"/>
          </w:tcPr>
          <w:p>
            <w:pPr>
              <w:spacing w:after="0"/>
              <w:rPr>
                <w:sz w:val="21"/>
                <w:szCs w:val="21"/>
                <w:color w:val="auto"/>
              </w:rPr>
            </w:pPr>
          </w:p>
        </w:tc>
        <w:tc>
          <w:tcPr>
            <w:tcW w:w="14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(496 )</w:t>
            </w:r>
          </w:p>
        </w:tc>
      </w:tr>
    </w:tbl>
    <w:p>
      <w:pPr>
        <w:spacing w:after="0" w:line="157" w:lineRule="exact"/>
        <w:rPr>
          <w:sz w:val="20"/>
          <w:szCs w:val="20"/>
          <w:color w:val="auto"/>
        </w:rPr>
      </w:pPr>
    </w:p>
    <w:p>
      <w:pPr>
        <w:ind w:right="300" w:firstLine="509"/>
        <w:spacing w:after="0" w:line="281" w:lineRule="auto"/>
        <w:rPr>
          <w:sz w:val="20"/>
          <w:szCs w:val="20"/>
          <w:color w:val="auto"/>
        </w:rPr>
      </w:pPr>
      <w:r>
        <w:rPr>
          <w:rFonts w:ascii="Times New Roman" w:cs="Times New Roman" w:eastAsia="Times New Roman" w:hAnsi="Times New Roman"/>
          <w:sz w:val="18"/>
          <w:szCs w:val="18"/>
          <w:color w:val="auto"/>
        </w:rPr>
        <w:t>Interest expense decreased by 14.2%, for the three months ended March 31, 2024 as compared to the same period last year primarily due to lower principle balance on our Term Loan, offset partially by higher interest rates on our Term Loan in the three months ended March 31, 2024.</w:t>
      </w:r>
    </w:p>
    <w:p>
      <w:pPr>
        <w:spacing w:after="0" w:line="55" w:lineRule="exact"/>
        <w:rPr>
          <w:sz w:val="20"/>
          <w:szCs w:val="20"/>
          <w:color w:val="auto"/>
        </w:rPr>
      </w:pPr>
    </w:p>
    <w:p>
      <w:pPr>
        <w:ind w:right="420" w:firstLine="509"/>
        <w:spacing w:after="0" w:line="281" w:lineRule="auto"/>
        <w:rPr>
          <w:sz w:val="20"/>
          <w:szCs w:val="20"/>
          <w:color w:val="auto"/>
        </w:rPr>
      </w:pPr>
      <w:r>
        <w:rPr>
          <w:rFonts w:ascii="Times New Roman" w:cs="Times New Roman" w:eastAsia="Times New Roman" w:hAnsi="Times New Roman"/>
          <w:sz w:val="18"/>
          <w:szCs w:val="18"/>
          <w:color w:val="auto"/>
        </w:rPr>
        <w:t>Interest income increased by 6.2%, for the three months ended March 31, 2024 as compared to the same period last year primarily due to higher interest rates in the three months ended March 31, 2024.</w:t>
      </w:r>
    </w:p>
    <w:p>
      <w:pPr>
        <w:spacing w:after="0" w:line="55" w:lineRule="exact"/>
        <w:rPr>
          <w:sz w:val="20"/>
          <w:szCs w:val="20"/>
          <w:color w:val="auto"/>
        </w:rPr>
      </w:pPr>
    </w:p>
    <w:p>
      <w:pPr>
        <w:ind w:right="180" w:firstLine="509"/>
        <w:spacing w:after="0" w:line="265" w:lineRule="auto"/>
        <w:rPr>
          <w:sz w:val="20"/>
          <w:szCs w:val="20"/>
          <w:color w:val="auto"/>
        </w:rPr>
      </w:pPr>
      <w:r>
        <w:rPr>
          <w:rFonts w:ascii="Times New Roman" w:cs="Times New Roman" w:eastAsia="Times New Roman" w:hAnsi="Times New Roman"/>
          <w:sz w:val="18"/>
          <w:szCs w:val="18"/>
          <w:color w:val="auto"/>
        </w:rPr>
        <w:t>Other expense, net is primarily comprised of foreign exchange gains and losses on cash, accounts receivable and intercompany balances denominated in currencies other than the functional currencies of our subsidiaries. Our foreign currency exposure is primarily driven by fluctuations in the foreign currency exchanges rates of the Euro, British Pound and the Chinese Yuan.</w:t>
      </w:r>
    </w:p>
    <w:p>
      <w:pPr>
        <w:sectPr>
          <w:pgSz w:w="11900" w:h="16838" w:orient="portrait"/>
          <w:cols w:equalWidth="0" w:num="1">
            <w:col w:w="11300"/>
          </w:cols>
          <w:pgMar w:left="320" w:top="414" w:right="279" w:bottom="1440" w:gutter="0" w:footer="0" w:header="0"/>
        </w:sectPr>
      </w:pPr>
    </w:p>
    <w:p>
      <w:pPr>
        <w:spacing w:after="0" w:line="39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color w:val="auto"/>
        </w:rPr>
        <w:t>Corsair Gaming, Inc. | Q1 2024 Form 10-Q | 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80010</wp:posOffset>
            </wp:positionV>
            <wp:extent cx="7157720"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414" w:right="279" w:bottom="1440" w:gutter="0" w:footer="0" w:header="0"/>
          <w:type w:val="continuous"/>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Benefit</w:t>
      </w:r>
    </w:p>
    <w:p>
      <w:pPr>
        <w:spacing w:after="0" w:line="25" w:lineRule="exact"/>
        <w:rPr>
          <w:sz w:val="20"/>
          <w:szCs w:val="20"/>
          <w:color w:val="auto"/>
        </w:rPr>
      </w:pPr>
    </w:p>
    <w:p>
      <w:pPr>
        <w:jc w:val="center"/>
        <w:ind w:left="702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jc w:val="center"/>
        <w:ind w:left="702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4542790</wp:posOffset>
            </wp:positionH>
            <wp:positionV relativeFrom="paragraph">
              <wp:posOffset>5080</wp:posOffset>
            </wp:positionV>
            <wp:extent cx="252603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2526030" cy="8255"/>
                    </a:xfrm>
                    <a:prstGeom prst="rect">
                      <a:avLst/>
                    </a:prstGeom>
                    <a:noFill/>
                  </pic:spPr>
                </pic:pic>
              </a:graphicData>
            </a:graphic>
          </wp:anchor>
        </w:drawing>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160" w:type="dxa"/>
            <w:vAlign w:val="bottom"/>
          </w:tcPr>
          <w:p>
            <w:pPr>
              <w:spacing w:after="0"/>
              <w:rPr>
                <w:sz w:val="16"/>
                <w:szCs w:val="16"/>
                <w:color w:val="auto"/>
              </w:rPr>
            </w:pPr>
          </w:p>
        </w:tc>
        <w:tc>
          <w:tcPr>
            <w:tcW w:w="116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2024</w:t>
            </w:r>
          </w:p>
        </w:tc>
        <w:tc>
          <w:tcPr>
            <w:tcW w:w="680" w:type="dxa"/>
            <w:vAlign w:val="bottom"/>
            <w:tcBorders>
              <w:bottom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69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304"/>
        </w:trPr>
        <w:tc>
          <w:tcPr>
            <w:tcW w:w="7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520" w:type="dxa"/>
            <w:vAlign w:val="bottom"/>
            <w:gridSpan w:val="3"/>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43"/>
        </w:trPr>
        <w:tc>
          <w:tcPr>
            <w:tcW w:w="7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Loss before income taxes</w:t>
            </w:r>
          </w:p>
        </w:tc>
        <w:tc>
          <w:tcPr>
            <w:tcW w:w="1160" w:type="dxa"/>
            <w:vAlign w:val="bottom"/>
            <w:shd w:val="clear" w:color="auto" w:fill="CFF0FC"/>
          </w:tcPr>
          <w:p>
            <w:pPr>
              <w:jc w:val="right"/>
              <w:ind w:right="979"/>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gridSpan w:val="3"/>
            <w:shd w:val="clear" w:color="auto" w:fill="CFF0FC"/>
          </w:tcPr>
          <w:p>
            <w:pPr>
              <w:jc w:val="right"/>
              <w:ind w:right="440"/>
              <w:spacing w:after="0"/>
              <w:rPr>
                <w:sz w:val="20"/>
                <w:szCs w:val="20"/>
                <w:color w:val="auto"/>
              </w:rPr>
            </w:pPr>
            <w:r>
              <w:rPr>
                <w:rFonts w:ascii="Times New Roman" w:cs="Times New Roman" w:eastAsia="Times New Roman" w:hAnsi="Times New Roman"/>
                <w:sz w:val="18"/>
                <w:szCs w:val="18"/>
                <w:color w:val="auto"/>
              </w:rPr>
              <w:t>(12,806 )   $</w:t>
            </w:r>
          </w:p>
        </w:tc>
        <w:tc>
          <w:tcPr>
            <w:tcW w:w="14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(2,287 )</w:t>
            </w:r>
          </w:p>
        </w:tc>
        <w:tc>
          <w:tcPr>
            <w:tcW w:w="60" w:type="dxa"/>
            <w:vAlign w:val="bottom"/>
          </w:tcPr>
          <w:p>
            <w:pPr>
              <w:spacing w:after="0"/>
              <w:rPr>
                <w:sz w:val="21"/>
                <w:szCs w:val="21"/>
                <w:color w:val="auto"/>
              </w:rPr>
            </w:pPr>
          </w:p>
        </w:tc>
      </w:tr>
      <w:tr>
        <w:trPr>
          <w:trHeight w:val="234"/>
        </w:trPr>
        <w:tc>
          <w:tcPr>
            <w:tcW w:w="7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benefit</w:t>
            </w:r>
          </w:p>
        </w:tc>
        <w:tc>
          <w:tcPr>
            <w:tcW w:w="11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1,777</w:t>
            </w:r>
          </w:p>
        </w:tc>
        <w:tc>
          <w:tcPr>
            <w:tcW w:w="3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639</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38"/>
        </w:trPr>
        <w:tc>
          <w:tcPr>
            <w:tcW w:w="7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Effective tax rate</w:t>
            </w:r>
          </w:p>
        </w:tc>
        <w:tc>
          <w:tcPr>
            <w:tcW w:w="1160" w:type="dxa"/>
            <w:vAlign w:val="bottom"/>
          </w:tcPr>
          <w:p>
            <w:pPr>
              <w:spacing w:after="0"/>
              <w:rPr>
                <w:sz w:val="20"/>
                <w:szCs w:val="20"/>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13.9 %</w:t>
            </w:r>
          </w:p>
        </w:tc>
        <w:tc>
          <w:tcPr>
            <w:tcW w:w="540" w:type="dxa"/>
            <w:vAlign w:val="bottom"/>
          </w:tcPr>
          <w:p>
            <w:pPr>
              <w:spacing w:after="0"/>
              <w:rPr>
                <w:sz w:val="20"/>
                <w:szCs w:val="20"/>
                <w:color w:val="auto"/>
              </w:rPr>
            </w:pPr>
          </w:p>
        </w:tc>
        <w:tc>
          <w:tcPr>
            <w:tcW w:w="14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27.9 %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132320" cy="15430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64" w:lineRule="exact"/>
        <w:rPr>
          <w:sz w:val="20"/>
          <w:szCs w:val="20"/>
          <w:color w:val="auto"/>
        </w:rPr>
      </w:pPr>
    </w:p>
    <w:p>
      <w:pPr>
        <w:ind w:right="80" w:firstLine="509"/>
        <w:spacing w:after="0" w:line="260" w:lineRule="auto"/>
        <w:rPr>
          <w:sz w:val="20"/>
          <w:szCs w:val="20"/>
          <w:color w:val="auto"/>
        </w:rPr>
      </w:pPr>
      <w:r>
        <w:rPr>
          <w:rFonts w:ascii="Times New Roman" w:cs="Times New Roman" w:eastAsia="Times New Roman" w:hAnsi="Times New Roman"/>
          <w:sz w:val="18"/>
          <w:szCs w:val="18"/>
          <w:color w:val="auto"/>
        </w:rPr>
        <w:t>We are subject to income taxes in the United States and foreign jurisdictions in which we do business. These foreign jurisdictions have statutory tax rates different from those in the United States. Accordingly, our effective tax rates will vary depending on the relative proportion of foreign to United States income, the utilization of net operating loss and tax credit carry forwards, changes in geographic mix of income and expense, changes in management’s assessment of matters such as the ability to realize deferred tax assets, and changes in tax laws.</w:t>
      </w:r>
    </w:p>
    <w:p>
      <w:pPr>
        <w:spacing w:after="0" w:line="74" w:lineRule="exact"/>
        <w:rPr>
          <w:sz w:val="20"/>
          <w:szCs w:val="20"/>
          <w:color w:val="auto"/>
        </w:rPr>
      </w:pPr>
    </w:p>
    <w:p>
      <w:pPr>
        <w:ind w:right="160" w:firstLine="509"/>
        <w:spacing w:after="0" w:line="265" w:lineRule="auto"/>
        <w:rPr>
          <w:sz w:val="20"/>
          <w:szCs w:val="20"/>
          <w:color w:val="auto"/>
        </w:rPr>
      </w:pPr>
      <w:r>
        <w:rPr>
          <w:rFonts w:ascii="Times New Roman" w:cs="Times New Roman" w:eastAsia="Times New Roman" w:hAnsi="Times New Roman"/>
          <w:sz w:val="18"/>
          <w:szCs w:val="18"/>
          <w:color w:val="auto"/>
        </w:rPr>
        <w:t>Our effective tax rates were 13.9% and 27.9% for the three months ended March 31, 2024 and 2023, respectively. The decrease in our effective rate in the three-month period was primarily due to a change in the mix of income and losses in the various tax jurisdictions in which we operate, and an increase in shortfall tax deficiencies from stock-based compensation.</w:t>
      </w:r>
    </w:p>
    <w:p>
      <w:pPr>
        <w:spacing w:after="0" w:line="69"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18"/>
          <w:szCs w:val="18"/>
          <w:color w:val="auto"/>
        </w:rPr>
        <w:t>On December 15, 2022, the European Union (“EU”) Member States formally adopted the EU’s Pillar Two Directive, which generally provides for a minimum effective tax rate of 15%, as established by the Organization for Economic Co-operation and Development (“OECD”) Pillar Two Framework that was supported by over 130 countries worldwide. The EU effective dates are January 1, 2024, and January 1, 2025, for different aspects of the directive. A significant number of other countries are expected to also implement similar legislation, including United Kingdom which approved the legislation on July 11, 2023 with a full effective date of January 1, 2024. We have evaluated the potential impact from the OECD Pillar Two rules and determined that the effects are immaterial to our financial position for the year of 2024.</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Segment Results</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Segment Net Revenue</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sets forth our net revenue by segment expressed both in dollars (thousands) and as a percentage of net revenue:</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4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800" w:type="dxa"/>
            <w:vAlign w:val="bottom"/>
            <w:tcBorders>
              <w:bottom w:val="single" w:sz="8" w:color="auto"/>
            </w:tcBorders>
            <w:gridSpan w:val="7"/>
          </w:tcPr>
          <w:p>
            <w:pPr>
              <w:jc w:val="right"/>
              <w:ind w:right="560"/>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6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23"/>
        </w:trPr>
        <w:tc>
          <w:tcPr>
            <w:tcW w:w="64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gridSpan w:val="3"/>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2024</w:t>
            </w:r>
          </w:p>
        </w:tc>
        <w:tc>
          <w:tcPr>
            <w:tcW w:w="68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gridSpan w:val="3"/>
          </w:tcPr>
          <w:p>
            <w:pPr>
              <w:jc w:val="right"/>
              <w:ind w:right="280"/>
              <w:spacing w:after="0"/>
              <w:rPr>
                <w:sz w:val="20"/>
                <w:szCs w:val="20"/>
                <w:color w:val="auto"/>
              </w:rPr>
            </w:pPr>
            <w:r>
              <w:rPr>
                <w:rFonts w:ascii="Times New Roman" w:cs="Times New Roman" w:eastAsia="Times New Roman" w:hAnsi="Times New Roman"/>
                <w:sz w:val="16"/>
                <w:szCs w:val="16"/>
                <w:b w:val="1"/>
                <w:bCs w:val="1"/>
                <w:color w:val="auto"/>
              </w:rPr>
              <w:t>2023</w:t>
            </w:r>
          </w:p>
        </w:tc>
        <w:tc>
          <w:tcPr>
            <w:tcW w:w="6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439"/>
        </w:trPr>
        <w:tc>
          <w:tcPr>
            <w:tcW w:w="6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Gamer and Creator Peripherals Segment</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106,973</w:t>
            </w: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31.7 %</w:t>
            </w: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88,942</w:t>
            </w: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25.1 %</w:t>
            </w:r>
          </w:p>
        </w:tc>
      </w:tr>
      <w:tr>
        <w:trPr>
          <w:trHeight w:val="239"/>
        </w:trPr>
        <w:tc>
          <w:tcPr>
            <w:tcW w:w="6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Gaming Components and Systems Segment</w:t>
            </w:r>
          </w:p>
        </w:tc>
        <w:tc>
          <w:tcPr>
            <w:tcW w:w="2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39"/>
        </w:trPr>
        <w:tc>
          <w:tcPr>
            <w:tcW w:w="64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Memory Products</w:t>
            </w:r>
          </w:p>
        </w:tc>
        <w:tc>
          <w:tcPr>
            <w:tcW w:w="260" w:type="dxa"/>
            <w:vAlign w:val="bottom"/>
            <w:shd w:val="clear" w:color="auto" w:fill="CFF0FC"/>
          </w:tcPr>
          <w:p>
            <w:pPr>
              <w:spacing w:after="0"/>
              <w:rPr>
                <w:sz w:val="20"/>
                <w:szCs w:val="20"/>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124,903</w:t>
            </w:r>
          </w:p>
        </w:tc>
        <w:tc>
          <w:tcPr>
            <w:tcW w:w="24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37.0</w:t>
            </w:r>
          </w:p>
        </w:tc>
        <w:tc>
          <w:tcPr>
            <w:tcW w:w="2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131,337</w:t>
            </w:r>
          </w:p>
        </w:tc>
        <w:tc>
          <w:tcPr>
            <w:tcW w:w="20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37.1</w:t>
            </w:r>
          </w:p>
        </w:tc>
        <w:tc>
          <w:tcPr>
            <w:tcW w:w="100" w:type="dxa"/>
            <w:vAlign w:val="bottom"/>
            <w:shd w:val="clear" w:color="auto" w:fill="CFF0FC"/>
          </w:tcPr>
          <w:p>
            <w:pPr>
              <w:spacing w:after="0"/>
              <w:rPr>
                <w:sz w:val="20"/>
                <w:szCs w:val="20"/>
                <w:color w:val="auto"/>
              </w:rPr>
            </w:pPr>
          </w:p>
        </w:tc>
        <w:tc>
          <w:tcPr>
            <w:tcW w:w="40" w:type="dxa"/>
            <w:vAlign w:val="bottom"/>
          </w:tcPr>
          <w:p>
            <w:pPr>
              <w:spacing w:after="0"/>
              <w:rPr>
                <w:sz w:val="20"/>
                <w:szCs w:val="20"/>
                <w:color w:val="auto"/>
              </w:rPr>
            </w:pPr>
          </w:p>
        </w:tc>
      </w:tr>
      <w:tr>
        <w:trPr>
          <w:trHeight w:val="226"/>
        </w:trPr>
        <w:tc>
          <w:tcPr>
            <w:tcW w:w="64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Other Component Products</w:t>
            </w:r>
          </w:p>
        </w:tc>
        <w:tc>
          <w:tcPr>
            <w:tcW w:w="2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105,381</w:t>
            </w:r>
          </w:p>
        </w:tc>
        <w:tc>
          <w:tcPr>
            <w:tcW w:w="24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31.2</w:t>
            </w:r>
          </w:p>
        </w:tc>
        <w:tc>
          <w:tcPr>
            <w:tcW w:w="2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133,685</w:t>
            </w:r>
          </w:p>
        </w:tc>
        <w:tc>
          <w:tcPr>
            <w:tcW w:w="20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37.8</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19"/>
        </w:trPr>
        <w:tc>
          <w:tcPr>
            <w:tcW w:w="648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230,284</w:t>
            </w:r>
          </w:p>
        </w:tc>
        <w:tc>
          <w:tcPr>
            <w:tcW w:w="24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68.3</w:t>
            </w:r>
          </w:p>
        </w:tc>
        <w:tc>
          <w:tcPr>
            <w:tcW w:w="22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265,022</w:t>
            </w:r>
          </w:p>
        </w:tc>
        <w:tc>
          <w:tcPr>
            <w:tcW w:w="20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74.9</w:t>
            </w:r>
          </w:p>
        </w:tc>
        <w:tc>
          <w:tcPr>
            <w:tcW w:w="100" w:type="dxa"/>
            <w:vAlign w:val="bottom"/>
            <w:tcBorders>
              <w:bottom w:val="single" w:sz="8" w:color="CFF0FC"/>
            </w:tcBorders>
            <w:shd w:val="clear" w:color="auto" w:fill="CFF0FC"/>
          </w:tcPr>
          <w:p>
            <w:pPr>
              <w:spacing w:after="0"/>
              <w:rPr>
                <w:sz w:val="19"/>
                <w:szCs w:val="19"/>
                <w:color w:val="auto"/>
              </w:rPr>
            </w:pPr>
          </w:p>
        </w:tc>
        <w:tc>
          <w:tcPr>
            <w:tcW w:w="40" w:type="dxa"/>
            <w:vAlign w:val="bottom"/>
          </w:tcPr>
          <w:p>
            <w:pPr>
              <w:spacing w:after="0"/>
              <w:rPr>
                <w:sz w:val="19"/>
                <w:szCs w:val="19"/>
                <w:color w:val="auto"/>
              </w:rPr>
            </w:pPr>
          </w:p>
        </w:tc>
      </w:tr>
      <w:tr>
        <w:trPr>
          <w:trHeight w:val="229"/>
        </w:trPr>
        <w:tc>
          <w:tcPr>
            <w:tcW w:w="648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Total Net Revenue</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337,257</w:t>
            </w: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100.0 %</w:t>
            </w: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353,964</w:t>
            </w: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100.0 %</w:t>
            </w:r>
          </w:p>
        </w:tc>
      </w:tr>
      <w:tr>
        <w:trPr>
          <w:trHeight w:val="20"/>
        </w:trPr>
        <w:tc>
          <w:tcPr>
            <w:tcW w:w="64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-915670</wp:posOffset>
            </wp:positionV>
            <wp:extent cx="7132320" cy="14541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4723130</wp:posOffset>
            </wp:positionH>
            <wp:positionV relativeFrom="paragraph">
              <wp:posOffset>-179070</wp:posOffset>
            </wp:positionV>
            <wp:extent cx="76835"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5544820</wp:posOffset>
            </wp:positionH>
            <wp:positionV relativeFrom="paragraph">
              <wp:posOffset>-179070</wp:posOffset>
            </wp:positionV>
            <wp:extent cx="6858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6281420</wp:posOffset>
            </wp:positionH>
            <wp:positionV relativeFrom="paragraph">
              <wp:posOffset>-179070</wp:posOffset>
            </wp:positionV>
            <wp:extent cx="6858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-179070</wp:posOffset>
            </wp:positionV>
            <wp:extent cx="6858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Gamer and Creator Peripherals Segment</w:t>
      </w:r>
    </w:p>
    <w:p>
      <w:pPr>
        <w:spacing w:after="0" w:line="119" w:lineRule="exact"/>
        <w:rPr>
          <w:sz w:val="20"/>
          <w:szCs w:val="20"/>
          <w:color w:val="auto"/>
        </w:rPr>
      </w:pPr>
    </w:p>
    <w:p>
      <w:pPr>
        <w:jc w:val="both"/>
        <w:ind w:right="260" w:firstLine="509"/>
        <w:spacing w:after="0" w:line="265" w:lineRule="auto"/>
        <w:rPr>
          <w:sz w:val="20"/>
          <w:szCs w:val="20"/>
          <w:color w:val="auto"/>
        </w:rPr>
      </w:pPr>
      <w:r>
        <w:rPr>
          <w:rFonts w:ascii="Times New Roman" w:cs="Times New Roman" w:eastAsia="Times New Roman" w:hAnsi="Times New Roman"/>
          <w:sz w:val="18"/>
          <w:szCs w:val="18"/>
          <w:color w:val="auto"/>
        </w:rPr>
        <w:t>Net revenue of the Gamer and Creator Peripherals segment increased 20.3% for the three months ended March 31, 2024, as compared to the same period last year. The increase was driven primarily by the success of recent product launches, as well as increased demand for our gaming controllers and traditional headsets, keyboards and mice categories within this segment.</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Gaming Components and Systems Segment</w:t>
      </w:r>
    </w:p>
    <w:p>
      <w:pPr>
        <w:spacing w:after="0" w:line="119"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Net revenue of the Gaming Components and Systems segment decreased 13.1% for three months ended March 31, 2024, as compared to the same period last year. The demand for our products in this segment is largely influenced by the activity in the self-built PC market which is primarily triggered by the launch of new, reasonably priced GPUs and CPUs, as well as the release of new game titles. However, in 2024, we will be mid-cycle for new GPU platforms, and as anticipated, we experienced relatively flat self-built PC market trajectory since the beginning of the year. This has led to a decrease in demand for our products in this segment in the three months ended March 31, 2024.</w:t>
      </w:r>
    </w:p>
    <w:p>
      <w:pPr>
        <w:spacing w:after="0" w:line="398"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Corsair Gaming, Inc. | Q1 2024 Form 10-Q | 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414" w:right="27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Segment Gross Profit and Gross Margin</w:t>
      </w:r>
    </w:p>
    <w:p>
      <w:pPr>
        <w:spacing w:after="0" w:line="121" w:lineRule="exact"/>
        <w:rPr>
          <w:sz w:val="20"/>
          <w:szCs w:val="20"/>
          <w:color w:val="auto"/>
        </w:rPr>
      </w:pPr>
    </w:p>
    <w:p>
      <w:pPr>
        <w:ind w:right="160" w:firstLine="509"/>
        <w:spacing w:after="0" w:line="260" w:lineRule="auto"/>
        <w:rPr>
          <w:sz w:val="20"/>
          <w:szCs w:val="20"/>
          <w:color w:val="auto"/>
        </w:rPr>
      </w:pPr>
      <w:r>
        <w:rPr>
          <w:rFonts w:ascii="Times New Roman" w:cs="Times New Roman" w:eastAsia="Times New Roman" w:hAnsi="Times New Roman"/>
          <w:sz w:val="18"/>
          <w:szCs w:val="18"/>
          <w:color w:val="auto"/>
        </w:rPr>
        <w:t>The following table sets forth our gross profit expressed in dollars (thousands) and gross margin (which we define as gross profit as a percentage of net revenue) by segment:</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4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840" w:type="dxa"/>
            <w:vAlign w:val="bottom"/>
            <w:tcBorders>
              <w:bottom w:val="single" w:sz="8" w:color="auto"/>
            </w:tcBorders>
            <w:gridSpan w:val="7"/>
          </w:tcPr>
          <w:p>
            <w:pPr>
              <w:jc w:val="right"/>
              <w:ind w:right="600"/>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6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23"/>
        </w:trPr>
        <w:tc>
          <w:tcPr>
            <w:tcW w:w="64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gridSpan w:val="3"/>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2024</w:t>
            </w:r>
          </w:p>
        </w:tc>
        <w:tc>
          <w:tcPr>
            <w:tcW w:w="64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gridSpan w:val="3"/>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2023</w:t>
            </w:r>
          </w:p>
        </w:tc>
        <w:tc>
          <w:tcPr>
            <w:tcW w:w="6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439"/>
        </w:trPr>
        <w:tc>
          <w:tcPr>
            <w:tcW w:w="6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Gamer and Creator Peripherals Segment</w:t>
            </w: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43,643</w:t>
            </w: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60" w:type="dxa"/>
            <w:vAlign w:val="bottom"/>
            <w:gridSpan w:val="2"/>
          </w:tcPr>
          <w:p>
            <w:pPr>
              <w:ind w:left="340"/>
              <w:spacing w:after="0"/>
              <w:rPr>
                <w:sz w:val="20"/>
                <w:szCs w:val="20"/>
                <w:color w:val="auto"/>
              </w:rPr>
            </w:pPr>
            <w:r>
              <w:rPr>
                <w:rFonts w:ascii="Times New Roman" w:cs="Times New Roman" w:eastAsia="Times New Roman" w:hAnsi="Times New Roman"/>
                <w:sz w:val="16"/>
                <w:szCs w:val="16"/>
                <w:color w:val="auto"/>
              </w:rPr>
              <w:t>40.8 %</w:t>
            </w: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26,648</w:t>
            </w: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gridSpan w:val="3"/>
          </w:tcPr>
          <w:p>
            <w:pPr>
              <w:ind w:left="320"/>
              <w:spacing w:after="0"/>
              <w:rPr>
                <w:sz w:val="20"/>
                <w:szCs w:val="20"/>
                <w:color w:val="auto"/>
              </w:rPr>
            </w:pPr>
            <w:r>
              <w:rPr>
                <w:rFonts w:ascii="Times New Roman" w:cs="Times New Roman" w:eastAsia="Times New Roman" w:hAnsi="Times New Roman"/>
                <w:sz w:val="16"/>
                <w:szCs w:val="16"/>
                <w:color w:val="auto"/>
                <w:w w:val="92"/>
              </w:rPr>
              <w:t>30.0 %</w:t>
            </w:r>
          </w:p>
        </w:tc>
      </w:tr>
      <w:tr>
        <w:trPr>
          <w:trHeight w:val="239"/>
        </w:trPr>
        <w:tc>
          <w:tcPr>
            <w:tcW w:w="64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Gaming Components and Systems Segment</w:t>
            </w:r>
          </w:p>
        </w:tc>
        <w:tc>
          <w:tcPr>
            <w:tcW w:w="3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39"/>
        </w:trPr>
        <w:tc>
          <w:tcPr>
            <w:tcW w:w="64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Memory Products</w:t>
            </w:r>
          </w:p>
        </w:tc>
        <w:tc>
          <w:tcPr>
            <w:tcW w:w="300" w:type="dxa"/>
            <w:vAlign w:val="bottom"/>
            <w:shd w:val="clear" w:color="auto" w:fill="CFF0FC"/>
          </w:tcPr>
          <w:p>
            <w:pPr>
              <w:spacing w:after="0"/>
              <w:rPr>
                <w:sz w:val="20"/>
                <w:szCs w:val="20"/>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18,056</w:t>
            </w:r>
          </w:p>
        </w:tc>
        <w:tc>
          <w:tcPr>
            <w:tcW w:w="240" w:type="dxa"/>
            <w:vAlign w:val="bottom"/>
            <w:shd w:val="clear" w:color="auto" w:fill="CFF0FC"/>
          </w:tcPr>
          <w:p>
            <w:pPr>
              <w:spacing w:after="0"/>
              <w:rPr>
                <w:sz w:val="20"/>
                <w:szCs w:val="20"/>
                <w:color w:val="auto"/>
              </w:rPr>
            </w:pPr>
          </w:p>
        </w:tc>
        <w:tc>
          <w:tcPr>
            <w:tcW w:w="420" w:type="dxa"/>
            <w:vAlign w:val="bottom"/>
            <w:shd w:val="clear" w:color="auto" w:fill="CFF0FC"/>
          </w:tcPr>
          <w:p>
            <w:pPr>
              <w:spacing w:after="0"/>
              <w:rPr>
                <w:sz w:val="20"/>
                <w:szCs w:val="20"/>
                <w:color w:val="auto"/>
              </w:rPr>
            </w:pPr>
          </w:p>
        </w:tc>
        <w:tc>
          <w:tcPr>
            <w:tcW w:w="64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6"/>
                <w:szCs w:val="16"/>
                <w:color w:val="auto"/>
                <w:w w:val="99"/>
              </w:rPr>
              <w:t>14.5</w:t>
            </w:r>
          </w:p>
        </w:tc>
        <w:tc>
          <w:tcPr>
            <w:tcW w:w="2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20,806</w:t>
            </w:r>
          </w:p>
        </w:tc>
        <w:tc>
          <w:tcPr>
            <w:tcW w:w="200" w:type="dxa"/>
            <w:vAlign w:val="bottom"/>
            <w:shd w:val="clear" w:color="auto" w:fill="CFF0FC"/>
          </w:tcPr>
          <w:p>
            <w:pPr>
              <w:spacing w:after="0"/>
              <w:rPr>
                <w:sz w:val="20"/>
                <w:szCs w:val="20"/>
                <w:color w:val="auto"/>
              </w:rPr>
            </w:pPr>
          </w:p>
        </w:tc>
        <w:tc>
          <w:tcPr>
            <w:tcW w:w="420" w:type="dxa"/>
            <w:vAlign w:val="bottom"/>
            <w:shd w:val="clear" w:color="auto" w:fill="CFF0FC"/>
          </w:tcPr>
          <w:p>
            <w:pPr>
              <w:spacing w:after="0"/>
              <w:rPr>
                <w:sz w:val="20"/>
                <w:szCs w:val="20"/>
                <w:color w:val="auto"/>
              </w:rPr>
            </w:pPr>
          </w:p>
        </w:tc>
        <w:tc>
          <w:tcPr>
            <w:tcW w:w="62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16"/>
                <w:szCs w:val="16"/>
                <w:color w:val="auto"/>
                <w:w w:val="99"/>
              </w:rPr>
              <w:t>15.8</w:t>
            </w:r>
          </w:p>
        </w:tc>
        <w:tc>
          <w:tcPr>
            <w:tcW w:w="100" w:type="dxa"/>
            <w:vAlign w:val="bottom"/>
            <w:shd w:val="clear" w:color="auto" w:fill="CFF0FC"/>
          </w:tcPr>
          <w:p>
            <w:pPr>
              <w:spacing w:after="0"/>
              <w:rPr>
                <w:sz w:val="20"/>
                <w:szCs w:val="20"/>
                <w:color w:val="auto"/>
              </w:rPr>
            </w:pPr>
          </w:p>
        </w:tc>
        <w:tc>
          <w:tcPr>
            <w:tcW w:w="40" w:type="dxa"/>
            <w:vAlign w:val="bottom"/>
          </w:tcPr>
          <w:p>
            <w:pPr>
              <w:spacing w:after="0"/>
              <w:rPr>
                <w:sz w:val="20"/>
                <w:szCs w:val="20"/>
                <w:color w:val="auto"/>
              </w:rPr>
            </w:pPr>
          </w:p>
        </w:tc>
      </w:tr>
      <w:tr>
        <w:trPr>
          <w:trHeight w:val="226"/>
        </w:trPr>
        <w:tc>
          <w:tcPr>
            <w:tcW w:w="64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Other Component Products</w:t>
            </w:r>
          </w:p>
        </w:tc>
        <w:tc>
          <w:tcPr>
            <w:tcW w:w="3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24,940</w:t>
            </w:r>
          </w:p>
        </w:tc>
        <w:tc>
          <w:tcPr>
            <w:tcW w:w="24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6"/>
                <w:szCs w:val="16"/>
                <w:color w:val="auto"/>
                <w:w w:val="99"/>
              </w:rPr>
              <w:t>23.7</w:t>
            </w:r>
          </w:p>
        </w:tc>
        <w:tc>
          <w:tcPr>
            <w:tcW w:w="2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37,950</w:t>
            </w:r>
          </w:p>
        </w:tc>
        <w:tc>
          <w:tcPr>
            <w:tcW w:w="20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6"/>
                <w:szCs w:val="16"/>
                <w:color w:val="auto"/>
                <w:w w:val="99"/>
              </w:rPr>
              <w:t>28.4</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19"/>
        </w:trPr>
        <w:tc>
          <w:tcPr>
            <w:tcW w:w="648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42,996</w:t>
            </w:r>
          </w:p>
        </w:tc>
        <w:tc>
          <w:tcPr>
            <w:tcW w:w="240" w:type="dxa"/>
            <w:vAlign w:val="bottom"/>
            <w:tcBorders>
              <w:bottom w:val="single" w:sz="8" w:color="CFF0FC"/>
            </w:tcBorders>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ind w:left="340"/>
              <w:spacing w:after="0"/>
              <w:rPr>
                <w:sz w:val="20"/>
                <w:szCs w:val="20"/>
                <w:color w:val="auto"/>
              </w:rPr>
            </w:pPr>
            <w:r>
              <w:rPr>
                <w:rFonts w:ascii="Times New Roman" w:cs="Times New Roman" w:eastAsia="Times New Roman" w:hAnsi="Times New Roman"/>
                <w:sz w:val="16"/>
                <w:szCs w:val="16"/>
                <w:color w:val="auto"/>
                <w:w w:val="99"/>
              </w:rPr>
              <w:t>18.7</w:t>
            </w:r>
          </w:p>
        </w:tc>
        <w:tc>
          <w:tcPr>
            <w:tcW w:w="22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58,756</w:t>
            </w:r>
          </w:p>
        </w:tc>
        <w:tc>
          <w:tcPr>
            <w:tcW w:w="200" w:type="dxa"/>
            <w:vAlign w:val="bottom"/>
            <w:tcBorders>
              <w:bottom w:val="single" w:sz="8" w:color="CFF0FC"/>
            </w:tcBorders>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ind w:left="320"/>
              <w:spacing w:after="0"/>
              <w:rPr>
                <w:sz w:val="20"/>
                <w:szCs w:val="20"/>
                <w:color w:val="auto"/>
              </w:rPr>
            </w:pPr>
            <w:r>
              <w:rPr>
                <w:rFonts w:ascii="Times New Roman" w:cs="Times New Roman" w:eastAsia="Times New Roman" w:hAnsi="Times New Roman"/>
                <w:sz w:val="16"/>
                <w:szCs w:val="16"/>
                <w:color w:val="auto"/>
                <w:w w:val="99"/>
              </w:rPr>
              <w:t>22.2</w:t>
            </w:r>
          </w:p>
        </w:tc>
        <w:tc>
          <w:tcPr>
            <w:tcW w:w="100" w:type="dxa"/>
            <w:vAlign w:val="bottom"/>
            <w:tcBorders>
              <w:bottom w:val="single" w:sz="8" w:color="CFF0FC"/>
            </w:tcBorders>
            <w:shd w:val="clear" w:color="auto" w:fill="CFF0FC"/>
          </w:tcPr>
          <w:p>
            <w:pPr>
              <w:spacing w:after="0"/>
              <w:rPr>
                <w:sz w:val="19"/>
                <w:szCs w:val="19"/>
                <w:color w:val="auto"/>
              </w:rPr>
            </w:pPr>
          </w:p>
        </w:tc>
        <w:tc>
          <w:tcPr>
            <w:tcW w:w="40" w:type="dxa"/>
            <w:vAlign w:val="bottom"/>
          </w:tcPr>
          <w:p>
            <w:pPr>
              <w:spacing w:after="0"/>
              <w:rPr>
                <w:sz w:val="19"/>
                <w:szCs w:val="19"/>
                <w:color w:val="auto"/>
              </w:rPr>
            </w:pPr>
          </w:p>
        </w:tc>
      </w:tr>
      <w:tr>
        <w:trPr>
          <w:trHeight w:val="229"/>
        </w:trPr>
        <w:tc>
          <w:tcPr>
            <w:tcW w:w="648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Total Gross Profit</w:t>
            </w: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86,639</w:t>
            </w:r>
          </w:p>
        </w:tc>
        <w:tc>
          <w:tcPr>
            <w:tcW w:w="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60" w:type="dxa"/>
            <w:vAlign w:val="bottom"/>
            <w:gridSpan w:val="2"/>
          </w:tcPr>
          <w:p>
            <w:pPr>
              <w:ind w:left="340"/>
              <w:spacing w:after="0"/>
              <w:rPr>
                <w:sz w:val="20"/>
                <w:szCs w:val="20"/>
                <w:color w:val="auto"/>
              </w:rPr>
            </w:pPr>
            <w:r>
              <w:rPr>
                <w:rFonts w:ascii="Times New Roman" w:cs="Times New Roman" w:eastAsia="Times New Roman" w:hAnsi="Times New Roman"/>
                <w:sz w:val="16"/>
                <w:szCs w:val="16"/>
                <w:color w:val="auto"/>
              </w:rPr>
              <w:t>25.7 %</w:t>
            </w: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85,404</w:t>
            </w:r>
          </w:p>
        </w:tc>
        <w:tc>
          <w:tcPr>
            <w:tcW w:w="2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gridSpan w:val="3"/>
          </w:tcPr>
          <w:p>
            <w:pPr>
              <w:ind w:left="320"/>
              <w:spacing w:after="0"/>
              <w:rPr>
                <w:sz w:val="20"/>
                <w:szCs w:val="20"/>
                <w:color w:val="auto"/>
              </w:rPr>
            </w:pPr>
            <w:r>
              <w:rPr>
                <w:rFonts w:ascii="Times New Roman" w:cs="Times New Roman" w:eastAsia="Times New Roman" w:hAnsi="Times New Roman"/>
                <w:sz w:val="16"/>
                <w:szCs w:val="16"/>
                <w:color w:val="auto"/>
                <w:w w:val="92"/>
              </w:rPr>
              <w:t>24.1 %</w:t>
            </w:r>
          </w:p>
        </w:tc>
      </w:tr>
      <w:tr>
        <w:trPr>
          <w:trHeight w:val="20"/>
        </w:trPr>
        <w:tc>
          <w:tcPr>
            <w:tcW w:w="64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-915670</wp:posOffset>
            </wp:positionV>
            <wp:extent cx="7132320" cy="14541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4723130</wp:posOffset>
            </wp:positionH>
            <wp:positionV relativeFrom="paragraph">
              <wp:posOffset>-179070</wp:posOffset>
            </wp:positionV>
            <wp:extent cx="76835"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5544820</wp:posOffset>
            </wp:positionH>
            <wp:positionV relativeFrom="paragraph">
              <wp:posOffset>-179070</wp:posOffset>
            </wp:positionV>
            <wp:extent cx="6858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6281420</wp:posOffset>
            </wp:positionH>
            <wp:positionV relativeFrom="paragraph">
              <wp:posOffset>-179070</wp:posOffset>
            </wp:positionV>
            <wp:extent cx="6858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-179070</wp:posOffset>
            </wp:positionV>
            <wp:extent cx="6858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Gamer and Creator Peripherals Segment</w:t>
      </w:r>
    </w:p>
    <w:p>
      <w:pPr>
        <w:spacing w:after="0" w:line="119" w:lineRule="exact"/>
        <w:rPr>
          <w:sz w:val="20"/>
          <w:szCs w:val="20"/>
          <w:color w:val="auto"/>
        </w:rPr>
      </w:pPr>
    </w:p>
    <w:p>
      <w:pPr>
        <w:ind w:right="80" w:firstLine="509"/>
        <w:spacing w:after="0" w:line="265" w:lineRule="auto"/>
        <w:rPr>
          <w:sz w:val="20"/>
          <w:szCs w:val="20"/>
          <w:color w:val="auto"/>
        </w:rPr>
      </w:pPr>
      <w:r>
        <w:rPr>
          <w:rFonts w:ascii="Times New Roman" w:cs="Times New Roman" w:eastAsia="Times New Roman" w:hAnsi="Times New Roman"/>
          <w:sz w:val="18"/>
          <w:szCs w:val="18"/>
          <w:color w:val="auto"/>
        </w:rPr>
        <w:t>The gross margin of the Gamer and Creator Peripherals segment increased by 10.8% for the three months ended March 31, 2024, as compared to the same period last year. The increase was primarily attributable to successful launches of new products that carry higher margins and lower promotional activities.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Gaming Components and Systems Segment</w:t>
      </w:r>
    </w:p>
    <w:p>
      <w:pPr>
        <w:spacing w:after="0" w:line="119" w:lineRule="exact"/>
        <w:rPr>
          <w:sz w:val="20"/>
          <w:szCs w:val="20"/>
          <w:color w:val="auto"/>
        </w:rPr>
      </w:pPr>
    </w:p>
    <w:p>
      <w:pPr>
        <w:jc w:val="both"/>
        <w:ind w:right="140" w:firstLine="509"/>
        <w:spacing w:after="0" w:line="265" w:lineRule="auto"/>
        <w:rPr>
          <w:sz w:val="20"/>
          <w:szCs w:val="20"/>
          <w:color w:val="auto"/>
        </w:rPr>
      </w:pPr>
      <w:r>
        <w:rPr>
          <w:rFonts w:ascii="Times New Roman" w:cs="Times New Roman" w:eastAsia="Times New Roman" w:hAnsi="Times New Roman"/>
          <w:sz w:val="18"/>
          <w:szCs w:val="18"/>
          <w:color w:val="auto"/>
        </w:rPr>
        <w:t>The gross margin of the Gaming Components and Systems segment decreased by 3.5% for the three months ended March 31, 2024, as compared to the same period last year. The decrease was primarily attributable to a change in sales mix toward the memory products that carry lower margins as well as higher promotional activities.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121" w:lineRule="exact"/>
        <w:rPr>
          <w:sz w:val="20"/>
          <w:szCs w:val="20"/>
          <w:color w:val="auto"/>
        </w:rPr>
      </w:pPr>
    </w:p>
    <w:p>
      <w:pPr>
        <w:ind w:right="140" w:firstLine="509"/>
        <w:spacing w:after="0" w:line="265" w:lineRule="auto"/>
        <w:rPr>
          <w:sz w:val="20"/>
          <w:szCs w:val="20"/>
          <w:color w:val="auto"/>
        </w:rPr>
      </w:pPr>
      <w:r>
        <w:rPr>
          <w:rFonts w:ascii="Times New Roman" w:cs="Times New Roman" w:eastAsia="Times New Roman" w:hAnsi="Times New Roman"/>
          <w:sz w:val="18"/>
          <w:szCs w:val="18"/>
          <w:color w:val="auto"/>
        </w:rPr>
        <w:t>We have financed our operations and acquisitions through cash from operations, and when applicable, also through debt facilities and issuance of equity securities. As of March 31, 2024, our principal sources of liquidity were cash and restricted cash, in aggregate of $130.2 million, and our borrowing capacity under the Revolving Facility (as defined below) of $100.0 million.</w:t>
      </w:r>
    </w:p>
    <w:p>
      <w:pPr>
        <w:spacing w:after="0" w:line="69" w:lineRule="exact"/>
        <w:rPr>
          <w:sz w:val="20"/>
          <w:szCs w:val="20"/>
          <w:color w:val="auto"/>
        </w:rPr>
      </w:pPr>
    </w:p>
    <w:p>
      <w:pPr>
        <w:ind w:right="220" w:firstLine="509"/>
        <w:spacing w:after="0" w:line="312" w:lineRule="auto"/>
        <w:rPr>
          <w:sz w:val="20"/>
          <w:szCs w:val="20"/>
          <w:color w:val="auto"/>
        </w:rPr>
      </w:pPr>
      <w:r>
        <w:rPr>
          <w:rFonts w:ascii="Times New Roman" w:cs="Times New Roman" w:eastAsia="Times New Roman" w:hAnsi="Times New Roman"/>
          <w:sz w:val="17"/>
          <w:szCs w:val="17"/>
          <w:color w:val="auto"/>
        </w:rPr>
        <w:t>We have a shelf-registration statement on Form S-3 on file with the SEC, which allows us to offer securities, including common stock, preferred stock and warrants, through August 1, 2025. As of March 31, 2024, $216.7 million remained available for issuance under the shelf-registration statement.</w:t>
      </w:r>
    </w:p>
    <w:p>
      <w:pPr>
        <w:spacing w:after="0" w:line="31" w:lineRule="exact"/>
        <w:rPr>
          <w:sz w:val="20"/>
          <w:szCs w:val="20"/>
          <w:color w:val="auto"/>
        </w:rPr>
      </w:pPr>
    </w:p>
    <w:p>
      <w:pPr>
        <w:ind w:right="600" w:firstLine="509"/>
        <w:spacing w:after="0" w:line="265" w:lineRule="auto"/>
        <w:rPr>
          <w:sz w:val="20"/>
          <w:szCs w:val="20"/>
          <w:color w:val="auto"/>
        </w:rPr>
      </w:pPr>
      <w:r>
        <w:rPr>
          <w:rFonts w:ascii="Times New Roman" w:cs="Times New Roman" w:eastAsia="Times New Roman" w:hAnsi="Times New Roman"/>
          <w:sz w:val="18"/>
          <w:szCs w:val="18"/>
          <w:color w:val="auto"/>
        </w:rPr>
        <w:t>Our principal uses of cash generally will include purchases of inventory, payroll and other operating expenses related to the development and marketing of our products, capital expenditure, repayments of debt and related interest, income tax payments, future investments in business and technology, and selective mergers and acquisitions.</w:t>
      </w:r>
    </w:p>
    <w:p>
      <w:pPr>
        <w:spacing w:after="0" w:line="69" w:lineRule="exact"/>
        <w:rPr>
          <w:sz w:val="20"/>
          <w:szCs w:val="20"/>
          <w:color w:val="auto"/>
        </w:rPr>
      </w:pPr>
    </w:p>
    <w:p>
      <w:pPr>
        <w:ind w:right="60" w:firstLine="509"/>
        <w:spacing w:after="0" w:line="272" w:lineRule="auto"/>
        <w:rPr>
          <w:sz w:val="20"/>
          <w:szCs w:val="20"/>
          <w:color w:val="auto"/>
        </w:rPr>
      </w:pPr>
      <w:r>
        <w:rPr>
          <w:rFonts w:ascii="Times New Roman" w:cs="Times New Roman" w:eastAsia="Times New Roman" w:hAnsi="Times New Roman"/>
          <w:sz w:val="17"/>
          <w:szCs w:val="17"/>
          <w:color w:val="auto"/>
        </w:rPr>
        <w:t>We believe that the anticipated cash flows from operations based on our current business outlook, combined with our current levels of cash balances at March 31, 2024, supplemented with the borrowing capacity under our Revolving Facility, if and as needed, will be sufficient to fund our principal uses of cash for at least the next twelve months. In the longer term, liquidity will depend to a great extent on our future revenues and our ability to appropriately manage our costs based on the demand for our products. We may require additional funding and need or choose to raise the required funds through borrowings or public or private sales of debt or equity securities. The sale of additional equity would result in additional dilution to our stockholders. The incurrence of debt financing would result in debt service obligations and the instruments governing such debt could provide for operating and financial covenants that would restrict our operations. There can be no assurance that any such equity or debt financing will be available on favorable terms, or at all.</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our cash flows for the periods presented (in thousands):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540" w:type="dxa"/>
            <w:vAlign w:val="bottom"/>
          </w:tcPr>
          <w:p>
            <w:pPr>
              <w:spacing w:after="0"/>
              <w:rPr>
                <w:sz w:val="15"/>
                <w:szCs w:val="15"/>
                <w:color w:val="auto"/>
              </w:rPr>
            </w:pPr>
          </w:p>
        </w:tc>
        <w:tc>
          <w:tcPr>
            <w:tcW w:w="3000" w:type="dxa"/>
            <w:vAlign w:val="bottom"/>
            <w:tcBorders>
              <w:bottom w:val="single" w:sz="8" w:color="auto"/>
            </w:tcBorders>
            <w:gridSpan w:val="4"/>
          </w:tcPr>
          <w:p>
            <w:pPr>
              <w:jc w:val="right"/>
              <w:ind w:right="139"/>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6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69"/>
        </w:trPr>
        <w:tc>
          <w:tcPr>
            <w:tcW w:w="7540" w:type="dxa"/>
            <w:vAlign w:val="bottom"/>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20" w:type="dxa"/>
            <w:vAlign w:val="bottom"/>
            <w:tcBorders>
              <w:bottom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6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61"/>
        </w:trPr>
        <w:tc>
          <w:tcPr>
            <w:tcW w:w="7540" w:type="dxa"/>
            <w:vAlign w:val="bottom"/>
          </w:tcPr>
          <w:p>
            <w:pPr>
              <w:spacing w:after="0"/>
              <w:rPr>
                <w:sz w:val="5"/>
                <w:szCs w:val="5"/>
                <w:color w:val="auto"/>
              </w:rPr>
            </w:pPr>
          </w:p>
        </w:tc>
        <w:tc>
          <w:tcPr>
            <w:tcW w:w="1020" w:type="dxa"/>
            <w:vAlign w:val="bottom"/>
          </w:tcPr>
          <w:p>
            <w:pPr>
              <w:spacing w:after="0"/>
              <w:rPr>
                <w:sz w:val="5"/>
                <w:szCs w:val="5"/>
                <w:color w:val="auto"/>
              </w:rPr>
            </w:pPr>
          </w:p>
        </w:tc>
        <w:tc>
          <w:tcPr>
            <w:tcW w:w="620" w:type="dxa"/>
            <w:vAlign w:val="bottom"/>
          </w:tcPr>
          <w:p>
            <w:pPr>
              <w:spacing w:after="0"/>
              <w:rPr>
                <w:sz w:val="5"/>
                <w:szCs w:val="5"/>
                <w:color w:val="auto"/>
              </w:rPr>
            </w:pPr>
          </w:p>
        </w:tc>
        <w:tc>
          <w:tcPr>
            <w:tcW w:w="340" w:type="dxa"/>
            <w:vAlign w:val="bottom"/>
          </w:tcPr>
          <w:p>
            <w:pPr>
              <w:spacing w:after="0"/>
              <w:rPr>
                <w:sz w:val="5"/>
                <w:szCs w:val="5"/>
                <w:color w:val="auto"/>
              </w:rPr>
            </w:pPr>
          </w:p>
        </w:tc>
        <w:tc>
          <w:tcPr>
            <w:tcW w:w="1020" w:type="dxa"/>
            <w:vAlign w:val="bottom"/>
          </w:tcPr>
          <w:p>
            <w:pPr>
              <w:spacing w:after="0"/>
              <w:rPr>
                <w:sz w:val="5"/>
                <w:szCs w:val="5"/>
                <w:color w:val="auto"/>
              </w:rPr>
            </w:pPr>
          </w:p>
        </w:tc>
        <w:tc>
          <w:tcPr>
            <w:tcW w:w="600" w:type="dxa"/>
            <w:vAlign w:val="bottom"/>
          </w:tcPr>
          <w:p>
            <w:pPr>
              <w:spacing w:after="0"/>
              <w:rPr>
                <w:sz w:val="5"/>
                <w:szCs w:val="5"/>
                <w:color w:val="auto"/>
              </w:rPr>
            </w:pPr>
          </w:p>
        </w:tc>
        <w:tc>
          <w:tcPr>
            <w:tcW w:w="100" w:type="dxa"/>
            <w:vAlign w:val="bottom"/>
          </w:tcPr>
          <w:p>
            <w:pPr>
              <w:spacing w:after="0"/>
              <w:rPr>
                <w:sz w:val="5"/>
                <w:szCs w:val="5"/>
                <w:color w:val="auto"/>
              </w:rPr>
            </w:pPr>
          </w:p>
        </w:tc>
      </w:tr>
      <w:tr>
        <w:trPr>
          <w:trHeight w:val="243"/>
        </w:trPr>
        <w:tc>
          <w:tcPr>
            <w:tcW w:w="7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cash provided by (used in):</w:t>
            </w:r>
          </w:p>
        </w:tc>
        <w:tc>
          <w:tcPr>
            <w:tcW w:w="1020" w:type="dxa"/>
            <w:vAlign w:val="bottom"/>
            <w:shd w:val="clear" w:color="auto" w:fill="CFF0FC"/>
          </w:tcPr>
          <w:p>
            <w:pPr>
              <w:spacing w:after="0"/>
              <w:rPr>
                <w:sz w:val="21"/>
                <w:szCs w:val="21"/>
                <w:color w:val="auto"/>
              </w:rPr>
            </w:pPr>
          </w:p>
        </w:tc>
        <w:tc>
          <w:tcPr>
            <w:tcW w:w="62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6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8"/>
        </w:trPr>
        <w:tc>
          <w:tcPr>
            <w:tcW w:w="7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Operating activities</w:t>
            </w:r>
          </w:p>
        </w:tc>
        <w:tc>
          <w:tcPr>
            <w:tcW w:w="1020" w:type="dxa"/>
            <w:vAlign w:val="bottom"/>
          </w:tcPr>
          <w:p>
            <w:pPr>
              <w:jc w:val="right"/>
              <w:ind w:right="84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(26,317 )</w:t>
            </w:r>
          </w:p>
        </w:tc>
        <w:tc>
          <w:tcPr>
            <w:tcW w:w="1020" w:type="dxa"/>
            <w:vAlign w:val="bottom"/>
          </w:tcPr>
          <w:p>
            <w:pPr>
              <w:jc w:val="right"/>
              <w:ind w:right="839"/>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41,826</w:t>
            </w:r>
          </w:p>
        </w:tc>
        <w:tc>
          <w:tcPr>
            <w:tcW w:w="100" w:type="dxa"/>
            <w:vAlign w:val="bottom"/>
          </w:tcPr>
          <w:p>
            <w:pPr>
              <w:spacing w:after="0"/>
              <w:rPr>
                <w:sz w:val="20"/>
                <w:szCs w:val="20"/>
                <w:color w:val="auto"/>
              </w:rPr>
            </w:pPr>
          </w:p>
        </w:tc>
      </w:tr>
      <w:tr>
        <w:trPr>
          <w:trHeight w:val="247"/>
        </w:trPr>
        <w:tc>
          <w:tcPr>
            <w:tcW w:w="75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Investing activities</w:t>
            </w:r>
          </w:p>
        </w:tc>
        <w:tc>
          <w:tcPr>
            <w:tcW w:w="1020" w:type="dxa"/>
            <w:vAlign w:val="bottom"/>
            <w:shd w:val="clear" w:color="auto" w:fill="CFF0FC"/>
          </w:tcPr>
          <w:p>
            <w:pPr>
              <w:spacing w:after="0"/>
              <w:rPr>
                <w:sz w:val="21"/>
                <w:szCs w:val="21"/>
                <w:color w:val="auto"/>
              </w:rPr>
            </w:pPr>
          </w:p>
        </w:tc>
        <w:tc>
          <w:tcPr>
            <w:tcW w:w="9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(1,479 )</w:t>
            </w:r>
          </w:p>
        </w:tc>
        <w:tc>
          <w:tcPr>
            <w:tcW w:w="1020" w:type="dxa"/>
            <w:vAlign w:val="bottom"/>
            <w:shd w:val="clear" w:color="auto" w:fill="CFF0FC"/>
          </w:tcPr>
          <w:p>
            <w:pPr>
              <w:spacing w:after="0"/>
              <w:rPr>
                <w:sz w:val="21"/>
                <w:szCs w:val="21"/>
                <w:color w:val="auto"/>
              </w:rPr>
            </w:pPr>
          </w:p>
        </w:tc>
        <w:tc>
          <w:tcPr>
            <w:tcW w:w="7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(4,677 )</w:t>
            </w:r>
          </w:p>
        </w:tc>
      </w:tr>
      <w:tr>
        <w:trPr>
          <w:trHeight w:val="234"/>
        </w:trPr>
        <w:tc>
          <w:tcPr>
            <w:tcW w:w="7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Financing activities</w:t>
            </w:r>
          </w:p>
        </w:tc>
        <w:tc>
          <w:tcPr>
            <w:tcW w:w="1020" w:type="dxa"/>
            <w:vAlign w:val="bottom"/>
          </w:tcPr>
          <w:p>
            <w:pPr>
              <w:spacing w:after="0"/>
              <w:rPr>
                <w:sz w:val="20"/>
                <w:szCs w:val="20"/>
                <w:color w:val="auto"/>
              </w:rPr>
            </w:pP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(19,949 )</w:t>
            </w:r>
          </w:p>
        </w:tc>
        <w:tc>
          <w:tcPr>
            <w:tcW w:w="1020" w:type="dxa"/>
            <w:vAlign w:val="bottom"/>
          </w:tcPr>
          <w:p>
            <w:pPr>
              <w:spacing w:after="0"/>
              <w:rPr>
                <w:sz w:val="20"/>
                <w:szCs w:val="20"/>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(9,886 )</w:t>
            </w:r>
          </w:p>
        </w:tc>
      </w:tr>
    </w:tbl>
    <w:p>
      <w:pPr>
        <w:spacing w:after="0" w:line="200" w:lineRule="exact"/>
        <w:rPr>
          <w:sz w:val="20"/>
          <w:szCs w:val="20"/>
          <w:color w:val="auto"/>
        </w:rPr>
      </w:pPr>
    </w:p>
    <w:p>
      <w:pPr>
        <w:sectPr>
          <w:pgSz w:w="11900" w:h="16838" w:orient="portrait"/>
          <w:cols w:equalWidth="0" w:num="1">
            <w:col w:w="11280"/>
          </w:cols>
          <w:pgMar w:left="320" w:top="414" w:right="299" w:bottom="1440" w:gutter="0" w:footer="0" w:header="0"/>
        </w:sectPr>
      </w:pPr>
    </w:p>
    <w:p>
      <w:pPr>
        <w:spacing w:after="0" w:line="200" w:lineRule="exact"/>
        <w:rPr>
          <w:sz w:val="20"/>
          <w:szCs w:val="20"/>
          <w:color w:val="auto"/>
        </w:rPr>
      </w:pPr>
    </w:p>
    <w:p>
      <w:pPr>
        <w:spacing w:after="0" w:line="23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Corsair Gaming, Inc. | Q1 2024 Form 10-Q | 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80010</wp:posOffset>
            </wp:positionV>
            <wp:extent cx="7157720"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80"/>
          </w:cols>
          <w:pgMar w:left="320" w:top="414" w:right="299" w:bottom="1440" w:gutter="0" w:footer="0" w:header="0"/>
          <w:type w:val="continuous"/>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 from Operating Activities</w:t>
      </w:r>
    </w:p>
    <w:p>
      <w:pPr>
        <w:spacing w:after="0" w:line="119"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 xml:space="preserve">Net cash used in operating activities for the three months ended March 31, 2024 was $26.3 million and consisted of a net loss of $11.0 million and a net cash outflow of $30.3 million from changes in our net operating assets and liabilities, offset partially by non-cash adjustments of $15.0 million. The net cash outflow from changes in our net operating assets and liabilities was primarily related to an increase in inventories, </w:t>
      </w:r>
      <w:r>
        <w:rPr>
          <w:rFonts w:ascii="Calibri" w:cs="Calibri" w:eastAsia="Calibri" w:hAnsi="Calibri"/>
          <w:sz w:val="18"/>
          <w:szCs w:val="18"/>
          <w:color w:val="auto"/>
        </w:rPr>
        <w:t>a</w:t>
      </w:r>
      <w:r>
        <w:rPr>
          <w:rFonts w:ascii="Times New Roman" w:cs="Times New Roman" w:eastAsia="Times New Roman" w:hAnsi="Times New Roman"/>
          <w:sz w:val="18"/>
          <w:szCs w:val="18"/>
          <w:color w:val="auto"/>
        </w:rPr>
        <w:t>ttributable in part to the buildup of safety stock to accommodate supply lead times in our peripherals products and in part due to lower demand for our components products in the first quarter of 2024, as well as a decrease in accounts payable due to timing of payments and a decrease in other liabilities and accrued expenses mainly due to a reduction in the accruals needed for sales returns and customer incentives with lower revenues. These net cash outflows were partially offset by a decrease in accounts receivable from lower revenue and a decrease in prepaid and other assets. The non-cash adjustments primarily consisted of amortization of intangibles, depreciation and stock-based compensation expense, which were partially offset by changes in deferred income taxes.</w:t>
      </w:r>
    </w:p>
    <w:p>
      <w:pPr>
        <w:spacing w:after="0" w:line="81"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Net cash provided by operating activities for the three months ended March 31, 2023 was $41.8 million and consisted of a net cash inflow of $25.7 million from changes in our net operating assets and liabilities and non-cash adjustments of $17.8 million, offset partially by a net loss of $1.6 million. The net cash inflow from changes in our net operating assets and liabilities was primarily related to a decrease in accounts receivable, a decrease in inventories and an increase in accounts payable due to timing of payments. These net cash inflows were partially offset by a decrease in other liabilities and accrued expenses mainly due to lower accrual for sales returns and customer incentives. The non-cash adjustments consisted primarily of amortization of intangibles, depreciation and stock-based compensation expense, which were partially offset by changes in deferred income taxes.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 from Investing Activities</w:t>
      </w:r>
    </w:p>
    <w:p>
      <w:pPr>
        <w:spacing w:after="0" w:line="119" w:lineRule="exact"/>
        <w:rPr>
          <w:sz w:val="20"/>
          <w:szCs w:val="20"/>
          <w:color w:val="auto"/>
        </w:rPr>
      </w:pPr>
    </w:p>
    <w:p>
      <w:pPr>
        <w:ind w:right="380" w:firstLine="509"/>
        <w:spacing w:after="0" w:line="281" w:lineRule="auto"/>
        <w:rPr>
          <w:sz w:val="20"/>
          <w:szCs w:val="20"/>
          <w:color w:val="auto"/>
        </w:rPr>
      </w:pPr>
      <w:r>
        <w:rPr>
          <w:rFonts w:ascii="Times New Roman" w:cs="Times New Roman" w:eastAsia="Times New Roman" w:hAnsi="Times New Roman"/>
          <w:sz w:val="18"/>
          <w:szCs w:val="18"/>
          <w:color w:val="auto"/>
        </w:rPr>
        <w:t>Cash used in investing activities was $1.5 million for the three months ended March 31, 2024 and consisted of $2.5 million capital expenditure, partially offset by $1.0 million cash received from escrow for the purchase price adjustment related to a business acquisition.</w:t>
      </w:r>
    </w:p>
    <w:p>
      <w:pPr>
        <w:spacing w:after="0" w:line="55" w:lineRule="exact"/>
        <w:rPr>
          <w:sz w:val="20"/>
          <w:szCs w:val="20"/>
          <w:color w:val="auto"/>
        </w:rPr>
      </w:pPr>
    </w:p>
    <w:p>
      <w:pPr>
        <w:ind w:right="180" w:firstLine="509"/>
        <w:spacing w:after="0" w:line="281" w:lineRule="auto"/>
        <w:rPr>
          <w:sz w:val="20"/>
          <w:szCs w:val="20"/>
          <w:color w:val="auto"/>
        </w:rPr>
      </w:pPr>
      <w:r>
        <w:rPr>
          <w:rFonts w:ascii="Times New Roman" w:cs="Times New Roman" w:eastAsia="Times New Roman" w:hAnsi="Times New Roman"/>
          <w:sz w:val="18"/>
          <w:szCs w:val="18"/>
          <w:color w:val="auto"/>
        </w:rPr>
        <w:t>Cash used in investing activities was $4.7 million for the three months ended March 31, 2023 and consisted of purchases of capital equipment and software.</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 from Financing Activities</w:t>
      </w:r>
    </w:p>
    <w:p>
      <w:pPr>
        <w:spacing w:after="0" w:line="119" w:lineRule="exact"/>
        <w:rPr>
          <w:sz w:val="20"/>
          <w:szCs w:val="20"/>
          <w:color w:val="auto"/>
        </w:rPr>
      </w:pPr>
    </w:p>
    <w:p>
      <w:pPr>
        <w:ind w:right="240" w:firstLine="509"/>
        <w:spacing w:after="0" w:line="260" w:lineRule="auto"/>
        <w:rPr>
          <w:sz w:val="20"/>
          <w:szCs w:val="20"/>
          <w:color w:val="auto"/>
        </w:rPr>
      </w:pPr>
      <w:r>
        <w:rPr>
          <w:rFonts w:ascii="Times New Roman" w:cs="Times New Roman" w:eastAsia="Times New Roman" w:hAnsi="Times New Roman"/>
          <w:sz w:val="18"/>
          <w:szCs w:val="18"/>
          <w:color w:val="auto"/>
        </w:rPr>
        <w:t>Cash used in financing activities was $19.9 million for the three months ended March 31, 2024 and consisted of $15.0 million repayment of debt, $4.9 million settlement of deferred consideration related to a prior business acquisition in 2019, $2.0 million payment of dividends to noncontrolling interest, and $0.4 million payment of taxes related to net share settlement of equity awards, partially offset by $2.4 million proceeds received from the issuance of shares through the employee equity incentive plans.</w:t>
      </w:r>
    </w:p>
    <w:p>
      <w:pPr>
        <w:spacing w:after="0" w:line="7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Cash used in financing activities was $9.9 million for the three months ended March 31, 2023 and consisted of $10.0 million repayment of debt,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 million payment of contingent consideration, $0.6 million payment of taxes related to net share settlement of equity awards, and $0.5 million payment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offering costs in connection with our underwritten public offering in the fourth quarter of 2022, partially offset by $2.1 million proceeds received from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issuance of shares through employee equity incentive plans.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Capital Resources</w:t>
      </w:r>
    </w:p>
    <w:p>
      <w:pPr>
        <w:spacing w:after="0" w:line="121"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On September 3, 2021, we refinanced the First Lien Credit and Guaranty Agreement with a new Credit Agreement (as amended, the “Credit Agreement”). The Credit Agreement provides for a total commitment of $350.0 million, consisting of a $100.0 million revolving credit facility (the “Revolving Facility”) and a $250.0 million term loan facility (the “Term Loan”). The Credit Agreement is available for a period of five years, maturing September 2026, and provides for additional incremental facilities up to a maximum aggregate principal amount of $250.0 million, subject to the satisfaction of certain conditions. We may prepay the Term Loan and the Revolving Facility at any time without premium or penalty. We prepaid $11.9 million and $34.1 million of the Term Loan principal in the three months ended March 31, 2024 and in the year ended December 31, 2023, respectively. As of March 31, 2024, the total principal outstanding of the Term Loan was $184.0 million and the available and uncommitted capacity under the Revolving Facility was $100 million.</w:t>
      </w:r>
    </w:p>
    <w:p>
      <w:pPr>
        <w:spacing w:after="0" w:line="81"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18"/>
          <w:szCs w:val="18"/>
          <w:color w:val="auto"/>
        </w:rPr>
        <w:t>The Credit Agreement has a variable rate structure. According to the provisions in the Third Amendment to the Credit Agreement (“Third Amendment”), beginning 2024, the Term Loan and the Revolving Facility carry interest at our election at either (a) Bloomberg Short-Term Bank Yield Index rate (“BSBY”) plus a percentage spread (ranging from 1.25% to 2.25%) based on our total net leverage ratio, or (b) the base rate (as described in the Credit Agreement as the greatest of (i) the prime rate, (ii) the federal funds rate plus 0.50% and (iii) one-month BSBY plus 1.0%) plus a percentage spread (ranging from 0.25% to 1.25%) based on our total net leverage ratio. Additionally, the commitment fees on the unused portion of the Revolving Facility ranges from 0.2% to 0.4% based on our total net leverage ratio.</w:t>
      </w:r>
    </w:p>
    <w:p>
      <w:pPr>
        <w:spacing w:after="0" w:line="200" w:lineRule="exact"/>
        <w:rPr>
          <w:sz w:val="20"/>
          <w:szCs w:val="20"/>
          <w:color w:val="auto"/>
        </w:rPr>
      </w:pPr>
    </w:p>
    <w:p>
      <w:pPr>
        <w:spacing w:after="0" w:line="20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Corsair Gaming, Inc. | Q1 2024 Form 10-Q | 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14" w:right="35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The Credit Agreement contains covenants with which we must comply during the term of the agreement, which we believe are ordinary and standard for agreements of this nature, including the maintenance of a maximum Consolidated Total Net Leverage Ratio (“CTNL Ratio”) and a minimum Consolidated Interest Coverage Ratio (“CIC Ratio”) (as defined in the Credit Agreement). According to the provisions in the Third Amendment, beginning 2024, we are required to maintain a maximum CTNL Ratio of 3.00 to 1.00 and a minimum CIC ratio of 3.00 to 1.00, with the provision that the maximum CTNL Ratio can be temporarily increased to 3.50 to 1.00 upon the occurrence of a Qualified Acquisition (as defined in, and subject to the requirements of the Credit Agreement). As of March 31, 2024, we were not in default under the Credit Agreement.</w:t>
      </w:r>
    </w:p>
    <w:p>
      <w:pPr>
        <w:spacing w:after="0" w:line="78" w:lineRule="exact"/>
        <w:rPr>
          <w:sz w:val="20"/>
          <w:szCs w:val="20"/>
          <w:color w:val="auto"/>
        </w:rPr>
      </w:pPr>
    </w:p>
    <w:p>
      <w:pPr>
        <w:ind w:right="200" w:firstLine="509"/>
        <w:spacing w:after="0" w:line="265" w:lineRule="auto"/>
        <w:rPr>
          <w:sz w:val="20"/>
          <w:szCs w:val="20"/>
          <w:color w:val="auto"/>
        </w:rPr>
      </w:pPr>
      <w:r>
        <w:rPr>
          <w:rFonts w:ascii="Times New Roman" w:cs="Times New Roman" w:eastAsia="Times New Roman" w:hAnsi="Times New Roman"/>
          <w:sz w:val="18"/>
          <w:szCs w:val="18"/>
          <w:color w:val="auto"/>
        </w:rPr>
        <w:t>Our obligations under the Credit Agreement are guaranteed by substantially all of our U.S. subsidiaries and secured by a security interest in substantially all assets of the Company and the guarantor subsidiaries, subject to certain exceptions detailed in the Credit Agreement and related ancillary documentation.</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Contractual Cash and Other Obligations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our contractual cash and other obligations as of March 31, 2024 (in thousands):</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4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4"/>
                <w:szCs w:val="14"/>
                <w:b w:val="1"/>
                <w:bCs w:val="1"/>
                <w:color w:val="auto"/>
              </w:rPr>
              <w:t>Payments Due by Period</w:t>
            </w: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44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20" w:type="dxa"/>
            <w:vAlign w:val="bottom"/>
            <w:vMerge w:val="restart"/>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jc w:val="right"/>
              <w:ind w:right="175"/>
              <w:spacing w:after="0" w:line="131" w:lineRule="exact"/>
              <w:rPr>
                <w:sz w:val="20"/>
                <w:szCs w:val="20"/>
                <w:color w:val="auto"/>
              </w:rPr>
            </w:pPr>
            <w:r>
              <w:rPr>
                <w:rFonts w:ascii="Times New Roman" w:cs="Times New Roman" w:eastAsia="Times New Roman" w:hAnsi="Times New Roman"/>
                <w:sz w:val="14"/>
                <w:szCs w:val="14"/>
                <w:b w:val="1"/>
                <w:bCs w:val="1"/>
                <w:color w:val="auto"/>
              </w:rPr>
              <w:t>Less than</w:t>
            </w: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00" w:type="dxa"/>
            <w:vAlign w:val="bottom"/>
          </w:tcPr>
          <w:p>
            <w:pPr>
              <w:jc w:val="right"/>
              <w:ind w:right="395"/>
              <w:spacing w:after="0" w:line="131" w:lineRule="exact"/>
              <w:rPr>
                <w:sz w:val="20"/>
                <w:szCs w:val="20"/>
                <w:color w:val="auto"/>
              </w:rPr>
            </w:pPr>
            <w:r>
              <w:rPr>
                <w:rFonts w:ascii="Times New Roman" w:cs="Times New Roman" w:eastAsia="Times New Roman" w:hAnsi="Times New Roman"/>
                <w:sz w:val="14"/>
                <w:szCs w:val="14"/>
                <w:b w:val="1"/>
                <w:bCs w:val="1"/>
                <w:color w:val="auto"/>
              </w:rPr>
              <w:t>1-3</w:t>
            </w: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tcPr>
          <w:p>
            <w:pPr>
              <w:jc w:val="right"/>
              <w:ind w:right="375"/>
              <w:spacing w:after="0" w:line="131" w:lineRule="exact"/>
              <w:rPr>
                <w:sz w:val="20"/>
                <w:szCs w:val="20"/>
                <w:color w:val="auto"/>
              </w:rPr>
            </w:pPr>
            <w:r>
              <w:rPr>
                <w:rFonts w:ascii="Times New Roman" w:cs="Times New Roman" w:eastAsia="Times New Roman" w:hAnsi="Times New Roman"/>
                <w:sz w:val="14"/>
                <w:szCs w:val="14"/>
                <w:b w:val="1"/>
                <w:bCs w:val="1"/>
                <w:color w:val="auto"/>
              </w:rPr>
              <w:t>3-5</w:t>
            </w: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tcPr>
          <w:p>
            <w:pPr>
              <w:jc w:val="center"/>
              <w:ind w:right="75"/>
              <w:spacing w:after="0" w:line="131" w:lineRule="exact"/>
              <w:rPr>
                <w:sz w:val="20"/>
                <w:szCs w:val="20"/>
                <w:color w:val="auto"/>
              </w:rPr>
            </w:pPr>
            <w:r>
              <w:rPr>
                <w:rFonts w:ascii="Times New Roman" w:cs="Times New Roman" w:eastAsia="Times New Roman" w:hAnsi="Times New Roman"/>
                <w:sz w:val="14"/>
                <w:szCs w:val="14"/>
                <w:b w:val="1"/>
                <w:bCs w:val="1"/>
                <w:color w:val="auto"/>
              </w:rPr>
              <w:t>More than</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7"/>
        </w:trPr>
        <w:tc>
          <w:tcPr>
            <w:tcW w:w="44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1 Year</w:t>
            </w: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4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Years</w:t>
            </w:r>
          </w:p>
        </w:tc>
        <w:tc>
          <w:tcPr>
            <w:tcW w:w="240" w:type="dxa"/>
            <w:vAlign w:val="bottom"/>
          </w:tcPr>
          <w:p>
            <w:pPr>
              <w:spacing w:after="0"/>
              <w:rPr>
                <w:sz w:val="16"/>
                <w:szCs w:val="16"/>
                <w:color w:val="auto"/>
              </w:rPr>
            </w:pPr>
          </w:p>
        </w:tc>
        <w:tc>
          <w:tcPr>
            <w:tcW w:w="860" w:type="dxa"/>
            <w:vAlign w:val="bottom"/>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Years</w:t>
            </w: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5 Years</w:t>
            </w:r>
          </w:p>
        </w:tc>
        <w:tc>
          <w:tcPr>
            <w:tcW w:w="0" w:type="dxa"/>
            <w:vAlign w:val="bottom"/>
          </w:tcPr>
          <w:p>
            <w:pPr>
              <w:spacing w:after="0"/>
              <w:rPr>
                <w:sz w:val="1"/>
                <w:szCs w:val="1"/>
                <w:color w:val="auto"/>
              </w:rPr>
            </w:pPr>
          </w:p>
        </w:tc>
      </w:tr>
      <w:tr>
        <w:trPr>
          <w:trHeight w:val="61"/>
        </w:trPr>
        <w:tc>
          <w:tcPr>
            <w:tcW w:w="4460" w:type="dxa"/>
            <w:vAlign w:val="bottom"/>
          </w:tcPr>
          <w:p>
            <w:pPr>
              <w:spacing w:after="0"/>
              <w:rPr>
                <w:sz w:val="5"/>
                <w:szCs w:val="5"/>
                <w:color w:val="auto"/>
              </w:rPr>
            </w:pPr>
          </w:p>
        </w:tc>
        <w:tc>
          <w:tcPr>
            <w:tcW w:w="260" w:type="dxa"/>
            <w:vAlign w:val="bottom"/>
            <w:tcBorders>
              <w:top w:val="single" w:sz="8" w:color="auto"/>
            </w:tcBorders>
          </w:tcPr>
          <w:p>
            <w:pPr>
              <w:spacing w:after="0"/>
              <w:rPr>
                <w:sz w:val="5"/>
                <w:szCs w:val="5"/>
                <w:color w:val="auto"/>
              </w:rPr>
            </w:pPr>
          </w:p>
        </w:tc>
        <w:tc>
          <w:tcPr>
            <w:tcW w:w="920" w:type="dxa"/>
            <w:vAlign w:val="bottom"/>
            <w:tcBorders>
              <w:top w:val="single" w:sz="8" w:color="auto"/>
            </w:tcBorders>
          </w:tcPr>
          <w:p>
            <w:pPr>
              <w:spacing w:after="0"/>
              <w:rPr>
                <w:sz w:val="5"/>
                <w:szCs w:val="5"/>
                <w:color w:val="auto"/>
              </w:rPr>
            </w:pPr>
          </w:p>
        </w:tc>
        <w:tc>
          <w:tcPr>
            <w:tcW w:w="280" w:type="dxa"/>
            <w:vAlign w:val="bottom"/>
          </w:tcPr>
          <w:p>
            <w:pPr>
              <w:spacing w:after="0"/>
              <w:rPr>
                <w:sz w:val="5"/>
                <w:szCs w:val="5"/>
                <w:color w:val="auto"/>
              </w:rPr>
            </w:pPr>
          </w:p>
        </w:tc>
        <w:tc>
          <w:tcPr>
            <w:tcW w:w="200" w:type="dxa"/>
            <w:vAlign w:val="bottom"/>
            <w:tcBorders>
              <w:top w:val="single" w:sz="8" w:color="auto"/>
            </w:tcBorders>
          </w:tcPr>
          <w:p>
            <w:pPr>
              <w:spacing w:after="0"/>
              <w:rPr>
                <w:sz w:val="5"/>
                <w:szCs w:val="5"/>
                <w:color w:val="auto"/>
              </w:rPr>
            </w:pPr>
          </w:p>
        </w:tc>
        <w:tc>
          <w:tcPr>
            <w:tcW w:w="920" w:type="dxa"/>
            <w:vAlign w:val="bottom"/>
            <w:tcBorders>
              <w:top w:val="single" w:sz="8" w:color="auto"/>
            </w:tcBorders>
          </w:tcPr>
          <w:p>
            <w:pPr>
              <w:spacing w:after="0"/>
              <w:rPr>
                <w:sz w:val="5"/>
                <w:szCs w:val="5"/>
                <w:color w:val="auto"/>
              </w:rPr>
            </w:pPr>
          </w:p>
        </w:tc>
        <w:tc>
          <w:tcPr>
            <w:tcW w:w="240" w:type="dxa"/>
            <w:vAlign w:val="bottom"/>
          </w:tcPr>
          <w:p>
            <w:pPr>
              <w:spacing w:after="0"/>
              <w:rPr>
                <w:sz w:val="5"/>
                <w:szCs w:val="5"/>
                <w:color w:val="auto"/>
              </w:rPr>
            </w:pPr>
          </w:p>
        </w:tc>
        <w:tc>
          <w:tcPr>
            <w:tcW w:w="260" w:type="dxa"/>
            <w:vAlign w:val="bottom"/>
            <w:tcBorders>
              <w:top w:val="single" w:sz="8" w:color="auto"/>
            </w:tcBorders>
          </w:tcPr>
          <w:p>
            <w:pPr>
              <w:spacing w:after="0"/>
              <w:rPr>
                <w:sz w:val="5"/>
                <w:szCs w:val="5"/>
                <w:color w:val="auto"/>
              </w:rPr>
            </w:pPr>
          </w:p>
        </w:tc>
        <w:tc>
          <w:tcPr>
            <w:tcW w:w="900" w:type="dxa"/>
            <w:vAlign w:val="bottom"/>
            <w:tcBorders>
              <w:top w:val="single" w:sz="8" w:color="auto"/>
            </w:tcBorders>
          </w:tcPr>
          <w:p>
            <w:pPr>
              <w:spacing w:after="0"/>
              <w:rPr>
                <w:sz w:val="5"/>
                <w:szCs w:val="5"/>
                <w:color w:val="auto"/>
              </w:rPr>
            </w:pPr>
          </w:p>
        </w:tc>
        <w:tc>
          <w:tcPr>
            <w:tcW w:w="240" w:type="dxa"/>
            <w:vAlign w:val="bottom"/>
          </w:tcPr>
          <w:p>
            <w:pPr>
              <w:spacing w:after="0"/>
              <w:rPr>
                <w:sz w:val="5"/>
                <w:szCs w:val="5"/>
                <w:color w:val="auto"/>
              </w:rPr>
            </w:pPr>
          </w:p>
        </w:tc>
        <w:tc>
          <w:tcPr>
            <w:tcW w:w="240" w:type="dxa"/>
            <w:vAlign w:val="bottom"/>
            <w:tcBorders>
              <w:top w:val="single" w:sz="8" w:color="auto"/>
            </w:tcBorders>
          </w:tcPr>
          <w:p>
            <w:pPr>
              <w:spacing w:after="0"/>
              <w:rPr>
                <w:sz w:val="5"/>
                <w:szCs w:val="5"/>
                <w:color w:val="auto"/>
              </w:rPr>
            </w:pPr>
          </w:p>
        </w:tc>
        <w:tc>
          <w:tcPr>
            <w:tcW w:w="860" w:type="dxa"/>
            <w:vAlign w:val="bottom"/>
            <w:tcBorders>
              <w:top w:val="single" w:sz="8" w:color="auto"/>
            </w:tcBorders>
          </w:tcPr>
          <w:p>
            <w:pPr>
              <w:spacing w:after="0"/>
              <w:rPr>
                <w:sz w:val="5"/>
                <w:szCs w:val="5"/>
                <w:color w:val="auto"/>
              </w:rPr>
            </w:pPr>
          </w:p>
        </w:tc>
        <w:tc>
          <w:tcPr>
            <w:tcW w:w="260" w:type="dxa"/>
            <w:vAlign w:val="bottom"/>
          </w:tcPr>
          <w:p>
            <w:pPr>
              <w:spacing w:after="0"/>
              <w:rPr>
                <w:sz w:val="5"/>
                <w:szCs w:val="5"/>
                <w:color w:val="auto"/>
              </w:rPr>
            </w:pPr>
          </w:p>
        </w:tc>
        <w:tc>
          <w:tcPr>
            <w:tcW w:w="160" w:type="dxa"/>
            <w:vAlign w:val="bottom"/>
            <w:tcBorders>
              <w:top w:val="single" w:sz="8" w:color="auto"/>
            </w:tcBorders>
          </w:tcPr>
          <w:p>
            <w:pPr>
              <w:spacing w:after="0"/>
              <w:rPr>
                <w:sz w:val="5"/>
                <w:szCs w:val="5"/>
                <w:color w:val="auto"/>
              </w:rPr>
            </w:pPr>
          </w:p>
        </w:tc>
        <w:tc>
          <w:tcPr>
            <w:tcW w:w="940" w:type="dxa"/>
            <w:vAlign w:val="bottom"/>
            <w:tcBorders>
              <w:top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4460" w:type="dxa"/>
            <w:vAlign w:val="bottom"/>
            <w:shd w:val="clear" w:color="auto" w:fill="CFF0FC"/>
          </w:tcPr>
          <w:p>
            <w:pPr>
              <w:ind w:left="20"/>
              <w:spacing w:after="0" w:line="243" w:lineRule="exact"/>
              <w:rPr>
                <w:sz w:val="20"/>
                <w:szCs w:val="20"/>
                <w:color w:val="auto"/>
              </w:rPr>
            </w:pPr>
            <w:r>
              <w:rPr>
                <w:rFonts w:ascii="Times New Roman" w:cs="Times New Roman" w:eastAsia="Times New Roman" w:hAnsi="Times New Roman"/>
                <w:sz w:val="18"/>
                <w:szCs w:val="18"/>
                <w:color w:val="auto"/>
              </w:rPr>
              <w:t xml:space="preserve">Debt principal and interest payments </w:t>
            </w:r>
            <w:r>
              <w:rPr>
                <w:rFonts w:ascii="Times New Roman" w:cs="Times New Roman" w:eastAsia="Times New Roman" w:hAnsi="Times New Roman"/>
                <w:sz w:val="24"/>
                <w:szCs w:val="24"/>
                <w:color w:val="auto"/>
                <w:vertAlign w:val="superscript"/>
              </w:rPr>
              <w:t>(1)</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208,156</w:t>
            </w:r>
          </w:p>
        </w:tc>
        <w:tc>
          <w:tcPr>
            <w:tcW w:w="4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24,046</w:t>
            </w:r>
          </w:p>
        </w:tc>
        <w:tc>
          <w:tcPr>
            <w:tcW w:w="50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184,110</w:t>
            </w:r>
          </w:p>
        </w:tc>
        <w:tc>
          <w:tcPr>
            <w:tcW w:w="240" w:type="dxa"/>
            <w:vAlign w:val="bottom"/>
            <w:shd w:val="clear" w:color="auto" w:fill="CFF0FC"/>
          </w:tcPr>
          <w:p>
            <w:pPr>
              <w:spacing w:after="0"/>
              <w:rPr>
                <w:sz w:val="21"/>
                <w:szCs w:val="21"/>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4460" w:type="dxa"/>
            <w:vAlign w:val="bottom"/>
          </w:tcPr>
          <w:p>
            <w:pPr>
              <w:ind w:left="20"/>
              <w:spacing w:after="0" w:line="243" w:lineRule="exact"/>
              <w:rPr>
                <w:sz w:val="20"/>
                <w:szCs w:val="20"/>
                <w:color w:val="auto"/>
              </w:rPr>
            </w:pPr>
            <w:r>
              <w:rPr>
                <w:rFonts w:ascii="Times New Roman" w:cs="Times New Roman" w:eastAsia="Times New Roman" w:hAnsi="Times New Roman"/>
                <w:sz w:val="18"/>
                <w:szCs w:val="18"/>
                <w:color w:val="auto"/>
              </w:rPr>
              <w:t xml:space="preserve">Inventory-related purchase obligations </w:t>
            </w:r>
            <w:r>
              <w:rPr>
                <w:rFonts w:ascii="Times New Roman" w:cs="Times New Roman" w:eastAsia="Times New Roman" w:hAnsi="Times New Roman"/>
                <w:sz w:val="24"/>
                <w:szCs w:val="24"/>
                <w:color w:val="auto"/>
                <w:vertAlign w:val="superscript"/>
              </w:rPr>
              <w:t>(2)</w:t>
            </w: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131,191</w:t>
            </w:r>
          </w:p>
        </w:tc>
        <w:tc>
          <w:tcPr>
            <w:tcW w:w="2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131,191</w:t>
            </w:r>
          </w:p>
        </w:tc>
        <w:tc>
          <w:tcPr>
            <w:tcW w:w="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4460" w:type="dxa"/>
            <w:vAlign w:val="bottom"/>
            <w:shd w:val="clear" w:color="auto" w:fill="CFF0FC"/>
          </w:tcPr>
          <w:p>
            <w:pPr>
              <w:ind w:left="20"/>
              <w:spacing w:after="0" w:line="243" w:lineRule="exact"/>
              <w:rPr>
                <w:sz w:val="20"/>
                <w:szCs w:val="20"/>
                <w:color w:val="auto"/>
              </w:rPr>
            </w:pPr>
            <w:r>
              <w:rPr>
                <w:rFonts w:ascii="Times New Roman" w:cs="Times New Roman" w:eastAsia="Times New Roman" w:hAnsi="Times New Roman"/>
                <w:sz w:val="18"/>
                <w:szCs w:val="18"/>
                <w:color w:val="auto"/>
              </w:rPr>
              <w:t xml:space="preserve">Operating lease obligations </w:t>
            </w:r>
            <w:r>
              <w:rPr>
                <w:rFonts w:ascii="Times New Roman" w:cs="Times New Roman" w:eastAsia="Times New Roman" w:hAnsi="Times New Roman"/>
                <w:sz w:val="24"/>
                <w:szCs w:val="24"/>
                <w:color w:val="auto"/>
                <w:vertAlign w:val="superscript"/>
              </w:rPr>
              <w:t>(3)</w:t>
            </w:r>
          </w:p>
        </w:tc>
        <w:tc>
          <w:tcPr>
            <w:tcW w:w="26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54,524</w:t>
            </w:r>
          </w:p>
        </w:tc>
        <w:tc>
          <w:tcPr>
            <w:tcW w:w="2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9,560</w:t>
            </w:r>
          </w:p>
        </w:tc>
        <w:tc>
          <w:tcPr>
            <w:tcW w:w="2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15,539</w:t>
            </w:r>
          </w:p>
        </w:tc>
        <w:tc>
          <w:tcPr>
            <w:tcW w:w="2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12,557</w:t>
            </w:r>
          </w:p>
        </w:tc>
        <w:tc>
          <w:tcPr>
            <w:tcW w:w="2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16,868</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460" w:type="dxa"/>
            <w:vAlign w:val="bottom"/>
          </w:tcPr>
          <w:p>
            <w:pPr>
              <w:ind w:left="20"/>
              <w:spacing w:after="0" w:line="243" w:lineRule="exact"/>
              <w:rPr>
                <w:sz w:val="20"/>
                <w:szCs w:val="20"/>
                <w:color w:val="auto"/>
              </w:rPr>
            </w:pPr>
            <w:r>
              <w:rPr>
                <w:rFonts w:ascii="Times New Roman" w:cs="Times New Roman" w:eastAsia="Times New Roman" w:hAnsi="Times New Roman"/>
                <w:sz w:val="18"/>
                <w:szCs w:val="18"/>
                <w:color w:val="auto"/>
              </w:rPr>
              <w:t xml:space="preserve">Other purchase obligations </w:t>
            </w:r>
            <w:r>
              <w:rPr>
                <w:rFonts w:ascii="Times New Roman" w:cs="Times New Roman" w:eastAsia="Times New Roman" w:hAnsi="Times New Roman"/>
                <w:sz w:val="24"/>
                <w:szCs w:val="24"/>
                <w:color w:val="auto"/>
                <w:vertAlign w:val="superscript"/>
              </w:rPr>
              <w:t>(4)</w:t>
            </w:r>
          </w:p>
        </w:tc>
        <w:tc>
          <w:tcPr>
            <w:tcW w:w="26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13,531</w:t>
            </w:r>
          </w:p>
        </w:tc>
        <w:tc>
          <w:tcPr>
            <w:tcW w:w="28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13,439</w:t>
            </w:r>
          </w:p>
        </w:tc>
        <w:tc>
          <w:tcPr>
            <w:tcW w:w="24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24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446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407,402</w:t>
            </w:r>
          </w:p>
        </w:tc>
        <w:tc>
          <w:tcPr>
            <w:tcW w:w="28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178,236</w:t>
            </w:r>
          </w:p>
        </w:tc>
        <w:tc>
          <w:tcPr>
            <w:tcW w:w="24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199,741</w:t>
            </w:r>
          </w:p>
        </w:tc>
        <w:tc>
          <w:tcPr>
            <w:tcW w:w="24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12,557</w:t>
            </w:r>
          </w:p>
        </w:tc>
        <w:tc>
          <w:tcPr>
            <w:tcW w:w="26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16,868</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3583940</wp:posOffset>
            </wp:positionH>
            <wp:positionV relativeFrom="paragraph">
              <wp:posOffset>-24765</wp:posOffset>
            </wp:positionV>
            <wp:extent cx="76835"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3583940</wp:posOffset>
            </wp:positionH>
            <wp:positionV relativeFrom="paragraph">
              <wp:posOffset>-7620</wp:posOffset>
            </wp:positionV>
            <wp:extent cx="76835"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4474845</wp:posOffset>
            </wp:positionH>
            <wp:positionV relativeFrom="paragraph">
              <wp:posOffset>-24765</wp:posOffset>
            </wp:positionV>
            <wp:extent cx="76835"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4474845</wp:posOffset>
            </wp:positionH>
            <wp:positionV relativeFrom="paragraph">
              <wp:posOffset>-7620</wp:posOffset>
            </wp:positionV>
            <wp:extent cx="76835"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5365115</wp:posOffset>
            </wp:positionH>
            <wp:positionV relativeFrom="paragraph">
              <wp:posOffset>-24765</wp:posOffset>
            </wp:positionV>
            <wp:extent cx="6858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5365115</wp:posOffset>
            </wp:positionH>
            <wp:positionV relativeFrom="paragraph">
              <wp:posOffset>-7620</wp:posOffset>
            </wp:positionV>
            <wp:extent cx="6858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6203950</wp:posOffset>
            </wp:positionH>
            <wp:positionV relativeFrom="paragraph">
              <wp:posOffset>-24765</wp:posOffset>
            </wp:positionV>
            <wp:extent cx="6858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6203950</wp:posOffset>
            </wp:positionH>
            <wp:positionV relativeFrom="paragraph">
              <wp:posOffset>-7620</wp:posOffset>
            </wp:positionV>
            <wp:extent cx="6858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4" w:lineRule="exact"/>
        <w:rPr>
          <w:sz w:val="20"/>
          <w:szCs w:val="20"/>
          <w:color w:val="auto"/>
        </w:rPr>
      </w:pPr>
    </w:p>
    <w:p>
      <w:pPr>
        <w:ind w:left="840" w:right="260" w:hanging="368"/>
        <w:spacing w:after="0" w:line="280" w:lineRule="auto"/>
        <w:tabs>
          <w:tab w:leader="none" w:pos="84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6"/>
          <w:szCs w:val="16"/>
          <w:color w:val="auto"/>
        </w:rPr>
        <w:t>Amounts represent the principal cash payments as of March 31, 2024 of our Term Loan based on the repayment schedule according to the Credit Agreement and the expected interest payments associated with the Term Loan. See Note 8, “Debt” to our condensed consolidated financial statements for more information.</w:t>
      </w:r>
    </w:p>
    <w:p>
      <w:pPr>
        <w:spacing w:after="0" w:line="3" w:lineRule="exact"/>
        <w:rPr>
          <w:rFonts w:ascii="Times New Roman" w:cs="Times New Roman" w:eastAsia="Times New Roman" w:hAnsi="Times New Roman"/>
          <w:sz w:val="14"/>
          <w:szCs w:val="14"/>
          <w:color w:val="auto"/>
        </w:rPr>
      </w:pPr>
    </w:p>
    <w:p>
      <w:pPr>
        <w:ind w:left="840" w:hanging="368"/>
        <w:spacing w:after="0"/>
        <w:tabs>
          <w:tab w:leader="none" w:pos="84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6"/>
          <w:szCs w:val="16"/>
          <w:color w:val="auto"/>
        </w:rPr>
        <w:t>Amounts represent an estimate of purchase obligations related to inventory.</w:t>
      </w:r>
    </w:p>
    <w:p>
      <w:pPr>
        <w:spacing w:after="0" w:line="58" w:lineRule="exact"/>
        <w:rPr>
          <w:rFonts w:ascii="Times New Roman" w:cs="Times New Roman" w:eastAsia="Times New Roman" w:hAnsi="Times New Roman"/>
          <w:sz w:val="14"/>
          <w:szCs w:val="14"/>
          <w:color w:val="auto"/>
        </w:rPr>
      </w:pPr>
    </w:p>
    <w:p>
      <w:pPr>
        <w:ind w:left="840" w:hanging="368"/>
        <w:spacing w:after="0"/>
        <w:tabs>
          <w:tab w:leader="none" w:pos="84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6"/>
          <w:szCs w:val="16"/>
          <w:color w:val="auto"/>
        </w:rPr>
        <w:t>Amounts represent contractual obligations from our operating leases for offices and warehouse spaces.</w:t>
      </w:r>
    </w:p>
    <w:p>
      <w:pPr>
        <w:spacing w:after="0" w:line="45" w:lineRule="exact"/>
        <w:rPr>
          <w:rFonts w:ascii="Times New Roman" w:cs="Times New Roman" w:eastAsia="Times New Roman" w:hAnsi="Times New Roman"/>
          <w:sz w:val="14"/>
          <w:szCs w:val="14"/>
          <w:color w:val="auto"/>
        </w:rPr>
      </w:pPr>
    </w:p>
    <w:p>
      <w:pPr>
        <w:ind w:left="840" w:hanging="368"/>
        <w:spacing w:after="0"/>
        <w:tabs>
          <w:tab w:leader="none" w:pos="84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6"/>
          <w:szCs w:val="16"/>
          <w:color w:val="auto"/>
        </w:rPr>
        <w:t>Amounts represent non-cancelable obligations related to capital expenditures, software licenses, marketing and other activities.</w:t>
      </w:r>
    </w:p>
    <w:p>
      <w:pPr>
        <w:spacing w:after="0" w:line="122" w:lineRule="exact"/>
        <w:rPr>
          <w:sz w:val="20"/>
          <w:szCs w:val="20"/>
          <w:color w:val="auto"/>
        </w:rPr>
      </w:pPr>
    </w:p>
    <w:p>
      <w:pPr>
        <w:jc w:val="both"/>
        <w:ind w:right="20" w:firstLine="509"/>
        <w:spacing w:after="0" w:line="265" w:lineRule="auto"/>
        <w:rPr>
          <w:sz w:val="20"/>
          <w:szCs w:val="20"/>
          <w:color w:val="auto"/>
        </w:rPr>
      </w:pPr>
      <w:r>
        <w:rPr>
          <w:rFonts w:ascii="Times New Roman" w:cs="Times New Roman" w:eastAsia="Times New Roman" w:hAnsi="Times New Roman"/>
          <w:sz w:val="18"/>
          <w:szCs w:val="18"/>
          <w:color w:val="auto"/>
        </w:rPr>
        <w:t>As of March 31, 2024, we had $2.7 million in non-current income tax payable, including interest and penalties, related to our income tax liability for uncertain tax positions. At this time, we are unable to make a reasonably reliable estimate of the timing of payments in individual years in connection with these tax liabilities; therefore, such amounts are not included in the contractual cash obligation table above.</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Polices and Estimates</w:t>
      </w:r>
    </w:p>
    <w:p>
      <w:pPr>
        <w:spacing w:after="0" w:line="12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A critical accounting policy is defined as one that has both a material impact on our financial condition and results of operations and requires us to make difficult, complex and/or subjective judgments, often as a result of the need to make estimates about matters that are inherently uncertain. Our condensed consolidated financial statements are prepared in accordance with U.S. generally accepted accounting principles (“GAAP”), which requires us to make estimates, judgments and assumptions that affect the reported amounts of assets and liabilities and the disclosure of contingent liabilities at the date of the condensed consolidated financial statements, as well as the reported amounts of revenue and expenses during the reporting periods. Our estimates are based on our historical experience and on various other factors that we believe to be applicable and evaluate them on an ongoing basis to ensure they remain reasonable under current conditions. Actual results may differ significantly from those estimates, which could have a material impact on our business, results of operations, and financial condition.</w:t>
      </w:r>
    </w:p>
    <w:p>
      <w:pPr>
        <w:spacing w:after="0" w:line="81" w:lineRule="exact"/>
        <w:rPr>
          <w:sz w:val="20"/>
          <w:szCs w:val="20"/>
          <w:color w:val="auto"/>
        </w:rPr>
      </w:pPr>
    </w:p>
    <w:p>
      <w:pPr>
        <w:ind w:right="40" w:firstLine="509"/>
        <w:spacing w:after="0" w:line="265" w:lineRule="auto"/>
        <w:rPr>
          <w:sz w:val="20"/>
          <w:szCs w:val="20"/>
          <w:color w:val="auto"/>
        </w:rPr>
      </w:pPr>
      <w:r>
        <w:rPr>
          <w:rFonts w:ascii="Times New Roman" w:cs="Times New Roman" w:eastAsia="Times New Roman" w:hAnsi="Times New Roman"/>
          <w:sz w:val="18"/>
          <w:szCs w:val="18"/>
          <w:color w:val="auto"/>
        </w:rPr>
        <w:t>There have been no material changes to our critical accounting policies and estimates during the three months ended March 31, 2024 as compared to the critical accounting policies and estimates described in our Management’s Discussion and Analysis of Financial Condition and Results of Operations included in our Annual Report on Form 10-K for the year ended December 31, 2023 filed with the SEC on February 27, 2024.</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21" w:lineRule="exact"/>
        <w:rPr>
          <w:sz w:val="20"/>
          <w:szCs w:val="20"/>
          <w:color w:val="auto"/>
        </w:rPr>
      </w:pPr>
    </w:p>
    <w:p>
      <w:pPr>
        <w:ind w:right="860" w:firstLine="509"/>
        <w:spacing w:after="0" w:line="281" w:lineRule="auto"/>
        <w:rPr>
          <w:sz w:val="20"/>
          <w:szCs w:val="20"/>
          <w:color w:val="auto"/>
        </w:rPr>
      </w:pPr>
      <w:r>
        <w:rPr>
          <w:rFonts w:ascii="Times New Roman" w:cs="Times New Roman" w:eastAsia="Times New Roman" w:hAnsi="Times New Roman"/>
          <w:sz w:val="18"/>
          <w:szCs w:val="18"/>
          <w:color w:val="auto"/>
        </w:rPr>
        <w:t>Refer to Note 2 to the condensed consolidated financial statements included in this Quarterly Report on Form 10-Q for recent accounting pronouncements adopted and to be adopted.</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Corsair Gaming, Inc. | Q1 2024 Form 10-Q | 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4"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21" w:lineRule="exact"/>
        <w:rPr>
          <w:sz w:val="20"/>
          <w:szCs w:val="20"/>
          <w:color w:val="auto"/>
        </w:rPr>
      </w:pPr>
    </w:p>
    <w:p>
      <w:pPr>
        <w:ind w:right="140" w:firstLine="509"/>
        <w:spacing w:after="0" w:line="265" w:lineRule="auto"/>
        <w:rPr>
          <w:sz w:val="20"/>
          <w:szCs w:val="20"/>
          <w:color w:val="auto"/>
        </w:rPr>
      </w:pPr>
      <w:r>
        <w:rPr>
          <w:rFonts w:ascii="Times New Roman" w:cs="Times New Roman" w:eastAsia="Times New Roman" w:hAnsi="Times New Roman"/>
          <w:sz w:val="18"/>
          <w:szCs w:val="18"/>
          <w:color w:val="auto"/>
        </w:rPr>
        <w:t>We are exposed to market risks in the ordinary course of our business. Market risk represents the risk of loss that may impact our financial position due to adverse changes in financial market prices and rates. Our market risk exposure is primarily a result of fluctuations in interest rates and foreign currency exchange rates.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121" w:lineRule="exact"/>
        <w:rPr>
          <w:sz w:val="20"/>
          <w:szCs w:val="20"/>
          <w:color w:val="auto"/>
        </w:rPr>
      </w:pPr>
    </w:p>
    <w:p>
      <w:pPr>
        <w:ind w:right="160" w:firstLine="509"/>
        <w:spacing w:after="0" w:line="281" w:lineRule="auto"/>
        <w:rPr>
          <w:sz w:val="20"/>
          <w:szCs w:val="20"/>
          <w:color w:val="auto"/>
        </w:rPr>
      </w:pPr>
      <w:r>
        <w:rPr>
          <w:rFonts w:ascii="Times New Roman" w:cs="Times New Roman" w:eastAsia="Times New Roman" w:hAnsi="Times New Roman"/>
          <w:sz w:val="18"/>
          <w:szCs w:val="18"/>
          <w:color w:val="auto"/>
        </w:rPr>
        <w:t>As of March 31, 2024, we had cash and restricted cash of $130.2 million, which consisted primarily of bank deposits. Our cash is held for working capital purposes.</w:t>
      </w:r>
    </w:p>
    <w:p>
      <w:pPr>
        <w:spacing w:after="0" w:line="55" w:lineRule="exact"/>
        <w:rPr>
          <w:sz w:val="20"/>
          <w:szCs w:val="20"/>
          <w:color w:val="auto"/>
        </w:rPr>
      </w:pPr>
    </w:p>
    <w:p>
      <w:pPr>
        <w:ind w:right="80" w:firstLine="509"/>
        <w:spacing w:after="0" w:line="260" w:lineRule="auto"/>
        <w:rPr>
          <w:sz w:val="20"/>
          <w:szCs w:val="20"/>
          <w:color w:val="auto"/>
        </w:rPr>
      </w:pPr>
      <w:r>
        <w:rPr>
          <w:rFonts w:ascii="Times New Roman" w:cs="Times New Roman" w:eastAsia="Times New Roman" w:hAnsi="Times New Roman"/>
          <w:sz w:val="18"/>
          <w:szCs w:val="18"/>
          <w:color w:val="auto"/>
        </w:rPr>
        <w:t>As of March 31, 2024, under the Credit Agreement, we had $184.0 million Term Loan outstanding (face value), and the Term Loan bears variable market rates, primarily BSBY. See Note 8, “Debt - Credit Agreement” to our condensed consolidated financial statements for additional information on the Credit Agreement. A significant change in these market rates may adversely affect our operating results. As of March 31, 2024, a hypothetical 100 basis point change in interest rates would result in a change to annual interest expense by approximately $1.8 million.</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Risk</w:t>
      </w:r>
    </w:p>
    <w:p>
      <w:pPr>
        <w:spacing w:after="0" w:line="121"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Approximately 19.2% of our net revenue for the three months ended March 31, 2024 was denominated in foreign currencies, primarily Euro, and to a lesser extent, the British Pound. Any unfavorable movement in the exchange rate between U.S. dollars and the currencies in which we conduct sales in foreign countries could have an adverse impact on our net revenue and gross margins as we may have to adjust local currency product pricing due to competitive pressures if there is significant volatility in foreign currency exchange rates. Our operating expenses are denominated in the currencies of the countries in which our operations are located, which are primarily in the United States, Europe, China and Taiwan. Our operating results and cash flows are, therefore, subject to fluctuations due to changes in foreign currency exchange rates.</w:t>
      </w:r>
    </w:p>
    <w:p>
      <w:pPr>
        <w:spacing w:after="0" w:line="78"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We enter into forward currency contracts to reduce the short-term effects of currency fluctuations on Euro, British Pound, and Chinese Yuan denominated cash, accounts receivable, and intercompany receivable and payable balances. These forward contracts generally mature within two to four months, and we do not enter into foreign currency forward contracts for trading purposes. The outstanding notional principal amount was $28.5 million and $44.3 million as of March 31, 2024 and December 31, 2023, respectively. The gains or losses on these contracts are recognized in earnings based on the changes in fair value of the foreign currency forward contracts.</w:t>
      </w:r>
    </w:p>
    <w:p>
      <w:pPr>
        <w:spacing w:after="0" w:line="74" w:lineRule="exact"/>
        <w:rPr>
          <w:sz w:val="20"/>
          <w:szCs w:val="20"/>
          <w:color w:val="auto"/>
        </w:rPr>
      </w:pPr>
    </w:p>
    <w:p>
      <w:pPr>
        <w:ind w:right="140" w:firstLine="509"/>
        <w:spacing w:after="0" w:line="260" w:lineRule="auto"/>
        <w:rPr>
          <w:sz w:val="20"/>
          <w:szCs w:val="20"/>
          <w:color w:val="auto"/>
        </w:rPr>
      </w:pPr>
      <w:r>
        <w:rPr>
          <w:rFonts w:ascii="Times New Roman" w:cs="Times New Roman" w:eastAsia="Times New Roman" w:hAnsi="Times New Roman"/>
          <w:sz w:val="18"/>
          <w:szCs w:val="18"/>
          <w:color w:val="auto"/>
        </w:rPr>
        <w:t>The impact of changes in foreign currency rates, including the gains or (losses) on the forward currency contracts, recognized in other (expense) income, net was $(0.5) million and $(0.6) million for the three months ended March 31, 2024 and 2023, respectively. A hypothetical ten percent change in exchange rates between foreign currencies and the U.S. dollar would increase or decrease our gains or losses on foreign currency exchange of approximately $2.6 million in our condensed consolidated financial statements for the three months ended March 31, 2024.</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Corsair Gaming, Inc. | Q1 2024 Form 10-Q | 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4"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Limitations on Effectiveness of Controls and Procedures</w:t>
      </w:r>
    </w:p>
    <w:p>
      <w:pPr>
        <w:spacing w:after="0" w:line="121" w:lineRule="exact"/>
        <w:rPr>
          <w:sz w:val="20"/>
          <w:szCs w:val="20"/>
          <w:color w:val="auto"/>
        </w:rPr>
      </w:pPr>
    </w:p>
    <w:p>
      <w:pPr>
        <w:ind w:right="120" w:firstLine="509"/>
        <w:spacing w:after="0" w:line="255" w:lineRule="auto"/>
        <w:rPr>
          <w:sz w:val="20"/>
          <w:szCs w:val="20"/>
          <w:color w:val="auto"/>
        </w:rPr>
      </w:pPr>
      <w:r>
        <w:rPr>
          <w:rFonts w:ascii="Times New Roman" w:cs="Times New Roman" w:eastAsia="Times New Roman" w:hAnsi="Times New Roman"/>
          <w:sz w:val="18"/>
          <w:szCs w:val="18"/>
          <w:color w:val="auto"/>
        </w:rPr>
        <w:t>The effectiveness of any system of internal control over financial reporting, including ours, is subject to inherent limitations, including the exercise of judgment in designing, implementing, operating, and evaluating the controls and procedures, and the inability to eliminate misconduct completely. Accordingly, any system of internal control over financial reporting, including ours, no matter how well designed and operated, can only provide reasonable, not absolute assurances. In addition, projections of any evaluation of effectiveness to future periods are subject to the risk that controls may become inadequate because of changes in conditions, or that the degree of compliance with the policies or procedures may deteriorate. We intend to continue to monitor and upgrade our internal controls as necessary or appropriate for our business, but there can be no assurance that such improvements will be sufficient to provide us with effective internal control over financial reporting.</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121" w:lineRule="exact"/>
        <w:rPr>
          <w:sz w:val="20"/>
          <w:szCs w:val="20"/>
          <w:color w:val="auto"/>
        </w:rPr>
      </w:pPr>
    </w:p>
    <w:p>
      <w:pPr>
        <w:ind w:right="160" w:firstLine="509"/>
        <w:spacing w:after="0" w:line="281" w:lineRule="auto"/>
        <w:rPr>
          <w:sz w:val="20"/>
          <w:szCs w:val="20"/>
          <w:color w:val="auto"/>
        </w:rPr>
      </w:pPr>
      <w:r>
        <w:rPr>
          <w:rFonts w:ascii="Times New Roman" w:cs="Times New Roman" w:eastAsia="Times New Roman" w:hAnsi="Times New Roman"/>
          <w:sz w:val="18"/>
          <w:szCs w:val="18"/>
          <w:color w:val="auto"/>
        </w:rPr>
        <w:t>Our management, with the participation of our principal executive officer and our principal financial officer, has evaluated the effectiveness of our disclosure controls and procedures as of the end of the period covered by this Quarterly Report on Form 10-Q.</w:t>
      </w:r>
    </w:p>
    <w:p>
      <w:pPr>
        <w:spacing w:after="0" w:line="55"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Based on this evaluation, our chief executive officer and chief financial officer concluded that, as of March 31, 2024, our disclosure controls and procedures are designed at a reasonable assurance level and are effective to provide reasonable assurance that information we are required to disclose in reports that we file or submit under the Exchange Act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121" w:lineRule="exact"/>
        <w:rPr>
          <w:sz w:val="20"/>
          <w:szCs w:val="20"/>
          <w:color w:val="auto"/>
        </w:rPr>
      </w:pPr>
    </w:p>
    <w:p>
      <w:pPr>
        <w:ind w:right="200" w:firstLine="509"/>
        <w:spacing w:after="0" w:line="281"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that occurred during the quarter ended March 31, 2024 that have materially affected, or are reasonably likely to materially affect, our internal control over financial reporting.</w:t>
      </w:r>
    </w:p>
    <w:p>
      <w:pPr>
        <w:spacing w:after="0" w:line="3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Corsair Gaming, Inc. | Q1 2024 Form 10-Q | 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14" w:right="37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21" w:lineRule="exact"/>
        <w:rPr>
          <w:sz w:val="20"/>
          <w:szCs w:val="20"/>
          <w:color w:val="auto"/>
        </w:rPr>
      </w:pPr>
    </w:p>
    <w:p>
      <w:pPr>
        <w:ind w:right="20" w:firstLine="509"/>
        <w:spacing w:after="0" w:line="260" w:lineRule="auto"/>
        <w:rPr>
          <w:sz w:val="20"/>
          <w:szCs w:val="20"/>
          <w:color w:val="auto"/>
        </w:rPr>
      </w:pPr>
      <w:r>
        <w:rPr>
          <w:rFonts w:ascii="Times New Roman" w:cs="Times New Roman" w:eastAsia="Times New Roman" w:hAnsi="Times New Roman"/>
          <w:sz w:val="18"/>
          <w:szCs w:val="18"/>
          <w:color w:val="auto"/>
        </w:rPr>
        <w:t>We may from time to time be involved in various legal proceedings of a character normally incident to the ordinary course of our business. Although the outcome of any pending matters, and the amount, if any, of our ultimate liability and any other forms of remedies with respect to these matters, cannot be determined or predicted with certainty, we do not believe that the ultimate outcome of these matters will have a material adverse effect on our business, results of operations or financial condition.</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21"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We have disclosed under the heading “Risk Factors” in Part I, Item 1A of our Annual Report on Form 10-K for the year ended December 31, 2023 the risk factors that materially affect our business, financial condition or results of operations. There have been no material changes from the risk factors previously disclosed. You should carefully consider the risk factors set forth in our Annual Report on Form 10-K for the year ended December 31, 2023 and the other information set forth elsewhere in this Quarterly Report on Form 10-Q. The risks that we describe in our public filings are not the only risks we may face. Additional risks and uncertainties not currently known to us or that we currently deem to be immaterial also may materially adversely effect on our business, financial condition and/or future operating results.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21" w:lineRule="exact"/>
        <w:rPr>
          <w:sz w:val="20"/>
          <w:szCs w:val="20"/>
          <w:color w:val="auto"/>
        </w:rPr>
      </w:pPr>
    </w:p>
    <w:p>
      <w:pPr>
        <w:ind w:left="760" w:hanging="243"/>
        <w:spacing w:after="0"/>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w:t>
      </w:r>
    </w:p>
    <w:p>
      <w:pPr>
        <w:spacing w:after="0" w:line="116" w:lineRule="exact"/>
        <w:rPr>
          <w:rFonts w:ascii="Times New Roman" w:cs="Times New Roman" w:eastAsia="Times New Roman" w:hAnsi="Times New Roman"/>
          <w:sz w:val="18"/>
          <w:szCs w:val="18"/>
          <w:color w:val="auto"/>
        </w:rPr>
      </w:pPr>
    </w:p>
    <w:p>
      <w:pPr>
        <w:ind w:left="780" w:hanging="263"/>
        <w:spacing w:after="0"/>
        <w:tabs>
          <w:tab w:leader="none" w:pos="7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w:t>
      </w:r>
    </w:p>
    <w:p>
      <w:pPr>
        <w:spacing w:after="0" w:line="116" w:lineRule="exact"/>
        <w:rPr>
          <w:rFonts w:ascii="Times New Roman" w:cs="Times New Roman" w:eastAsia="Times New Roman" w:hAnsi="Times New Roman"/>
          <w:sz w:val="18"/>
          <w:szCs w:val="18"/>
          <w:color w:val="auto"/>
        </w:rPr>
      </w:pPr>
    </w:p>
    <w:p>
      <w:pPr>
        <w:jc w:val="both"/>
        <w:ind w:right="480" w:firstLine="517"/>
        <w:spacing w:after="0" w:line="265" w:lineRule="auto"/>
        <w:tabs>
          <w:tab w:leader="none" w:pos="753"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our directors or officers (as defined in Rule 16a-1 under the Exchange Act) adopted, modified or terminated a Rule 10b5-1 trading arrangement or non-Rule 10b5-1 trading arrangement during the three months ended March 31, 2024, as such terms are defined under Item 408(a) of Regulation S-K, except as follows:</w:t>
      </w:r>
    </w:p>
    <w:p>
      <w:pPr>
        <w:spacing w:after="0" w:line="69" w:lineRule="exact"/>
        <w:rPr>
          <w:sz w:val="20"/>
          <w:szCs w:val="20"/>
          <w:color w:val="auto"/>
        </w:rPr>
      </w:pPr>
    </w:p>
    <w:p>
      <w:pPr>
        <w:ind w:right="820" w:firstLine="509"/>
        <w:spacing w:after="0" w:line="281" w:lineRule="auto"/>
        <w:rPr>
          <w:sz w:val="20"/>
          <w:szCs w:val="20"/>
          <w:color w:val="auto"/>
        </w:rPr>
      </w:pPr>
      <w:r>
        <w:rPr>
          <w:rFonts w:ascii="Times New Roman" w:cs="Times New Roman" w:eastAsia="Times New Roman" w:hAnsi="Times New Roman"/>
          <w:sz w:val="18"/>
          <w:szCs w:val="18"/>
          <w:color w:val="auto"/>
        </w:rPr>
        <w:t>On March 11, 2024, Thi La, a member of our board of directors, adopted a Rule 10b5-1 trading arrangement that is intended to satisfy the affirmative defense of Rule 10b5-1(c) for the sale of up to 185,000 shares of the Company’s common stock until June 30, 2025.</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Corsair Gaming, Inc. | Q1 2024 Form 10-Q |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14"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23" w:lineRule="exact"/>
        <w:rPr>
          <w:sz w:val="20"/>
          <w:szCs w:val="20"/>
          <w:color w:val="auto"/>
        </w:rPr>
      </w:pPr>
    </w:p>
    <w:tbl>
      <w:tblPr>
        <w:tblLayout w:type="fixed"/>
        <w:tblInd w:w="100" w:type="dxa"/>
        <w:tblCellMar>
          <w:top w:w="0" w:type="dxa"/>
          <w:left w:w="0" w:type="dxa"/>
          <w:bottom w:w="0" w:type="dxa"/>
          <w:right w:w="0" w:type="dxa"/>
        </w:tblCellMar>
      </w:tblPr>
      <w:tr>
        <w:trPr>
          <w:trHeight w:val="161"/>
        </w:trPr>
        <w:tc>
          <w:tcPr>
            <w:tcW w:w="92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300" w:type="dxa"/>
            <w:vAlign w:val="bottom"/>
          </w:tcPr>
          <w:p>
            <w:pPr>
              <w:jc w:val="center"/>
              <w:ind w:left="16"/>
              <w:spacing w:after="0"/>
              <w:rPr>
                <w:sz w:val="20"/>
                <w:szCs w:val="20"/>
                <w:color w:val="auto"/>
              </w:rPr>
            </w:pPr>
            <w:r>
              <w:rPr>
                <w:rFonts w:ascii="Times New Roman" w:cs="Times New Roman" w:eastAsia="Times New Roman" w:hAnsi="Times New Roman"/>
                <w:sz w:val="14"/>
                <w:szCs w:val="14"/>
                <w:b w:val="1"/>
                <w:bCs w:val="1"/>
                <w:color w:val="auto"/>
              </w:rPr>
              <w:t>Incorporated by</w:t>
            </w:r>
          </w:p>
        </w:tc>
        <w:tc>
          <w:tcPr>
            <w:tcW w:w="1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92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left="36"/>
              <w:spacing w:after="0"/>
              <w:rPr>
                <w:sz w:val="20"/>
                <w:szCs w:val="20"/>
                <w:color w:val="auto"/>
              </w:rPr>
            </w:pPr>
            <w:r>
              <w:rPr>
                <w:rFonts w:ascii="Times New Roman" w:cs="Times New Roman" w:eastAsia="Times New Roman" w:hAnsi="Times New Roman"/>
                <w:sz w:val="14"/>
                <w:szCs w:val="14"/>
                <w:b w:val="1"/>
                <w:bCs w:val="1"/>
                <w:color w:val="auto"/>
              </w:rPr>
              <w:t>Reference</w:t>
            </w:r>
          </w:p>
        </w:tc>
        <w:tc>
          <w:tcPr>
            <w:tcW w:w="1100" w:type="dxa"/>
            <w:vAlign w:val="bottom"/>
            <w:tcBorders>
              <w:bottom w:val="single" w:sz="8" w:color="auto"/>
            </w:tcBorders>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920" w:type="dxa"/>
            <w:vAlign w:val="bottom"/>
          </w:tcPr>
          <w:p>
            <w:pPr>
              <w:jc w:val="center"/>
              <w:ind w:right="173"/>
              <w:spacing w:after="0" w:line="131" w:lineRule="exact"/>
              <w:rPr>
                <w:sz w:val="20"/>
                <w:szCs w:val="20"/>
                <w:color w:val="auto"/>
              </w:rPr>
            </w:pPr>
            <w:r>
              <w:rPr>
                <w:rFonts w:ascii="Times New Roman" w:cs="Times New Roman" w:eastAsia="Times New Roman" w:hAnsi="Times New Roman"/>
                <w:sz w:val="14"/>
                <w:szCs w:val="14"/>
                <w:b w:val="1"/>
                <w:bCs w:val="1"/>
                <w:color w:val="auto"/>
              </w:rPr>
              <w:t>Exhibit</w:t>
            </w:r>
          </w:p>
        </w:tc>
        <w:tc>
          <w:tcPr>
            <w:tcW w:w="1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540" w:type="dxa"/>
            <w:vAlign w:val="bottom"/>
            <w:gridSpan w:val="10"/>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980" w:type="dxa"/>
            <w:vAlign w:val="bottom"/>
            <w:vMerge w:val="restart"/>
          </w:tcPr>
          <w:p>
            <w:pPr>
              <w:ind w:left="440"/>
              <w:spacing w:after="0"/>
              <w:rPr>
                <w:sz w:val="20"/>
                <w:szCs w:val="20"/>
                <w:color w:val="auto"/>
              </w:rPr>
            </w:pPr>
            <w:r>
              <w:rPr>
                <w:rFonts w:ascii="Times New Roman" w:cs="Times New Roman" w:eastAsia="Times New Roman" w:hAnsi="Times New Roman"/>
                <w:sz w:val="14"/>
                <w:szCs w:val="14"/>
                <w:b w:val="1"/>
                <w:bCs w:val="1"/>
                <w:color w:val="auto"/>
              </w:rPr>
              <w:t>Form</w:t>
            </w:r>
          </w:p>
        </w:tc>
        <w:tc>
          <w:tcPr>
            <w:tcW w:w="1300" w:type="dxa"/>
            <w:vAlign w:val="bottom"/>
            <w:vMerge w:val="restart"/>
          </w:tcPr>
          <w:p>
            <w:pPr>
              <w:jc w:val="center"/>
              <w:ind w:left="16"/>
              <w:spacing w:after="0"/>
              <w:rPr>
                <w:sz w:val="20"/>
                <w:szCs w:val="20"/>
                <w:color w:val="auto"/>
              </w:rPr>
            </w:pPr>
            <w:r>
              <w:rPr>
                <w:rFonts w:ascii="Times New Roman" w:cs="Times New Roman" w:eastAsia="Times New Roman" w:hAnsi="Times New Roman"/>
                <w:sz w:val="14"/>
                <w:szCs w:val="14"/>
                <w:b w:val="1"/>
                <w:bCs w:val="1"/>
                <w:color w:val="auto"/>
                <w:w w:val="99"/>
              </w:rPr>
              <w:t>Exhibit</w:t>
            </w:r>
          </w:p>
        </w:tc>
        <w:tc>
          <w:tcPr>
            <w:tcW w:w="11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Date Filed</w:t>
            </w:r>
          </w:p>
        </w:tc>
        <w:tc>
          <w:tcPr>
            <w:tcW w:w="780" w:type="dxa"/>
            <w:vAlign w:val="bottom"/>
          </w:tcPr>
          <w:p>
            <w:pPr>
              <w:jc w:val="center"/>
              <w:ind w:left="135"/>
              <w:spacing w:after="0" w:line="131" w:lineRule="exact"/>
              <w:rPr>
                <w:sz w:val="20"/>
                <w:szCs w:val="20"/>
                <w:color w:val="auto"/>
              </w:rPr>
            </w:pPr>
            <w:r>
              <w:rPr>
                <w:rFonts w:ascii="Times New Roman" w:cs="Times New Roman" w:eastAsia="Times New Roman" w:hAnsi="Times New Roman"/>
                <w:sz w:val="14"/>
                <w:szCs w:val="14"/>
                <w:b w:val="1"/>
                <w:bCs w:val="1"/>
                <w:color w:val="auto"/>
              </w:rPr>
              <w:t>Filed</w:t>
            </w:r>
          </w:p>
        </w:tc>
        <w:tc>
          <w:tcPr>
            <w:tcW w:w="0" w:type="dxa"/>
            <w:vAlign w:val="bottom"/>
          </w:tcPr>
          <w:p>
            <w:pPr>
              <w:spacing w:after="0"/>
              <w:rPr>
                <w:sz w:val="1"/>
                <w:szCs w:val="1"/>
                <w:color w:val="auto"/>
              </w:rPr>
            </w:pPr>
          </w:p>
        </w:tc>
      </w:tr>
      <w:tr>
        <w:trPr>
          <w:trHeight w:val="188"/>
        </w:trPr>
        <w:tc>
          <w:tcPr>
            <w:tcW w:w="920" w:type="dxa"/>
            <w:vAlign w:val="bottom"/>
          </w:tcPr>
          <w:p>
            <w:pPr>
              <w:jc w:val="center"/>
              <w:ind w:right="173"/>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5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540" w:type="dxa"/>
            <w:vAlign w:val="bottom"/>
            <w:gridSpan w:val="10"/>
            <w:vMerge w:val="continue"/>
          </w:tcPr>
          <w:p>
            <w:pPr>
              <w:spacing w:after="0"/>
              <w:rPr>
                <w:sz w:val="16"/>
                <w:szCs w:val="16"/>
                <w:color w:val="auto"/>
              </w:rPr>
            </w:pPr>
          </w:p>
        </w:tc>
        <w:tc>
          <w:tcPr>
            <w:tcW w:w="980" w:type="dxa"/>
            <w:vAlign w:val="bottom"/>
            <w:vMerge w:val="continue"/>
          </w:tcPr>
          <w:p>
            <w:pPr>
              <w:spacing w:after="0"/>
              <w:rPr>
                <w:sz w:val="16"/>
                <w:szCs w:val="16"/>
                <w:color w:val="auto"/>
              </w:rPr>
            </w:pPr>
          </w:p>
        </w:tc>
        <w:tc>
          <w:tcPr>
            <w:tcW w:w="1300" w:type="dxa"/>
            <w:vAlign w:val="bottom"/>
            <w:vMerge w:val="continue"/>
          </w:tcPr>
          <w:p>
            <w:pPr>
              <w:spacing w:after="0"/>
              <w:rPr>
                <w:sz w:val="16"/>
                <w:szCs w:val="16"/>
                <w:color w:val="auto"/>
              </w:rPr>
            </w:pPr>
          </w:p>
        </w:tc>
        <w:tc>
          <w:tcPr>
            <w:tcW w:w="1100" w:type="dxa"/>
            <w:vAlign w:val="bottom"/>
            <w:vMerge w:val="continue"/>
          </w:tcPr>
          <w:p>
            <w:pPr>
              <w:spacing w:after="0"/>
              <w:rPr>
                <w:sz w:val="16"/>
                <w:szCs w:val="16"/>
                <w:color w:val="auto"/>
              </w:rPr>
            </w:pPr>
          </w:p>
        </w:tc>
        <w:tc>
          <w:tcPr>
            <w:tcW w:w="780" w:type="dxa"/>
            <w:vAlign w:val="bottom"/>
          </w:tcPr>
          <w:p>
            <w:pPr>
              <w:jc w:val="center"/>
              <w:ind w:left="135"/>
              <w:spacing w:after="0"/>
              <w:rPr>
                <w:sz w:val="20"/>
                <w:szCs w:val="20"/>
                <w:color w:val="auto"/>
              </w:rPr>
            </w:pPr>
            <w:r>
              <w:rPr>
                <w:rFonts w:ascii="Times New Roman" w:cs="Times New Roman" w:eastAsia="Times New Roman" w:hAnsi="Times New Roman"/>
                <w:sz w:val="14"/>
                <w:szCs w:val="14"/>
                <w:b w:val="1"/>
                <w:bCs w:val="1"/>
                <w:color w:val="auto"/>
                <w:w w:val="99"/>
              </w:rPr>
              <w:t>Herewith</w:t>
            </w:r>
          </w:p>
        </w:tc>
        <w:tc>
          <w:tcPr>
            <w:tcW w:w="0" w:type="dxa"/>
            <w:vAlign w:val="bottom"/>
          </w:tcPr>
          <w:p>
            <w:pPr>
              <w:spacing w:after="0"/>
              <w:rPr>
                <w:sz w:val="1"/>
                <w:szCs w:val="1"/>
                <w:color w:val="auto"/>
              </w:rPr>
            </w:pPr>
          </w:p>
        </w:tc>
      </w:tr>
      <w:tr>
        <w:trPr>
          <w:trHeight w:val="336"/>
        </w:trPr>
        <w:tc>
          <w:tcPr>
            <w:tcW w:w="920" w:type="dxa"/>
            <w:vAlign w:val="bottom"/>
          </w:tcPr>
          <w:p>
            <w:pPr>
              <w:jc w:val="center"/>
              <w:ind w:right="173"/>
              <w:spacing w:after="0"/>
              <w:rPr>
                <w:sz w:val="20"/>
                <w:szCs w:val="20"/>
                <w:color w:val="auto"/>
              </w:rPr>
            </w:pPr>
            <w:r>
              <w:rPr>
                <w:rFonts w:ascii="Times New Roman" w:cs="Times New Roman" w:eastAsia="Times New Roman" w:hAnsi="Times New Roman"/>
                <w:sz w:val="18"/>
                <w:szCs w:val="18"/>
                <w:color w:val="auto"/>
                <w:w w:val="97"/>
              </w:rPr>
              <w:t>3.1</w:t>
            </w:r>
          </w:p>
        </w:tc>
        <w:tc>
          <w:tcPr>
            <w:tcW w:w="5940" w:type="dxa"/>
            <w:vAlign w:val="bottom"/>
            <w:gridSpan w:val="14"/>
          </w:tcPr>
          <w:p>
            <w:pPr>
              <w:spacing w:after="0"/>
              <w:rPr>
                <w:rFonts w:ascii="Times New Roman" w:cs="Times New Roman" w:eastAsia="Times New Roman" w:hAnsi="Times New Roman"/>
                <w:sz w:val="18"/>
                <w:szCs w:val="18"/>
                <w:color w:val="0000FF"/>
              </w:rPr>
            </w:pPr>
            <w:hyperlink r:id="rId245">
              <w:r>
                <w:rPr>
                  <w:rFonts w:ascii="Times New Roman" w:cs="Times New Roman" w:eastAsia="Times New Roman" w:hAnsi="Times New Roman"/>
                  <w:sz w:val="18"/>
                  <w:szCs w:val="18"/>
                  <w:color w:val="0000FF"/>
                </w:rPr>
                <w:t>Second Amended and Restated Certificate of Incorporation.</w:t>
              </w:r>
            </w:hyperlink>
          </w:p>
        </w:tc>
        <w:tc>
          <w:tcPr>
            <w:tcW w:w="980" w:type="dxa"/>
            <w:vAlign w:val="bottom"/>
          </w:tcPr>
          <w:p>
            <w:pPr>
              <w:jc w:val="center"/>
              <w:spacing w:after="0" w:line="207" w:lineRule="exact"/>
              <w:rPr>
                <w:sz w:val="20"/>
                <w:szCs w:val="20"/>
                <w:color w:val="auto"/>
              </w:rPr>
            </w:pPr>
            <w:r>
              <w:rPr>
                <w:rFonts w:ascii="Times New Roman" w:cs="Times New Roman" w:eastAsia="Times New Roman" w:hAnsi="Times New Roman"/>
                <w:sz w:val="18"/>
                <w:szCs w:val="18"/>
                <w:color w:val="auto"/>
              </w:rPr>
              <w:t>8</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w:t>
            </w:r>
          </w:p>
        </w:tc>
        <w:tc>
          <w:tcPr>
            <w:tcW w:w="1300" w:type="dxa"/>
            <w:vAlign w:val="bottom"/>
          </w:tcPr>
          <w:p>
            <w:pPr>
              <w:jc w:val="center"/>
              <w:ind w:left="16"/>
              <w:spacing w:after="0"/>
              <w:rPr>
                <w:sz w:val="20"/>
                <w:szCs w:val="20"/>
                <w:color w:val="auto"/>
              </w:rPr>
            </w:pPr>
            <w:r>
              <w:rPr>
                <w:rFonts w:ascii="Times New Roman" w:cs="Times New Roman" w:eastAsia="Times New Roman" w:hAnsi="Times New Roman"/>
                <w:sz w:val="18"/>
                <w:szCs w:val="18"/>
                <w:color w:val="auto"/>
              </w:rPr>
              <w:t>3.1</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09/25/2020</w:t>
            </w: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920" w:type="dxa"/>
            <w:vAlign w:val="bottom"/>
            <w:tcBorders>
              <w:right w:val="single" w:sz="8" w:color="0000EE"/>
            </w:tcBorders>
          </w:tcPr>
          <w:p>
            <w:pPr>
              <w:spacing w:after="0" w:line="20" w:lineRule="exact"/>
              <w:rPr>
                <w:sz w:val="1"/>
                <w:szCs w:val="1"/>
                <w:color w:val="auto"/>
              </w:rPr>
            </w:pPr>
          </w:p>
        </w:tc>
        <w:tc>
          <w:tcPr>
            <w:tcW w:w="154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5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060" w:type="dxa"/>
            <w:vAlign w:val="bottom"/>
            <w:tcBorders>
              <w:right w:val="single" w:sz="8" w:color="0000FF"/>
            </w:tcBorders>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vMerge w:val="restart"/>
          </w:tcPr>
          <w:p>
            <w:pPr>
              <w:jc w:val="center"/>
              <w:spacing w:after="0" w:line="207" w:lineRule="exact"/>
              <w:rPr>
                <w:sz w:val="20"/>
                <w:szCs w:val="20"/>
                <w:color w:val="auto"/>
              </w:rPr>
            </w:pPr>
            <w:r>
              <w:rPr>
                <w:rFonts w:ascii="Times New Roman" w:cs="Times New Roman" w:eastAsia="Times New Roman" w:hAnsi="Times New Roman"/>
                <w:sz w:val="18"/>
                <w:szCs w:val="18"/>
                <w:color w:val="auto"/>
              </w:rPr>
              <w:t>8</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w:t>
            </w:r>
          </w:p>
        </w:tc>
        <w:tc>
          <w:tcPr>
            <w:tcW w:w="13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920" w:type="dxa"/>
            <w:vAlign w:val="bottom"/>
          </w:tcPr>
          <w:p>
            <w:pPr>
              <w:jc w:val="center"/>
              <w:ind w:right="173"/>
              <w:spacing w:after="0"/>
              <w:rPr>
                <w:sz w:val="20"/>
                <w:szCs w:val="20"/>
                <w:color w:val="auto"/>
              </w:rPr>
            </w:pPr>
            <w:r>
              <w:rPr>
                <w:rFonts w:ascii="Times New Roman" w:cs="Times New Roman" w:eastAsia="Times New Roman" w:hAnsi="Times New Roman"/>
                <w:sz w:val="18"/>
                <w:szCs w:val="18"/>
                <w:color w:val="auto"/>
                <w:w w:val="97"/>
              </w:rPr>
              <w:t>3.2</w:t>
            </w:r>
          </w:p>
        </w:tc>
        <w:tc>
          <w:tcPr>
            <w:tcW w:w="5940" w:type="dxa"/>
            <w:vAlign w:val="bottom"/>
            <w:gridSpan w:val="14"/>
          </w:tcPr>
          <w:p>
            <w:pPr>
              <w:spacing w:after="0"/>
              <w:rPr>
                <w:rFonts w:ascii="Times New Roman" w:cs="Times New Roman" w:eastAsia="Times New Roman" w:hAnsi="Times New Roman"/>
                <w:sz w:val="18"/>
                <w:szCs w:val="18"/>
                <w:color w:val="0000FF"/>
              </w:rPr>
            </w:pPr>
            <w:hyperlink r:id="rId246">
              <w:r>
                <w:rPr>
                  <w:rFonts w:ascii="Times New Roman" w:cs="Times New Roman" w:eastAsia="Times New Roman" w:hAnsi="Times New Roman"/>
                  <w:sz w:val="18"/>
                  <w:szCs w:val="18"/>
                  <w:color w:val="0000FF"/>
                </w:rPr>
                <w:t>Amended and Restated Bylaws.</w:t>
              </w:r>
            </w:hyperlink>
          </w:p>
        </w:tc>
        <w:tc>
          <w:tcPr>
            <w:tcW w:w="980" w:type="dxa"/>
            <w:vAlign w:val="bottom"/>
            <w:vMerge w:val="continue"/>
          </w:tcPr>
          <w:p>
            <w:pPr>
              <w:spacing w:after="0"/>
              <w:rPr>
                <w:sz w:val="24"/>
                <w:szCs w:val="24"/>
                <w:color w:val="auto"/>
              </w:rPr>
            </w:pPr>
          </w:p>
        </w:tc>
        <w:tc>
          <w:tcPr>
            <w:tcW w:w="1300" w:type="dxa"/>
            <w:vAlign w:val="bottom"/>
          </w:tcPr>
          <w:p>
            <w:pPr>
              <w:jc w:val="center"/>
              <w:ind w:left="16"/>
              <w:spacing w:after="0"/>
              <w:rPr>
                <w:sz w:val="20"/>
                <w:szCs w:val="20"/>
                <w:color w:val="auto"/>
              </w:rPr>
            </w:pPr>
            <w:r>
              <w:rPr>
                <w:rFonts w:ascii="Times New Roman" w:cs="Times New Roman" w:eastAsia="Times New Roman" w:hAnsi="Times New Roman"/>
                <w:sz w:val="18"/>
                <w:szCs w:val="18"/>
                <w:color w:val="auto"/>
              </w:rPr>
              <w:t>3.2</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09/25/2020</w:t>
            </w: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920" w:type="dxa"/>
            <w:vAlign w:val="bottom"/>
            <w:tcBorders>
              <w:right w:val="single" w:sz="8" w:color="0000EE"/>
            </w:tcBorders>
          </w:tcPr>
          <w:p>
            <w:pPr>
              <w:spacing w:after="0" w:line="20" w:lineRule="exact"/>
              <w:rPr>
                <w:sz w:val="1"/>
                <w:szCs w:val="1"/>
                <w:color w:val="auto"/>
              </w:rPr>
            </w:pPr>
          </w:p>
        </w:tc>
        <w:tc>
          <w:tcPr>
            <w:tcW w:w="154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50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920" w:type="dxa"/>
            <w:vAlign w:val="bottom"/>
          </w:tcPr>
          <w:p>
            <w:pPr>
              <w:jc w:val="center"/>
              <w:ind w:right="173"/>
              <w:spacing w:after="0"/>
              <w:rPr>
                <w:sz w:val="20"/>
                <w:szCs w:val="20"/>
                <w:color w:val="auto"/>
              </w:rPr>
            </w:pPr>
            <w:r>
              <w:rPr>
                <w:rFonts w:ascii="Times New Roman" w:cs="Times New Roman" w:eastAsia="Times New Roman" w:hAnsi="Times New Roman"/>
                <w:sz w:val="18"/>
                <w:szCs w:val="18"/>
                <w:color w:val="auto"/>
                <w:w w:val="97"/>
              </w:rPr>
              <w:t>4.1</w:t>
            </w:r>
          </w:p>
        </w:tc>
        <w:tc>
          <w:tcPr>
            <w:tcW w:w="5940" w:type="dxa"/>
            <w:vAlign w:val="bottom"/>
            <w:gridSpan w:val="14"/>
          </w:tcPr>
          <w:p>
            <w:pPr>
              <w:spacing w:after="0"/>
              <w:rPr>
                <w:rFonts w:ascii="Times New Roman" w:cs="Times New Roman" w:eastAsia="Times New Roman" w:hAnsi="Times New Roman"/>
                <w:sz w:val="18"/>
                <w:szCs w:val="18"/>
                <w:color w:val="0000FF"/>
              </w:rPr>
            </w:pPr>
            <w:hyperlink r:id="rId247">
              <w:r>
                <w:rPr>
                  <w:rFonts w:ascii="Times New Roman" w:cs="Times New Roman" w:eastAsia="Times New Roman" w:hAnsi="Times New Roman"/>
                  <w:sz w:val="18"/>
                  <w:szCs w:val="18"/>
                  <w:color w:val="0000FF"/>
                </w:rPr>
                <w:t>Form of common stock certificate of Registrant.</w:t>
              </w:r>
            </w:hyperlink>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S-1/A</w:t>
            </w:r>
          </w:p>
        </w:tc>
        <w:tc>
          <w:tcPr>
            <w:tcW w:w="1300" w:type="dxa"/>
            <w:vAlign w:val="bottom"/>
          </w:tcPr>
          <w:p>
            <w:pPr>
              <w:jc w:val="center"/>
              <w:ind w:left="16"/>
              <w:spacing w:after="0"/>
              <w:rPr>
                <w:sz w:val="20"/>
                <w:szCs w:val="20"/>
                <w:color w:val="auto"/>
              </w:rPr>
            </w:pPr>
            <w:r>
              <w:rPr>
                <w:rFonts w:ascii="Times New Roman" w:cs="Times New Roman" w:eastAsia="Times New Roman" w:hAnsi="Times New Roman"/>
                <w:sz w:val="18"/>
                <w:szCs w:val="18"/>
                <w:color w:val="auto"/>
              </w:rPr>
              <w:t>4.2</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09/18/2020</w:t>
            </w: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920" w:type="dxa"/>
            <w:vAlign w:val="bottom"/>
            <w:tcBorders>
              <w:right w:val="single" w:sz="8" w:color="0000EE"/>
            </w:tcBorders>
          </w:tcPr>
          <w:p>
            <w:pPr>
              <w:spacing w:after="0" w:line="20" w:lineRule="exact"/>
              <w:rPr>
                <w:sz w:val="1"/>
                <w:szCs w:val="1"/>
                <w:color w:val="auto"/>
              </w:rPr>
            </w:pPr>
          </w:p>
        </w:tc>
        <w:tc>
          <w:tcPr>
            <w:tcW w:w="154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2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1060" w:type="dxa"/>
            <w:vAlign w:val="bottom"/>
            <w:tcBorders>
              <w:right w:val="single" w:sz="8" w:color="0000EE"/>
            </w:tcBorders>
            <w:shd w:val="clear" w:color="auto" w:fill="0000FF"/>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920" w:type="dxa"/>
            <w:vAlign w:val="bottom"/>
          </w:tcPr>
          <w:p>
            <w:pPr>
              <w:jc w:val="center"/>
              <w:ind w:right="173"/>
              <w:spacing w:after="0"/>
              <w:rPr>
                <w:sz w:val="20"/>
                <w:szCs w:val="20"/>
                <w:color w:val="auto"/>
              </w:rPr>
            </w:pPr>
            <w:r>
              <w:rPr>
                <w:rFonts w:ascii="Times New Roman" w:cs="Times New Roman" w:eastAsia="Times New Roman" w:hAnsi="Times New Roman"/>
                <w:sz w:val="18"/>
                <w:szCs w:val="18"/>
                <w:color w:val="auto"/>
                <w:w w:val="97"/>
              </w:rPr>
              <w:t>4.2</w:t>
            </w:r>
          </w:p>
        </w:tc>
        <w:tc>
          <w:tcPr>
            <w:tcW w:w="5940" w:type="dxa"/>
            <w:vAlign w:val="bottom"/>
            <w:gridSpan w:val="14"/>
          </w:tcPr>
          <w:p>
            <w:pPr>
              <w:spacing w:after="0"/>
              <w:rPr>
                <w:rFonts w:ascii="Times New Roman" w:cs="Times New Roman" w:eastAsia="Times New Roman" w:hAnsi="Times New Roman"/>
                <w:sz w:val="18"/>
                <w:szCs w:val="18"/>
                <w:color w:val="0000FF"/>
              </w:rPr>
            </w:pPr>
            <w:hyperlink r:id="rId248">
              <w:r>
                <w:rPr>
                  <w:rFonts w:ascii="Times New Roman" w:cs="Times New Roman" w:eastAsia="Times New Roman" w:hAnsi="Times New Roman"/>
                  <w:sz w:val="18"/>
                  <w:szCs w:val="18"/>
                  <w:color w:val="0000FF"/>
                </w:rPr>
                <w:t>Investor Rights Agreement, by and between Corsair Gaming, Inc. and Corsair</w:t>
              </w:r>
            </w:hyperlink>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10-Q</w:t>
            </w:r>
          </w:p>
        </w:tc>
        <w:tc>
          <w:tcPr>
            <w:tcW w:w="1300" w:type="dxa"/>
            <w:vAlign w:val="bottom"/>
          </w:tcPr>
          <w:p>
            <w:pPr>
              <w:jc w:val="center"/>
              <w:ind w:left="16"/>
              <w:spacing w:after="0"/>
              <w:rPr>
                <w:sz w:val="20"/>
                <w:szCs w:val="20"/>
                <w:color w:val="auto"/>
              </w:rPr>
            </w:pPr>
            <w:r>
              <w:rPr>
                <w:rFonts w:ascii="Times New Roman" w:cs="Times New Roman" w:eastAsia="Times New Roman" w:hAnsi="Times New Roman"/>
                <w:sz w:val="18"/>
                <w:szCs w:val="18"/>
                <w:color w:val="auto"/>
              </w:rPr>
              <w:t>4.2</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11/10/2020</w:t>
            </w: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54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2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2860" w:type="dxa"/>
            <w:vAlign w:val="bottom"/>
            <w:tcBorders>
              <w:right w:val="single" w:sz="8" w:color="0000FF"/>
            </w:tcBorders>
            <w:gridSpan w:val="3"/>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5940" w:type="dxa"/>
            <w:vAlign w:val="bottom"/>
            <w:gridSpan w:val="14"/>
          </w:tcPr>
          <w:p>
            <w:pPr>
              <w:spacing w:after="0" w:line="195" w:lineRule="exact"/>
              <w:rPr>
                <w:rFonts w:ascii="Times New Roman" w:cs="Times New Roman" w:eastAsia="Times New Roman" w:hAnsi="Times New Roman"/>
                <w:sz w:val="18"/>
                <w:szCs w:val="18"/>
                <w:color w:val="0000FF"/>
              </w:rPr>
            </w:pPr>
            <w:hyperlink r:id="rId248">
              <w:r>
                <w:rPr>
                  <w:rFonts w:ascii="Times New Roman" w:cs="Times New Roman" w:eastAsia="Times New Roman" w:hAnsi="Times New Roman"/>
                  <w:sz w:val="18"/>
                  <w:szCs w:val="18"/>
                  <w:color w:val="0000FF"/>
                </w:rPr>
                <w:t>Group (Cayman), LP.</w:t>
              </w:r>
            </w:hyperlink>
          </w:p>
        </w:tc>
        <w:tc>
          <w:tcPr>
            <w:tcW w:w="9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20" w:type="dxa"/>
            <w:vAlign w:val="bottom"/>
            <w:tcBorders>
              <w:right w:val="single" w:sz="8" w:color="0000EE"/>
            </w:tcBorders>
          </w:tcPr>
          <w:p>
            <w:pPr>
              <w:spacing w:after="0" w:line="20" w:lineRule="exact"/>
              <w:rPr>
                <w:sz w:val="1"/>
                <w:szCs w:val="1"/>
                <w:color w:val="auto"/>
              </w:rPr>
            </w:pPr>
          </w:p>
        </w:tc>
        <w:tc>
          <w:tcPr>
            <w:tcW w:w="1540" w:type="dxa"/>
            <w:vAlign w:val="bottom"/>
            <w:tcBorders>
              <w:right w:val="single" w:sz="8" w:color="0000EE"/>
            </w:tcBorders>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86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920" w:type="dxa"/>
            <w:vAlign w:val="bottom"/>
          </w:tcPr>
          <w:p>
            <w:pPr>
              <w:jc w:val="center"/>
              <w:ind w:right="173"/>
              <w:spacing w:after="0"/>
              <w:rPr>
                <w:sz w:val="20"/>
                <w:szCs w:val="20"/>
                <w:color w:val="auto"/>
              </w:rPr>
            </w:pPr>
            <w:r>
              <w:rPr>
                <w:rFonts w:ascii="Times New Roman" w:cs="Times New Roman" w:eastAsia="Times New Roman" w:hAnsi="Times New Roman"/>
                <w:sz w:val="18"/>
                <w:szCs w:val="18"/>
                <w:color w:val="auto"/>
                <w:w w:val="97"/>
              </w:rPr>
              <w:t>4.3</w:t>
            </w:r>
          </w:p>
        </w:tc>
        <w:tc>
          <w:tcPr>
            <w:tcW w:w="5940" w:type="dxa"/>
            <w:vAlign w:val="bottom"/>
            <w:gridSpan w:val="14"/>
          </w:tcPr>
          <w:p>
            <w:pPr>
              <w:spacing w:after="0"/>
              <w:rPr>
                <w:rFonts w:ascii="Times New Roman" w:cs="Times New Roman" w:eastAsia="Times New Roman" w:hAnsi="Times New Roman"/>
                <w:sz w:val="18"/>
                <w:szCs w:val="18"/>
                <w:color w:val="0000FF"/>
              </w:rPr>
            </w:pPr>
            <w:hyperlink r:id="rId249">
              <w:r>
                <w:rPr>
                  <w:rFonts w:ascii="Times New Roman" w:cs="Times New Roman" w:eastAsia="Times New Roman" w:hAnsi="Times New Roman"/>
                  <w:sz w:val="18"/>
                  <w:szCs w:val="18"/>
                  <w:color w:val="0000FF"/>
                </w:rPr>
                <w:t>Description of Corsair’s Securities Registered Pursuant to Section 12 of the</w:t>
              </w:r>
            </w:hyperlink>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10-K</w:t>
            </w:r>
          </w:p>
        </w:tc>
        <w:tc>
          <w:tcPr>
            <w:tcW w:w="1300" w:type="dxa"/>
            <w:vAlign w:val="bottom"/>
          </w:tcPr>
          <w:p>
            <w:pPr>
              <w:jc w:val="center"/>
              <w:ind w:left="16"/>
              <w:spacing w:after="0"/>
              <w:rPr>
                <w:sz w:val="20"/>
                <w:szCs w:val="20"/>
                <w:color w:val="auto"/>
              </w:rPr>
            </w:pPr>
            <w:r>
              <w:rPr>
                <w:rFonts w:ascii="Times New Roman" w:cs="Times New Roman" w:eastAsia="Times New Roman" w:hAnsi="Times New Roman"/>
                <w:sz w:val="18"/>
                <w:szCs w:val="18"/>
                <w:color w:val="auto"/>
              </w:rPr>
              <w:t>4.3</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03/11/2021</w:t>
            </w: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780" w:type="dxa"/>
            <w:vAlign w:val="bottom"/>
            <w:gridSpan w:val="2"/>
            <w:shd w:val="clear" w:color="auto" w:fill="0000FF"/>
          </w:tcPr>
          <w:p>
            <w:pPr>
              <w:spacing w:after="0" w:line="20" w:lineRule="exact"/>
              <w:rPr>
                <w:sz w:val="1"/>
                <w:szCs w:val="1"/>
                <w:color w:val="auto"/>
              </w:rPr>
            </w:pPr>
          </w:p>
        </w:tc>
        <w:tc>
          <w:tcPr>
            <w:tcW w:w="62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2860" w:type="dxa"/>
            <w:vAlign w:val="bottom"/>
            <w:tcBorders>
              <w:right w:val="single" w:sz="8" w:color="0000FF"/>
            </w:tcBorders>
            <w:gridSpan w:val="3"/>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5940" w:type="dxa"/>
            <w:vAlign w:val="bottom"/>
            <w:gridSpan w:val="14"/>
          </w:tcPr>
          <w:p>
            <w:pPr>
              <w:spacing w:after="0" w:line="195" w:lineRule="exact"/>
              <w:rPr>
                <w:rFonts w:ascii="Times New Roman" w:cs="Times New Roman" w:eastAsia="Times New Roman" w:hAnsi="Times New Roman"/>
                <w:sz w:val="18"/>
                <w:szCs w:val="18"/>
                <w:color w:val="0000FF"/>
              </w:rPr>
            </w:pPr>
            <w:hyperlink r:id="rId249">
              <w:r>
                <w:rPr>
                  <w:rFonts w:ascii="Times New Roman" w:cs="Times New Roman" w:eastAsia="Times New Roman" w:hAnsi="Times New Roman"/>
                  <w:sz w:val="18"/>
                  <w:szCs w:val="18"/>
                  <w:color w:val="0000FF"/>
                </w:rPr>
                <w:t>Securities Exchange Act of 1934.</w:t>
              </w:r>
            </w:hyperlink>
          </w:p>
        </w:tc>
        <w:tc>
          <w:tcPr>
            <w:tcW w:w="9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20" w:type="dxa"/>
            <w:vAlign w:val="bottom"/>
            <w:tcBorders>
              <w:right w:val="single" w:sz="8" w:color="0000EE"/>
            </w:tcBorders>
          </w:tcPr>
          <w:p>
            <w:pPr>
              <w:spacing w:after="0" w:line="20" w:lineRule="exact"/>
              <w:rPr>
                <w:sz w:val="1"/>
                <w:szCs w:val="1"/>
                <w:color w:val="auto"/>
              </w:rPr>
            </w:pPr>
          </w:p>
        </w:tc>
        <w:tc>
          <w:tcPr>
            <w:tcW w:w="1780" w:type="dxa"/>
            <w:vAlign w:val="bottom"/>
            <w:gridSpan w:val="2"/>
            <w:shd w:val="clear" w:color="auto" w:fill="0000FF"/>
          </w:tcPr>
          <w:p>
            <w:pPr>
              <w:spacing w:after="0" w:line="20" w:lineRule="exact"/>
              <w:rPr>
                <w:sz w:val="1"/>
                <w:szCs w:val="1"/>
                <w:color w:val="auto"/>
              </w:rPr>
            </w:pPr>
          </w:p>
        </w:tc>
        <w:tc>
          <w:tcPr>
            <w:tcW w:w="620" w:type="dxa"/>
            <w:vAlign w:val="bottom"/>
            <w:tcBorders>
              <w:left w:val="single" w:sz="8" w:color="0000FF"/>
              <w:right w:val="single" w:sz="8" w:color="0000EE"/>
            </w:tcBorders>
            <w:gridSpan w:val="2"/>
            <w:shd w:val="clear" w:color="auto" w:fill="0000FF"/>
          </w:tcPr>
          <w:p>
            <w:pPr>
              <w:spacing w:after="0" w:line="20" w:lineRule="exact"/>
              <w:rPr>
                <w:sz w:val="1"/>
                <w:szCs w:val="1"/>
                <w:color w:val="auto"/>
              </w:rPr>
            </w:pPr>
          </w:p>
        </w:tc>
        <w:tc>
          <w:tcPr>
            <w:tcW w:w="2860" w:type="dxa"/>
            <w:vAlign w:val="bottom"/>
            <w:gridSpan w:val="3"/>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920" w:type="dxa"/>
            <w:vAlign w:val="bottom"/>
          </w:tcPr>
          <w:p>
            <w:pPr>
              <w:jc w:val="center"/>
              <w:ind w:right="173"/>
              <w:spacing w:after="0"/>
              <w:rPr>
                <w:sz w:val="20"/>
                <w:szCs w:val="20"/>
                <w:color w:val="auto"/>
              </w:rPr>
            </w:pPr>
            <w:r>
              <w:rPr>
                <w:rFonts w:ascii="Times New Roman" w:cs="Times New Roman" w:eastAsia="Times New Roman" w:hAnsi="Times New Roman"/>
                <w:sz w:val="18"/>
                <w:szCs w:val="18"/>
                <w:color w:val="auto"/>
                <w:w w:val="97"/>
              </w:rPr>
              <w:t>4.4</w:t>
            </w:r>
          </w:p>
        </w:tc>
        <w:tc>
          <w:tcPr>
            <w:tcW w:w="5940" w:type="dxa"/>
            <w:vAlign w:val="bottom"/>
            <w:gridSpan w:val="14"/>
          </w:tcPr>
          <w:p>
            <w:pPr>
              <w:spacing w:after="0"/>
              <w:rPr>
                <w:rFonts w:ascii="Times New Roman" w:cs="Times New Roman" w:eastAsia="Times New Roman" w:hAnsi="Times New Roman"/>
                <w:sz w:val="18"/>
                <w:szCs w:val="18"/>
                <w:color w:val="0000FF"/>
              </w:rPr>
            </w:pPr>
            <w:hyperlink r:id="rId250">
              <w:r>
                <w:rPr>
                  <w:rFonts w:ascii="Times New Roman" w:cs="Times New Roman" w:eastAsia="Times New Roman" w:hAnsi="Times New Roman"/>
                  <w:sz w:val="18"/>
                  <w:szCs w:val="18"/>
                  <w:color w:val="0000FF"/>
                </w:rPr>
                <w:t>Registration Rights Agreement, by and between Corsair Gaming, Inc. and Corsair</w:t>
              </w:r>
            </w:hyperlink>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S-1/A</w:t>
            </w:r>
          </w:p>
        </w:tc>
        <w:tc>
          <w:tcPr>
            <w:tcW w:w="1300" w:type="dxa"/>
            <w:vAlign w:val="bottom"/>
          </w:tcPr>
          <w:p>
            <w:pPr>
              <w:jc w:val="center"/>
              <w:ind w:left="16"/>
              <w:spacing w:after="0"/>
              <w:rPr>
                <w:sz w:val="20"/>
                <w:szCs w:val="20"/>
                <w:color w:val="auto"/>
              </w:rPr>
            </w:pPr>
            <w:r>
              <w:rPr>
                <w:rFonts w:ascii="Times New Roman" w:cs="Times New Roman" w:eastAsia="Times New Roman" w:hAnsi="Times New Roman"/>
                <w:sz w:val="18"/>
                <w:szCs w:val="18"/>
                <w:color w:val="auto"/>
              </w:rPr>
              <w:t>4.4</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09/14/2020</w:t>
            </w: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780" w:type="dxa"/>
            <w:vAlign w:val="bottom"/>
            <w:gridSpan w:val="2"/>
            <w:shd w:val="clear" w:color="auto" w:fill="0000FF"/>
          </w:tcPr>
          <w:p>
            <w:pPr>
              <w:spacing w:after="0" w:line="20" w:lineRule="exact"/>
              <w:rPr>
                <w:sz w:val="1"/>
                <w:szCs w:val="1"/>
                <w:color w:val="auto"/>
              </w:rPr>
            </w:pPr>
          </w:p>
        </w:tc>
        <w:tc>
          <w:tcPr>
            <w:tcW w:w="3480" w:type="dxa"/>
            <w:vAlign w:val="bottom"/>
            <w:tcBorders>
              <w:left w:val="single" w:sz="8" w:color="0000FF"/>
              <w:right w:val="single" w:sz="8" w:color="0000FF"/>
            </w:tcBorders>
            <w:gridSpan w:val="5"/>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5940" w:type="dxa"/>
            <w:vAlign w:val="bottom"/>
            <w:gridSpan w:val="14"/>
          </w:tcPr>
          <w:p>
            <w:pPr>
              <w:spacing w:after="0" w:line="195" w:lineRule="exact"/>
              <w:rPr>
                <w:rFonts w:ascii="Times New Roman" w:cs="Times New Roman" w:eastAsia="Times New Roman" w:hAnsi="Times New Roman"/>
                <w:sz w:val="18"/>
                <w:szCs w:val="18"/>
                <w:color w:val="0000FF"/>
              </w:rPr>
            </w:pPr>
            <w:hyperlink r:id="rId250">
              <w:r>
                <w:rPr>
                  <w:rFonts w:ascii="Times New Roman" w:cs="Times New Roman" w:eastAsia="Times New Roman" w:hAnsi="Times New Roman"/>
                  <w:sz w:val="18"/>
                  <w:szCs w:val="18"/>
                  <w:color w:val="0000FF"/>
                </w:rPr>
                <w:t>Group (Cayman), LP.</w:t>
              </w:r>
            </w:hyperlink>
          </w:p>
        </w:tc>
        <w:tc>
          <w:tcPr>
            <w:tcW w:w="9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20" w:type="dxa"/>
            <w:vAlign w:val="bottom"/>
            <w:tcBorders>
              <w:right w:val="single" w:sz="8" w:color="0000EE"/>
            </w:tcBorders>
          </w:tcPr>
          <w:p>
            <w:pPr>
              <w:spacing w:after="0" w:line="20" w:lineRule="exact"/>
              <w:rPr>
                <w:sz w:val="1"/>
                <w:szCs w:val="1"/>
                <w:color w:val="auto"/>
              </w:rPr>
            </w:pPr>
          </w:p>
        </w:tc>
        <w:tc>
          <w:tcPr>
            <w:tcW w:w="1540" w:type="dxa"/>
            <w:vAlign w:val="bottom"/>
            <w:tcBorders>
              <w:right w:val="single" w:sz="8" w:color="0000EE"/>
            </w:tcBorders>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80" w:type="dxa"/>
            <w:vAlign w:val="bottom"/>
            <w:gridSpan w:val="5"/>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920" w:type="dxa"/>
            <w:vAlign w:val="bottom"/>
          </w:tcPr>
          <w:p>
            <w:pPr>
              <w:jc w:val="center"/>
              <w:ind w:right="153"/>
              <w:spacing w:after="0"/>
              <w:rPr>
                <w:sz w:val="20"/>
                <w:szCs w:val="20"/>
                <w:color w:val="auto"/>
              </w:rPr>
            </w:pPr>
            <w:r>
              <w:rPr>
                <w:rFonts w:ascii="Times New Roman" w:cs="Times New Roman" w:eastAsia="Times New Roman" w:hAnsi="Times New Roman"/>
                <w:sz w:val="18"/>
                <w:szCs w:val="18"/>
                <w:color w:val="auto"/>
              </w:rPr>
              <w:t>31.1</w:t>
            </w:r>
          </w:p>
        </w:tc>
        <w:tc>
          <w:tcPr>
            <w:tcW w:w="594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under Securities Exchange Act Rule</w:t>
            </w:r>
          </w:p>
        </w:tc>
        <w:tc>
          <w:tcPr>
            <w:tcW w:w="9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80" w:type="dxa"/>
            <w:vAlign w:val="bottom"/>
          </w:tcPr>
          <w:p>
            <w:pPr>
              <w:jc w:val="center"/>
              <w:ind w:left="135"/>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5780" w:type="dxa"/>
            <w:vAlign w:val="bottom"/>
            <w:tcBorders>
              <w:top w:val="single" w:sz="8" w:color="0000FF"/>
            </w:tcBorders>
            <w:gridSpan w:val="12"/>
          </w:tcPr>
          <w:p>
            <w:pPr>
              <w:spacing w:after="0" w:line="195" w:lineRule="exact"/>
              <w:rPr>
                <w:sz w:val="20"/>
                <w:szCs w:val="20"/>
                <w:color w:val="auto"/>
              </w:rPr>
            </w:pPr>
            <w:r>
              <w:rPr>
                <w:rFonts w:ascii="Times New Roman" w:cs="Times New Roman" w:eastAsia="Times New Roman" w:hAnsi="Times New Roman"/>
                <w:sz w:val="18"/>
                <w:szCs w:val="18"/>
                <w:color w:val="0000FF"/>
              </w:rPr>
              <w:t>13a</w:t>
            </w:r>
            <w:r>
              <w:rPr>
                <w:rFonts w:ascii="MS PGothic" w:cs="MS PGothic" w:eastAsia="MS PGothic" w:hAnsi="MS PGothic"/>
                <w:sz w:val="18"/>
                <w:szCs w:val="18"/>
                <w:color w:val="0000FF"/>
              </w:rPr>
              <w:t>‑</w:t>
            </w:r>
            <w:r>
              <w:rPr>
                <w:rFonts w:ascii="Times New Roman" w:cs="Times New Roman" w:eastAsia="Times New Roman" w:hAnsi="Times New Roman"/>
                <w:sz w:val="18"/>
                <w:szCs w:val="18"/>
                <w:color w:val="0000FF"/>
              </w:rPr>
              <w:t>14(a) and 15d</w:t>
            </w:r>
            <w:r>
              <w:rPr>
                <w:rFonts w:ascii="MS PGothic" w:cs="MS PGothic" w:eastAsia="MS PGothic" w:hAnsi="MS PGothic"/>
                <w:sz w:val="18"/>
                <w:szCs w:val="18"/>
                <w:color w:val="0000FF"/>
              </w:rPr>
              <w:t>‑</w:t>
            </w:r>
            <w:r>
              <w:rPr>
                <w:rFonts w:ascii="Times New Roman" w:cs="Times New Roman" w:eastAsia="Times New Roman" w:hAnsi="Times New Roman"/>
                <w:sz w:val="18"/>
                <w:szCs w:val="18"/>
                <w:color w:val="0000FF"/>
              </w:rPr>
              <w:t>14(a).</w:t>
            </w:r>
          </w:p>
        </w:tc>
        <w:tc>
          <w:tcPr>
            <w:tcW w:w="160" w:type="dxa"/>
            <w:vAlign w:val="bottom"/>
            <w:gridSpan w:val="2"/>
          </w:tcPr>
          <w:p>
            <w:pPr>
              <w:spacing w:after="0"/>
              <w:rPr>
                <w:sz w:val="17"/>
                <w:szCs w:val="17"/>
                <w:color w:val="auto"/>
              </w:rPr>
            </w:pPr>
          </w:p>
        </w:tc>
        <w:tc>
          <w:tcPr>
            <w:tcW w:w="9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20" w:type="dxa"/>
            <w:vAlign w:val="bottom"/>
            <w:tcBorders>
              <w:right w:val="single" w:sz="8" w:color="0000EE"/>
            </w:tcBorders>
          </w:tcPr>
          <w:p>
            <w:pPr>
              <w:spacing w:after="0" w:line="20" w:lineRule="exact"/>
              <w:rPr>
                <w:sz w:val="1"/>
                <w:szCs w:val="1"/>
                <w:color w:val="auto"/>
              </w:rPr>
            </w:pPr>
          </w:p>
        </w:tc>
        <w:tc>
          <w:tcPr>
            <w:tcW w:w="1780" w:type="dxa"/>
            <w:vAlign w:val="bottom"/>
            <w:gridSpan w:val="2"/>
            <w:shd w:val="clear" w:color="auto" w:fill="0000FF"/>
          </w:tcPr>
          <w:p>
            <w:pPr>
              <w:spacing w:after="0" w:line="20" w:lineRule="exact"/>
              <w:rPr>
                <w:sz w:val="1"/>
                <w:szCs w:val="1"/>
                <w:color w:val="auto"/>
              </w:rPr>
            </w:pPr>
          </w:p>
        </w:tc>
        <w:tc>
          <w:tcPr>
            <w:tcW w:w="3480" w:type="dxa"/>
            <w:vAlign w:val="bottom"/>
            <w:gridSpan w:val="5"/>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920" w:type="dxa"/>
            <w:vAlign w:val="bottom"/>
          </w:tcPr>
          <w:p>
            <w:pPr>
              <w:jc w:val="center"/>
              <w:ind w:right="153"/>
              <w:spacing w:after="0"/>
              <w:rPr>
                <w:sz w:val="20"/>
                <w:szCs w:val="20"/>
                <w:color w:val="auto"/>
              </w:rPr>
            </w:pPr>
            <w:r>
              <w:rPr>
                <w:rFonts w:ascii="Times New Roman" w:cs="Times New Roman" w:eastAsia="Times New Roman" w:hAnsi="Times New Roman"/>
                <w:sz w:val="18"/>
                <w:szCs w:val="18"/>
                <w:color w:val="auto"/>
              </w:rPr>
              <w:t>31.2</w:t>
            </w:r>
          </w:p>
        </w:tc>
        <w:tc>
          <w:tcPr>
            <w:tcW w:w="594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 under Securities Exchange Act Rule</w:t>
            </w:r>
          </w:p>
        </w:tc>
        <w:tc>
          <w:tcPr>
            <w:tcW w:w="9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80" w:type="dxa"/>
            <w:vAlign w:val="bottom"/>
          </w:tcPr>
          <w:p>
            <w:pPr>
              <w:jc w:val="center"/>
              <w:ind w:left="135"/>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5740" w:type="dxa"/>
            <w:vAlign w:val="bottom"/>
            <w:tcBorders>
              <w:top w:val="single" w:sz="8" w:color="0000FF"/>
            </w:tcBorders>
            <w:gridSpan w:val="11"/>
          </w:tcPr>
          <w:p>
            <w:pPr>
              <w:spacing w:after="0" w:line="195" w:lineRule="exact"/>
              <w:rPr>
                <w:sz w:val="20"/>
                <w:szCs w:val="20"/>
                <w:color w:val="auto"/>
              </w:rPr>
            </w:pPr>
            <w:r>
              <w:rPr>
                <w:rFonts w:ascii="Times New Roman" w:cs="Times New Roman" w:eastAsia="Times New Roman" w:hAnsi="Times New Roman"/>
                <w:sz w:val="18"/>
                <w:szCs w:val="18"/>
                <w:color w:val="0000FF"/>
              </w:rPr>
              <w:t>13a</w:t>
            </w:r>
            <w:r>
              <w:rPr>
                <w:rFonts w:ascii="MS PGothic" w:cs="MS PGothic" w:eastAsia="MS PGothic" w:hAnsi="MS PGothic"/>
                <w:sz w:val="18"/>
                <w:szCs w:val="18"/>
                <w:color w:val="0000FF"/>
              </w:rPr>
              <w:t>‑</w:t>
            </w:r>
            <w:r>
              <w:rPr>
                <w:rFonts w:ascii="Times New Roman" w:cs="Times New Roman" w:eastAsia="Times New Roman" w:hAnsi="Times New Roman"/>
                <w:sz w:val="18"/>
                <w:szCs w:val="18"/>
                <w:color w:val="0000FF"/>
              </w:rPr>
              <w:t>14(a) and 15d</w:t>
            </w:r>
            <w:r>
              <w:rPr>
                <w:rFonts w:ascii="MS PGothic" w:cs="MS PGothic" w:eastAsia="MS PGothic" w:hAnsi="MS PGothic"/>
                <w:sz w:val="18"/>
                <w:szCs w:val="18"/>
                <w:color w:val="0000FF"/>
              </w:rPr>
              <w:t>‑</w:t>
            </w:r>
            <w:r>
              <w:rPr>
                <w:rFonts w:ascii="Times New Roman" w:cs="Times New Roman" w:eastAsia="Times New Roman" w:hAnsi="Times New Roman"/>
                <w:sz w:val="18"/>
                <w:szCs w:val="18"/>
                <w:color w:val="0000FF"/>
              </w:rPr>
              <w:t>14(a).</w:t>
            </w:r>
          </w:p>
        </w:tc>
        <w:tc>
          <w:tcPr>
            <w:tcW w:w="200" w:type="dxa"/>
            <w:vAlign w:val="bottom"/>
            <w:gridSpan w:val="3"/>
          </w:tcPr>
          <w:p>
            <w:pPr>
              <w:spacing w:after="0"/>
              <w:rPr>
                <w:sz w:val="17"/>
                <w:szCs w:val="17"/>
                <w:color w:val="auto"/>
              </w:rPr>
            </w:pPr>
          </w:p>
        </w:tc>
        <w:tc>
          <w:tcPr>
            <w:tcW w:w="9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20" w:type="dxa"/>
            <w:vAlign w:val="bottom"/>
            <w:tcBorders>
              <w:right w:val="single" w:sz="8" w:color="0000EE"/>
            </w:tcBorders>
          </w:tcPr>
          <w:p>
            <w:pPr>
              <w:spacing w:after="0" w:line="20" w:lineRule="exact"/>
              <w:rPr>
                <w:sz w:val="1"/>
                <w:szCs w:val="1"/>
                <w:color w:val="auto"/>
              </w:rPr>
            </w:pPr>
          </w:p>
        </w:tc>
        <w:tc>
          <w:tcPr>
            <w:tcW w:w="1780" w:type="dxa"/>
            <w:vAlign w:val="bottom"/>
            <w:gridSpan w:val="2"/>
            <w:shd w:val="clear" w:color="auto" w:fill="0000FF"/>
          </w:tcPr>
          <w:p>
            <w:pPr>
              <w:spacing w:after="0" w:line="20" w:lineRule="exact"/>
              <w:rPr>
                <w:sz w:val="1"/>
                <w:szCs w:val="1"/>
                <w:color w:val="auto"/>
              </w:rPr>
            </w:pPr>
          </w:p>
        </w:tc>
        <w:tc>
          <w:tcPr>
            <w:tcW w:w="3480" w:type="dxa"/>
            <w:vAlign w:val="bottom"/>
            <w:tcBorders>
              <w:left w:val="single" w:sz="8" w:color="0000EE"/>
            </w:tcBorders>
            <w:gridSpan w:val="5"/>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60" w:type="dxa"/>
            <w:vAlign w:val="bottom"/>
            <w:gridSpan w:val="5"/>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920" w:type="dxa"/>
            <w:vAlign w:val="bottom"/>
          </w:tcPr>
          <w:p>
            <w:pPr>
              <w:jc w:val="center"/>
              <w:ind w:right="153"/>
              <w:spacing w:after="0"/>
              <w:rPr>
                <w:sz w:val="20"/>
                <w:szCs w:val="20"/>
                <w:color w:val="auto"/>
              </w:rPr>
            </w:pPr>
            <w:r>
              <w:rPr>
                <w:rFonts w:ascii="Times New Roman" w:cs="Times New Roman" w:eastAsia="Times New Roman" w:hAnsi="Times New Roman"/>
                <w:sz w:val="18"/>
                <w:szCs w:val="18"/>
                <w:color w:val="auto"/>
                <w:w w:val="98"/>
              </w:rPr>
              <w:t>32.1*</w:t>
            </w:r>
          </w:p>
        </w:tc>
        <w:tc>
          <w:tcPr>
            <w:tcW w:w="594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rPr>
              <w:t>Certifications of Principal Executive Officer and Principal Financial Officer</w:t>
            </w:r>
          </w:p>
        </w:tc>
        <w:tc>
          <w:tcPr>
            <w:tcW w:w="9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80" w:type="dxa"/>
            <w:vAlign w:val="bottom"/>
          </w:tcPr>
          <w:p>
            <w:pPr>
              <w:jc w:val="center"/>
              <w:ind w:left="135"/>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5480" w:type="dxa"/>
            <w:vAlign w:val="bottom"/>
            <w:tcBorders>
              <w:top w:val="single" w:sz="8" w:color="0000FF"/>
            </w:tcBorders>
            <w:gridSpan w:val="9"/>
          </w:tcPr>
          <w:p>
            <w:pPr>
              <w:spacing w:after="0" w:line="195" w:lineRule="exact"/>
              <w:rPr>
                <w:sz w:val="20"/>
                <w:szCs w:val="20"/>
                <w:color w:val="auto"/>
              </w:rPr>
            </w:pPr>
            <w:r>
              <w:rPr>
                <w:rFonts w:ascii="Times New Roman" w:cs="Times New Roman" w:eastAsia="Times New Roman" w:hAnsi="Times New Roman"/>
                <w:sz w:val="18"/>
                <w:szCs w:val="18"/>
                <w:color w:val="0000FF"/>
              </w:rPr>
              <w:t>pursuant to 18 U.S.C. 1350 and Securities Exchange Act Rule 13a</w:t>
            </w:r>
            <w:r>
              <w:rPr>
                <w:rFonts w:ascii="MS PGothic" w:cs="MS PGothic" w:eastAsia="MS PGothic" w:hAnsi="MS PGothic"/>
                <w:sz w:val="18"/>
                <w:szCs w:val="18"/>
                <w:color w:val="0000FF"/>
              </w:rPr>
              <w:t>‑</w:t>
            </w:r>
            <w:r>
              <w:rPr>
                <w:rFonts w:ascii="Times New Roman" w:cs="Times New Roman" w:eastAsia="Times New Roman" w:hAnsi="Times New Roman"/>
                <w:sz w:val="18"/>
                <w:szCs w:val="18"/>
                <w:color w:val="0000FF"/>
              </w:rPr>
              <w:t>14(b).</w:t>
            </w:r>
          </w:p>
        </w:tc>
        <w:tc>
          <w:tcPr>
            <w:tcW w:w="460" w:type="dxa"/>
            <w:vAlign w:val="bottom"/>
            <w:gridSpan w:val="5"/>
          </w:tcPr>
          <w:p>
            <w:pPr>
              <w:spacing w:after="0"/>
              <w:rPr>
                <w:sz w:val="17"/>
                <w:szCs w:val="17"/>
                <w:color w:val="auto"/>
              </w:rPr>
            </w:pPr>
          </w:p>
        </w:tc>
        <w:tc>
          <w:tcPr>
            <w:tcW w:w="9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20" w:type="dxa"/>
            <w:vAlign w:val="bottom"/>
            <w:tcBorders>
              <w:right w:val="single" w:sz="8" w:color="0000EE"/>
            </w:tcBorders>
          </w:tcPr>
          <w:p>
            <w:pPr>
              <w:spacing w:after="0" w:line="20" w:lineRule="exact"/>
              <w:rPr>
                <w:sz w:val="1"/>
                <w:szCs w:val="1"/>
                <w:color w:val="auto"/>
              </w:rPr>
            </w:pPr>
          </w:p>
        </w:tc>
        <w:tc>
          <w:tcPr>
            <w:tcW w:w="5260" w:type="dxa"/>
            <w:vAlign w:val="bottom"/>
            <w:tcBorders>
              <w:right w:val="single" w:sz="8" w:color="0000EE"/>
            </w:tcBorders>
            <w:gridSpan w:val="7"/>
            <w:shd w:val="clear" w:color="auto" w:fill="0000FF"/>
          </w:tcPr>
          <w:p>
            <w:pPr>
              <w:spacing w:after="0" w:line="20" w:lineRule="exact"/>
              <w:rPr>
                <w:sz w:val="1"/>
                <w:szCs w:val="1"/>
                <w:color w:val="auto"/>
              </w:rPr>
            </w:pPr>
          </w:p>
        </w:tc>
        <w:tc>
          <w:tcPr>
            <w:tcW w:w="680" w:type="dxa"/>
            <w:vAlign w:val="bottom"/>
            <w:gridSpan w:val="7"/>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3"/>
        </w:trPr>
        <w:tc>
          <w:tcPr>
            <w:tcW w:w="920" w:type="dxa"/>
            <w:vAlign w:val="bottom"/>
          </w:tcPr>
          <w:p>
            <w:pPr>
              <w:jc w:val="center"/>
              <w:ind w:right="153"/>
              <w:spacing w:after="0"/>
              <w:rPr>
                <w:sz w:val="20"/>
                <w:szCs w:val="20"/>
                <w:color w:val="auto"/>
              </w:rPr>
            </w:pPr>
            <w:r>
              <w:rPr>
                <w:rFonts w:ascii="Times New Roman" w:cs="Times New Roman" w:eastAsia="Times New Roman" w:hAnsi="Times New Roman"/>
                <w:sz w:val="18"/>
                <w:szCs w:val="18"/>
                <w:color w:val="auto"/>
                <w:w w:val="99"/>
              </w:rPr>
              <w:t>101.INS</w:t>
            </w:r>
          </w:p>
        </w:tc>
        <w:tc>
          <w:tcPr>
            <w:tcW w:w="594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Inline XBRL Instance Document – the instance document does not appear in the</w:t>
            </w:r>
          </w:p>
        </w:tc>
        <w:tc>
          <w:tcPr>
            <w:tcW w:w="9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80" w:type="dxa"/>
            <w:vAlign w:val="bottom"/>
          </w:tcPr>
          <w:p>
            <w:pPr>
              <w:jc w:val="center"/>
              <w:ind w:left="135"/>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594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Interactive Data File because XBRL tags are embedded within the Inline XBRL</w:t>
            </w:r>
          </w:p>
        </w:tc>
        <w:tc>
          <w:tcPr>
            <w:tcW w:w="9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920" w:type="dxa"/>
            <w:vAlign w:val="bottom"/>
          </w:tcPr>
          <w:p>
            <w:pPr>
              <w:spacing w:after="0"/>
              <w:rPr>
                <w:sz w:val="20"/>
                <w:szCs w:val="20"/>
                <w:color w:val="auto"/>
              </w:rPr>
            </w:pPr>
          </w:p>
        </w:tc>
        <w:tc>
          <w:tcPr>
            <w:tcW w:w="594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document</w:t>
            </w:r>
          </w:p>
        </w:tc>
        <w:tc>
          <w:tcPr>
            <w:tcW w:w="9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1"/>
        </w:trPr>
        <w:tc>
          <w:tcPr>
            <w:tcW w:w="920" w:type="dxa"/>
            <w:vAlign w:val="bottom"/>
          </w:tcPr>
          <w:p>
            <w:pPr>
              <w:jc w:val="center"/>
              <w:ind w:right="173"/>
              <w:spacing w:after="0"/>
              <w:rPr>
                <w:sz w:val="20"/>
                <w:szCs w:val="20"/>
                <w:color w:val="auto"/>
              </w:rPr>
            </w:pPr>
            <w:r>
              <w:rPr>
                <w:rFonts w:ascii="Times New Roman" w:cs="Times New Roman" w:eastAsia="Times New Roman" w:hAnsi="Times New Roman"/>
                <w:sz w:val="18"/>
                <w:szCs w:val="18"/>
                <w:color w:val="auto"/>
                <w:w w:val="99"/>
              </w:rPr>
              <w:t>101.SCH</w:t>
            </w:r>
          </w:p>
        </w:tc>
        <w:tc>
          <w:tcPr>
            <w:tcW w:w="5940" w:type="dxa"/>
            <w:vAlign w:val="bottom"/>
            <w:gridSpan w:val="14"/>
          </w:tcPr>
          <w:p>
            <w:pPr>
              <w:spacing w:after="0"/>
              <w:rPr>
                <w:sz w:val="20"/>
                <w:szCs w:val="20"/>
                <w:color w:val="auto"/>
              </w:rPr>
            </w:pPr>
            <w:r>
              <w:rPr>
                <w:rFonts w:ascii="Times New Roman" w:cs="Times New Roman" w:eastAsia="Times New Roman" w:hAnsi="Times New Roman"/>
                <w:sz w:val="18"/>
                <w:szCs w:val="18"/>
                <w:color w:val="auto"/>
                <w:w w:val="99"/>
              </w:rPr>
              <w:t>Inline XBRL Taxonomy Extension Schema With Embedded Linkbase Documents</w:t>
            </w:r>
          </w:p>
        </w:tc>
        <w:tc>
          <w:tcPr>
            <w:tcW w:w="9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80" w:type="dxa"/>
            <w:vAlign w:val="bottom"/>
          </w:tcPr>
          <w:p>
            <w:pPr>
              <w:jc w:val="center"/>
              <w:ind w:left="135"/>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391"/>
        </w:trPr>
        <w:tc>
          <w:tcPr>
            <w:tcW w:w="920" w:type="dxa"/>
            <w:vAlign w:val="bottom"/>
          </w:tcPr>
          <w:p>
            <w:pPr>
              <w:jc w:val="center"/>
              <w:ind w:right="173"/>
              <w:spacing w:after="0"/>
              <w:rPr>
                <w:sz w:val="20"/>
                <w:szCs w:val="20"/>
                <w:color w:val="auto"/>
              </w:rPr>
            </w:pPr>
            <w:r>
              <w:rPr>
                <w:rFonts w:ascii="Times New Roman" w:cs="Times New Roman" w:eastAsia="Times New Roman" w:hAnsi="Times New Roman"/>
                <w:sz w:val="18"/>
                <w:szCs w:val="18"/>
                <w:color w:val="auto"/>
                <w:w w:val="96"/>
              </w:rPr>
              <w:t>104</w:t>
            </w:r>
          </w:p>
        </w:tc>
        <w:tc>
          <w:tcPr>
            <w:tcW w:w="594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c>
          <w:tcPr>
            <w:tcW w:w="9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80" w:type="dxa"/>
            <w:vAlign w:val="bottom"/>
          </w:tcPr>
          <w:p>
            <w:pPr>
              <w:jc w:val="center"/>
              <w:ind w:left="135"/>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bl>
    <w:p>
      <w:pPr>
        <w:spacing w:after="0" w:line="337" w:lineRule="exact"/>
        <w:rPr>
          <w:sz w:val="20"/>
          <w:szCs w:val="20"/>
          <w:color w:val="auto"/>
        </w:rPr>
      </w:pPr>
    </w:p>
    <w:p>
      <w:pPr>
        <w:ind w:left="480" w:right="60" w:hanging="288"/>
        <w:spacing w:after="0" w:line="264" w:lineRule="auto"/>
        <w:tabs>
          <w:tab w:leader="none" w:pos="4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The certification attached as Exhibit 32.1 that accompanies this Quarterly Report on Form 10-Q is not deemed filed with the SEC and is not to be incorporated by reference into any filing of Corsair Gaming, Inc. under the Securities Act of 1933, as amended, or the Securities Exchange Act of 1934, as amended, whether made before or after the date of this Quarterly Report on Form 10-Q, irrespective of any general incorporation language contained in such filing.</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Corsair Gaming, Inc. | Q1 2024 Form 10-Q |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414" w:right="45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right="120" w:firstLine="509"/>
        <w:spacing w:after="0" w:line="281"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3"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8"/>
          <w:szCs w:val="18"/>
          <w:color w:val="auto"/>
        </w:rPr>
        <w:t>Corsair Gaming, Inc.</w:t>
      </w:r>
    </w:p>
    <w:p>
      <w:pPr>
        <w:sectPr>
          <w:pgSz w:w="11900" w:h="16838" w:orient="portrait"/>
          <w:cols w:equalWidth="0" w:num="1">
            <w:col w:w="10900"/>
          </w:cols>
          <w:pgMar w:left="320" w:top="414" w:right="679" w:bottom="1440" w:gutter="0" w:footer="0" w:header="0"/>
        </w:sectPr>
      </w:pPr>
    </w:p>
    <w:p>
      <w:pPr>
        <w:spacing w:after="0" w:line="200" w:lineRule="exact"/>
        <w:rPr>
          <w:sz w:val="20"/>
          <w:szCs w:val="20"/>
          <w:color w:val="auto"/>
        </w:rPr>
      </w:pPr>
    </w:p>
    <w:p>
      <w:pPr>
        <w:spacing w:after="0" w:line="28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Date: May 7, 2024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Michael G. Potter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-1179195</wp:posOffset>
            </wp:positionH>
            <wp:positionV relativeFrom="paragraph">
              <wp:posOffset>33020</wp:posOffset>
            </wp:positionV>
            <wp:extent cx="3313430"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52">
                      <a:extLst>
                        <a:ext uri="{28A0092B-C50C-407E-A947-70E740481C1C}"/>
                      </a:extLst>
                    </a:blip>
                    <a:srcRect/>
                    <a:stretch>
                      <a:fillRect/>
                    </a:stretch>
                  </pic:blipFill>
                  <pic:spPr bwMode="auto">
                    <a:xfrm>
                      <a:off x="0" y="0"/>
                      <a:ext cx="3313430" cy="8255"/>
                    </a:xfrm>
                    <a:prstGeom prst="rect">
                      <a:avLst/>
                    </a:prstGeom>
                    <a:noFill/>
                  </pic:spPr>
                </pic:pic>
              </a:graphicData>
            </a:graphic>
          </wp:anchor>
        </w:drawing>
      </w:r>
    </w:p>
    <w:p>
      <w:pPr>
        <w:spacing w:after="0" w:line="52" w:lineRule="exact"/>
        <w:rPr>
          <w:sz w:val="20"/>
          <w:szCs w:val="20"/>
          <w:color w:val="auto"/>
        </w:rPr>
      </w:pPr>
    </w:p>
    <w:p>
      <w:pPr>
        <w:sectPr>
          <w:pgSz w:w="11900" w:h="16838" w:orient="portrait"/>
          <w:cols w:equalWidth="0" w:num="3">
            <w:col w:w="4980" w:space="720"/>
            <w:col w:w="1460" w:space="720"/>
            <w:col w:w="3020"/>
          </w:cols>
          <w:pgMar w:left="320" w:top="414" w:right="679" w:bottom="1440" w:gutter="0" w:footer="0" w:header="0"/>
          <w:type w:val="continuous"/>
        </w:sectPr>
      </w:pPr>
    </w:p>
    <w:p>
      <w:pPr>
        <w:ind w:left="7980"/>
        <w:spacing w:after="0"/>
        <w:rPr>
          <w:sz w:val="20"/>
          <w:szCs w:val="20"/>
          <w:color w:val="auto"/>
        </w:rPr>
      </w:pPr>
      <w:r>
        <w:rPr>
          <w:rFonts w:ascii="Times New Roman" w:cs="Times New Roman" w:eastAsia="Times New Roman" w:hAnsi="Times New Roman"/>
          <w:sz w:val="18"/>
          <w:szCs w:val="18"/>
          <w:color w:val="auto"/>
        </w:rPr>
        <w:t>Michael G. Potter</w:t>
      </w:r>
    </w:p>
    <w:p>
      <w:pPr>
        <w:spacing w:after="0" w:line="22" w:lineRule="exact"/>
        <w:rPr>
          <w:sz w:val="20"/>
          <w:szCs w:val="20"/>
          <w:color w:val="auto"/>
        </w:rPr>
      </w:pPr>
    </w:p>
    <w:p>
      <w:pPr>
        <w:ind w:left="780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i w:val="1"/>
          <w:iCs w:val="1"/>
          <w:color w:val="auto"/>
        </w:rPr>
        <w:t>(Principal Financial Officer and 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7"/>
          <w:szCs w:val="17"/>
          <w:color w:val="auto"/>
        </w:rPr>
        <w:t>Corsair Gaming, Inc. | Q1 2024 Form 10-Q | 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80010</wp:posOffset>
            </wp:positionV>
            <wp:extent cx="7157720" cy="425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0"/>
          </w:cols>
          <w:pgMar w:left="320" w:top="414" w:right="679" w:bottom="1440" w:gutter="0" w:footer="0" w:header="0"/>
          <w:type w:val="continuous"/>
        </w:sectPr>
      </w:pPr>
    </w:p>
    <w:bookmarkStart w:id="34" w:name="page35"/>
    <w:bookmarkEnd w:id="34"/>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Andrew J. Paul, certify that:</w:t>
      </w:r>
    </w:p>
    <w:p>
      <w:pPr>
        <w:spacing w:after="0" w:line="225" w:lineRule="exact"/>
        <w:rPr>
          <w:sz w:val="20"/>
          <w:szCs w:val="20"/>
          <w:color w:val="auto"/>
        </w:rPr>
      </w:pPr>
    </w:p>
    <w:p>
      <w:pPr>
        <w:ind w:left="520" w:hanging="512"/>
        <w:spacing w:after="0"/>
        <w:tabs>
          <w:tab w:leader="none" w:pos="5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Corsair Gaming, Inc.</w:t>
      </w:r>
    </w:p>
    <w:p>
      <w:pPr>
        <w:spacing w:after="0" w:line="224" w:lineRule="exact"/>
        <w:rPr>
          <w:rFonts w:ascii="Times New Roman" w:cs="Times New Roman" w:eastAsia="Times New Roman" w:hAnsi="Times New Roman"/>
          <w:sz w:val="18"/>
          <w:szCs w:val="18"/>
          <w:color w:val="auto"/>
        </w:rPr>
      </w:pPr>
    </w:p>
    <w:p>
      <w:pPr>
        <w:jc w:val="both"/>
        <w:ind w:left="520" w:right="260" w:hanging="512"/>
        <w:spacing w:after="0" w:line="265" w:lineRule="auto"/>
        <w:tabs>
          <w:tab w:leader="none" w:pos="5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7" w:lineRule="exact"/>
        <w:rPr>
          <w:rFonts w:ascii="Times New Roman" w:cs="Times New Roman" w:eastAsia="Times New Roman" w:hAnsi="Times New Roman"/>
          <w:sz w:val="18"/>
          <w:szCs w:val="18"/>
          <w:color w:val="auto"/>
        </w:rPr>
      </w:pPr>
    </w:p>
    <w:p>
      <w:pPr>
        <w:ind w:left="520" w:right="240" w:hanging="512"/>
        <w:spacing w:after="0" w:line="281" w:lineRule="auto"/>
        <w:tabs>
          <w:tab w:leader="none" w:pos="5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2" w:lineRule="exact"/>
        <w:rPr>
          <w:rFonts w:ascii="Times New Roman" w:cs="Times New Roman" w:eastAsia="Times New Roman" w:hAnsi="Times New Roman"/>
          <w:sz w:val="18"/>
          <w:szCs w:val="18"/>
          <w:color w:val="auto"/>
        </w:rPr>
      </w:pPr>
    </w:p>
    <w:p>
      <w:pPr>
        <w:ind w:left="520" w:right="260" w:hanging="512"/>
        <w:spacing w:after="0" w:line="265" w:lineRule="auto"/>
        <w:tabs>
          <w:tab w:leader="none" w:pos="5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7" w:lineRule="exact"/>
        <w:rPr>
          <w:rFonts w:ascii="Times New Roman" w:cs="Times New Roman" w:eastAsia="Times New Roman" w:hAnsi="Times New Roman"/>
          <w:sz w:val="18"/>
          <w:szCs w:val="18"/>
          <w:color w:val="auto"/>
        </w:rPr>
      </w:pPr>
    </w:p>
    <w:p>
      <w:pPr>
        <w:ind w:left="1020" w:right="20" w:hanging="504"/>
        <w:spacing w:after="0" w:line="265" w:lineRule="auto"/>
        <w:tabs>
          <w:tab w:leader="none" w:pos="102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7" w:lineRule="exact"/>
        <w:rPr>
          <w:rFonts w:ascii="Times New Roman" w:cs="Times New Roman" w:eastAsia="Times New Roman" w:hAnsi="Times New Roman"/>
          <w:sz w:val="18"/>
          <w:szCs w:val="18"/>
          <w:color w:val="auto"/>
        </w:rPr>
      </w:pPr>
    </w:p>
    <w:p>
      <w:pPr>
        <w:ind w:left="1020" w:right="340" w:hanging="504"/>
        <w:spacing w:after="0" w:line="265" w:lineRule="auto"/>
        <w:tabs>
          <w:tab w:leader="none" w:pos="102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7" w:lineRule="exact"/>
        <w:rPr>
          <w:rFonts w:ascii="Times New Roman" w:cs="Times New Roman" w:eastAsia="Times New Roman" w:hAnsi="Times New Roman"/>
          <w:sz w:val="18"/>
          <w:szCs w:val="18"/>
          <w:color w:val="auto"/>
        </w:rPr>
      </w:pPr>
    </w:p>
    <w:p>
      <w:pPr>
        <w:jc w:val="both"/>
        <w:ind w:left="1020" w:right="500" w:hanging="504"/>
        <w:spacing w:after="0" w:line="312" w:lineRule="auto"/>
        <w:tabs>
          <w:tab w:leader="none" w:pos="1020" w:val="left"/>
        </w:tabs>
        <w:numPr>
          <w:ilvl w:val="1"/>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8" w:lineRule="exact"/>
        <w:rPr>
          <w:rFonts w:ascii="Times New Roman" w:cs="Times New Roman" w:eastAsia="Times New Roman" w:hAnsi="Times New Roman"/>
          <w:sz w:val="17"/>
          <w:szCs w:val="17"/>
          <w:color w:val="auto"/>
        </w:rPr>
      </w:pPr>
    </w:p>
    <w:p>
      <w:pPr>
        <w:ind w:left="1020" w:right="20" w:hanging="504"/>
        <w:spacing w:after="0" w:line="265" w:lineRule="auto"/>
        <w:tabs>
          <w:tab w:leader="none" w:pos="102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7" w:lineRule="exact"/>
        <w:rPr>
          <w:rFonts w:ascii="Times New Roman" w:cs="Times New Roman" w:eastAsia="Times New Roman" w:hAnsi="Times New Roman"/>
          <w:sz w:val="18"/>
          <w:szCs w:val="18"/>
          <w:color w:val="auto"/>
        </w:rPr>
      </w:pPr>
    </w:p>
    <w:p>
      <w:pPr>
        <w:ind w:left="520" w:right="160" w:hanging="512"/>
        <w:spacing w:after="0" w:line="281" w:lineRule="auto"/>
        <w:tabs>
          <w:tab w:leader="none" w:pos="5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2" w:lineRule="exact"/>
        <w:rPr>
          <w:rFonts w:ascii="Times New Roman" w:cs="Times New Roman" w:eastAsia="Times New Roman" w:hAnsi="Times New Roman"/>
          <w:sz w:val="18"/>
          <w:szCs w:val="18"/>
          <w:color w:val="auto"/>
        </w:rPr>
      </w:pPr>
    </w:p>
    <w:p>
      <w:pPr>
        <w:ind w:left="1020" w:right="740" w:hanging="504"/>
        <w:spacing w:after="0" w:line="281" w:lineRule="auto"/>
        <w:tabs>
          <w:tab w:leader="none" w:pos="102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2" w:lineRule="exact"/>
        <w:rPr>
          <w:rFonts w:ascii="Times New Roman" w:cs="Times New Roman" w:eastAsia="Times New Roman" w:hAnsi="Times New Roman"/>
          <w:sz w:val="18"/>
          <w:szCs w:val="18"/>
          <w:color w:val="auto"/>
        </w:rPr>
      </w:pPr>
    </w:p>
    <w:p>
      <w:pPr>
        <w:ind w:left="1020" w:right="440" w:hanging="504"/>
        <w:spacing w:after="0" w:line="281" w:lineRule="auto"/>
        <w:tabs>
          <w:tab w:leader="none" w:pos="102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3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May 7, 2024</w:t>
            </w:r>
          </w:p>
        </w:tc>
        <w:tc>
          <w:tcPr>
            <w:tcW w:w="2600" w:type="dxa"/>
            <w:vAlign w:val="bottom"/>
          </w:tcPr>
          <w:p>
            <w:pPr>
              <w:ind w:left="2160"/>
              <w:spacing w:after="0"/>
              <w:rPr>
                <w:sz w:val="20"/>
                <w:szCs w:val="20"/>
                <w:color w:val="auto"/>
              </w:rPr>
            </w:pPr>
            <w:r>
              <w:rPr>
                <w:rFonts w:ascii="Times New Roman" w:cs="Times New Roman" w:eastAsia="Times New Roman" w:hAnsi="Times New Roman"/>
                <w:sz w:val="18"/>
                <w:szCs w:val="18"/>
                <w:color w:val="auto"/>
              </w:rPr>
              <w:t>By:</w:t>
            </w:r>
          </w:p>
        </w:tc>
        <w:tc>
          <w:tcPr>
            <w:tcW w:w="5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Andrew J. Paul</w:t>
            </w:r>
          </w:p>
        </w:tc>
      </w:tr>
      <w:tr>
        <w:trPr>
          <w:trHeight w:val="204"/>
        </w:trPr>
        <w:tc>
          <w:tcPr>
            <w:tcW w:w="3520" w:type="dxa"/>
            <w:vAlign w:val="bottom"/>
          </w:tcPr>
          <w:p>
            <w:pPr>
              <w:spacing w:after="0"/>
              <w:rPr>
                <w:sz w:val="17"/>
                <w:szCs w:val="17"/>
                <w:color w:val="auto"/>
              </w:rPr>
            </w:pPr>
          </w:p>
        </w:tc>
        <w:tc>
          <w:tcPr>
            <w:tcW w:w="2600" w:type="dxa"/>
            <w:vAlign w:val="bottom"/>
          </w:tcPr>
          <w:p>
            <w:pPr>
              <w:spacing w:after="0"/>
              <w:rPr>
                <w:sz w:val="17"/>
                <w:szCs w:val="17"/>
                <w:color w:val="auto"/>
              </w:rPr>
            </w:pPr>
          </w:p>
        </w:tc>
        <w:tc>
          <w:tcPr>
            <w:tcW w:w="5120" w:type="dxa"/>
            <w:vAlign w:val="bottom"/>
          </w:tcPr>
          <w:p>
            <w:pPr>
              <w:jc w:val="center"/>
              <w:spacing w:after="0" w:line="204" w:lineRule="exact"/>
              <w:rPr>
                <w:sz w:val="20"/>
                <w:szCs w:val="20"/>
                <w:color w:val="auto"/>
              </w:rPr>
            </w:pPr>
            <w:r>
              <w:rPr>
                <w:rFonts w:ascii="Times New Roman" w:cs="Times New Roman" w:eastAsia="Times New Roman" w:hAnsi="Times New Roman"/>
                <w:sz w:val="18"/>
                <w:szCs w:val="18"/>
                <w:color w:val="auto"/>
              </w:rPr>
              <w:t>Andrew J. Paul</w:t>
            </w:r>
          </w:p>
        </w:tc>
      </w:tr>
      <w:tr>
        <w:trPr>
          <w:trHeight w:val="214"/>
        </w:trPr>
        <w:tc>
          <w:tcPr>
            <w:tcW w:w="352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5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Chief Executive Officer</w:t>
            </w:r>
          </w:p>
        </w:tc>
      </w:tr>
      <w:tr>
        <w:trPr>
          <w:trHeight w:val="236"/>
        </w:trPr>
        <w:tc>
          <w:tcPr>
            <w:tcW w:w="352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512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(Principal Executive Officer)</w:t>
            </w:r>
          </w:p>
        </w:tc>
      </w:tr>
      <w:tr>
        <w:trPr>
          <w:trHeight w:val="1638"/>
        </w:trPr>
        <w:tc>
          <w:tcPr>
            <w:tcW w:w="3520" w:type="dxa"/>
            <w:vAlign w:val="bottom"/>
            <w:tcBorders>
              <w:bottom w:val="single" w:sz="8" w:color="9A9A9A"/>
            </w:tcBorders>
          </w:tcPr>
          <w:p>
            <w:pPr>
              <w:spacing w:after="0"/>
              <w:rPr>
                <w:sz w:val="24"/>
                <w:szCs w:val="24"/>
                <w:color w:val="auto"/>
              </w:rPr>
            </w:pPr>
          </w:p>
        </w:tc>
        <w:tc>
          <w:tcPr>
            <w:tcW w:w="2600" w:type="dxa"/>
            <w:vAlign w:val="bottom"/>
            <w:tcBorders>
              <w:bottom w:val="single" w:sz="8" w:color="9A9A9A"/>
            </w:tcBorders>
          </w:tcPr>
          <w:p>
            <w:pPr>
              <w:spacing w:after="0"/>
              <w:rPr>
                <w:sz w:val="24"/>
                <w:szCs w:val="24"/>
                <w:color w:val="auto"/>
              </w:rPr>
            </w:pPr>
          </w:p>
        </w:tc>
        <w:tc>
          <w:tcPr>
            <w:tcW w:w="5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5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55">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412" w:right="339" w:bottom="1440" w:gutter="0" w:footer="0" w:header="0"/>
        </w:sectPr>
      </w:pPr>
    </w:p>
    <w:bookmarkStart w:id="35" w:name="page36"/>
    <w:bookmarkEnd w:id="35"/>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Michael G. Potter, certify that:</w:t>
      </w:r>
    </w:p>
    <w:p>
      <w:pPr>
        <w:spacing w:after="0" w:line="225" w:lineRule="exact"/>
        <w:rPr>
          <w:sz w:val="20"/>
          <w:szCs w:val="20"/>
          <w:color w:val="auto"/>
        </w:rPr>
      </w:pPr>
    </w:p>
    <w:p>
      <w:pPr>
        <w:ind w:left="520" w:hanging="512"/>
        <w:spacing w:after="0"/>
        <w:tabs>
          <w:tab w:leader="none" w:pos="5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Corsair Gaming, Inc.;</w:t>
      </w:r>
    </w:p>
    <w:p>
      <w:pPr>
        <w:spacing w:after="0" w:line="224" w:lineRule="exact"/>
        <w:rPr>
          <w:rFonts w:ascii="Times New Roman" w:cs="Times New Roman" w:eastAsia="Times New Roman" w:hAnsi="Times New Roman"/>
          <w:sz w:val="18"/>
          <w:szCs w:val="18"/>
          <w:color w:val="auto"/>
        </w:rPr>
      </w:pPr>
    </w:p>
    <w:p>
      <w:pPr>
        <w:jc w:val="both"/>
        <w:ind w:left="520" w:right="260" w:hanging="512"/>
        <w:spacing w:after="0" w:line="265" w:lineRule="auto"/>
        <w:tabs>
          <w:tab w:leader="none" w:pos="5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7" w:lineRule="exact"/>
        <w:rPr>
          <w:rFonts w:ascii="Times New Roman" w:cs="Times New Roman" w:eastAsia="Times New Roman" w:hAnsi="Times New Roman"/>
          <w:sz w:val="18"/>
          <w:szCs w:val="18"/>
          <w:color w:val="auto"/>
        </w:rPr>
      </w:pPr>
    </w:p>
    <w:p>
      <w:pPr>
        <w:ind w:left="520" w:right="240" w:hanging="512"/>
        <w:spacing w:after="0" w:line="281" w:lineRule="auto"/>
        <w:tabs>
          <w:tab w:leader="none" w:pos="5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2" w:lineRule="exact"/>
        <w:rPr>
          <w:rFonts w:ascii="Times New Roman" w:cs="Times New Roman" w:eastAsia="Times New Roman" w:hAnsi="Times New Roman"/>
          <w:sz w:val="18"/>
          <w:szCs w:val="18"/>
          <w:color w:val="auto"/>
        </w:rPr>
      </w:pPr>
    </w:p>
    <w:p>
      <w:pPr>
        <w:ind w:left="520" w:right="260" w:hanging="512"/>
        <w:spacing w:after="0" w:line="265" w:lineRule="auto"/>
        <w:tabs>
          <w:tab w:leader="none" w:pos="5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7" w:lineRule="exact"/>
        <w:rPr>
          <w:rFonts w:ascii="Times New Roman" w:cs="Times New Roman" w:eastAsia="Times New Roman" w:hAnsi="Times New Roman"/>
          <w:sz w:val="18"/>
          <w:szCs w:val="18"/>
          <w:color w:val="auto"/>
        </w:rPr>
      </w:pPr>
    </w:p>
    <w:p>
      <w:pPr>
        <w:ind w:left="1020" w:right="20" w:hanging="504"/>
        <w:spacing w:after="0" w:line="265" w:lineRule="auto"/>
        <w:tabs>
          <w:tab w:leader="none" w:pos="102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7" w:lineRule="exact"/>
        <w:rPr>
          <w:rFonts w:ascii="Times New Roman" w:cs="Times New Roman" w:eastAsia="Times New Roman" w:hAnsi="Times New Roman"/>
          <w:sz w:val="18"/>
          <w:szCs w:val="18"/>
          <w:color w:val="auto"/>
        </w:rPr>
      </w:pPr>
    </w:p>
    <w:p>
      <w:pPr>
        <w:ind w:left="1020" w:right="340" w:hanging="504"/>
        <w:spacing w:after="0" w:line="265" w:lineRule="auto"/>
        <w:tabs>
          <w:tab w:leader="none" w:pos="102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7" w:lineRule="exact"/>
        <w:rPr>
          <w:rFonts w:ascii="Times New Roman" w:cs="Times New Roman" w:eastAsia="Times New Roman" w:hAnsi="Times New Roman"/>
          <w:sz w:val="18"/>
          <w:szCs w:val="18"/>
          <w:color w:val="auto"/>
        </w:rPr>
      </w:pPr>
    </w:p>
    <w:p>
      <w:pPr>
        <w:jc w:val="both"/>
        <w:ind w:left="1020" w:right="500" w:hanging="504"/>
        <w:spacing w:after="0" w:line="312" w:lineRule="auto"/>
        <w:tabs>
          <w:tab w:leader="none" w:pos="1020" w:val="left"/>
        </w:tabs>
        <w:numPr>
          <w:ilvl w:val="1"/>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8" w:lineRule="exact"/>
        <w:rPr>
          <w:rFonts w:ascii="Times New Roman" w:cs="Times New Roman" w:eastAsia="Times New Roman" w:hAnsi="Times New Roman"/>
          <w:sz w:val="17"/>
          <w:szCs w:val="17"/>
          <w:color w:val="auto"/>
        </w:rPr>
      </w:pPr>
    </w:p>
    <w:p>
      <w:pPr>
        <w:ind w:left="1020" w:right="20" w:hanging="504"/>
        <w:spacing w:after="0" w:line="265" w:lineRule="auto"/>
        <w:tabs>
          <w:tab w:leader="none" w:pos="102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7" w:lineRule="exact"/>
        <w:rPr>
          <w:rFonts w:ascii="Times New Roman" w:cs="Times New Roman" w:eastAsia="Times New Roman" w:hAnsi="Times New Roman"/>
          <w:sz w:val="18"/>
          <w:szCs w:val="18"/>
          <w:color w:val="auto"/>
        </w:rPr>
      </w:pPr>
    </w:p>
    <w:p>
      <w:pPr>
        <w:ind w:left="520" w:right="160" w:hanging="512"/>
        <w:spacing w:after="0" w:line="281" w:lineRule="auto"/>
        <w:tabs>
          <w:tab w:leader="none" w:pos="5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2" w:lineRule="exact"/>
        <w:rPr>
          <w:rFonts w:ascii="Times New Roman" w:cs="Times New Roman" w:eastAsia="Times New Roman" w:hAnsi="Times New Roman"/>
          <w:sz w:val="18"/>
          <w:szCs w:val="18"/>
          <w:color w:val="auto"/>
        </w:rPr>
      </w:pPr>
    </w:p>
    <w:p>
      <w:pPr>
        <w:ind w:left="1020" w:right="740" w:hanging="504"/>
        <w:spacing w:after="0" w:line="281" w:lineRule="auto"/>
        <w:tabs>
          <w:tab w:leader="none" w:pos="102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2" w:lineRule="exact"/>
        <w:rPr>
          <w:rFonts w:ascii="Times New Roman" w:cs="Times New Roman" w:eastAsia="Times New Roman" w:hAnsi="Times New Roman"/>
          <w:sz w:val="18"/>
          <w:szCs w:val="18"/>
          <w:color w:val="auto"/>
        </w:rPr>
      </w:pPr>
    </w:p>
    <w:p>
      <w:pPr>
        <w:ind w:left="1020" w:right="440" w:hanging="504"/>
        <w:spacing w:after="0" w:line="281" w:lineRule="auto"/>
        <w:tabs>
          <w:tab w:leader="none" w:pos="102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3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May 7, 2024</w:t>
            </w:r>
          </w:p>
        </w:tc>
        <w:tc>
          <w:tcPr>
            <w:tcW w:w="2600" w:type="dxa"/>
            <w:vAlign w:val="bottom"/>
          </w:tcPr>
          <w:p>
            <w:pPr>
              <w:ind w:left="2160"/>
              <w:spacing w:after="0"/>
              <w:rPr>
                <w:sz w:val="20"/>
                <w:szCs w:val="20"/>
                <w:color w:val="auto"/>
              </w:rPr>
            </w:pPr>
            <w:r>
              <w:rPr>
                <w:rFonts w:ascii="Times New Roman" w:cs="Times New Roman" w:eastAsia="Times New Roman" w:hAnsi="Times New Roman"/>
                <w:sz w:val="18"/>
                <w:szCs w:val="18"/>
                <w:color w:val="auto"/>
              </w:rPr>
              <w:t>By:</w:t>
            </w:r>
          </w:p>
        </w:tc>
        <w:tc>
          <w:tcPr>
            <w:tcW w:w="5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Michael G. Potter</w:t>
            </w:r>
          </w:p>
        </w:tc>
      </w:tr>
      <w:tr>
        <w:trPr>
          <w:trHeight w:val="204"/>
        </w:trPr>
        <w:tc>
          <w:tcPr>
            <w:tcW w:w="3520" w:type="dxa"/>
            <w:vAlign w:val="bottom"/>
          </w:tcPr>
          <w:p>
            <w:pPr>
              <w:spacing w:after="0"/>
              <w:rPr>
                <w:sz w:val="17"/>
                <w:szCs w:val="17"/>
                <w:color w:val="auto"/>
              </w:rPr>
            </w:pPr>
          </w:p>
        </w:tc>
        <w:tc>
          <w:tcPr>
            <w:tcW w:w="2600" w:type="dxa"/>
            <w:vAlign w:val="bottom"/>
          </w:tcPr>
          <w:p>
            <w:pPr>
              <w:spacing w:after="0"/>
              <w:rPr>
                <w:sz w:val="17"/>
                <w:szCs w:val="17"/>
                <w:color w:val="auto"/>
              </w:rPr>
            </w:pPr>
          </w:p>
        </w:tc>
        <w:tc>
          <w:tcPr>
            <w:tcW w:w="5120" w:type="dxa"/>
            <w:vAlign w:val="bottom"/>
          </w:tcPr>
          <w:p>
            <w:pPr>
              <w:jc w:val="center"/>
              <w:spacing w:after="0" w:line="204" w:lineRule="exact"/>
              <w:rPr>
                <w:sz w:val="20"/>
                <w:szCs w:val="20"/>
                <w:color w:val="auto"/>
              </w:rPr>
            </w:pPr>
            <w:r>
              <w:rPr>
                <w:rFonts w:ascii="Times New Roman" w:cs="Times New Roman" w:eastAsia="Times New Roman" w:hAnsi="Times New Roman"/>
                <w:sz w:val="18"/>
                <w:szCs w:val="18"/>
                <w:color w:val="auto"/>
                <w:w w:val="99"/>
              </w:rPr>
              <w:t>Michael G. Potter</w:t>
            </w:r>
          </w:p>
        </w:tc>
      </w:tr>
      <w:tr>
        <w:trPr>
          <w:trHeight w:val="214"/>
        </w:trPr>
        <w:tc>
          <w:tcPr>
            <w:tcW w:w="352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5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Chief Financial Officer</w:t>
            </w:r>
          </w:p>
        </w:tc>
      </w:tr>
      <w:tr>
        <w:trPr>
          <w:trHeight w:val="236"/>
        </w:trPr>
        <w:tc>
          <w:tcPr>
            <w:tcW w:w="352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512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(Principal Financial Officer and Principal Accounting Officer)</w:t>
            </w:r>
          </w:p>
        </w:tc>
      </w:tr>
      <w:tr>
        <w:trPr>
          <w:trHeight w:val="1638"/>
        </w:trPr>
        <w:tc>
          <w:tcPr>
            <w:tcW w:w="3520" w:type="dxa"/>
            <w:vAlign w:val="bottom"/>
            <w:tcBorders>
              <w:bottom w:val="single" w:sz="8" w:color="9A9A9A"/>
            </w:tcBorders>
          </w:tcPr>
          <w:p>
            <w:pPr>
              <w:spacing w:after="0"/>
              <w:rPr>
                <w:sz w:val="24"/>
                <w:szCs w:val="24"/>
                <w:color w:val="auto"/>
              </w:rPr>
            </w:pPr>
          </w:p>
        </w:tc>
        <w:tc>
          <w:tcPr>
            <w:tcW w:w="2600" w:type="dxa"/>
            <w:vAlign w:val="bottom"/>
            <w:tcBorders>
              <w:bottom w:val="single" w:sz="8" w:color="9A9A9A"/>
            </w:tcBorders>
          </w:tcPr>
          <w:p>
            <w:pPr>
              <w:spacing w:after="0"/>
              <w:rPr>
                <w:sz w:val="24"/>
                <w:szCs w:val="24"/>
                <w:color w:val="auto"/>
              </w:rPr>
            </w:pPr>
          </w:p>
        </w:tc>
        <w:tc>
          <w:tcPr>
            <w:tcW w:w="5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7">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412" w:right="339" w:bottom="1440" w:gutter="0" w:footer="0" w:header="0"/>
        </w:sectPr>
      </w:pPr>
    </w:p>
    <w:bookmarkStart w:id="36" w:name="page37"/>
    <w:bookmarkEnd w:id="36"/>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 OF CHIEF EXECUTIVE OFFICER AND CHIEF FINANCIAL OFFICER</w:t>
      </w: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SECTION 1350</w:t>
      </w:r>
    </w:p>
    <w:p>
      <w:pPr>
        <w:spacing w:after="0" w:line="33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AS ADOPTED PURSUANT TO SECTION 906 OF THE SARBANES-OXLEY ACT OF 2002</w:t>
      </w:r>
    </w:p>
    <w:p>
      <w:pPr>
        <w:spacing w:after="0" w:line="200" w:lineRule="exact"/>
        <w:rPr>
          <w:sz w:val="20"/>
          <w:szCs w:val="20"/>
          <w:color w:val="auto"/>
        </w:rPr>
      </w:pPr>
    </w:p>
    <w:p>
      <w:pPr>
        <w:spacing w:after="0" w:line="231" w:lineRule="exact"/>
        <w:rPr>
          <w:sz w:val="20"/>
          <w:szCs w:val="20"/>
          <w:color w:val="auto"/>
        </w:rPr>
      </w:pPr>
    </w:p>
    <w:p>
      <w:pPr>
        <w:ind w:right="280" w:firstLine="562"/>
        <w:spacing w:after="0" w:line="265" w:lineRule="auto"/>
        <w:rPr>
          <w:sz w:val="20"/>
          <w:szCs w:val="20"/>
          <w:color w:val="auto"/>
        </w:rPr>
      </w:pPr>
      <w:r>
        <w:rPr>
          <w:rFonts w:ascii="Times New Roman" w:cs="Times New Roman" w:eastAsia="Times New Roman" w:hAnsi="Times New Roman"/>
          <w:sz w:val="18"/>
          <w:szCs w:val="18"/>
          <w:color w:val="auto"/>
        </w:rPr>
        <w:t>In connection with the quarterly report of Corsair Gaming, Inc. (the “Company”) on Form 10-Q for the quarter ended March 31, 2024 (the “Report”), Andrew J. Paul, Chief Executive Officer of the Company, and Michael G. Potter, Chief Financial Officer of the Company, each certify, to the best of his knowledge, pursuant to 18 U.S.C. Section 1350, as adopted pursuant to Section 906 of the Sarbanes-Oxley Act of 2002, that:</w:t>
      </w:r>
    </w:p>
    <w:p>
      <w:pPr>
        <w:spacing w:after="0" w:line="177" w:lineRule="exact"/>
        <w:rPr>
          <w:sz w:val="20"/>
          <w:szCs w:val="20"/>
          <w:color w:val="auto"/>
        </w:rPr>
      </w:pPr>
    </w:p>
    <w:p>
      <w:pPr>
        <w:ind w:left="1020" w:hanging="504"/>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4" w:lineRule="exact"/>
        <w:rPr>
          <w:rFonts w:ascii="Times New Roman" w:cs="Times New Roman" w:eastAsia="Times New Roman" w:hAnsi="Times New Roman"/>
          <w:sz w:val="18"/>
          <w:szCs w:val="18"/>
          <w:color w:val="auto"/>
        </w:rPr>
      </w:pPr>
    </w:p>
    <w:p>
      <w:pPr>
        <w:ind w:left="1020" w:right="640" w:hanging="504"/>
        <w:spacing w:after="0" w:line="281" w:lineRule="auto"/>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 of operations of the Company.</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3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May 7, 2024</w:t>
            </w:r>
          </w:p>
        </w:tc>
        <w:tc>
          <w:tcPr>
            <w:tcW w:w="2740" w:type="dxa"/>
            <w:vAlign w:val="bottom"/>
          </w:tcPr>
          <w:p>
            <w:pPr>
              <w:ind w:left="2200"/>
              <w:spacing w:after="0"/>
              <w:rPr>
                <w:sz w:val="20"/>
                <w:szCs w:val="20"/>
                <w:color w:val="auto"/>
              </w:rPr>
            </w:pPr>
            <w:r>
              <w:rPr>
                <w:rFonts w:ascii="Times New Roman" w:cs="Times New Roman" w:eastAsia="Times New Roman" w:hAnsi="Times New Roman"/>
                <w:sz w:val="18"/>
                <w:szCs w:val="18"/>
                <w:color w:val="auto"/>
              </w:rPr>
              <w:t>By:</w:t>
            </w:r>
          </w:p>
        </w:tc>
        <w:tc>
          <w:tcPr>
            <w:tcW w:w="4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Andrew J. Paul</w:t>
            </w:r>
          </w:p>
        </w:tc>
      </w:tr>
      <w:tr>
        <w:trPr>
          <w:trHeight w:val="204"/>
        </w:trPr>
        <w:tc>
          <w:tcPr>
            <w:tcW w:w="3560" w:type="dxa"/>
            <w:vAlign w:val="bottom"/>
          </w:tcPr>
          <w:p>
            <w:pPr>
              <w:spacing w:after="0"/>
              <w:rPr>
                <w:sz w:val="17"/>
                <w:szCs w:val="17"/>
                <w:color w:val="auto"/>
              </w:rPr>
            </w:pPr>
          </w:p>
        </w:tc>
        <w:tc>
          <w:tcPr>
            <w:tcW w:w="2740" w:type="dxa"/>
            <w:vAlign w:val="bottom"/>
          </w:tcPr>
          <w:p>
            <w:pPr>
              <w:spacing w:after="0"/>
              <w:rPr>
                <w:sz w:val="17"/>
                <w:szCs w:val="17"/>
                <w:color w:val="auto"/>
              </w:rPr>
            </w:pPr>
          </w:p>
        </w:tc>
        <w:tc>
          <w:tcPr>
            <w:tcW w:w="4940" w:type="dxa"/>
            <w:vAlign w:val="bottom"/>
          </w:tcPr>
          <w:p>
            <w:pPr>
              <w:jc w:val="center"/>
              <w:spacing w:after="0" w:line="204" w:lineRule="exact"/>
              <w:rPr>
                <w:sz w:val="20"/>
                <w:szCs w:val="20"/>
                <w:color w:val="auto"/>
              </w:rPr>
            </w:pPr>
            <w:r>
              <w:rPr>
                <w:rFonts w:ascii="Times New Roman" w:cs="Times New Roman" w:eastAsia="Times New Roman" w:hAnsi="Times New Roman"/>
                <w:sz w:val="18"/>
                <w:szCs w:val="18"/>
                <w:color w:val="auto"/>
                <w:w w:val="99"/>
              </w:rPr>
              <w:t>Andrew J. Paul</w:t>
            </w:r>
          </w:p>
        </w:tc>
      </w:tr>
      <w:tr>
        <w:trPr>
          <w:trHeight w:val="214"/>
        </w:trPr>
        <w:tc>
          <w:tcPr>
            <w:tcW w:w="356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4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Chief Executive Officer</w:t>
            </w:r>
          </w:p>
        </w:tc>
      </w:tr>
      <w:tr>
        <w:trPr>
          <w:trHeight w:val="236"/>
        </w:trPr>
        <w:tc>
          <w:tcPr>
            <w:tcW w:w="356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494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(Principal Executive Officer)</w:t>
            </w:r>
          </w:p>
        </w:tc>
      </w:tr>
      <w:tr>
        <w:trPr>
          <w:trHeight w:val="890"/>
        </w:trPr>
        <w:tc>
          <w:tcPr>
            <w:tcW w:w="3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May 7, 2024</w:t>
            </w:r>
          </w:p>
        </w:tc>
        <w:tc>
          <w:tcPr>
            <w:tcW w:w="2740" w:type="dxa"/>
            <w:vAlign w:val="bottom"/>
          </w:tcPr>
          <w:p>
            <w:pPr>
              <w:ind w:left="2200"/>
              <w:spacing w:after="0"/>
              <w:rPr>
                <w:sz w:val="20"/>
                <w:szCs w:val="20"/>
                <w:color w:val="auto"/>
              </w:rPr>
            </w:pPr>
            <w:r>
              <w:rPr>
                <w:rFonts w:ascii="Times New Roman" w:cs="Times New Roman" w:eastAsia="Times New Roman" w:hAnsi="Times New Roman"/>
                <w:sz w:val="18"/>
                <w:szCs w:val="18"/>
                <w:color w:val="auto"/>
              </w:rPr>
              <w:t>By:</w:t>
            </w:r>
          </w:p>
        </w:tc>
        <w:tc>
          <w:tcPr>
            <w:tcW w:w="4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Michael G. Potter</w:t>
            </w:r>
          </w:p>
        </w:tc>
      </w:tr>
      <w:tr>
        <w:trPr>
          <w:trHeight w:val="204"/>
        </w:trPr>
        <w:tc>
          <w:tcPr>
            <w:tcW w:w="3560" w:type="dxa"/>
            <w:vAlign w:val="bottom"/>
          </w:tcPr>
          <w:p>
            <w:pPr>
              <w:spacing w:after="0"/>
              <w:rPr>
                <w:sz w:val="17"/>
                <w:szCs w:val="17"/>
                <w:color w:val="auto"/>
              </w:rPr>
            </w:pPr>
          </w:p>
        </w:tc>
        <w:tc>
          <w:tcPr>
            <w:tcW w:w="2740" w:type="dxa"/>
            <w:vAlign w:val="bottom"/>
          </w:tcPr>
          <w:p>
            <w:pPr>
              <w:spacing w:after="0"/>
              <w:rPr>
                <w:sz w:val="17"/>
                <w:szCs w:val="17"/>
                <w:color w:val="auto"/>
              </w:rPr>
            </w:pPr>
          </w:p>
        </w:tc>
        <w:tc>
          <w:tcPr>
            <w:tcW w:w="4940" w:type="dxa"/>
            <w:vAlign w:val="bottom"/>
          </w:tcPr>
          <w:p>
            <w:pPr>
              <w:jc w:val="center"/>
              <w:spacing w:after="0" w:line="204" w:lineRule="exact"/>
              <w:rPr>
                <w:sz w:val="20"/>
                <w:szCs w:val="20"/>
                <w:color w:val="auto"/>
              </w:rPr>
            </w:pPr>
            <w:r>
              <w:rPr>
                <w:rFonts w:ascii="Times New Roman" w:cs="Times New Roman" w:eastAsia="Times New Roman" w:hAnsi="Times New Roman"/>
                <w:sz w:val="18"/>
                <w:szCs w:val="18"/>
                <w:color w:val="auto"/>
                <w:w w:val="99"/>
              </w:rPr>
              <w:t>Michael G. Potter</w:t>
            </w:r>
          </w:p>
        </w:tc>
      </w:tr>
      <w:tr>
        <w:trPr>
          <w:trHeight w:val="214"/>
        </w:trPr>
        <w:tc>
          <w:tcPr>
            <w:tcW w:w="356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4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Chief Financial Officer</w:t>
            </w:r>
          </w:p>
        </w:tc>
      </w:tr>
      <w:tr>
        <w:trPr>
          <w:trHeight w:val="236"/>
        </w:trPr>
        <w:tc>
          <w:tcPr>
            <w:tcW w:w="356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494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(Principal Financial Officer and Principal Accounting Officer)</w:t>
            </w:r>
          </w:p>
        </w:tc>
      </w:tr>
      <w:tr>
        <w:trPr>
          <w:trHeight w:val="1207"/>
        </w:trPr>
        <w:tc>
          <w:tcPr>
            <w:tcW w:w="3560" w:type="dxa"/>
            <w:vAlign w:val="bottom"/>
            <w:tcBorders>
              <w:bottom w:val="single" w:sz="8" w:color="9A9A9A"/>
            </w:tcBorders>
          </w:tcPr>
          <w:p>
            <w:pPr>
              <w:spacing w:after="0"/>
              <w:rPr>
                <w:sz w:val="24"/>
                <w:szCs w:val="24"/>
                <w:color w:val="auto"/>
              </w:rPr>
            </w:pPr>
          </w:p>
        </w:tc>
        <w:tc>
          <w:tcPr>
            <w:tcW w:w="2740" w:type="dxa"/>
            <w:vAlign w:val="bottom"/>
            <w:tcBorders>
              <w:bottom w:val="single" w:sz="8" w:color="9A9A9A"/>
            </w:tcBorders>
          </w:tcPr>
          <w:p>
            <w:pPr>
              <w:spacing w:after="0"/>
              <w:rPr>
                <w:sz w:val="24"/>
                <w:szCs w:val="24"/>
                <w:color w:val="auto"/>
              </w:rPr>
            </w:pPr>
          </w:p>
        </w:tc>
        <w:tc>
          <w:tcPr>
            <w:tcW w:w="49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9">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980" w:right="339" w:bottom="1440" w:gutter="0" w:footer="0" w:header="0"/>
        </w:sectPr>
      </w:pPr>
    </w:p>
    <w:bookmarkStart w:id="37" w:name="page38"/>
    <w:bookmarkEnd w:id="37"/>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BD062C2"/>
    <w:multiLevelType w:val="hybridMultilevel"/>
    <w:lvl w:ilvl="0">
      <w:lvlJc w:val="left"/>
      <w:lvlText w:val="☒"/>
      <w:numFmt w:val="bullet"/>
      <w:start w:val="1"/>
    </w:lvl>
  </w:abstractNum>
  <w:abstractNum w:abstractNumId="1">
    <w:nsid w:val="12200854"/>
    <w:multiLevelType w:val="hybridMultilevel"/>
    <w:lvl w:ilvl="0">
      <w:lvlJc w:val="left"/>
      <w:lvlText w:val="☐"/>
      <w:numFmt w:val="bullet"/>
      <w:start w:val="1"/>
    </w:lvl>
  </w:abstractNum>
  <w:abstractNum w:abstractNumId="2">
    <w:nsid w:val="4DB127F8"/>
    <w:multiLevelType w:val="hybridMultilevel"/>
    <w:lvl w:ilvl="0">
      <w:lvlJc w:val="left"/>
      <w:lvlText w:val="%1."/>
      <w:numFmt w:val="decimal"/>
      <w:start w:val="1"/>
    </w:lvl>
    <w:lvl w:ilvl="1">
      <w:lvlJc w:val="left"/>
      <w:lvlText w:val="•"/>
      <w:numFmt w:val="bullet"/>
      <w:start w:val="1"/>
    </w:lvl>
  </w:abstractNum>
  <w:abstractNum w:abstractNumId="3">
    <w:nsid w:val="216231B"/>
    <w:multiLevelType w:val="hybridMultilevel"/>
    <w:lvl w:ilvl="0">
      <w:lvlJc w:val="left"/>
      <w:lvlText w:val="(%1)"/>
      <w:numFmt w:val="decimal"/>
      <w:start w:val="1"/>
    </w:lvl>
  </w:abstractNum>
  <w:abstractNum w:abstractNumId="4">
    <w:nsid w:val="1F16E9E8"/>
    <w:multiLevelType w:val="hybridMultilevel"/>
    <w:lvl w:ilvl="0">
      <w:lvlJc w:val="left"/>
      <w:lvlText w:val="%1"/>
      <w:numFmt w:val="decimal"/>
      <w:start w:val="1"/>
    </w:lvl>
    <w:lvl w:ilvl="1">
      <w:lvlJc w:val="left"/>
      <w:lvlText w:val="(%2)"/>
      <w:numFmt w:val="decimal"/>
      <w:start w:val="1"/>
    </w:lvl>
  </w:abstractNum>
  <w:abstractNum w:abstractNumId="5">
    <w:nsid w:val="1190CDE7"/>
    <w:multiLevelType w:val="hybridMultilevel"/>
    <w:lvl w:ilvl="0">
      <w:lvlJc w:val="left"/>
      <w:lvlText w:val="%1."/>
      <w:numFmt w:val="decimal"/>
      <w:start w:val="13"/>
    </w:lvl>
    <w:lvl w:ilvl="1">
      <w:lvlJc w:val="left"/>
      <w:lvlText w:val="%2"/>
      <w:numFmt w:val="decimal"/>
      <w:start w:val="1"/>
    </w:lvl>
  </w:abstractNum>
  <w:abstractNum w:abstractNumId="6">
    <w:nsid w:val="66EF438D"/>
    <w:multiLevelType w:val="hybridMultilevel"/>
    <w:lvl w:ilvl="0">
      <w:lvlJc w:val="left"/>
      <w:lvlText w:val="%1."/>
      <w:numFmt w:val="decimal"/>
      <w:start w:val="14"/>
    </w:lvl>
  </w:abstractNum>
  <w:abstractNum w:abstractNumId="7">
    <w:nsid w:val="140E0F76"/>
    <w:multiLevelType w:val="hybridMultilevel"/>
    <w:lvl w:ilvl="0">
      <w:lvlJc w:val="left"/>
      <w:lvlText w:val="•"/>
      <w:numFmt w:val="bullet"/>
      <w:start w:val="1"/>
    </w:lvl>
  </w:abstractNum>
  <w:abstractNum w:abstractNumId="8">
    <w:nsid w:val="3352255A"/>
    <w:multiLevelType w:val="hybridMultilevel"/>
    <w:lvl w:ilvl="0">
      <w:lvlJc w:val="left"/>
      <w:lvlText w:val="(%1)"/>
      <w:numFmt w:val="decimal"/>
      <w:start w:val="1"/>
    </w:lvl>
  </w:abstractNum>
  <w:abstractNum w:abstractNumId="9">
    <w:nsid w:val="109CF92E"/>
    <w:multiLevelType w:val="hybridMultilevel"/>
    <w:lvl w:ilvl="0">
      <w:lvlJc w:val="left"/>
      <w:lvlText w:val="•"/>
      <w:numFmt w:val="bullet"/>
      <w:start w:val="1"/>
    </w:lvl>
  </w:abstractNum>
  <w:abstractNum w:abstractNumId="10">
    <w:nsid w:val="DED7263"/>
    <w:multiLevelType w:val="hybridMultilevel"/>
    <w:lvl w:ilvl="0">
      <w:lvlJc w:val="left"/>
      <w:lvlText w:val="•"/>
      <w:numFmt w:val="bullet"/>
      <w:start w:val="1"/>
    </w:lvl>
  </w:abstractNum>
  <w:abstractNum w:abstractNumId="11">
    <w:nsid w:val="7FDCC233"/>
    <w:multiLevelType w:val="hybridMultilevel"/>
    <w:lvl w:ilvl="0">
      <w:lvlJc w:val="left"/>
      <w:lvlText w:val="(%1)"/>
      <w:numFmt w:val="decimal"/>
      <w:start w:val="1"/>
    </w:lvl>
  </w:abstractNum>
  <w:abstractNum w:abstractNumId="12">
    <w:nsid w:val="1BEFD79F"/>
    <w:multiLevelType w:val="hybridMultilevel"/>
    <w:lvl w:ilvl="0">
      <w:lvlJc w:val="left"/>
      <w:lvlText w:val="(%1)"/>
      <w:numFmt w:val="lowerLetter"/>
      <w:start w:val="1"/>
    </w:lvl>
  </w:abstractNum>
  <w:abstractNum w:abstractNumId="13">
    <w:nsid w:val="41A7C4C9"/>
    <w:multiLevelType w:val="hybridMultilevel"/>
    <w:lvl w:ilvl="0">
      <w:lvlJc w:val="left"/>
      <w:lvlText w:val="*"/>
      <w:numFmt w:val="bullet"/>
      <w:start w:val="1"/>
    </w:lvl>
  </w:abstractNum>
  <w:abstractNum w:abstractNumId="14">
    <w:nsid w:val="6B68079A"/>
    <w:multiLevelType w:val="hybridMultilevel"/>
    <w:lvl w:ilvl="0">
      <w:lvlJc w:val="left"/>
      <w:lvlText w:val="%1."/>
      <w:numFmt w:val="decimal"/>
      <w:start w:val="1"/>
    </w:lvl>
    <w:lvl w:ilvl="1">
      <w:lvlJc w:val="left"/>
      <w:lvlText w:val="(%2)"/>
      <w:numFmt w:val="lowerLetter"/>
      <w:start w:val="1"/>
    </w:lvl>
  </w:abstractNum>
  <w:abstractNum w:abstractNumId="15">
    <w:nsid w:val="4E6AFB66"/>
    <w:multiLevelType w:val="hybridMultilevel"/>
    <w:lvl w:ilvl="0">
      <w:lvlJc w:val="left"/>
      <w:lvlText w:val="%1."/>
      <w:numFmt w:val="decimal"/>
      <w:start w:val="1"/>
    </w:lvl>
    <w:lvl w:ilvl="1">
      <w:lvlJc w:val="left"/>
      <w:lvlText w:val="(%2)"/>
      <w:numFmt w:val="lowerLetter"/>
      <w:start w:val="1"/>
    </w:lvl>
  </w:abstractNum>
  <w:abstractNum w:abstractNumId="16">
    <w:nsid w:val="25E45D3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51" Type="http://schemas.openxmlformats.org/officeDocument/2006/relationships/image" Target="media/image238.png"/><Relationship Id="rId252" Type="http://schemas.openxmlformats.org/officeDocument/2006/relationships/image" Target="media/image239.png"/><Relationship Id="rId253" Type="http://schemas.openxmlformats.org/officeDocument/2006/relationships/image" Target="media/image240.png"/><Relationship Id="rId254" Type="http://schemas.openxmlformats.org/officeDocument/2006/relationships/image" Target="media/image241.png"/><Relationship Id="rId255" Type="http://schemas.openxmlformats.org/officeDocument/2006/relationships/image" Target="media/image242.png"/><Relationship Id="rId256" Type="http://schemas.openxmlformats.org/officeDocument/2006/relationships/image" Target="media/image243.png"/><Relationship Id="rId257" Type="http://schemas.openxmlformats.org/officeDocument/2006/relationships/image" Target="media/image244.png"/><Relationship Id="rId258" Type="http://schemas.openxmlformats.org/officeDocument/2006/relationships/image" Target="media/image245.png"/><Relationship Id="rId259" Type="http://schemas.openxmlformats.org/officeDocument/2006/relationships/image" Target="media/image246.png"/><Relationship Id="rId245" Type="http://schemas.openxmlformats.org/officeDocument/2006/relationships/hyperlink" Target="https://www.sec.gov/Archives/edgar/data/1743759/000119312520254569/d65933dex31.htm" TargetMode="External"/><Relationship Id="rId246" Type="http://schemas.openxmlformats.org/officeDocument/2006/relationships/hyperlink" Target="https://www.sec.gov/Archives/edgar/data/1743759/000119312520254569/d65933dex32.htm" TargetMode="External"/><Relationship Id="rId247" Type="http://schemas.openxmlformats.org/officeDocument/2006/relationships/hyperlink" Target="https://www.sec.gov/Archives/edgar/data/1743759/000119312520248527/d507744dex42.htm" TargetMode="External"/><Relationship Id="rId248" Type="http://schemas.openxmlformats.org/officeDocument/2006/relationships/hyperlink" Target="https://www.sec.gov/Archives/edgar/data/1743759/000156459020052867/crsr-ex42_448.htm" TargetMode="External"/><Relationship Id="rId249" Type="http://schemas.openxmlformats.org/officeDocument/2006/relationships/hyperlink" Target="https://www.sec.gov/Archives/edgar/data/0001743759/000156459021012507/crsr-ex43_1280.htm" TargetMode="External"/><Relationship Id="rId250" Type="http://schemas.openxmlformats.org/officeDocument/2006/relationships/hyperlink" Target="https://www.sec.gov/Archives/edgar/data/0001743759/000119312520244634/d507744dex44.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2024-05-07T16:20:33Z</dcterms:created>
  <dcterms:modified xsi:type="dcterms:W3CDTF">2024-05-07T16:20:33Z</dcterms:modified>
</cp:coreProperties>
</file>