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91"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98" w:lineRule="exact"/>
        <w:rPr>
          <w:sz w:val="24"/>
          <w:szCs w:val="24"/>
          <w:color w:val="auto"/>
        </w:rPr>
      </w:pPr>
    </w:p>
    <w:p>
      <w:pPr>
        <w:ind w:left="3500" w:right="1620" w:hanging="3492"/>
        <w:spacing w:after="0" w:line="375" w:lineRule="auto"/>
        <w:tabs>
          <w:tab w:leader="none" w:pos="45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533"/>
        </w:trPr>
        <w:tc>
          <w:tcPr>
            <w:tcW w:w="3620" w:type="dxa"/>
            <w:vAlign w:val="bottom"/>
          </w:tcPr>
          <w:p>
            <w:pPr>
              <w:spacing w:after="0"/>
              <w:rPr>
                <w:sz w:val="24"/>
                <w:szCs w:val="24"/>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43"/>
                <w:szCs w:val="43"/>
                <w:b w:val="1"/>
                <w:bCs w:val="1"/>
                <w:color w:val="auto"/>
                <w:w w:val="93"/>
              </w:rPr>
              <w:t>Corsair Gaming,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16"/>
                <w:szCs w:val="16"/>
                <w:color w:val="auto"/>
                <w:w w:val="92"/>
              </w:rPr>
              <w:t>(Exact Name of Registrant as Specified in its Charter)</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620" w:type="dxa"/>
            <w:vAlign w:val="bottom"/>
            <w:vMerge w:val="restart"/>
          </w:tcPr>
          <w:p>
            <w:pPr>
              <w:jc w:val="center"/>
              <w:ind w:left="1942"/>
              <w:spacing w:after="0"/>
              <w:rPr>
                <w:sz w:val="20"/>
                <w:szCs w:val="20"/>
                <w:color w:val="auto"/>
              </w:rPr>
            </w:pPr>
            <w:r>
              <w:rPr>
                <w:rFonts w:ascii="Arial" w:cs="Arial" w:eastAsia="Arial" w:hAnsi="Arial"/>
                <w:sz w:val="18"/>
                <w:szCs w:val="18"/>
                <w:b w:val="1"/>
                <w:bCs w:val="1"/>
                <w:color w:val="auto"/>
                <w:w w:val="91"/>
              </w:rPr>
              <w:t>Delaware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vMerge w:val="restart"/>
          </w:tcPr>
          <w:p>
            <w:pPr>
              <w:jc w:val="center"/>
              <w:ind w:right="2064"/>
              <w:spacing w:after="0"/>
              <w:rPr>
                <w:sz w:val="20"/>
                <w:szCs w:val="20"/>
                <w:color w:val="auto"/>
              </w:rPr>
            </w:pPr>
            <w:r>
              <w:rPr>
                <w:rFonts w:ascii="Arial" w:cs="Arial" w:eastAsia="Arial" w:hAnsi="Arial"/>
                <w:sz w:val="18"/>
                <w:szCs w:val="18"/>
                <w:b w:val="1"/>
                <w:bCs w:val="1"/>
                <w:color w:val="auto"/>
                <w:w w:val="89"/>
              </w:rPr>
              <w:t>82-2335306</w:t>
            </w:r>
          </w:p>
        </w:tc>
        <w:tc>
          <w:tcPr>
            <w:tcW w:w="0" w:type="dxa"/>
            <w:vAlign w:val="bottom"/>
          </w:tcPr>
          <w:p>
            <w:pPr>
              <w:spacing w:after="0"/>
              <w:rPr>
                <w:sz w:val="1"/>
                <w:szCs w:val="1"/>
                <w:color w:val="auto"/>
              </w:rPr>
            </w:pPr>
          </w:p>
        </w:tc>
      </w:tr>
      <w:tr>
        <w:trPr>
          <w:trHeight w:val="317"/>
        </w:trPr>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tcPr>
          <w:p>
            <w:pPr>
              <w:jc w:val="center"/>
              <w:ind w:left="1922"/>
              <w:spacing w:after="0" w:line="135" w:lineRule="exact"/>
              <w:rPr>
                <w:sz w:val="20"/>
                <w:szCs w:val="20"/>
                <w:color w:val="auto"/>
              </w:rPr>
            </w:pPr>
            <w:r>
              <w:rPr>
                <w:rFonts w:ascii="Arial" w:cs="Arial" w:eastAsia="Arial" w:hAnsi="Arial"/>
                <w:sz w:val="13"/>
                <w:szCs w:val="13"/>
                <w:color w:val="auto"/>
                <w:w w:val="89"/>
              </w:rPr>
              <w:t>(State or other jurisdiction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jc w:val="center"/>
              <w:ind w:right="2064"/>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3620" w:type="dxa"/>
            <w:vAlign w:val="bottom"/>
          </w:tcPr>
          <w:p>
            <w:pPr>
              <w:jc w:val="center"/>
              <w:ind w:left="1942"/>
              <w:spacing w:after="0"/>
              <w:rPr>
                <w:sz w:val="20"/>
                <w:szCs w:val="20"/>
                <w:color w:val="auto"/>
              </w:rPr>
            </w:pPr>
            <w:r>
              <w:rPr>
                <w:rFonts w:ascii="Arial" w:cs="Arial" w:eastAsia="Arial" w:hAnsi="Arial"/>
                <w:sz w:val="13"/>
                <w:szCs w:val="13"/>
                <w:color w:val="auto"/>
                <w:w w:val="89"/>
              </w:rPr>
              <w:t>incorporation or organization)</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tcPr>
          <w:p>
            <w:pPr>
              <w:jc w:val="center"/>
              <w:ind w:right="2064"/>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08"/>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89"/>
              </w:rPr>
              <w:t>47100 Bayside Pkwy</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93"/>
              </w:rPr>
              <w:t>Fremont, CA 94538</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8"/>
              </w:rPr>
              <w:t>(Address of principal executive offices and zip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3620" w:type="dxa"/>
            <w:vAlign w:val="bottom"/>
          </w:tcPr>
          <w:p>
            <w:pPr>
              <w:spacing w:after="0"/>
              <w:rPr>
                <w:sz w:val="24"/>
                <w:szCs w:val="24"/>
                <w:color w:val="auto"/>
              </w:rPr>
            </w:pPr>
          </w:p>
        </w:tc>
        <w:tc>
          <w:tcPr>
            <w:tcW w:w="3120" w:type="dxa"/>
            <w:vAlign w:val="bottom"/>
            <w:gridSpan w:val="4"/>
          </w:tcPr>
          <w:p>
            <w:pPr>
              <w:jc w:val="center"/>
              <w:ind w:left="751"/>
              <w:spacing w:after="0"/>
              <w:rPr>
                <w:sz w:val="20"/>
                <w:szCs w:val="20"/>
                <w:color w:val="auto"/>
              </w:rPr>
            </w:pPr>
            <w:r>
              <w:rPr>
                <w:rFonts w:ascii="Arial" w:cs="Arial" w:eastAsia="Arial" w:hAnsi="Arial"/>
                <w:sz w:val="18"/>
                <w:szCs w:val="18"/>
                <w:b w:val="1"/>
                <w:bCs w:val="1"/>
                <w:color w:val="auto"/>
                <w:w w:val="90"/>
              </w:rPr>
              <w:t>(510) 657-8747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7"/>
              </w:rPr>
              <w:t>(Registrant’s telephone number, including area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740" w:type="dxa"/>
            <w:vAlign w:val="bottom"/>
            <w:gridSpan w:val="5"/>
          </w:tcPr>
          <w:p>
            <w:pPr>
              <w:ind w:left="520"/>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20" w:type="dxa"/>
            <w:vAlign w:val="bottom"/>
          </w:tcPr>
          <w:p>
            <w:pPr>
              <w:jc w:val="center"/>
              <w:ind w:left="262"/>
              <w:spacing w:after="0"/>
              <w:rPr>
                <w:sz w:val="20"/>
                <w:szCs w:val="20"/>
                <w:color w:val="auto"/>
              </w:rPr>
            </w:pPr>
            <w:r>
              <w:rPr>
                <w:rFonts w:ascii="Arial" w:cs="Arial" w:eastAsia="Arial" w:hAnsi="Arial"/>
                <w:sz w:val="14"/>
                <w:szCs w:val="14"/>
                <w:b w:val="1"/>
                <w:bCs w:val="1"/>
                <w:color w:val="auto"/>
                <w:w w:val="89"/>
              </w:rPr>
              <w:t>Title of each class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right="36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4"/>
        </w:trPr>
        <w:tc>
          <w:tcPr>
            <w:tcW w:w="3620" w:type="dxa"/>
            <w:vAlign w:val="bottom"/>
            <w:tcBorders>
              <w:top w:val="single" w:sz="8" w:color="auto"/>
            </w:tcBorders>
          </w:tcPr>
          <w:p>
            <w:pPr>
              <w:jc w:val="center"/>
              <w:ind w:left="262"/>
              <w:spacing w:after="0"/>
              <w:rPr>
                <w:sz w:val="20"/>
                <w:szCs w:val="20"/>
                <w:color w:val="auto"/>
              </w:rPr>
            </w:pPr>
            <w:r>
              <w:rPr>
                <w:rFonts w:ascii="Arial" w:cs="Arial" w:eastAsia="Arial" w:hAnsi="Arial"/>
                <w:sz w:val="18"/>
                <w:szCs w:val="18"/>
                <w:color w:val="auto"/>
                <w:w w:val="89"/>
              </w:rPr>
              <w:t>Common Stock, $0.0001 par value per share</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0"/>
              </w:rPr>
              <w:t>CRSR</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4"/>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8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1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21, 2021, the registrant had 94,343,994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80" w:type="dxa"/>
            <w:vAlign w:val="bottom"/>
            <w:gridSpan w:val="10"/>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22"/>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Combined Consolidated Statements of Operations - Three and Nine Months Ended September 30, 2021 and</w:t>
              </w:r>
            </w:hyperlink>
          </w:p>
        </w:tc>
        <w:tc>
          <w:tcPr>
            <w:tcW w:w="6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September 30, 2020</w:t>
              </w:r>
            </w:hyperlink>
          </w:p>
        </w:tc>
        <w:tc>
          <w:tcPr>
            <w:tcW w:w="78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Combined Consolidated Statements of Comprehensive Income - Three and Nine Months Ended September 30, 2021</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September 30, 2020</w:t>
              </w:r>
            </w:hyperlink>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Combined Consolidated Balance Sheets - As of September 30,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Combined Consolidated Statements of Shareholder’s Equity - Three and Nine Months Ended September 30, 2021</w:t>
              </w:r>
            </w:hyperlink>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September 30, 2020</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2"/>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Condensed Combined Consolidated Statements of Cash Flows – Nine Months Ended September 30, 2021 and September 30,</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Combined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49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OTHER INFORMATION</w:t>
              </w:r>
            </w:hyperlink>
          </w:p>
        </w:tc>
        <w:tc>
          <w:tcPr>
            <w:tcW w:w="74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49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800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43" w:lineRule="exact"/>
        <w:rPr>
          <w:sz w:val="20"/>
          <w:szCs w:val="20"/>
          <w:color w:val="auto"/>
        </w:rPr>
      </w:pPr>
    </w:p>
    <w:p>
      <w:pPr>
        <w:ind w:right="360"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20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II, Item 1A, “Risk Factors” in this Quarterly Report on Form 10-Q.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391,121</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457,103</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1,393,438</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289,759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329,159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1,001,397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(16,656)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(29,116)</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(15,854)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0"/>
              </w:rPr>
              <w:t>Weighted-average shares used to compute net income per share</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93,918</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84,871</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92,894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100,041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100,116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8"/>
                <w:szCs w:val="18"/>
                <w:color w:val="auto"/>
              </w:rPr>
            </w:pPr>
          </w:p>
        </w:tc>
        <w:tc>
          <w:tcPr>
            <w:tcW w:w="204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0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60,174</w:t>
            </w:r>
          </w:p>
        </w:tc>
        <w:tc>
          <w:tcPr>
            <w:tcW w:w="120" w:type="dxa"/>
            <w:vAlign w:val="bottom"/>
            <w:shd w:val="clear" w:color="auto" w:fill="CFF0FC"/>
          </w:tcPr>
          <w:p>
            <w:pPr>
              <w:spacing w:after="0"/>
              <w:rPr>
                <w:sz w:val="19"/>
                <w:szCs w:val="19"/>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 net of zero tax</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(1,943)</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(1,217)</w:t>
            </w:r>
          </w:p>
        </w:tc>
      </w:tr>
      <w:tr>
        <w:trPr>
          <w:trHeight w:val="215"/>
        </w:trPr>
        <w:tc>
          <w:tcPr>
            <w:tcW w:w="6700" w:type="dxa"/>
            <w:vAlign w:val="bottom"/>
          </w:tcPr>
          <w:p>
            <w:pPr>
              <w:ind w:left="140"/>
              <w:spacing w:after="0"/>
              <w:rPr>
                <w:sz w:val="20"/>
                <w:szCs w:val="20"/>
                <w:color w:val="auto"/>
              </w:rPr>
            </w:pPr>
            <w:r>
              <w:rPr>
                <w:rFonts w:ascii="Arial" w:cs="Arial" w:eastAsia="Arial" w:hAnsi="Arial"/>
                <w:sz w:val="18"/>
                <w:szCs w:val="18"/>
                <w:color w:val="auto"/>
              </w:rPr>
              <w:t>Unrealized foreign exchange gain (loss) from long-term intercompany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tcPr>
          <w:p>
            <w:pPr>
              <w:ind w:left="320"/>
              <w:spacing w:after="0"/>
              <w:rPr>
                <w:sz w:val="20"/>
                <w:szCs w:val="20"/>
                <w:color w:val="auto"/>
              </w:rPr>
            </w:pPr>
            <w:r>
              <w:rPr>
                <w:rFonts w:ascii="Arial" w:cs="Arial" w:eastAsia="Arial" w:hAnsi="Arial"/>
                <w:sz w:val="18"/>
                <w:szCs w:val="18"/>
                <w:color w:val="auto"/>
              </w:rPr>
              <w:t>loans, net of tax benefit (expense) of $24 and $(128) for the three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tcPr>
          <w:p>
            <w:pPr>
              <w:ind w:left="320"/>
              <w:spacing w:after="0"/>
              <w:rPr>
                <w:sz w:val="20"/>
                <w:szCs w:val="20"/>
                <w:color w:val="auto"/>
              </w:rPr>
            </w:pPr>
            <w:r>
              <w:rPr>
                <w:rFonts w:ascii="Arial" w:cs="Arial" w:eastAsia="Arial" w:hAnsi="Arial"/>
                <w:sz w:val="18"/>
                <w:szCs w:val="18"/>
                <w:color w:val="auto"/>
              </w:rPr>
              <w:t>months ended September 30, 2021 and 2020, respectively and $56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tcPr>
          <w:p>
            <w:pPr>
              <w:ind w:left="320"/>
              <w:spacing w:after="0"/>
              <w:rPr>
                <w:sz w:val="20"/>
                <w:szCs w:val="20"/>
                <w:color w:val="auto"/>
              </w:rPr>
            </w:pPr>
            <w:r>
              <w:rPr>
                <w:rFonts w:ascii="Arial" w:cs="Arial" w:eastAsia="Arial" w:hAnsi="Arial"/>
                <w:sz w:val="18"/>
                <w:szCs w:val="18"/>
                <w:color w:val="auto"/>
              </w:rPr>
              <w:t>and $(24) for the nine months ended September 30, 2021 and 2020,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0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0"/>
                <w:szCs w:val="20"/>
                <w:color w:val="auto"/>
              </w:rPr>
            </w:pPr>
          </w:p>
        </w:tc>
      </w:tr>
      <w:tr>
        <w:trPr>
          <w:trHeight w:val="223"/>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66"/>
        </w:trPr>
        <w:tc>
          <w:tcPr>
            <w:tcW w:w="1360" w:type="dxa"/>
            <w:vAlign w:val="bottom"/>
            <w:tcBorders>
              <w:top w:val="single" w:sz="8" w:color="0000EE"/>
            </w:tcBorders>
          </w:tcPr>
          <w:p>
            <w:pPr>
              <w:spacing w:after="0"/>
              <w:rPr>
                <w:sz w:val="24"/>
                <w:szCs w:val="24"/>
                <w:color w:val="auto"/>
              </w:rPr>
            </w:pPr>
          </w:p>
        </w:tc>
        <w:tc>
          <w:tcPr>
            <w:tcW w:w="638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Corsair Gaming,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6380" w:type="dxa"/>
            <w:vAlign w:val="bottom"/>
          </w:tcPr>
          <w:p>
            <w:pPr>
              <w:jc w:val="center"/>
              <w:ind w:left="2070"/>
              <w:spacing w:after="0"/>
              <w:rPr>
                <w:sz w:val="20"/>
                <w:szCs w:val="20"/>
                <w:color w:val="auto"/>
              </w:rPr>
            </w:pPr>
            <w:r>
              <w:rPr>
                <w:rFonts w:ascii="Arial" w:cs="Arial" w:eastAsia="Arial" w:hAnsi="Arial"/>
                <w:sz w:val="18"/>
                <w:szCs w:val="18"/>
                <w:b w:val="1"/>
                <w:bCs w:val="1"/>
                <w:color w:val="auto"/>
                <w:w w:val="87"/>
              </w:rPr>
              <w:t>Condensed Combined Consolidated Balance Sheets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6380" w:type="dxa"/>
            <w:vAlign w:val="bottom"/>
          </w:tcPr>
          <w:p>
            <w:pPr>
              <w:jc w:val="center"/>
              <w:ind w:left="205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3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3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129,543</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293,629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331,938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226,007</w:t>
            </w:r>
          </w:p>
        </w:tc>
        <w:tc>
          <w:tcPr>
            <w:tcW w:w="10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37,997</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708,124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690,971</w:t>
            </w:r>
          </w:p>
        </w:tc>
        <w:tc>
          <w:tcPr>
            <w:tcW w:w="10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313,793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312,760</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259,317</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Restricted cash, noncurrent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100" w:type="dxa"/>
            <w:vAlign w:val="bottom"/>
            <w:shd w:val="clear" w:color="auto" w:fill="CFF0FC"/>
          </w:tcPr>
          <w:p>
            <w:pPr>
              <w:spacing w:after="0"/>
              <w:rPr>
                <w:sz w:val="19"/>
                <w:szCs w:val="19"/>
                <w:color w:val="auto"/>
              </w:rPr>
            </w:pPr>
          </w:p>
        </w:tc>
      </w:tr>
      <w:tr>
        <w:trPr>
          <w:trHeight w:val="263"/>
        </w:trPr>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1,341,689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1,314,115</w:t>
            </w:r>
          </w:p>
        </w:tc>
        <w:tc>
          <w:tcPr>
            <w:tcW w:w="100" w:type="dxa"/>
            <w:vAlign w:val="bottom"/>
            <w:tcBorders>
              <w:bottom w:val="single" w:sz="8" w:color="CFF0FC"/>
            </w:tcBorders>
          </w:tcPr>
          <w:p>
            <w:pPr>
              <w:spacing w:after="0"/>
              <w:rPr>
                <w:sz w:val="22"/>
                <w:szCs w:val="22"/>
                <w:color w:val="auto"/>
              </w:rPr>
            </w:pPr>
          </w:p>
        </w:tc>
      </w:tr>
      <w:tr>
        <w:trPr>
          <w:trHeight w:val="21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247,509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299,636</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Debt maturing within one year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205,745</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475,551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505,381</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321,393</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29,752</w:t>
            </w:r>
          </w:p>
        </w:tc>
        <w:tc>
          <w:tcPr>
            <w:tcW w:w="10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liabilities, noncurrent</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20,199</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876,725</w:t>
            </w:r>
          </w:p>
        </w:tc>
        <w:tc>
          <w:tcPr>
            <w:tcW w:w="100" w:type="dxa"/>
            <w:vAlign w:val="bottom"/>
            <w:tcBorders>
              <w:bottom w:val="single" w:sz="8" w:color="CFF0FC"/>
            </w:tcBorders>
          </w:tcPr>
          <w:p>
            <w:pPr>
              <w:spacing w:after="0"/>
              <w:rPr>
                <w:sz w:val="19"/>
                <w:szCs w:val="19"/>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$0.0001 par value: 5,000 shares authorized, nil and nil shares issued</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and outstanding as of September 30, 2021 and December 31, 2020, respectively</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Common stock, $0.0001 par value: 300,000 shares authorized, 94,186 and 91,935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shares issued and outstanding as of September 30, 2021 and December 31, 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438,667</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Retained earnings (accumulated 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73,432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(2,813)</w:t>
            </w:r>
          </w:p>
        </w:tc>
      </w:tr>
      <w:tr>
        <w:trPr>
          <w:trHeight w:val="230"/>
        </w:trPr>
        <w:tc>
          <w:tcPr>
            <w:tcW w:w="7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437,390</w:t>
            </w:r>
          </w:p>
        </w:tc>
        <w:tc>
          <w:tcPr>
            <w:tcW w:w="10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1,314,115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136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gridSpan w:val="12"/>
          </w:tcPr>
          <w:p>
            <w:pPr>
              <w:jc w:val="center"/>
              <w:ind w:right="720"/>
              <w:spacing w:after="0"/>
              <w:rPr>
                <w:sz w:val="20"/>
                <w:szCs w:val="20"/>
                <w:color w:val="auto"/>
              </w:rPr>
            </w:pPr>
            <w:r>
              <w:rPr>
                <w:rFonts w:ascii="Arial" w:cs="Arial" w:eastAsia="Arial" w:hAnsi="Arial"/>
                <w:sz w:val="18"/>
                <w:szCs w:val="18"/>
                <w:b w:val="1"/>
                <w:bCs w:val="1"/>
                <w:color w:val="auto"/>
                <w:w w:val="93"/>
              </w:rPr>
              <w:t>Corsair Gaming,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60" w:type="dxa"/>
            <w:vAlign w:val="bottom"/>
            <w:gridSpan w:val="20"/>
          </w:tcPr>
          <w:p>
            <w:pPr>
              <w:jc w:val="center"/>
              <w:ind w:right="100"/>
              <w:spacing w:after="0"/>
              <w:rPr>
                <w:sz w:val="20"/>
                <w:szCs w:val="20"/>
                <w:color w:val="auto"/>
              </w:rPr>
            </w:pPr>
            <w:r>
              <w:rPr>
                <w:rFonts w:ascii="Arial" w:cs="Arial" w:eastAsia="Arial" w:hAnsi="Arial"/>
                <w:sz w:val="18"/>
                <w:szCs w:val="18"/>
                <w:b w:val="1"/>
                <w:bCs w:val="1"/>
                <w:color w:val="auto"/>
                <w:w w:val="89"/>
              </w:rPr>
              <w:t>Condensed Combined Consolidated Statements of Stockholders’ Equity</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60" w:type="dxa"/>
            <w:vAlign w:val="bottom"/>
            <w:gridSpan w:val="13"/>
          </w:tcPr>
          <w:p>
            <w:pPr>
              <w:jc w:val="center"/>
              <w:ind w:left="270"/>
              <w:spacing w:after="0"/>
              <w:rPr>
                <w:sz w:val="20"/>
                <w:szCs w:val="20"/>
                <w:color w:val="auto"/>
              </w:rPr>
            </w:pPr>
            <w:r>
              <w:rPr>
                <w:rFonts w:ascii="Arial" w:cs="Arial" w:eastAsia="Arial" w:hAnsi="Arial"/>
                <w:sz w:val="18"/>
                <w:szCs w:val="18"/>
                <w:b w:val="1"/>
                <w:bCs w:val="1"/>
                <w:color w:val="auto"/>
                <w:w w:val="90"/>
              </w:rPr>
              <w:t>(Unaudited, 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7"/>
          </w:tcPr>
          <w:p>
            <w:pPr>
              <w:jc w:val="center"/>
              <w:ind w:right="960"/>
              <w:spacing w:after="0"/>
              <w:rPr>
                <w:sz w:val="20"/>
                <w:szCs w:val="20"/>
                <w:color w:val="auto"/>
              </w:rPr>
            </w:pPr>
            <w:r>
              <w:rPr>
                <w:rFonts w:ascii="Arial" w:cs="Arial" w:eastAsia="Arial" w:hAnsi="Arial"/>
                <w:sz w:val="18"/>
                <w:szCs w:val="18"/>
                <w:b w:val="1"/>
                <w:bCs w:val="1"/>
                <w:color w:val="auto"/>
                <w:w w:val="90"/>
              </w:rPr>
              <w:t>Three Months Ended September 30, 2021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jc w:val="center"/>
              <w:ind w:right="2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60" w:type="dxa"/>
            <w:vAlign w:val="bottom"/>
          </w:tcPr>
          <w:p>
            <w:pPr>
              <w:spacing w:after="0"/>
              <w:rPr>
                <w:sz w:val="20"/>
                <w:szCs w:val="20"/>
                <w:color w:val="auto"/>
              </w:rPr>
            </w:pPr>
          </w:p>
        </w:tc>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Comprehensive</w:t>
            </w:r>
          </w:p>
        </w:tc>
        <w:tc>
          <w:tcPr>
            <w:tcW w:w="40" w:type="dxa"/>
            <w:vAlign w:val="bottom"/>
          </w:tcPr>
          <w:p>
            <w:pPr>
              <w:spacing w:after="0"/>
              <w:rPr>
                <w:sz w:val="20"/>
                <w:szCs w:val="20"/>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19"/>
                <w:szCs w:val="19"/>
                <w:color w:val="auto"/>
              </w:rPr>
            </w:pPr>
          </w:p>
        </w:tc>
        <w:tc>
          <w:tcPr>
            <w:tcW w:w="1380" w:type="dxa"/>
            <w:vAlign w:val="bottom"/>
            <w:gridSpan w:val="5"/>
          </w:tcPr>
          <w:p>
            <w:pPr>
              <w:ind w:left="60"/>
              <w:spacing w:after="0"/>
              <w:rPr>
                <w:sz w:val="20"/>
                <w:szCs w:val="20"/>
                <w:color w:val="auto"/>
              </w:rPr>
            </w:pPr>
            <w:r>
              <w:rPr>
                <w:rFonts w:ascii="Arial" w:cs="Arial" w:eastAsia="Arial" w:hAnsi="Arial"/>
                <w:sz w:val="18"/>
                <w:szCs w:val="18"/>
                <w:b w:val="1"/>
                <w:bCs w:val="1"/>
                <w:color w:val="auto"/>
              </w:rPr>
              <w:t>Income (Loss)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Equity</w:t>
            </w:r>
          </w:p>
        </w:tc>
      </w:tr>
      <w:tr>
        <w:trPr>
          <w:trHeight w:val="48"/>
        </w:trPr>
        <w:tc>
          <w:tcPr>
            <w:tcW w:w="13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93,790</w:t>
            </w:r>
          </w:p>
        </w:tc>
        <w:tc>
          <w:tcPr>
            <w:tcW w:w="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in</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tcPr>
          <w:p>
            <w:pPr>
              <w:ind w:left="260"/>
              <w:spacing w:after="0"/>
              <w:rPr>
                <w:sz w:val="20"/>
                <w:szCs w:val="20"/>
                <w:color w:val="auto"/>
              </w:rPr>
            </w:pPr>
            <w:r>
              <w:rPr>
                <w:rFonts w:ascii="Arial" w:cs="Arial" w:eastAsia="Arial" w:hAnsi="Arial"/>
                <w:sz w:val="18"/>
                <w:szCs w:val="18"/>
                <w:color w:val="auto"/>
                <w:w w:val="98"/>
              </w:rPr>
              <w:t>connection with employee equity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gridSpan w:val="2"/>
          </w:tcPr>
          <w:p>
            <w:pPr>
              <w:ind w:left="260"/>
              <w:spacing w:after="0"/>
              <w:rPr>
                <w:sz w:val="20"/>
                <w:szCs w:val="20"/>
                <w:color w:val="auto"/>
              </w:rPr>
            </w:pPr>
            <w:r>
              <w:rPr>
                <w:rFonts w:ascii="Arial" w:cs="Arial" w:eastAsia="Arial" w:hAnsi="Arial"/>
                <w:sz w:val="18"/>
                <w:szCs w:val="18"/>
                <w:color w:val="auto"/>
              </w:rPr>
              <w:t>incentive plans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2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2"/>
              </w:rPr>
              <w:t>Shares withheld related to net share</w:t>
            </w: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w:t>
            </w:r>
          </w:p>
        </w:tc>
        <w:tc>
          <w:tcPr>
            <w:tcW w:w="1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(208)</w:t>
            </w: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loss</w:t>
            </w: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(2,064)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(2,064)</w:t>
            </w: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94,186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463,626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73,432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537,015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7"/>
          </w:tcPr>
          <w:p>
            <w:pPr>
              <w:jc w:val="right"/>
              <w:ind w:right="940"/>
              <w:spacing w:after="0"/>
              <w:rPr>
                <w:sz w:val="20"/>
                <w:szCs w:val="20"/>
                <w:color w:val="auto"/>
              </w:rPr>
            </w:pPr>
            <w:r>
              <w:rPr>
                <w:rFonts w:ascii="Arial" w:cs="Arial" w:eastAsia="Arial" w:hAnsi="Arial"/>
                <w:sz w:val="18"/>
                <w:szCs w:val="18"/>
                <w:b w:val="1"/>
                <w:bCs w:val="1"/>
                <w:color w:val="auto"/>
                <w:w w:val="91"/>
              </w:rPr>
              <w:t>Three Months Ended September 30, 2020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20"/>
              <w:spacing w:after="0" w:line="205" w:lineRule="exact"/>
              <w:rPr>
                <w:sz w:val="20"/>
                <w:szCs w:val="20"/>
                <w:color w:val="auto"/>
              </w:rPr>
            </w:pPr>
            <w:r>
              <w:rPr>
                <w:rFonts w:ascii="Arial" w:cs="Arial" w:eastAsia="Arial" w:hAnsi="Arial"/>
                <w:sz w:val="18"/>
                <w:szCs w:val="18"/>
                <w:b w:val="1"/>
                <w:bCs w:val="1"/>
                <w:color w:val="auto"/>
                <w:w w:val="89"/>
              </w:rPr>
              <w:t>Retained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jc w:val="center"/>
              <w:ind w:right="14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20"/>
                <w:szCs w:val="20"/>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6"/>
              </w:rPr>
              <w:t>Comprehensive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Deficit)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48"/>
        </w:trPr>
        <w:tc>
          <w:tcPr>
            <w:tcW w:w="13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1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84,349</w:t>
            </w:r>
          </w:p>
        </w:tc>
        <w:tc>
          <w:tcPr>
            <w:tcW w:w="58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328,588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(82,213)</w:t>
            </w: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(5,877)</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240,506</w:t>
            </w:r>
          </w:p>
        </w:tc>
        <w:tc>
          <w:tcPr>
            <w:tcW w:w="100" w:type="dxa"/>
            <w:vAlign w:val="bottom"/>
            <w:shd w:val="clear" w:color="auto" w:fill="CFF0FC"/>
          </w:tcPr>
          <w:p>
            <w:pPr>
              <w:spacing w:after="0"/>
              <w:rPr>
                <w:sz w:val="19"/>
                <w:szCs w:val="19"/>
                <w:color w:val="auto"/>
              </w:rPr>
            </w:pPr>
          </w:p>
        </w:tc>
      </w:tr>
      <w:tr>
        <w:trPr>
          <w:trHeight w:val="215"/>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in</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tcPr>
          <w:p>
            <w:pPr>
              <w:ind w:left="260"/>
              <w:spacing w:after="0"/>
              <w:rPr>
                <w:sz w:val="20"/>
                <w:szCs w:val="20"/>
                <w:color w:val="auto"/>
              </w:rPr>
            </w:pPr>
            <w:r>
              <w:rPr>
                <w:rFonts w:ascii="Arial" w:cs="Arial" w:eastAsia="Arial" w:hAnsi="Arial"/>
                <w:sz w:val="18"/>
                <w:szCs w:val="18"/>
                <w:color w:val="auto"/>
                <w:w w:val="98"/>
              </w:rPr>
              <w:t>connection with employee equity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gridSpan w:val="2"/>
          </w:tcPr>
          <w:p>
            <w:pPr>
              <w:ind w:left="260"/>
              <w:spacing w:after="0"/>
              <w:rPr>
                <w:sz w:val="20"/>
                <w:szCs w:val="20"/>
                <w:color w:val="auto"/>
              </w:rPr>
            </w:pPr>
            <w:r>
              <w:rPr>
                <w:rFonts w:ascii="Arial" w:cs="Arial" w:eastAsia="Arial" w:hAnsi="Arial"/>
                <w:sz w:val="18"/>
                <w:szCs w:val="18"/>
                <w:color w:val="auto"/>
              </w:rPr>
              <w:t>incentive plans</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r>
      <w:tr>
        <w:trPr>
          <w:trHeight w:val="215"/>
        </w:trPr>
        <w:tc>
          <w:tcPr>
            <w:tcW w:w="4820" w:type="dxa"/>
            <w:vAlign w:val="bottom"/>
            <w:gridSpan w:val="6"/>
            <w:shd w:val="clear" w:color="auto" w:fill="CFF0FC"/>
          </w:tcPr>
          <w:p>
            <w:pPr>
              <w:ind w:left="140"/>
              <w:spacing w:after="0"/>
              <w:rPr>
                <w:sz w:val="20"/>
                <w:szCs w:val="20"/>
                <w:color w:val="auto"/>
              </w:rPr>
            </w:pPr>
            <w:r>
              <w:rPr>
                <w:rFonts w:ascii="Arial" w:cs="Arial" w:eastAsia="Arial" w:hAnsi="Arial"/>
                <w:sz w:val="18"/>
                <w:szCs w:val="18"/>
                <w:color w:val="auto"/>
              </w:rPr>
              <w:t>Issuance of common stock upon initial</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4"/>
              </w:rPr>
              <w:t>public offering, net of underwriting</w:t>
            </w: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discounts and commissions and</w:t>
            </w: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offering costs</w:t>
            </w:r>
          </w:p>
        </w:tc>
        <w:tc>
          <w:tcPr>
            <w:tcW w:w="1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106,729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106,730</w:t>
            </w:r>
          </w:p>
        </w:tc>
        <w:tc>
          <w:tcPr>
            <w:tcW w:w="100" w:type="dxa"/>
            <w:vAlign w:val="bottom"/>
            <w:shd w:val="clear" w:color="auto" w:fill="CFF0FC"/>
          </w:tcPr>
          <w:p>
            <w:pPr>
              <w:spacing w:after="0"/>
              <w:rPr>
                <w:sz w:val="20"/>
                <w:szCs w:val="20"/>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r>
      <w:tr>
        <w:trPr>
          <w:trHeight w:val="230"/>
        </w:trPr>
        <w:tc>
          <w:tcPr>
            <w:tcW w:w="2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income</w:t>
            </w: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3,069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100" w:type="dxa"/>
            <w:vAlign w:val="bottom"/>
            <w:shd w:val="clear" w:color="auto" w:fill="CFF0FC"/>
          </w:tcPr>
          <w:p>
            <w:pPr>
              <w:spacing w:after="0"/>
              <w:rPr>
                <w:sz w:val="19"/>
                <w:szCs w:val="19"/>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36,357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36,357</w:t>
            </w:r>
          </w:p>
        </w:tc>
        <w:tc>
          <w:tcPr>
            <w:tcW w:w="100" w:type="dxa"/>
            <w:vAlign w:val="bottom"/>
          </w:tcPr>
          <w:p>
            <w:pPr>
              <w:spacing w:after="0"/>
              <w:rPr>
                <w:sz w:val="19"/>
                <w:szCs w:val="19"/>
                <w:color w:val="auto"/>
              </w:rPr>
            </w:pPr>
          </w:p>
        </w:tc>
      </w:tr>
      <w:tr>
        <w:trPr>
          <w:trHeight w:val="223"/>
        </w:trPr>
        <w:tc>
          <w:tcPr>
            <w:tcW w:w="2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September 30, 2020</w:t>
            </w:r>
          </w:p>
        </w:tc>
        <w:tc>
          <w:tcPr>
            <w:tcW w:w="8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91,914</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437,207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(45,856)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388,552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b w:val="1"/>
                <w:bCs w:val="1"/>
                <w:color w:val="auto"/>
                <w:w w:val="90"/>
              </w:rPr>
              <w:t>Nine Months Ended September 30, 2021</w:t>
            </w: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360"/>
              <w:spacing w:after="0" w:line="205" w:lineRule="exact"/>
              <w:rPr>
                <w:sz w:val="20"/>
                <w:szCs w:val="20"/>
                <w:color w:val="auto"/>
              </w:rPr>
            </w:pPr>
            <w:r>
              <w:rPr>
                <w:rFonts w:ascii="Arial" w:cs="Arial" w:eastAsia="Arial" w:hAnsi="Arial"/>
                <w:sz w:val="18"/>
                <w:szCs w:val="18"/>
                <w:b w:val="1"/>
                <w:bCs w:val="1"/>
                <w:color w:val="auto"/>
                <w:w w:val="92"/>
              </w:rPr>
              <w:t>Retained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jc w:val="center"/>
              <w:ind w:right="2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Paid-in</w:t>
            </w:r>
          </w:p>
        </w:tc>
        <w:tc>
          <w:tcPr>
            <w:tcW w:w="1280" w:type="dxa"/>
            <w:vAlign w:val="bottom"/>
            <w:gridSpan w:val="5"/>
          </w:tcPr>
          <w:p>
            <w:pPr>
              <w:ind w:left="2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20"/>
                <w:szCs w:val="20"/>
                <w:color w:val="auto"/>
              </w:rPr>
            </w:pPr>
          </w:p>
        </w:tc>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Comprehensive</w:t>
            </w:r>
          </w:p>
        </w:tc>
        <w:tc>
          <w:tcPr>
            <w:tcW w:w="40" w:type="dxa"/>
            <w:vAlign w:val="bottom"/>
          </w:tcPr>
          <w:p>
            <w:pPr>
              <w:spacing w:after="0"/>
              <w:rPr>
                <w:sz w:val="20"/>
                <w:szCs w:val="20"/>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Deficit)</w:t>
            </w:r>
          </w:p>
        </w:tc>
        <w:tc>
          <w:tcPr>
            <w:tcW w:w="60" w:type="dxa"/>
            <w:vAlign w:val="bottom"/>
          </w:tcPr>
          <w:p>
            <w:pPr>
              <w:spacing w:after="0"/>
              <w:rPr>
                <w:sz w:val="19"/>
                <w:szCs w:val="19"/>
                <w:color w:val="auto"/>
              </w:rPr>
            </w:pPr>
          </w:p>
        </w:tc>
        <w:tc>
          <w:tcPr>
            <w:tcW w:w="1380" w:type="dxa"/>
            <w:vAlign w:val="bottom"/>
            <w:gridSpan w:val="5"/>
          </w:tcPr>
          <w:p>
            <w:pPr>
              <w:ind w:left="60"/>
              <w:spacing w:after="0"/>
              <w:rPr>
                <w:sz w:val="20"/>
                <w:szCs w:val="20"/>
                <w:color w:val="auto"/>
              </w:rPr>
            </w:pPr>
            <w:r>
              <w:rPr>
                <w:rFonts w:ascii="Arial" w:cs="Arial" w:eastAsia="Arial" w:hAnsi="Arial"/>
                <w:sz w:val="18"/>
                <w:szCs w:val="18"/>
                <w:b w:val="1"/>
                <w:bCs w:val="1"/>
                <w:color w:val="auto"/>
              </w:rPr>
              <w:t>Income (Loss)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Equity</w:t>
            </w:r>
          </w:p>
        </w:tc>
      </w:tr>
      <w:tr>
        <w:trPr>
          <w:trHeight w:val="48"/>
        </w:trPr>
        <w:tc>
          <w:tcPr>
            <w:tcW w:w="13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91,935</w:t>
            </w:r>
          </w:p>
        </w:tc>
        <w:tc>
          <w:tcPr>
            <w:tcW w:w="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FF0FC"/>
          </w:tcPr>
          <w:p>
            <w:pPr>
              <w:spacing w:after="0"/>
              <w:rPr>
                <w:sz w:val="19"/>
                <w:szCs w:val="19"/>
                <w:color w:val="auto"/>
              </w:rPr>
            </w:pPr>
          </w:p>
        </w:tc>
        <w:tc>
          <w:tcPr>
            <w:tcW w:w="42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437,390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in</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tcPr>
          <w:p>
            <w:pPr>
              <w:ind w:left="260"/>
              <w:spacing w:after="0"/>
              <w:rPr>
                <w:sz w:val="20"/>
                <w:szCs w:val="20"/>
                <w:color w:val="auto"/>
              </w:rPr>
            </w:pPr>
            <w:r>
              <w:rPr>
                <w:rFonts w:ascii="Arial" w:cs="Arial" w:eastAsia="Arial" w:hAnsi="Arial"/>
                <w:sz w:val="18"/>
                <w:szCs w:val="18"/>
                <w:color w:val="auto"/>
                <w:w w:val="98"/>
              </w:rPr>
              <w:t>connection with employee equity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gridSpan w:val="2"/>
          </w:tcPr>
          <w:p>
            <w:pPr>
              <w:ind w:left="260"/>
              <w:spacing w:after="0"/>
              <w:rPr>
                <w:sz w:val="20"/>
                <w:szCs w:val="20"/>
                <w:color w:val="auto"/>
              </w:rPr>
            </w:pPr>
            <w:r>
              <w:rPr>
                <w:rFonts w:ascii="Arial" w:cs="Arial" w:eastAsia="Arial" w:hAnsi="Arial"/>
                <w:sz w:val="18"/>
                <w:szCs w:val="18"/>
                <w:color w:val="auto"/>
              </w:rPr>
              <w:t>incentive plans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2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2"/>
              </w:rPr>
              <w:t>Shares withheld related to net share</w:t>
            </w: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w:t>
            </w:r>
          </w:p>
        </w:tc>
        <w:tc>
          <w:tcPr>
            <w:tcW w:w="1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(215)</w:t>
            </w: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loss</w:t>
            </w: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(1,579)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(1,579)</w:t>
            </w: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94,186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463,626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73,432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537,015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82"/>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2"/>
              </w:rPr>
              <w:t>Nine Months Ended September 30, 2020</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9"/>
              </w:rPr>
              <w:t>Retained</w:t>
            </w:r>
          </w:p>
        </w:tc>
        <w:tc>
          <w:tcPr>
            <w:tcW w:w="1420" w:type="dxa"/>
            <w:vAlign w:val="bottom"/>
            <w:gridSpan w:val="3"/>
          </w:tcPr>
          <w:p>
            <w:pPr>
              <w:jc w:val="center"/>
              <w:ind w:right="24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340" w:type="dxa"/>
            <w:vAlign w:val="bottom"/>
          </w:tcPr>
          <w:p>
            <w:pPr>
              <w:spacing w:after="0"/>
              <w:rPr>
                <w:sz w:val="18"/>
                <w:szCs w:val="18"/>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34"/>
        </w:trPr>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1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Deficit)</w:t>
            </w:r>
          </w:p>
        </w:tc>
        <w:tc>
          <w:tcPr>
            <w:tcW w:w="340" w:type="dxa"/>
            <w:vAlign w:val="bottom"/>
          </w:tcPr>
          <w:p>
            <w:pPr>
              <w:spacing w:after="0"/>
              <w:rPr>
                <w:sz w:val="19"/>
                <w:szCs w:val="19"/>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5"/>
              </w:rPr>
              <w:t>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48"/>
        </w:trPr>
        <w:tc>
          <w:tcPr>
            <w:tcW w:w="13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84,079</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(106,030)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(2,171)</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216,775</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to directors</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Issuance of common stock in</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connection with employee equity</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incentive plans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FF0FC"/>
          </w:tcPr>
          <w:p>
            <w:pPr>
              <w:spacing w:after="0"/>
              <w:rPr>
                <w:sz w:val="20"/>
                <w:szCs w:val="20"/>
                <w:color w:val="auto"/>
              </w:rPr>
            </w:pPr>
          </w:p>
        </w:tc>
      </w:tr>
      <w:tr>
        <w:trPr>
          <w:trHeight w:val="215"/>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upon initial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tcPr>
          <w:p>
            <w:pPr>
              <w:ind w:left="260"/>
              <w:spacing w:after="0"/>
              <w:rPr>
                <w:sz w:val="20"/>
                <w:szCs w:val="20"/>
                <w:color w:val="auto"/>
              </w:rPr>
            </w:pPr>
            <w:r>
              <w:rPr>
                <w:rFonts w:ascii="Arial" w:cs="Arial" w:eastAsia="Arial" w:hAnsi="Arial"/>
                <w:sz w:val="18"/>
                <w:szCs w:val="18"/>
                <w:color w:val="auto"/>
              </w:rPr>
              <w:t>public offering, net of underwriting</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tcPr>
          <w:p>
            <w:pPr>
              <w:ind w:left="260"/>
              <w:spacing w:after="0"/>
              <w:rPr>
                <w:sz w:val="20"/>
                <w:szCs w:val="20"/>
                <w:color w:val="auto"/>
              </w:rPr>
            </w:pPr>
            <w:r>
              <w:rPr>
                <w:rFonts w:ascii="Arial" w:cs="Arial" w:eastAsia="Arial" w:hAnsi="Arial"/>
                <w:sz w:val="18"/>
                <w:szCs w:val="18"/>
                <w:color w:val="auto"/>
              </w:rPr>
              <w:t>discounts and commissions and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60" w:type="dxa"/>
            <w:vAlign w:val="bottom"/>
            <w:gridSpan w:val="2"/>
          </w:tcPr>
          <w:p>
            <w:pPr>
              <w:ind w:left="260"/>
              <w:spacing w:after="0"/>
              <w:rPr>
                <w:sz w:val="20"/>
                <w:szCs w:val="20"/>
                <w:color w:val="auto"/>
              </w:rPr>
            </w:pPr>
            <w:r>
              <w:rPr>
                <w:rFonts w:ascii="Arial" w:cs="Arial" w:eastAsia="Arial" w:hAnsi="Arial"/>
                <w:sz w:val="18"/>
                <w:szCs w:val="18"/>
                <w:color w:val="auto"/>
              </w:rPr>
              <w:t>other offering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106,730</w:t>
            </w:r>
          </w:p>
        </w:tc>
        <w:tc>
          <w:tcPr>
            <w:tcW w:w="100" w:type="dxa"/>
            <w:vAlign w:val="bottom"/>
          </w:tcPr>
          <w:p>
            <w:pPr>
              <w:spacing w:after="0"/>
              <w:rPr>
                <w:sz w:val="20"/>
                <w:szCs w:val="20"/>
                <w:color w:val="auto"/>
              </w:rPr>
            </w:pPr>
          </w:p>
        </w:tc>
      </w:tr>
      <w:tr>
        <w:trPr>
          <w:trHeight w:val="230"/>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(637)</w:t>
            </w:r>
          </w:p>
        </w:tc>
      </w:tr>
      <w:tr>
        <w:trPr>
          <w:trHeight w:val="230"/>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60,174</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Balance as of September 30,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91,914</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437,207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(45,856)</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388,552</w:t>
            </w:r>
          </w:p>
        </w:tc>
        <w:tc>
          <w:tcPr>
            <w:tcW w:w="10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jc w:val="center"/>
              <w:ind w:left="4351"/>
              <w:spacing w:after="0"/>
              <w:rPr>
                <w:sz w:val="20"/>
                <w:szCs w:val="20"/>
                <w:color w:val="auto"/>
              </w:rPr>
            </w:pPr>
            <w:r>
              <w:rPr>
                <w:rFonts w:ascii="Arial" w:cs="Arial" w:eastAsia="Arial" w:hAnsi="Arial"/>
                <w:sz w:val="16"/>
                <w:szCs w:val="16"/>
                <w:b w:val="1"/>
                <w:bCs w:val="1"/>
                <w:color w:val="auto"/>
                <w:w w:val="94"/>
              </w:rPr>
              <w:t>Corsair Gaming, Inc.</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3"/>
          </w:tcPr>
          <w:p>
            <w:pPr>
              <w:jc w:val="center"/>
              <w:ind w:left="2931"/>
              <w:spacing w:after="0"/>
              <w:rPr>
                <w:sz w:val="20"/>
                <w:szCs w:val="20"/>
                <w:color w:val="auto"/>
              </w:rPr>
            </w:pPr>
            <w:r>
              <w:rPr>
                <w:rFonts w:ascii="Arial" w:cs="Arial" w:eastAsia="Arial" w:hAnsi="Arial"/>
                <w:sz w:val="16"/>
                <w:szCs w:val="16"/>
                <w:b w:val="1"/>
                <w:bCs w:val="1"/>
                <w:color w:val="auto"/>
                <w:w w:val="89"/>
              </w:rPr>
              <w:t>Condensed Combined Consolidated Statements of Cash Flows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0" w:type="dxa"/>
            <w:vAlign w:val="bottom"/>
          </w:tcPr>
          <w:p>
            <w:pPr>
              <w:jc w:val="center"/>
              <w:ind w:left="4351"/>
              <w:spacing w:after="0"/>
              <w:rPr>
                <w:sz w:val="20"/>
                <w:szCs w:val="20"/>
                <w:color w:val="auto"/>
              </w:rPr>
            </w:pPr>
            <w:r>
              <w:rPr>
                <w:rFonts w:ascii="Arial" w:cs="Arial" w:eastAsia="Arial" w:hAnsi="Arial"/>
                <w:sz w:val="16"/>
                <w:szCs w:val="16"/>
                <w:b w:val="1"/>
                <w:bCs w:val="1"/>
                <w:color w:val="auto"/>
                <w:w w:val="91"/>
              </w:rPr>
              <w:t>(Unaudited, in thousands)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Nine Months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6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76,245</w:t>
            </w:r>
          </w:p>
        </w:tc>
        <w:tc>
          <w:tcPr>
            <w:tcW w:w="3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13,656</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26,118</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 amortization</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4,868</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(6,556)</w:t>
            </w: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1,649</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38,556</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(58,067)</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(102,896)</w:t>
            </w: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(60,886)</w:t>
            </w:r>
          </w:p>
        </w:tc>
        <w:tc>
          <w:tcPr>
            <w:tcW w:w="0" w:type="dxa"/>
            <w:vAlign w:val="bottom"/>
          </w:tcPr>
          <w:p>
            <w:pPr>
              <w:spacing w:after="0"/>
              <w:rPr>
                <w:sz w:val="1"/>
                <w:szCs w:val="1"/>
                <w:color w:val="auto"/>
              </w:rPr>
            </w:pPr>
          </w:p>
        </w:tc>
      </w:tr>
      <w:tr>
        <w:trPr>
          <w:trHeight w:val="229"/>
        </w:trPr>
        <w:tc>
          <w:tcPr>
            <w:tcW w:w="68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(7,790)</w:t>
            </w:r>
          </w:p>
        </w:tc>
        <w:tc>
          <w:tcPr>
            <w:tcW w:w="7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(51,842)</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Other liabilities and accrued expenses</w:t>
            </w: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24,100</w:t>
            </w: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25,061</w:t>
            </w:r>
          </w:p>
        </w:tc>
        <w:tc>
          <w:tcPr>
            <w:tcW w:w="3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business, net of cash acquired</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(1,684)</w:t>
            </w: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Payment of deferred and contingent consideration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(4,678)</w:t>
            </w:r>
          </w:p>
        </w:tc>
        <w:tc>
          <w:tcPr>
            <w:tcW w:w="7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(7,677)</w:t>
            </w: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(14,039)</w:t>
            </w:r>
          </w:p>
        </w:tc>
        <w:tc>
          <w:tcPr>
            <w:tcW w:w="30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Proceeds from issuance of debt, net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248,513</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Repayment of debt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(326,974)</w:t>
            </w: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(140,394)</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5"/>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 initial public offering and private placement, net of</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underwriting discounts and commissions</w:t>
            </w: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Payment of other offering costs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 issuance of shares through employee equity incentive plans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Payment of taxes related to net share settlement of equity awards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7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(67,183)</w:t>
            </w:r>
          </w:p>
        </w:tc>
        <w:tc>
          <w:tcPr>
            <w:tcW w:w="3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restricted cash</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restricted cash at the beginning of the period</w:t>
            </w: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133,568</w:t>
            </w: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at the end of the period</w:t>
            </w:r>
          </w:p>
        </w:tc>
        <w:tc>
          <w:tcPr>
            <w:tcW w:w="2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76,329</w:t>
            </w:r>
          </w:p>
        </w:tc>
        <w:tc>
          <w:tcPr>
            <w:tcW w:w="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FF0FC"/>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10,066</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9,842</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Equipment purchased and unpaid at period end</w:t>
            </w:r>
          </w:p>
        </w:tc>
        <w:tc>
          <w:tcPr>
            <w:tcW w:w="144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2,084</w:t>
            </w:r>
          </w:p>
        </w:tc>
        <w:tc>
          <w:tcPr>
            <w:tcW w:w="3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Deferred purchase consideration related to business acquisitions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Measurement period adjustment relating to business acquisitions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 unpaid at period end</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combined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Combined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 xml:space="preserve">Corsair Gaming, Inc., a Delaware corporation, together with its subsidiaries </w:t>
      </w:r>
      <w:r>
        <w:rPr>
          <w:rFonts w:ascii="Arial" w:cs="Arial" w:eastAsia="Arial" w:hAnsi="Arial"/>
          <w:sz w:val="18"/>
          <w:szCs w:val="18"/>
          <w:i w:val="1"/>
          <w:iCs w:val="1"/>
          <w:color w:val="auto"/>
        </w:rPr>
        <w:t>(collectively, “Corsair” the “Company”, “we”, “us”, or “our”)</w:t>
      </w:r>
      <w:r>
        <w:rPr>
          <w:rFonts w:ascii="Arial" w:cs="Arial" w:eastAsia="Arial" w:hAnsi="Arial"/>
          <w:sz w:val="18"/>
          <w:szCs w:val="18"/>
          <w:color w:val="auto"/>
        </w:rPr>
        <w:t>, is a global provider and innovator of high-performance gear for gamers, streamers and content creators.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Corsair is organized into two reportable segments:</w:t>
      </w:r>
    </w:p>
    <w:p>
      <w:pPr>
        <w:spacing w:after="0" w:line="113" w:lineRule="exact"/>
        <w:rPr>
          <w:sz w:val="20"/>
          <w:szCs w:val="20"/>
          <w:color w:val="auto"/>
        </w:rPr>
      </w:pPr>
    </w:p>
    <w:p>
      <w:pPr>
        <w:ind w:left="1000" w:hanging="493"/>
        <w:spacing w:after="0" w:line="26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Includes our high-performance gaming keyboards, mice, headsets, controllers, and streaming gear,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capture cards, Stream Decks, USB microphones, studio accessories and EpocCam software, as well as coaching and training services and content design services, among others.</w:t>
      </w:r>
    </w:p>
    <w:p>
      <w:pPr>
        <w:spacing w:after="0" w:line="81" w:lineRule="exact"/>
        <w:rPr>
          <w:rFonts w:ascii="Arial" w:cs="Arial" w:eastAsia="Arial" w:hAnsi="Arial"/>
          <w:sz w:val="18"/>
          <w:szCs w:val="18"/>
          <w:color w:val="auto"/>
        </w:rPr>
      </w:pPr>
    </w:p>
    <w:p>
      <w:pPr>
        <w:ind w:left="1000" w:right="120" w:hanging="493"/>
        <w:spacing w:after="0" w:line="282"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Includes our high-performance power supply units, or PSUs, cooling solutions, computer cases, DRAM</w:t>
      </w:r>
      <w:r>
        <w:rPr>
          <w:rFonts w:ascii="Arial" w:cs="Arial" w:eastAsia="Arial" w:hAnsi="Arial"/>
          <w:sz w:val="18"/>
          <w:szCs w:val="18"/>
          <w:b w:val="1"/>
          <w:bCs w:val="1"/>
          <w:color w:val="auto"/>
        </w:rPr>
        <w:t xml:space="preserve"> </w:t>
      </w:r>
      <w:r>
        <w:rPr>
          <w:rFonts w:ascii="Arial" w:cs="Arial" w:eastAsia="Arial" w:hAnsi="Arial"/>
          <w:sz w:val="18"/>
          <w:szCs w:val="18"/>
          <w:color w:val="auto"/>
        </w:rPr>
        <w:t>modules, as well as high-end prebuilt and custom-built gaming PCs, and gaming monitor, among others.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 xml:space="preserve">On September 15, 2020, a corporate reorganization </w:t>
      </w:r>
      <w:r>
        <w:rPr>
          <w:rFonts w:ascii="Arial" w:cs="Arial" w:eastAsia="Arial" w:hAnsi="Arial"/>
          <w:sz w:val="17"/>
          <w:szCs w:val="17"/>
          <w:i w:val="1"/>
          <w:iCs w:val="1"/>
          <w:color w:val="auto"/>
        </w:rPr>
        <w:t>(the “Reorganization”)</w:t>
      </w:r>
      <w:r>
        <w:rPr>
          <w:rFonts w:ascii="Arial" w:cs="Arial" w:eastAsia="Arial" w:hAnsi="Arial"/>
          <w:sz w:val="17"/>
          <w:szCs w:val="17"/>
          <w:color w:val="auto"/>
        </w:rPr>
        <w:t xml:space="preserve"> was consummated whereby we now own directly and indirectly all of the operating subsidiaries and assets that were formerly owned by Corsair Group (Cayman), LP </w:t>
      </w:r>
      <w:r>
        <w:rPr>
          <w:rFonts w:ascii="Arial" w:cs="Arial" w:eastAsia="Arial" w:hAnsi="Arial"/>
          <w:sz w:val="17"/>
          <w:szCs w:val="17"/>
          <w:i w:val="1"/>
          <w:iCs w:val="1"/>
          <w:color w:val="auto"/>
        </w:rPr>
        <w:t>(the “Parent”)</w:t>
      </w:r>
      <w:r>
        <w:rPr>
          <w:rFonts w:ascii="Arial" w:cs="Arial" w:eastAsia="Arial" w:hAnsi="Arial"/>
          <w:sz w:val="17"/>
          <w:szCs w:val="17"/>
          <w:color w:val="auto"/>
        </w:rPr>
        <w:t xml:space="preserve">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Corsair were conducted by certain operating subsidiaries held by separate entities, Corsair Gaming, Inc. and Corsair Holdings (Lux) S.à r.l. </w:t>
      </w:r>
      <w:r>
        <w:rPr>
          <w:rFonts w:ascii="Arial" w:cs="Arial" w:eastAsia="Arial" w:hAnsi="Arial"/>
          <w:sz w:val="17"/>
          <w:szCs w:val="17"/>
          <w:i w:val="1"/>
          <w:iCs w:val="1"/>
          <w:color w:val="auto"/>
        </w:rPr>
        <w:t>(or “Corsair</w:t>
      </w:r>
      <w:r>
        <w:rPr>
          <w:rFonts w:ascii="Arial" w:cs="Arial" w:eastAsia="Arial" w:hAnsi="Arial"/>
          <w:sz w:val="17"/>
          <w:szCs w:val="17"/>
          <w:color w:val="auto"/>
        </w:rPr>
        <w:t xml:space="preserve"> </w:t>
      </w:r>
      <w:r>
        <w:rPr>
          <w:rFonts w:ascii="Arial" w:cs="Arial" w:eastAsia="Arial" w:hAnsi="Arial"/>
          <w:sz w:val="17"/>
          <w:szCs w:val="17"/>
          <w:i w:val="1"/>
          <w:iCs w:val="1"/>
          <w:color w:val="auto"/>
        </w:rPr>
        <w:t>Luxco”)</w:t>
      </w:r>
      <w:r>
        <w:rPr>
          <w:rFonts w:ascii="Arial" w:cs="Arial" w:eastAsia="Arial" w:hAnsi="Arial"/>
          <w:sz w:val="17"/>
          <w:szCs w:val="17"/>
          <w:color w:val="auto"/>
        </w:rPr>
        <w:t>, respectively, each of which was substantially owned by and under common control of the Parent.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Reorganization was comprised of a series of steps as set forth below:</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 acquired the minority interest held by Corsair Group (US), LLC in exchange for its own units.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Corsair Gaming, Inc. acquired all of the outstanding capital stock of Corsair Luxco from the Parent in exchange for its own stock.</w:t>
      </w:r>
    </w:p>
    <w:p>
      <w:pPr>
        <w:spacing w:after="0" w:line="117" w:lineRule="exact"/>
        <w:rPr>
          <w:rFonts w:ascii="Arial" w:cs="Arial" w:eastAsia="Arial" w:hAnsi="Arial"/>
          <w:sz w:val="18"/>
          <w:szCs w:val="18"/>
          <w:color w:val="auto"/>
        </w:rPr>
      </w:pPr>
    </w:p>
    <w:p>
      <w:pPr>
        <w:jc w:val="both"/>
        <w:ind w:left="1000" w:right="32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for management and certain other partnership unit holders of the Parent to hold Corsair’s common stock directly, we entered into exchange agreements with such holders to exchange the Parent’s units for shares of Corsair’s common stock on a pro rata basis relative to their holdings in the Parent prior to the Reorganization.</w:t>
      </w:r>
    </w:p>
    <w:p>
      <w:pPr>
        <w:spacing w:after="0" w:line="75"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Parent’s 2017 Equity Incentive Program was assumed by Corsair and all of the outstanding options to acquire units under the Parent’s 2017 Equity Incentive Program were converted into options to purchase Corsair’s common stock on a pro rata basis with an adjusted exercise price to reflect the assumption.</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implemented a 1-for-28,693.596843964 stock split resulting in there being 84,405,366 shares of Corsair’s common stock outstanding and 10,029,388 options outstanding to purchase Corsair’s common stock as of the date of the Reorganization.</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all legal entities included in the Reorganization are under common control of the Parent, all steps of the Reorganization were accounted for as a combination of entities under common control.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Secondary Offering</w:t>
      </w:r>
    </w:p>
    <w:p>
      <w:pPr>
        <w:spacing w:after="0" w:line="131"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 xml:space="preserve">On September 25, 2020, we completed our initial public offering </w:t>
      </w:r>
      <w:r>
        <w:rPr>
          <w:rFonts w:ascii="Arial" w:cs="Arial" w:eastAsia="Arial" w:hAnsi="Arial"/>
          <w:sz w:val="17"/>
          <w:szCs w:val="17"/>
          <w:i w:val="1"/>
          <w:iCs w:val="1"/>
          <w:color w:val="auto"/>
        </w:rPr>
        <w:t>(“IPO”)</w:t>
      </w:r>
      <w:r>
        <w:rPr>
          <w:rFonts w:ascii="Arial" w:cs="Arial" w:eastAsia="Arial" w:hAnsi="Arial"/>
          <w:sz w:val="17"/>
          <w:szCs w:val="17"/>
          <w:color w:val="auto"/>
        </w:rPr>
        <w:t>. In connection with the IPO, we sold 7,500,000 shares of common stock at $17.00 per share, resulting in proceeds of $118.6 million, net of the underwriting discounts and commissions and before offering costs. In connection with the IPO, certain stockholders sold 6,500,000 shares of common stock at $17.00 per share. Subsequent to the IPO, certain stockholders further sold 1,135,375 shares pursuant to the underwriters’ exercise of their option to purchase additional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On January 26, 2021, we completed a secondary offering of our common stock where certain selling stockholders sold 8,625,000, shares of common stock at $35.00 per share.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receive any of the proceeds from the sale of shares by the selling stockholders in either the IPO or the secondary.</w:t>
      </w:r>
    </w:p>
    <w:p>
      <w:pPr>
        <w:spacing w:after="0" w:line="225"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Deferred offering costs consist primarily of accounting, legal, and other fees related to the IPO. Prior to the IPO, all deferred offering costs were capitalized in other assets in the condensed combined consolidated balance sheets. After the IPO, $12.0 million of deferred offering costs were reclassified into stockholders’ equity as a reduction of the IPO proceeds in the condensed combined consolidated balance sheets as of December 31,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 xml:space="preserve">Our interim condensed combined consolidated financial statements have been prepared in accordance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xml:space="preserve"> and applicable rules and regulations of the U.S.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regarding interim financial reporting. The accounting policies we follow are set forth in Part II, Item 8, Note 2, Significant Accounting Policies, of the Notes to the Combined Consolidated Financial Statements included in our Annual Report on Form 10K for the year ended December 31, 2020 which was filed with the SEC on March 11, 2021.</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condensed combined consolidated balance sheet as of December 31, 2020,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combined consolidated financial statements should be read in conjunction with our combined consolidated financial statements and notes thereto for the year ended December 31, 2020, included in our Annual Report on Form 10-K.</w:t>
      </w:r>
    </w:p>
    <w:p>
      <w:pPr>
        <w:spacing w:after="0" w:line="18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interim condensed combined consolidated financial statements have been prepared on the same basis as the audited combined consolidated financial statements, and in management’s opinion, include all adjustments, which consist of only normal recurring adjustments necessary for the fair statement of our condensed combined consolidated balance sheet as of September 30, 2021 and our results of operations for the three and nine months ended September 30, 2021 and 2020. The results for the three and nine months ended September, 2021 are not necessarily indicative of the results expected for the current fiscal year or any other future periods.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accompanying condensed combined consolidated financial statements include the accounts of Corsair and its wholly owned subsidiaries. All intercompany accounts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preparation of condensed combined consolidated financial statements in conformity with U.S. GAAP requires management to make estimates and assumptions that affect the reported amounts of assets and liabilities and disclosure of contingent assets and liabilities as of the date of the condensed combined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deferred income tax, and common stock (prior to the IPO completed in September 2020).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Actual results could differ materially from those estimates due to risks and uncertainties, including uncertainty in the current economic environment due to COVID-19.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the COVID-19 Pandemic</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Due to the COVID-19 pandemic, there has been and will continue to be uncertainty and disruption in the global economy and financial markets. Since early 2020, we have experienced some business disruptions due to COVID-19 including the stoppage in our factories in early 2020, disruption in our supply chain and increased distribution costs, which led to increases in operating costs such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the significantly elevated ocean freight costs we incurred in the third quarter of 2021 as compared to the same quarter from the prior year and the most recent trailing quarter. As a result of the COVID-19 pandemic, we are continuing to experience logistics challenges globally. These negative financial impacts have been offset by strong revenue growth year-over-year partly due to an increase in demand for our gear as more people in more countries are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and could continue to result in shelter-in-place and other similar restrictions being eased. Such easing of restrictions likely has, and will continue to result in consumers returning to other alternative forms of entertainment and interaction. This in turn has, and could continue to, result in a decline in demand for our products. The full extent of the impact of the COVID-19 pandemic on our business, results of operations, cash flows and financial position will depend on future developments, which are highly uncertain and cannot be predicted, including, but not limited to, the duration and spread of the outbreak, its severity, the prevalence and severity of any variants,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68"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As of the date of issuance of these condensed combined consolidated financial statements, we are not aware of any specific event or circumstance that would require updates to our estimates and judgments or revisions due to COVID-19 to the carrying value of our assets or liabilities. These estimates may change, as new events occur and additional information is obtained, and are recognized in the condensed combined consolidated financial statements as soon as they become known. Actual results could differ from those estimates and any such differences may be material to the condensed combined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to simplify various aspects related to the accounting for income taxes. We adopted this standard effective January 1, 2021. The adoption of this new standard did not have a material impact on our condensed combined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to provide optional expedients and exceptions for applying generally accepted accounting principles to contracts, hedging relationships, and other transactions affected by reference rate reform if certain criteria are met. The new guidance is effective, at our election, beginning March 12, 2020 through December 31, 2022. Our term loan and revolving line of credit have interest payments that are correlated to a reference rate, and we are currently evaluating the impact of adopting this guidance and the potential effects it could have on our condensed combined consolidated financial statements.</w:t>
      </w:r>
    </w:p>
    <w:p>
      <w:pPr>
        <w:spacing w:after="0" w:line="6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xml:space="preserve"> which requires contract assets and contract liabilities (i.e., deferred revenue) acquired in a business combination to be recognized and measured by the acquirer on the acquisition date in accordance with ASC 606, Revenue from Contracts with Customers. Generally, this new guidance will result in the acquirer recognizing contract assets and contract liabilities at the same amounts recorded by the acquiree. Historically, such amounts were recognized by the acquirer at fair value in acquisition accounting. The new guidance is effective for us beginning in year 2023, with early adoption permitted. We are currently evaluating the impact of adopting this guidance and the potential effects it could have on our condensed combined consolidated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are available in active markets for identical assets or liabilities as of the measurement date.</w:t>
      </w:r>
    </w:p>
    <w:p>
      <w:pPr>
        <w:spacing w:after="0" w:line="225"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—Pricing inputs are other than quoted prices in active market, which are either directly or indirectly observable as of the report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18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—Securities that have little to no pricing observability as of the report date. These securities are measured using management’s best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fair value, where the inputs into the determination of fair value are not observable and require significant management judgment or estimation.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tables summarize our financial assets and liabilities that were measured at fair value on a recurring basis, and indicate the fair value hierarchy of the valuation inputs utilized to determine such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10"/>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(1)</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10"/>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Contingent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0"/>
                <w:szCs w:val="20"/>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8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0"/>
                <w:szCs w:val="20"/>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0"/>
                <w:szCs w:val="20"/>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(1)</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fair values of the forward contracts were based on similar exchange traded derivatives and the related asset or liability is included within Level 2 of the fair value hierarchy.</w:t>
      </w:r>
    </w:p>
    <w:p>
      <w:pPr>
        <w:spacing w:after="0" w:line="11" w:lineRule="exact"/>
        <w:rPr>
          <w:rFonts w:ascii="Arial" w:cs="Arial" w:eastAsia="Arial" w:hAnsi="Arial"/>
          <w:sz w:val="13"/>
          <w:szCs w:val="13"/>
          <w:color w:val="auto"/>
        </w:rPr>
      </w:pPr>
    </w:p>
    <w:p>
      <w:pPr>
        <w:ind w:left="500" w:hanging="492"/>
        <w:spacing w:after="0" w:line="239"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SCUF contingent consideration was determined based on the estimates of acquired tax benefits owed to SCUF’s sellers according to the merger agreement, and these estimates represent a level 3 fair value measurement. The $1.3 million liability as of December 31, 2020 consisted of $0.1 million based on a contractual amount and the remaining $1.2 million is subject to update upon filing our tax returns for tax years 2020 and 2021. In September 2021, we filed the tax return for the 2020 tax year, and as a result, the $1.3 million liability as of September 30, 2021 was updated to consist of.$0.3 million based on a contractual amount and the remaining $1.0 million is subject to update upon filing our tax return for tax year 2021.</w:t>
      </w:r>
    </w:p>
    <w:p>
      <w:pPr>
        <w:spacing w:after="0" w:line="3"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Origin earn-out liability of $2.9 million and deferred cash consideration of $1.5 million were fully paid and settled in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19030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combined consolidated balance sheets. We do not designate such instruments as hedges for accounting purposes; accordingly, changes in the value of these contracts are recognized in each reporting period in other (expense) income, net in the condensed combined consolidated statements of operations. We do not enter into derivative instruments for trading purposes.</w:t>
      </w:r>
    </w:p>
    <w:p>
      <w:pPr>
        <w:spacing w:after="0" w:line="16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foreign currency forward contracts generally mature within three to four months. The notional principal amount of outstanding foreign exchange forward contracts was $38.5 million and $41.6 million as of September 30, 2021 and December 31, 2020, respectively, none of which have been designated as hedging instruments during the periods presented. Total fair value gains (losses) recognized in other (expense) income, net in relation to these derivative instruments was $0.4 million and $(1.1) million for the three months ended September 30, 2021 and 2020, respectively, and was $0.5 million and $(1.2) million for the nine months ended September 30, 2021 and 2020,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Immaterial Acquisition</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February 2021, we completed the immaterial acquisition of Visual by Impulse (“</w:t>
      </w:r>
      <w:r>
        <w:rPr>
          <w:rFonts w:ascii="Arial" w:cs="Arial" w:eastAsia="Arial" w:hAnsi="Arial"/>
          <w:sz w:val="18"/>
          <w:szCs w:val="18"/>
          <w:i w:val="1"/>
          <w:iCs w:val="1"/>
          <w:color w:val="auto"/>
        </w:rPr>
        <w:t>VBI</w:t>
      </w:r>
      <w:r>
        <w:rPr>
          <w:rFonts w:ascii="Arial" w:cs="Arial" w:eastAsia="Arial" w:hAnsi="Arial"/>
          <w:sz w:val="18"/>
          <w:szCs w:val="18"/>
          <w:color w:val="auto"/>
        </w:rPr>
        <w:t>”), a business that provides creative design services to streamers looking to professionalize the look of their broadcast. Total cash consideration for VBI was approximately $1.7 million and it was accounted for using the acquisition method of accounting.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Immaterial Acquisitions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For the year ended December 31, 2020, we completed two immaterial acquisitions, EpocCam and Gamer Sensei, for total cash consideration of $1.3 million, which were accounted for using the acquisition method of accounting.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by reportable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left="158"/>
              <w:spacing w:after="0"/>
              <w:rPr>
                <w:sz w:val="20"/>
                <w:szCs w:val="20"/>
                <w:color w:val="auto"/>
              </w:rPr>
            </w:pPr>
            <w:r>
              <w:rPr>
                <w:rFonts w:ascii="Arial" w:cs="Arial" w:eastAsia="Arial" w:hAnsi="Arial"/>
                <w:sz w:val="14"/>
                <w:szCs w:val="14"/>
                <w:b w:val="1"/>
                <w:bCs w:val="1"/>
                <w:color w:val="auto"/>
                <w:w w:val="91"/>
              </w:rPr>
              <w:t>Gaming</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jc w:val="center"/>
              <w:ind w:left="239"/>
              <w:spacing w:after="0"/>
              <w:rPr>
                <w:sz w:val="20"/>
                <w:szCs w:val="20"/>
                <w:color w:val="auto"/>
              </w:rPr>
            </w:pPr>
            <w:r>
              <w:rPr>
                <w:rFonts w:ascii="Arial" w:cs="Arial" w:eastAsia="Arial" w:hAnsi="Arial"/>
                <w:sz w:val="14"/>
                <w:szCs w:val="14"/>
                <w:b w:val="1"/>
                <w:bCs w:val="1"/>
                <w:color w:val="auto"/>
                <w:w w:val="95"/>
              </w:rPr>
              <w:t>Gamer and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Components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158"/>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359"/>
              <w:spacing w:after="0" w:line="149" w:lineRule="exact"/>
              <w:rPr>
                <w:sz w:val="20"/>
                <w:szCs w:val="20"/>
                <w:color w:val="auto"/>
              </w:rPr>
            </w:pPr>
            <w:r>
              <w:rPr>
                <w:rFonts w:ascii="Arial" w:cs="Arial" w:eastAsia="Arial" w:hAnsi="Arial"/>
                <w:sz w:val="14"/>
                <w:szCs w:val="14"/>
                <w:b w:val="1"/>
                <w:bCs w:val="1"/>
                <w:color w:val="auto"/>
                <w:w w:val="96"/>
              </w:rPr>
              <w:t>Creator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158"/>
              <w:spacing w:after="0"/>
              <w:rPr>
                <w:sz w:val="20"/>
                <w:szCs w:val="20"/>
                <w:color w:val="auto"/>
              </w:rPr>
            </w:pPr>
            <w:r>
              <w:rPr>
                <w:rFonts w:ascii="Arial" w:cs="Arial" w:eastAsia="Arial" w:hAnsi="Arial"/>
                <w:sz w:val="14"/>
                <w:szCs w:val="14"/>
                <w:b w:val="1"/>
                <w:bCs w:val="1"/>
                <w:color w:val="auto"/>
                <w:w w:val="83"/>
              </w:rPr>
              <w:t>Systems</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91"/>
              </w:rPr>
              <w:t>Peripherals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145,644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167,116</w:t>
            </w:r>
          </w:p>
        </w:tc>
        <w:tc>
          <w:tcPr>
            <w:tcW w:w="1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312,760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60"/>
              <w:spacing w:after="0"/>
              <w:rPr>
                <w:sz w:val="20"/>
                <w:szCs w:val="20"/>
                <w:color w:val="auto"/>
              </w:rPr>
            </w:pPr>
            <w:r>
              <w:rPr>
                <w:rFonts w:ascii="Arial" w:cs="Arial" w:eastAsia="Arial" w:hAnsi="Arial"/>
                <w:sz w:val="18"/>
                <w:szCs w:val="18"/>
                <w:color w:val="auto"/>
                <w:w w:val="97"/>
              </w:rPr>
              <w:t>Addition from an immaterial business acquisition</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Measurement period adjustments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145,631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168,162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313,793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4"/>
          </w:tcPr>
          <w:p>
            <w:pPr>
              <w:ind w:left="520"/>
              <w:spacing w:after="0"/>
              <w:rPr>
                <w:sz w:val="20"/>
                <w:szCs w:val="20"/>
                <w:color w:val="auto"/>
              </w:rPr>
            </w:pPr>
            <w:r>
              <w:rPr>
                <w:rFonts w:ascii="Arial" w:cs="Arial" w:eastAsia="Arial" w:hAnsi="Arial"/>
                <w:sz w:val="18"/>
                <w:szCs w:val="18"/>
                <w:color w:val="auto"/>
                <w:w w:val="94"/>
              </w:rPr>
              <w:t>The following table is a summary of intangible assets, net: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5.5</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3.6</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13,404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31,016</w:t>
            </w:r>
          </w:p>
        </w:tc>
        <w:tc>
          <w:tcPr>
            <w:tcW w:w="44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Trade name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14.9</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12.8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30,636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30,632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218,566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89,403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129,162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218,469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145,577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Patent</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31,358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31,802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60"/>
              <w:spacing w:after="0"/>
              <w:rPr>
                <w:sz w:val="20"/>
                <w:szCs w:val="20"/>
                <w:color w:val="auto"/>
              </w:rPr>
            </w:pPr>
            <w:r>
              <w:rPr>
                <w:rFonts w:ascii="Arial" w:cs="Arial" w:eastAsia="Arial" w:hAnsi="Arial"/>
                <w:sz w:val="18"/>
                <w:szCs w:val="18"/>
                <w:color w:val="auto"/>
              </w:rPr>
              <w:t>Total finite-life intangibles</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9.7</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315,166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116,455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198,711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314,440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90,553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223,887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Indefinite life trade name</w:t>
            </w: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Indefinite life</w:t>
            </w:r>
          </w:p>
        </w:tc>
        <w:tc>
          <w:tcPr>
            <w:tcW w:w="8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35,430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350,596</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116,455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234,141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349,870</w:t>
            </w:r>
          </w:p>
        </w:tc>
        <w:tc>
          <w:tcPr>
            <w:tcW w:w="20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259,317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In the year after an identified intangible asset becomes fully amortized, we remove the fully amortized balances from the gross asset and accumulated amortization amounts from the table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amortization expense of intangible assets as of September 30, 2021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Amounts</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gridSpan w:val="5"/>
          </w:tcPr>
          <w:p>
            <w:pPr>
              <w:jc w:val="right"/>
              <w:ind w:right="12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363"/>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2024</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5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363"/>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7. Balance Sheet Components</w:t>
            </w: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4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Cash and Restricted Cash</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71,922</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Restricted cash—short term</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4,176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cash—noncurrent</w:t>
            </w:r>
          </w:p>
        </w:tc>
        <w:tc>
          <w:tcPr>
            <w:tcW w:w="25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Total cash and restricted cash</w:t>
            </w:r>
          </w:p>
        </w:tc>
        <w:tc>
          <w:tcPr>
            <w:tcW w:w="2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4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252,935</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252,406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2021, and December 31, 2020, two customers each represented 10% or more of our consolidated accounts receivable,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w w:val="95"/>
              </w:rPr>
              <w:t>September 30,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3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51,894</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 in progress</w:t>
            </w:r>
          </w:p>
        </w:tc>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8,402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271,642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331,938</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120" w:type="dxa"/>
            <w:vAlign w:val="bottom"/>
            <w:vMerge w:val="restart"/>
          </w:tcPr>
          <w:p>
            <w:pPr>
              <w:jc w:val="right"/>
              <w:ind w:right="169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3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26,585</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Computer equipment, software and office equipment</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(23,163)</w:t>
            </w: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Right-of-use assets </w:t>
            </w:r>
            <w:r>
              <w:rPr>
                <w:rFonts w:ascii="Arial" w:cs="Arial" w:eastAsia="Arial" w:hAnsi="Arial"/>
                <w:sz w:val="15"/>
                <w:szCs w:val="15"/>
                <w:color w:val="auto"/>
              </w:rPr>
              <w:t>(1)</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52,373</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1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Liabilities and Accrued Expenses</w:t>
            </w: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reserves for customer incentive programs</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61,631</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reserves for sales return</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Accrued payroll and related expense</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freight expenses</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1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223,291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 liabilities, noncurrent </w:t>
            </w:r>
            <w:r>
              <w:rPr>
                <w:rFonts w:ascii="Arial" w:cs="Arial" w:eastAsia="Arial" w:hAnsi="Arial"/>
                <w:sz w:val="15"/>
                <w:szCs w:val="15"/>
                <w:color w:val="auto"/>
              </w:rPr>
              <w:t>(1)</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52,042</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Other liabilities, noncurrent</w:t>
            </w:r>
          </w:p>
        </w:tc>
        <w:tc>
          <w:tcPr>
            <w:tcW w:w="1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20" w:hanging="368"/>
        <w:spacing w:after="0" w:line="25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April 27, 2021, we entered into an operating lease agreement for our new Milpitas headquarters in California, U.S. with lease term over 10.5 years and an accounting lease commencement date of May 14, 2021. The balances of this lease as of September 30, 2021 consisted of $6.7 million of lease incentive receivables that were recorded under prepaid and other assets, $24.6 million of right-of-use assets that were recorded under other assets and $32.2 million of lease liabilities that were recorded under other liabilities noncurrent in our condensed combined consolidated balance sheet.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Nonmonetary Transactions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sales and purchases of inventory with our manufacturers are accounted for as nonmonetary transactions. Upon sale of raw materials to the manufacturer, for the inventories on-hand with the manufacturer where there is an anticipated reciprocal purchase by</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us, we will record this nonmonetary transaction as prepaid inventories and accrued liabilities. When we transact the reciprocal purchase of inventory from the manufacturer, we will record a payable to the manufacturer at the 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September 30, 2021, we recognized $2.9 million prepaid inventory and $3.2 million accrued liabilities and as of December 31, 2020, we recognized $5.9 million prepaid inventory and accrued liabilities in the condensed combined consolidated balance sheet.</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 xml:space="preserve">Because the transactions are nonmonetary, they have not been included in the condensed combined consolidated statements of cash flows pursuant to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Term Loan (variable rate) due September 2026</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First Lien Term Loan (variable rate) extinguished in September 2021</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326,938</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Debt discount and issuance cost, net of amortization</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(1,162)</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(5,545)</w:t>
            </w:r>
          </w:p>
        </w:tc>
      </w:tr>
      <w:tr>
        <w:trPr>
          <w:trHeight w:val="223"/>
        </w:trPr>
        <w:tc>
          <w:tcPr>
            <w:tcW w:w="614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1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248,838</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321,393</w:t>
            </w:r>
          </w:p>
        </w:tc>
        <w:tc>
          <w:tcPr>
            <w:tcW w:w="100" w:type="dxa"/>
            <w:vAlign w:val="bottom"/>
          </w:tcPr>
          <w:p>
            <w:pPr>
              <w:spacing w:after="0"/>
              <w:rPr>
                <w:sz w:val="19"/>
                <w:szCs w:val="19"/>
                <w:color w:val="auto"/>
              </w:rPr>
            </w:pPr>
          </w:p>
        </w:tc>
      </w:tr>
      <w:tr>
        <w:trPr>
          <w:trHeight w:val="243"/>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debt maturing within one year</w:t>
            </w:r>
          </w:p>
        </w:tc>
        <w:tc>
          <w:tcPr>
            <w:tcW w:w="11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4,751</w:t>
            </w:r>
          </w:p>
        </w:tc>
        <w:tc>
          <w:tcPr>
            <w:tcW w:w="3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614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244,087</w:t>
            </w:r>
          </w:p>
        </w:tc>
        <w:tc>
          <w:tcPr>
            <w:tcW w:w="32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321,393</w:t>
            </w:r>
          </w:p>
        </w:tc>
        <w:tc>
          <w:tcPr>
            <w:tcW w:w="10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and Guaranty Agreement (Extinguished in September 2021)</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August 2017, we entered into a syndicated First Lien Credit and Guaranty Agreement (</w:t>
      </w:r>
      <w:r>
        <w:rPr>
          <w:rFonts w:ascii="Arial" w:cs="Arial" w:eastAsia="Arial" w:hAnsi="Arial"/>
          <w:sz w:val="16"/>
          <w:szCs w:val="16"/>
          <w:i w:val="1"/>
          <w:iCs w:val="1"/>
          <w:color w:val="auto"/>
        </w:rPr>
        <w:t>“First Lien”</w:t>
      </w:r>
      <w:r>
        <w:rPr>
          <w:rFonts w:ascii="Arial" w:cs="Arial" w:eastAsia="Arial" w:hAnsi="Arial"/>
          <w:sz w:val="16"/>
          <w:szCs w:val="16"/>
          <w:color w:val="auto"/>
        </w:rPr>
        <w:t>) with various financial institutions. The First Lien originally provided a $235 million term loan (</w:t>
      </w:r>
      <w:r>
        <w:rPr>
          <w:rFonts w:ascii="Arial" w:cs="Arial" w:eastAsia="Arial" w:hAnsi="Arial"/>
          <w:sz w:val="16"/>
          <w:szCs w:val="16"/>
          <w:i w:val="1"/>
          <w:iCs w:val="1"/>
          <w:color w:val="auto"/>
        </w:rPr>
        <w:t>“First Lien Term Loan”</w:t>
      </w:r>
      <w:r>
        <w:rPr>
          <w:rFonts w:ascii="Arial" w:cs="Arial" w:eastAsia="Arial" w:hAnsi="Arial"/>
          <w:sz w:val="16"/>
          <w:szCs w:val="16"/>
          <w:color w:val="auto"/>
        </w:rPr>
        <w:t>) for a business acquisition and to repay existing indebtedness of the acquired company and a $50 million revolving line-of-credit (</w:t>
      </w:r>
      <w:r>
        <w:rPr>
          <w:rFonts w:ascii="Arial" w:cs="Arial" w:eastAsia="Arial" w:hAnsi="Arial"/>
          <w:sz w:val="16"/>
          <w:szCs w:val="16"/>
          <w:i w:val="1"/>
          <w:iCs w:val="1"/>
          <w:color w:val="auto"/>
        </w:rPr>
        <w:t>“Revolver”</w:t>
      </w:r>
      <w:r>
        <w:rPr>
          <w:rFonts w:ascii="Arial" w:cs="Arial" w:eastAsia="Arial" w:hAnsi="Arial"/>
          <w:sz w:val="16"/>
          <w:szCs w:val="16"/>
          <w:color w:val="auto"/>
        </w:rPr>
        <w:t>). The First Lien and the Revolver was to mature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a margin of 3.5%, or (b) the greater of (i) LIBOR and (ii) 1.0%, plus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of 4.5%. The Revolver initially bore interest at a rate equal to, at our election, either the (a) greatest of (i) the prime rate, (ii) sum of the Federal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3.5%, or (b) the greater of (i) LIBOR and (ii) 1.0%, plus a margin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As a result of the First Lien amendment in October 2018, the First Lien term loan and Revolver margin were both changed to range from 2.75%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3.25% for base rate loans and to range from 3.75% to 4.25% for Eurodollar loans, based on our net leverage ratio.</w:t>
      </w:r>
    </w:p>
    <w:p>
      <w:pPr>
        <w:spacing w:after="0" w:line="211"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According to the repayment schedule, the Consolidated Excess Cash Flow (as defined in the First Lien) and the IPO repayment provisions as set forth in the First Lien, we made required repayments of the First Lien Term Loan of $59.6 million, in aggregate, in 2020 using the net proceeds from our IPO and excess cash on hand. Further, we may prepay the First Lien Term Loan and the Revolver at any time without premium or penalty other than customary LIBOR breakage. In 2020, we began to prepay the First Lien Term loan using our excess cash on hand, resulting in $80.8 million in 2020 and $78.3 million in 2021 through September 2021. The remainder of First Lien Term Loan of $248.5 million was fully prepaid with the proceeds from the Term Loan (defined below) on September 3, 2021, and as a result, all obligations and covenants thereunder were terminated.</w:t>
      </w:r>
    </w:p>
    <w:p>
      <w:pPr>
        <w:spacing w:after="0" w:line="16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progressive prepayments of the First Lien Term Loan throughout 2020 and 2021, we have recorded losses on extinguishment of debt of $4.1 million and $1.6 million for the three months ended September 30, 2021 and 2020, respectively, and $4.9 million and $1.6 million for the nine months ended September 30, 2021 and 2020, respectively.</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Second Lien Credit and Guaranty Agreement (Extinguished in September 2020)</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August 2017, we also entered into a syndicated Second Lien Credit and Guaranty Agreement (</w:t>
      </w:r>
      <w:r>
        <w:rPr>
          <w:rFonts w:ascii="Arial" w:cs="Arial" w:eastAsia="Arial" w:hAnsi="Arial"/>
          <w:sz w:val="18"/>
          <w:szCs w:val="18"/>
          <w:i w:val="1"/>
          <w:iCs w:val="1"/>
          <w:color w:val="auto"/>
        </w:rPr>
        <w:t>“Second Lien”</w:t>
      </w:r>
      <w:r>
        <w:rPr>
          <w:rFonts w:ascii="Arial" w:cs="Arial" w:eastAsia="Arial" w:hAnsi="Arial"/>
          <w:sz w:val="18"/>
          <w:szCs w:val="18"/>
          <w:color w:val="auto"/>
        </w:rPr>
        <w:t>) with various financial institutions. The Second Lien initially provided a $65 million term loan (</w:t>
      </w:r>
      <w:r>
        <w:rPr>
          <w:rFonts w:ascii="Arial" w:cs="Arial" w:eastAsia="Arial" w:hAnsi="Arial"/>
          <w:sz w:val="18"/>
          <w:szCs w:val="18"/>
          <w:i w:val="1"/>
          <w:iCs w:val="1"/>
          <w:color w:val="auto"/>
        </w:rPr>
        <w:t>“Second Lien Term Loan”</w:t>
      </w:r>
      <w:r>
        <w:rPr>
          <w:rFonts w:ascii="Arial" w:cs="Arial" w:eastAsia="Arial" w:hAnsi="Arial"/>
          <w:sz w:val="18"/>
          <w:szCs w:val="18"/>
          <w:color w:val="auto"/>
        </w:rPr>
        <w:t>), with a maturity date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w:t>
      </w:r>
    </w:p>
    <w:p>
      <w:pPr>
        <w:spacing w:after="0" w:line="214"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In 2020, with excess cash on hand, we prepaid the entire outstanding balance of $50 million on the Second Lien Term Loan without paying any premium or penalty, and as a result, all obligations and covenants thereunder were terminated. In connection with the progressive prepayments of the Second Lien Term Loan throughout 2020, we have recorded losses on extinguishment of debt of $1.3 million and $1.6 million for the three and nine months ended September 30, 2020,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interest expense recognized for the First Lien and Second Lien: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w w:val="92"/>
              </w:rPr>
              <w:t>Three Months Ended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3"/>
                <w:szCs w:val="13"/>
                <w:color w:val="auto"/>
              </w:rPr>
            </w:pPr>
          </w:p>
        </w:tc>
      </w:tr>
      <w:tr>
        <w:trPr>
          <w:trHeight w:val="210"/>
        </w:trPr>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 for First Lien and Second</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Lien Term Loan</w:t>
            </w:r>
          </w:p>
        </w:tc>
        <w:tc>
          <w:tcPr>
            <w:tcW w:w="136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w:t>
            </w:r>
          </w:p>
        </w:tc>
        <w:tc>
          <w:tcPr>
            <w:tcW w:w="1160" w:type="dxa"/>
            <w:vAlign w:val="bottom"/>
            <w:gridSpan w:val="2"/>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6,408</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9,818</w:t>
            </w:r>
          </w:p>
        </w:tc>
        <w:tc>
          <w:tcPr>
            <w:tcW w:w="2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36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22,914</w:t>
            </w:r>
          </w:p>
        </w:tc>
        <w:tc>
          <w:tcPr>
            <w:tcW w:w="100" w:type="dxa"/>
            <w:vAlign w:val="bottom"/>
            <w:shd w:val="clear" w:color="auto" w:fill="CFF0FC"/>
          </w:tcPr>
          <w:p>
            <w:pPr>
              <w:spacing w:after="0"/>
              <w:rPr>
                <w:sz w:val="20"/>
                <w:szCs w:val="20"/>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Contractual interest expense for Revolver</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5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2,864</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FF0FC"/>
          </w:tcPr>
          <w:p>
            <w:pPr>
              <w:spacing w:after="0"/>
              <w:rPr>
                <w:sz w:val="19"/>
                <w:szCs w:val="19"/>
                <w:color w:val="auto"/>
              </w:rPr>
            </w:pPr>
          </w:p>
        </w:tc>
      </w:tr>
      <w:tr>
        <w:trPr>
          <w:trHeight w:val="223"/>
        </w:trPr>
        <w:tc>
          <w:tcPr>
            <w:tcW w:w="4460" w:type="dxa"/>
            <w:vAlign w:val="bottom"/>
          </w:tcPr>
          <w:p>
            <w:pPr>
              <w:ind w:left="260"/>
              <w:spacing w:after="0"/>
              <w:rPr>
                <w:sz w:val="20"/>
                <w:szCs w:val="20"/>
                <w:color w:val="auto"/>
              </w:rPr>
            </w:pPr>
            <w:r>
              <w:rPr>
                <w:rFonts w:ascii="Arial" w:cs="Arial" w:eastAsia="Arial" w:hAnsi="Arial"/>
                <w:sz w:val="18"/>
                <w:szCs w:val="18"/>
                <w:color w:val="auto"/>
              </w:rPr>
              <w:t>Total interest expense recognized</w:t>
            </w:r>
          </w:p>
        </w:tc>
        <w:tc>
          <w:tcPr>
            <w:tcW w:w="52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9,980</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16,065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28,259</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effective interest rate inclusive of the debt discount and debt issuance costs for the First Lien and Second Lien, in aggregate, was approximately 5.7% and 6.0% for the three months ended September 30, 2021 and 2020, respectively, and was approximately 5.4% and 6.4% for the nine months ended September 30, 2021 and 2020,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On September 3, 2021, we entered into a new Credit Agreement (“</w:t>
      </w:r>
      <w:r>
        <w:rPr>
          <w:rFonts w:ascii="Arial" w:cs="Arial" w:eastAsia="Arial" w:hAnsi="Arial"/>
          <w:sz w:val="17"/>
          <w:szCs w:val="17"/>
          <w:i w:val="1"/>
          <w:iCs w:val="1"/>
          <w:color w:val="auto"/>
        </w:rPr>
        <w:t>Credit Agreement</w:t>
      </w:r>
      <w:r>
        <w:rPr>
          <w:rFonts w:ascii="Arial" w:cs="Arial" w:eastAsia="Arial" w:hAnsi="Arial"/>
          <w:sz w:val="17"/>
          <w:szCs w:val="17"/>
          <w:color w:val="auto"/>
        </w:rPr>
        <w:t>”) which provides for a $100.0 million five-year revolving credit facility (“</w:t>
      </w:r>
      <w:r>
        <w:rPr>
          <w:rFonts w:ascii="Arial" w:cs="Arial" w:eastAsia="Arial" w:hAnsi="Arial"/>
          <w:sz w:val="17"/>
          <w:szCs w:val="17"/>
          <w:i w:val="1"/>
          <w:iCs w:val="1"/>
          <w:color w:val="auto"/>
        </w:rPr>
        <w:t>Revolving Facility</w:t>
      </w:r>
      <w:r>
        <w:rPr>
          <w:rFonts w:ascii="Arial" w:cs="Arial" w:eastAsia="Arial" w:hAnsi="Arial"/>
          <w:sz w:val="17"/>
          <w:szCs w:val="17"/>
          <w:color w:val="auto"/>
        </w:rPr>
        <w:t>”) and a $250.0 million five-year term loan facility (“</w:t>
      </w:r>
      <w:r>
        <w:rPr>
          <w:rFonts w:ascii="Arial" w:cs="Arial" w:eastAsia="Arial" w:hAnsi="Arial"/>
          <w:sz w:val="17"/>
          <w:szCs w:val="17"/>
          <w:i w:val="1"/>
          <w:iCs w:val="1"/>
          <w:color w:val="auto"/>
        </w:rPr>
        <w:t>Term Loan</w:t>
      </w:r>
      <w:r>
        <w:rPr>
          <w:rFonts w:ascii="Arial" w:cs="Arial" w:eastAsia="Arial" w:hAnsi="Arial"/>
          <w:sz w:val="17"/>
          <w:szCs w:val="17"/>
          <w:color w:val="auto"/>
        </w:rPr>
        <w:t>”),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w:t>
      </w:r>
    </w:p>
    <w:p>
      <w:pPr>
        <w:spacing w:after="0" w:line="63"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credit facilities under the Credit Agreement replaced our senior credit facilities under the First Lien Credit and Guaranty Agreement. The net proceeds from borrowings under the Credit Agreement of $248.5 million (net of $1.5 million of debt discount) were used to repay all amounts outstanding under the First Lien Term Loan on September 3, 2021.</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Term Loan and Revolving Facility under the Credit Agreement will each bear interest at the Company’s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p>
    <w:p>
      <w:pPr>
        <w:spacing w:after="0" w:line="7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76"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facilities).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 increased by 2.0%. As of September 30, 2021, we were not in default under the Credit Agreement and our Consolidated Total Net Leverage Ratio and Consolidated Interest Coverage Ratio were 0.8 to 1.0 and 10.4 to 1.0 as of September 30, 2021,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had $100.0 million available under the Revolving Facility.</w:t>
      </w:r>
    </w:p>
    <w:p>
      <w:pPr>
        <w:spacing w:after="0" w:line="293"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of September 30, 2021, the carrying value of our Term Loan was $250.0 million. The estimated fair value of the Term Loan as of September 30, 2021, which we have classified as a Level 2 financial instrument, approximates its carrying value.</w:t>
      </w:r>
    </w:p>
    <w:p>
      <w:pPr>
        <w:spacing w:after="0" w:line="23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For the three and nine months ended September 30, 2021, total interest expense recognized for the Credit Agreement was $0.3 million including amortization of debt discount and debt issuance costs. The effective interest rate inclusive of the debt discount and debt issuance costs was approximately 1.3% for both the three and nine months ended September 30, 2021.</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principal payments under our total long-term debt as of September 30,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tcBorders>
              <w:top w:val="single" w:sz="8" w:color="auto"/>
            </w:tcBorders>
            <w:gridSpan w:val="6"/>
          </w:tcPr>
          <w:p>
            <w:pPr>
              <w:jc w:val="right"/>
              <w:ind w:right="41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6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211,875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w:t>
            </w:r>
          </w:p>
        </w:tc>
        <w:tc>
          <w:tcPr>
            <w:tcW w:w="8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6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250,000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9. Commitments and Contingencies</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1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Product Warranties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tcPr>
          <w:p>
            <w:pPr>
              <w:ind w:left="520"/>
              <w:spacing w:after="0"/>
              <w:rPr>
                <w:sz w:val="20"/>
                <w:szCs w:val="20"/>
                <w:color w:val="auto"/>
              </w:rPr>
            </w:pPr>
            <w:r>
              <w:rPr>
                <w:rFonts w:ascii="Arial" w:cs="Arial" w:eastAsia="Arial" w:hAnsi="Arial"/>
                <w:sz w:val="18"/>
                <w:szCs w:val="18"/>
                <w:color w:val="auto"/>
              </w:rPr>
              <w:t>Changes in our warranty obligations were as follows: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2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Beginning of the period</w:t>
            </w:r>
          </w:p>
        </w:tc>
        <w:tc>
          <w:tcPr>
            <w:tcW w:w="1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1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Warranty provision related to products shipped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Deductions for warranty claims processed</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(1,678)</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(5,327)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End of period</w:t>
            </w:r>
          </w:p>
        </w:tc>
        <w:tc>
          <w:tcPr>
            <w:tcW w:w="8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5,761</w:t>
            </w: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Our long-term non-cancelable purchase commitments consist primarily of multi-year contractual arrangements relating to subscriptions for cloud computing hosting arrangements for our enterprise resource planning (</w:t>
      </w:r>
      <w:r>
        <w:rPr>
          <w:rFonts w:ascii="Arial" w:cs="Arial" w:eastAsia="Arial" w:hAnsi="Arial"/>
          <w:sz w:val="18"/>
          <w:szCs w:val="18"/>
          <w:i w:val="1"/>
          <w:iCs w:val="1"/>
          <w:color w:val="auto"/>
        </w:rPr>
        <w:t>“ERP”</w:t>
      </w:r>
      <w:r>
        <w:rPr>
          <w:rFonts w:ascii="Arial" w:cs="Arial" w:eastAsia="Arial" w:hAnsi="Arial"/>
          <w:sz w:val="18"/>
          <w:szCs w:val="18"/>
          <w:color w:val="auto"/>
        </w:rPr>
        <w:t>) system and the related support services as well as marketing sponsorship. Long-term non-cancelable purchase commitment as of September 30, 2021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Amounts</w:t>
            </w:r>
          </w:p>
        </w:tc>
      </w:tr>
      <w:tr>
        <w:trPr>
          <w:trHeight w:val="155"/>
        </w:trPr>
        <w:tc>
          <w:tcPr>
            <w:tcW w:w="53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3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2024</w:t>
            </w:r>
          </w:p>
        </w:tc>
        <w:tc>
          <w:tcPr>
            <w:tcW w:w="3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Thereafter</w:t>
            </w:r>
          </w:p>
        </w:tc>
        <w:tc>
          <w:tcPr>
            <w:tcW w:w="3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9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non-cancelable purchase commitments outstanding as of December 31, 2020 were $6.8 million.</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color w:val="auto"/>
        </w:rPr>
        <w:t>The total letters of credit outstanding, in aggregate, was $0.5 million and $2.0 million as of September 30, 2021 and December 31, 2020, respectively. No amounts have been drawn upon the letters of credit for all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combined consolidated balance sheets, statements of operations, or statements of cash flows. We currently have directors’ and officers’ insurance.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On September 15, 2020, we completed a Reorganization through a series of steps as discussed in Note 1. In connection with the Reorganization, we filed a certificate of amendment to our Amended and Restated Certificate of Incorporation which authorized 100,000,000 shares of our common stock for issuance, with a par value of $0.0001 per share and effected a 1-for-28,693.596843964 stock split resulting in there being 84,405,366 shares of Corsair’s common stock outstanding as of September 15, 2020.</w:t>
      </w:r>
    </w:p>
    <w:p>
      <w:pPr>
        <w:spacing w:after="0" w:line="18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September 30, 2021 and December 31,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As of September 30, 2021, we have two active equity incentive plans: the 2020 Equity Incentive Plan and the Employee Stock Purchase Plan (“</w:t>
      </w:r>
      <w:r>
        <w:rPr>
          <w:rFonts w:ascii="Arial" w:cs="Arial" w:eastAsia="Arial" w:hAnsi="Arial"/>
          <w:sz w:val="18"/>
          <w:szCs w:val="18"/>
          <w:i w:val="1"/>
          <w:iCs w:val="1"/>
          <w:color w:val="auto"/>
        </w:rPr>
        <w:t>ESPP</w:t>
      </w:r>
      <w:r>
        <w:rPr>
          <w:rFonts w:ascii="Arial" w:cs="Arial" w:eastAsia="Arial" w:hAnsi="Arial"/>
          <w:sz w:val="18"/>
          <w:szCs w:val="18"/>
          <w:color w:val="auto"/>
        </w:rPr>
        <w:t>”).</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table summarizes stock-based compensation expense by line item in the accompanying condensed combined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60" w:type="dxa"/>
            <w:vAlign w:val="bottom"/>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3"/>
                <w:szCs w:val="13"/>
                <w:color w:val="auto"/>
              </w:rPr>
            </w:pPr>
          </w:p>
        </w:tc>
      </w:tr>
      <w:tr>
        <w:trPr>
          <w:trHeight w:val="210"/>
        </w:trPr>
        <w:tc>
          <w:tcPr>
            <w:tcW w:w="5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2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Sales, general and administrative</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4,889</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4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FF0FC"/>
          </w:tcPr>
          <w:p>
            <w:pPr>
              <w:spacing w:after="0"/>
              <w:rPr>
                <w:sz w:val="19"/>
                <w:szCs w:val="19"/>
                <w:color w:val="auto"/>
              </w:rPr>
            </w:pPr>
          </w:p>
        </w:tc>
      </w:tr>
      <w:tr>
        <w:trPr>
          <w:trHeight w:val="263"/>
        </w:trPr>
        <w:tc>
          <w:tcPr>
            <w:tcW w:w="54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w w:val="98"/>
              </w:rPr>
              <w:t xml:space="preserve">Stock-based compensation expense, net of amounts capitalized </w:t>
            </w:r>
            <w:r>
              <w:rPr>
                <w:rFonts w:ascii="Arial" w:cs="Arial" w:eastAsia="Arial" w:hAnsi="Arial"/>
                <w:sz w:val="15"/>
                <w:szCs w:val="15"/>
                <w:color w:val="auto"/>
                <w:w w:val="98"/>
              </w:rPr>
              <w:t>(1)</w:t>
            </w:r>
          </w:p>
        </w:tc>
        <w:tc>
          <w:tcPr>
            <w:tcW w:w="48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5,812</w:t>
            </w:r>
          </w:p>
        </w:tc>
        <w:tc>
          <w:tcPr>
            <w:tcW w:w="24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1,631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13,656</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Borders>
              <w:bottom w:val="single" w:sz="8" w:color="CFF0FC"/>
            </w:tcBorders>
          </w:tcPr>
          <w:p>
            <w:pPr>
              <w:spacing w:after="0"/>
              <w:rPr>
                <w:sz w:val="22"/>
                <w:szCs w:val="22"/>
                <w:color w:val="auto"/>
              </w:rPr>
            </w:pPr>
          </w:p>
        </w:tc>
      </w:tr>
      <w:tr>
        <w:trPr>
          <w:trHeight w:val="182"/>
        </w:trPr>
        <w:tc>
          <w:tcPr>
            <w:tcW w:w="5420" w:type="dxa"/>
            <w:vAlign w:val="bottom"/>
            <w:shd w:val="clear" w:color="auto" w:fill="CFF0FC"/>
          </w:tcPr>
          <w:p>
            <w:pPr>
              <w:ind w:left="240"/>
              <w:spacing w:after="0" w:line="182" w:lineRule="exact"/>
              <w:rPr>
                <w:sz w:val="20"/>
                <w:szCs w:val="20"/>
                <w:color w:val="auto"/>
              </w:rPr>
            </w:pPr>
            <w:r>
              <w:rPr>
                <w:rFonts w:ascii="Arial" w:cs="Arial" w:eastAsia="Arial" w:hAnsi="Arial"/>
                <w:sz w:val="18"/>
                <w:szCs w:val="18"/>
                <w:color w:val="auto"/>
              </w:rPr>
              <w:t>Income tax benefits (expense) related to stock-based</w:t>
            </w:r>
          </w:p>
        </w:tc>
        <w:tc>
          <w:tcPr>
            <w:tcW w:w="4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0"/>
        </w:trPr>
        <w:tc>
          <w:tcPr>
            <w:tcW w:w="54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compensation expense</w:t>
            </w:r>
          </w:p>
        </w:tc>
        <w:tc>
          <w:tcPr>
            <w:tcW w:w="122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(476)</w:t>
            </w: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Total stock-based compensation expense capitalized in inventory was not material for each of the periods presented.</w:t>
      </w:r>
    </w:p>
    <w:p>
      <w:pPr>
        <w:spacing w:after="0" w:line="26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of September 30, 2021, we had $37.1 million of total unrecognized stock-based compensation relating to outstanding unvested awards which is expected to be amortized over a weighted-average period of 2.9 years.</w:t>
      </w:r>
    </w:p>
    <w:p>
      <w:pPr>
        <w:spacing w:after="0" w:line="197" w:lineRule="exact"/>
        <w:rPr>
          <w:sz w:val="20"/>
          <w:szCs w:val="20"/>
          <w:color w:val="auto"/>
        </w:rPr>
      </w:pPr>
    </w:p>
    <w:p>
      <w:pPr>
        <w:ind w:right="780" w:firstLine="510"/>
        <w:spacing w:after="0" w:line="342" w:lineRule="auto"/>
        <w:rPr>
          <w:sz w:val="20"/>
          <w:szCs w:val="20"/>
          <w:color w:val="auto"/>
        </w:rPr>
      </w:pPr>
      <w:r>
        <w:rPr>
          <w:rFonts w:ascii="Arial" w:cs="Arial" w:eastAsia="Arial" w:hAnsi="Arial"/>
          <w:sz w:val="16"/>
          <w:szCs w:val="16"/>
          <w:color w:val="auto"/>
        </w:rPr>
        <w:t>The total intrinsic value of options exercised was $8.8 million and $62.4 million for the three and nine months ended September 30, 2021, respectively. The total intrinsic value of stock options exercises was $0.4 million for both the three and nine months ended September 30, 2020.</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calculation of basic and diluted net income per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09"/>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gridSpan w:val="7"/>
          </w:tcPr>
          <w:p>
            <w:pPr>
              <w:ind w:left="220"/>
              <w:spacing w:after="0"/>
              <w:rPr>
                <w:sz w:val="20"/>
                <w:szCs w:val="20"/>
                <w:color w:val="auto"/>
              </w:rPr>
            </w:pPr>
            <w:r>
              <w:rPr>
                <w:rFonts w:ascii="Arial" w:cs="Arial" w:eastAsia="Arial" w:hAnsi="Arial"/>
                <w:sz w:val="14"/>
                <w:szCs w:val="14"/>
                <w:b w:val="1"/>
                <w:bCs w:val="1"/>
                <w:color w:val="auto"/>
                <w:w w:val="98"/>
              </w:rPr>
              <w:t>(In thousands, except per share amounts)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income,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1,777</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36,357</w:t>
            </w:r>
          </w:p>
        </w:tc>
        <w:tc>
          <w:tcPr>
            <w:tcW w:w="2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76,245</w:t>
            </w:r>
          </w:p>
        </w:tc>
        <w:tc>
          <w:tcPr>
            <w:tcW w:w="240" w:type="dxa"/>
            <w:vAlign w:val="bottom"/>
          </w:tcPr>
          <w:p>
            <w:pPr>
              <w:spacing w:after="0"/>
              <w:rPr>
                <w:sz w:val="23"/>
                <w:szCs w:val="23"/>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60,174</w:t>
            </w:r>
          </w:p>
        </w:tc>
        <w:tc>
          <w:tcPr>
            <w:tcW w:w="120" w:type="dxa"/>
            <w:vAlign w:val="bottom"/>
          </w:tcPr>
          <w:p>
            <w:pPr>
              <w:spacing w:after="0"/>
              <w:rPr>
                <w:sz w:val="23"/>
                <w:szCs w:val="23"/>
                <w:color w:val="auto"/>
              </w:rPr>
            </w:pPr>
          </w:p>
        </w:tc>
      </w:tr>
      <w:tr>
        <w:trPr>
          <w:trHeight w:val="210"/>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Weighted-average shares used to compute net income per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share, basic</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93,918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84,871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92,894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84,352</w:t>
            </w:r>
          </w:p>
        </w:tc>
        <w:tc>
          <w:tcPr>
            <w:tcW w:w="120" w:type="dxa"/>
            <w:vAlign w:val="bottom"/>
          </w:tcPr>
          <w:p>
            <w:pPr>
              <w:spacing w:after="0"/>
              <w:rPr>
                <w:sz w:val="20"/>
                <w:szCs w:val="20"/>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Effect of dilutive securities </w:t>
            </w:r>
            <w:r>
              <w:rPr>
                <w:rFonts w:ascii="Arial" w:cs="Arial" w:eastAsia="Arial" w:hAnsi="Arial"/>
                <w:sz w:val="15"/>
                <w:szCs w:val="15"/>
                <w:color w:val="auto"/>
              </w:rPr>
              <w:t>(1)</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6,123</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20" w:type="dxa"/>
            <w:vAlign w:val="bottom"/>
            <w:shd w:val="clear" w:color="auto" w:fill="CFF0FC"/>
          </w:tcPr>
          <w:p>
            <w:pPr>
              <w:spacing w:after="0"/>
              <w:rPr>
                <w:sz w:val="19"/>
                <w:szCs w:val="19"/>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Weighted-average shares used to compute net income per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586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share, diluted</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100,041</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90,084</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100,116</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87,499</w:t>
            </w:r>
          </w:p>
        </w:tc>
        <w:tc>
          <w:tcPr>
            <w:tcW w:w="120" w:type="dxa"/>
            <w:vAlign w:val="bottom"/>
            <w:tcBorders>
              <w:bottom w:val="single" w:sz="8" w:color="CFF0FC"/>
            </w:tcBorders>
          </w:tcPr>
          <w:p>
            <w:pPr>
              <w:spacing w:after="0"/>
              <w:rPr>
                <w:sz w:val="23"/>
                <w:szCs w:val="23"/>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3"/>
                <w:szCs w:val="23"/>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3"/>
                <w:szCs w:val="23"/>
                <w:color w:val="auto"/>
              </w:rPr>
            </w:pPr>
          </w:p>
        </w:tc>
      </w:tr>
      <w:tr>
        <w:trPr>
          <w:trHeight w:val="210"/>
        </w:trPr>
        <w:tc>
          <w:tcPr>
            <w:tcW w:w="5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Anti-dilutive potential common shares </w:t>
            </w: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880" w:right="320" w:hanging="508"/>
        <w:spacing w:after="0" w:line="277"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Potential common share equivalents were not included in the calculation of diluted net income per share as the effect would have been anti-dilutive</w:t>
      </w:r>
    </w:p>
    <w:p>
      <w:pPr>
        <w:spacing w:after="0" w:line="28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340" w:type="dxa"/>
            <w:vAlign w:val="bottom"/>
            <w:gridSpan w:val="14"/>
          </w:tcPr>
          <w:p>
            <w:pPr>
              <w:ind w:left="520"/>
              <w:spacing w:after="0"/>
              <w:rPr>
                <w:sz w:val="20"/>
                <w:szCs w:val="20"/>
                <w:color w:val="auto"/>
              </w:rPr>
            </w:pPr>
            <w:r>
              <w:rPr>
                <w:rFonts w:ascii="Arial" w:cs="Arial" w:eastAsia="Arial" w:hAnsi="Arial"/>
                <w:sz w:val="18"/>
                <w:szCs w:val="18"/>
                <w:color w:val="auto"/>
                <w:w w:val="90"/>
              </w:rPr>
              <w:t>The table below presents our income before income taxes, income tax expense and effective income tax rates for all periods presented:</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5680" w:type="dxa"/>
            <w:vAlign w:val="bottom"/>
          </w:tcPr>
          <w:p>
            <w:pPr>
              <w:spacing w:after="0"/>
              <w:rPr>
                <w:sz w:val="18"/>
                <w:szCs w:val="18"/>
                <w:color w:val="auto"/>
              </w:rPr>
            </w:pPr>
          </w:p>
        </w:tc>
        <w:tc>
          <w:tcPr>
            <w:tcW w:w="27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6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253"/>
              <w:spacing w:after="0"/>
              <w:rPr>
                <w:sz w:val="20"/>
                <w:szCs w:val="20"/>
                <w:color w:val="auto"/>
              </w:rPr>
            </w:pPr>
            <w:r>
              <w:rPr>
                <w:rFonts w:ascii="Arial" w:cs="Arial" w:eastAsia="Arial" w:hAnsi="Arial"/>
                <w:sz w:val="18"/>
                <w:szCs w:val="18"/>
                <w:b w:val="1"/>
                <w:bCs w:val="1"/>
                <w:color w:val="auto"/>
                <w:w w:val="89"/>
              </w:rPr>
              <w:t>September 30,</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9"/>
                <w:szCs w:val="19"/>
                <w:color w:val="auto"/>
              </w:rPr>
            </w:pPr>
          </w:p>
        </w:tc>
      </w:tr>
      <w:tr>
        <w:trPr>
          <w:trHeight w:val="277"/>
        </w:trPr>
        <w:tc>
          <w:tcPr>
            <w:tcW w:w="5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FF0FC"/>
          </w:tcPr>
          <w:p>
            <w:pPr>
              <w:jc w:val="right"/>
              <w:ind w:right="542"/>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2,151</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39,574</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92,099</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70,323</w:t>
            </w:r>
          </w:p>
        </w:tc>
        <w:tc>
          <w:tcPr>
            <w:tcW w:w="18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(3,217)</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(15,854)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(10,149)</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w:t>
            </w:r>
          </w:p>
        </w:tc>
      </w:tr>
    </w:tbl>
    <w:p>
      <w:pPr>
        <w:spacing w:after="0" w:line="20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212" w:lineRule="exact"/>
        <w:rPr>
          <w:sz w:val="20"/>
          <w:szCs w:val="20"/>
          <w:color w:val="auto"/>
        </w:rPr>
      </w:pPr>
    </w:p>
    <w:p>
      <w:pPr>
        <w:ind w:right="20" w:firstLine="468"/>
        <w:spacing w:after="0" w:line="273" w:lineRule="auto"/>
        <w:rPr>
          <w:sz w:val="20"/>
          <w:szCs w:val="20"/>
          <w:color w:val="auto"/>
        </w:rPr>
      </w:pPr>
      <w:r>
        <w:rPr>
          <w:rFonts w:ascii="Arial" w:cs="Arial" w:eastAsia="Arial" w:hAnsi="Arial"/>
          <w:sz w:val="17"/>
          <w:szCs w:val="17"/>
          <w:color w:val="auto"/>
        </w:rPr>
        <w:t>Our effective tax rates were 17.4% and 8.1% for the three months ended September 30, 2021 and 2020, respectively. The effective tax rate was higher in the three months ended September 30, 2021, as compared to the same period last year primarily due to a $4.3 million tax benefit recognized in the three months September 30, 2020, resulting from the change in management’s assessment of the realizability of certain deferred tax assets as a result of the Reorganization. The increase to the effective tax rate for such three-month period was partially offset by the favorable impacts on the effective tax rate for 2021 from higher excess tax benefits related to stock-based compensation recognized in the three months ended September 30, 2021, as well as the change in the mix of income and losses in the various tax jurisdictions in which we operate.</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effective tax rates were 17.2% and 14.4% for the nine months ended September 30, 2021 and 2020, respectively. The effective tax rate was higher in the nine months ended September 30, 2021, as compared to the same period last year primarily due to a $4.3 million tax benefit recognized in the nine months September 30, 2020, resulting from the change in management’s assessment of the realizability of certain deferred tax assets as a result of the Reorganization and a $0.6 million one-time tax benefit from the change in tax law resulting from the enactment of the CARES Act. In the nine months ended September 30, 2021, we recorded a $1.4 million one-time tax expense related to the remeasurement of our United Kingdom deferred tax liabilities as a result of the enactment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of the increased corporate tax rate in the United Kingdom. The increase to the effective tax rate for such nine-month period was partially offset by the favorable impacts on the effective tax rate for 2021 from higher excess tax benefits related to stock-based compensation recognized in the nine months ended September 30, 2021, as well as the change in the mix of income and losses in the various tax jurisdictions in which we operate.</w:t>
      </w:r>
    </w:p>
    <w:p>
      <w:pPr>
        <w:spacing w:after="0" w:line="14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Unrecognized tax benefits were $1.6 million and $1.2 million as of September 30, 2021 and December 31, 2020, respectively, and if recognized, would favorably affect the effective income tax rate in future periods.</w:t>
      </w:r>
    </w:p>
    <w:p>
      <w:pPr>
        <w:spacing w:after="0" w:line="274" w:lineRule="exact"/>
        <w:rPr>
          <w:sz w:val="20"/>
          <w:szCs w:val="20"/>
          <w:color w:val="auto"/>
        </w:rPr>
      </w:pPr>
    </w:p>
    <w:p>
      <w:pPr>
        <w:ind w:left="520" w:right="8040" w:hanging="512"/>
        <w:spacing w:after="0" w:line="422" w:lineRule="auto"/>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and Geographic Information </w:t>
      </w:r>
      <w:r>
        <w:rPr>
          <w:rFonts w:ascii="Arial" w:cs="Arial" w:eastAsia="Arial" w:hAnsi="Arial"/>
          <w:sz w:val="16"/>
          <w:szCs w:val="16"/>
          <w:color w:val="auto"/>
        </w:rPr>
        <w:t>We have two reportable segments:</w:t>
      </w:r>
    </w:p>
    <w:p>
      <w:pPr>
        <w:ind w:left="1000" w:right="100" w:hanging="493"/>
        <w:spacing w:after="0" w:line="266"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which includes high-performance gaming keyboards, mice, headsets, controllers, and streaming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capture cards, Stream Decks, USB microphones, studio accessories, and EpocCam software, as well as coaching and training services and content design services, among others.</w:t>
      </w:r>
    </w:p>
    <w:p>
      <w:pPr>
        <w:spacing w:after="0" w:line="67" w:lineRule="exact"/>
        <w:rPr>
          <w:rFonts w:ascii="Arial" w:cs="Arial" w:eastAsia="Arial" w:hAnsi="Arial"/>
          <w:sz w:val="18"/>
          <w:szCs w:val="18"/>
          <w:color w:val="auto"/>
        </w:rPr>
      </w:pPr>
    </w:p>
    <w:p>
      <w:pPr>
        <w:ind w:left="1000" w:right="420" w:hanging="493"/>
        <w:spacing w:after="0" w:line="312" w:lineRule="auto"/>
        <w:tabs>
          <w:tab w:leader="none" w:pos="1000" w:val="left"/>
        </w:tabs>
        <w:numPr>
          <w:ilvl w:val="1"/>
          <w:numId w:val="9"/>
        </w:numPr>
        <w:rPr>
          <w:rFonts w:ascii="Arial" w:cs="Arial" w:eastAsia="Arial" w:hAnsi="Arial"/>
          <w:sz w:val="17"/>
          <w:szCs w:val="17"/>
          <w:color w:val="auto"/>
        </w:rPr>
      </w:pPr>
      <w:r>
        <w:rPr>
          <w:rFonts w:ascii="Arial" w:cs="Arial" w:eastAsia="Arial" w:hAnsi="Arial"/>
          <w:sz w:val="17"/>
          <w:szCs w:val="17"/>
          <w:b w:val="1"/>
          <w:bCs w:val="1"/>
          <w:color w:val="auto"/>
        </w:rPr>
        <w:t>Gaming Components and Systems</w:t>
      </w:r>
      <w:r>
        <w:rPr>
          <w:rFonts w:ascii="Arial" w:cs="Arial" w:eastAsia="Arial" w:hAnsi="Arial"/>
          <w:sz w:val="17"/>
          <w:szCs w:val="17"/>
          <w:color w:val="auto"/>
        </w:rPr>
        <w:t>, which includes high-performance power supply units, or PSUs, cooling solutions, computer cases,</w:t>
      </w:r>
      <w:r>
        <w:rPr>
          <w:rFonts w:ascii="Arial" w:cs="Arial" w:eastAsia="Arial" w:hAnsi="Arial"/>
          <w:sz w:val="17"/>
          <w:szCs w:val="17"/>
          <w:b w:val="1"/>
          <w:bCs w:val="1"/>
          <w:color w:val="auto"/>
        </w:rPr>
        <w:t xml:space="preserve"> </w:t>
      </w:r>
      <w:r>
        <w:rPr>
          <w:rFonts w:ascii="Arial" w:cs="Arial" w:eastAsia="Arial" w:hAnsi="Arial"/>
          <w:sz w:val="17"/>
          <w:szCs w:val="17"/>
          <w:color w:val="auto"/>
        </w:rPr>
        <w:t>DRAM modules, as well as high-end prebuilt and custom-built gaming PCs, and gaming monitor, among others.</w:t>
      </w:r>
    </w:p>
    <w:p>
      <w:pPr>
        <w:spacing w:after="0" w:line="14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segments are defined as those operations our chief operating decision maker (</w:t>
      </w:r>
      <w:r>
        <w:rPr>
          <w:rFonts w:ascii="Arial" w:cs="Arial" w:eastAsia="Arial" w:hAnsi="Arial"/>
          <w:sz w:val="17"/>
          <w:szCs w:val="17"/>
          <w:i w:val="1"/>
          <w:iCs w:val="1"/>
          <w:color w:val="auto"/>
        </w:rPr>
        <w:t>“CODM”</w:t>
      </w:r>
      <w:r>
        <w:rPr>
          <w:rFonts w:ascii="Arial" w:cs="Arial" w:eastAsia="Arial" w:hAnsi="Arial"/>
          <w:sz w:val="17"/>
          <w:szCs w:val="17"/>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financial information for each reportable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7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r>
      <w:tr>
        <w:trPr>
          <w:trHeight w:val="277"/>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Gamer and Creator Peripherals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139,260</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161,555</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470,329</w:t>
            </w:r>
          </w:p>
        </w:tc>
        <w:tc>
          <w:tcPr>
            <w:tcW w:w="240" w:type="dxa"/>
            <w:vAlign w:val="bottom"/>
          </w:tcPr>
          <w:p>
            <w:pPr>
              <w:spacing w:after="0"/>
              <w:rPr>
                <w:sz w:val="19"/>
                <w:szCs w:val="19"/>
                <w:color w:val="auto"/>
              </w:rPr>
            </w:pP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347,531</w:t>
            </w:r>
          </w:p>
        </w:tc>
        <w:tc>
          <w:tcPr>
            <w:tcW w:w="12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251,861</w:t>
            </w:r>
          </w:p>
        </w:tc>
        <w:tc>
          <w:tcPr>
            <w:tcW w:w="2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295,548</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923,109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798,497</w:t>
            </w:r>
          </w:p>
        </w:tc>
        <w:tc>
          <w:tcPr>
            <w:tcW w:w="120" w:type="dxa"/>
            <w:vAlign w:val="bottom"/>
            <w:shd w:val="clear" w:color="auto" w:fill="CFF0FC"/>
          </w:tcPr>
          <w:p>
            <w:pPr>
              <w:spacing w:after="0"/>
              <w:rPr>
                <w:sz w:val="19"/>
                <w:szCs w:val="19"/>
                <w:color w:val="auto"/>
              </w:rPr>
            </w:pPr>
          </w:p>
        </w:tc>
      </w:tr>
      <w:tr>
        <w:trPr>
          <w:trHeight w:val="263"/>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391,121</w:t>
            </w:r>
          </w:p>
        </w:tc>
        <w:tc>
          <w:tcPr>
            <w:tcW w:w="2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457,103</w:t>
            </w:r>
          </w:p>
        </w:tc>
        <w:tc>
          <w:tcPr>
            <w:tcW w:w="24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1,393,438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1,146,028</w:t>
            </w:r>
          </w:p>
        </w:tc>
        <w:tc>
          <w:tcPr>
            <w:tcW w:w="120" w:type="dxa"/>
            <w:vAlign w:val="bottom"/>
            <w:tcBorders>
              <w:bottom w:val="single" w:sz="8" w:color="CFF0FC"/>
            </w:tcBorders>
          </w:tcPr>
          <w:p>
            <w:pPr>
              <w:spacing w:after="0"/>
              <w:rPr>
                <w:sz w:val="22"/>
                <w:szCs w:val="22"/>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Gamer and Creator Peripherals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48,580</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60,010</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172,080</w:t>
            </w:r>
          </w:p>
        </w:tc>
        <w:tc>
          <w:tcPr>
            <w:tcW w:w="240" w:type="dxa"/>
            <w:vAlign w:val="bottom"/>
          </w:tcPr>
          <w:p>
            <w:pPr>
              <w:spacing w:after="0"/>
              <w:rPr>
                <w:sz w:val="19"/>
                <w:szCs w:val="19"/>
                <w:color w:val="auto"/>
              </w:rPr>
            </w:pP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120,886</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52,782</w:t>
            </w:r>
          </w:p>
        </w:tc>
        <w:tc>
          <w:tcPr>
            <w:tcW w:w="2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67,934</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219,961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190,744</w:t>
            </w:r>
          </w:p>
        </w:tc>
        <w:tc>
          <w:tcPr>
            <w:tcW w:w="120" w:type="dxa"/>
            <w:vAlign w:val="bottom"/>
            <w:shd w:val="clear" w:color="auto" w:fill="CFF0FC"/>
          </w:tcPr>
          <w:p>
            <w:pPr>
              <w:spacing w:after="0"/>
              <w:rPr>
                <w:sz w:val="19"/>
                <w:szCs w:val="19"/>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101,362</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127,944</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392,041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311,630</w:t>
            </w:r>
          </w:p>
        </w:tc>
        <w:tc>
          <w:tcPr>
            <w:tcW w:w="1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CODM manages assets on a total company basis, not by operating segments; therefore, asset information and capital expenditures by operating segments are not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net revenue by geographic region based on the location of the customer: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7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r>
      <w:tr>
        <w:trPr>
          <w:trHeight w:val="277"/>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189,330</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216,982</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606,788</w:t>
            </w:r>
          </w:p>
        </w:tc>
        <w:tc>
          <w:tcPr>
            <w:tcW w:w="7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517,165</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Europe and Middle East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147,703</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162,615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560,905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412,349</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54,088</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77,506</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225,745</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216,514</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391,121</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457,103</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1,393,438</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1,146,028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60" w:firstLine="510"/>
        <w:spacing w:after="0" w:line="286" w:lineRule="auto"/>
        <w:rPr>
          <w:sz w:val="20"/>
          <w:szCs w:val="20"/>
          <w:color w:val="auto"/>
        </w:rPr>
      </w:pPr>
      <w:r>
        <w:rPr>
          <w:rFonts w:ascii="Arial" w:cs="Arial" w:eastAsia="Arial" w:hAnsi="Arial"/>
          <w:sz w:val="17"/>
          <w:szCs w:val="17"/>
          <w:color w:val="auto"/>
        </w:rPr>
        <w:t>Revenues from sales to customers in the United States represented 41.4% and 39.6% for the three months ended September 30, 2021 and, 2020, respectively, and represented 37.3% and 37.6% for the nine months ended September 30, 2021 and, 2020, respectively. No other countries besides the United States represented 10% or more of total net revenue for each of the periods presented.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 customer represented at least 10% of total net revenue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condensed combined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We are a leading global provider and innovator of high-performance gear for gamers, streamers and content creators. We design industry-leading gaming gear that helps digital athletes, from casual gamers to committed professionals, to perform at their peak across PC or console platforms, and streaming gear that enables creators to produce studio-quality content to share with friends or to broadcast to millions of fans. Our solution is a complete suite of gear that addresses the most critical components for both game performance and streaming. Our product offering is enhanced by our two proprietary software platforms: iCUE for gamers and the Elgato suite for content creators, which provide unified, intuitive performance, and aesthetic control and customization across their respective product families. Recently, we further enhanced our streaming product offerings through acquiring EpocCam software, Gamer Sensei gaming coaching services and Visuals by Impulse (“</w:t>
      </w:r>
      <w:r>
        <w:rPr>
          <w:rFonts w:ascii="Arial" w:cs="Arial" w:eastAsia="Arial" w:hAnsi="Arial"/>
          <w:sz w:val="16"/>
          <w:szCs w:val="16"/>
          <w:i w:val="1"/>
          <w:iCs w:val="1"/>
          <w:color w:val="auto"/>
        </w:rPr>
        <w:t>VBI</w:t>
      </w:r>
      <w:r>
        <w:rPr>
          <w:rFonts w:ascii="Arial" w:cs="Arial" w:eastAsia="Arial" w:hAnsi="Arial"/>
          <w:sz w:val="16"/>
          <w:szCs w:val="16"/>
          <w:color w:val="auto"/>
        </w:rPr>
        <w:t>”) content creative design platform.</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group our products into two categories (operating segments):</w:t>
      </w:r>
    </w:p>
    <w:p>
      <w:pPr>
        <w:spacing w:after="0" w:line="131" w:lineRule="exact"/>
        <w:rPr>
          <w:sz w:val="20"/>
          <w:szCs w:val="20"/>
          <w:color w:val="auto"/>
        </w:rPr>
      </w:pPr>
    </w:p>
    <w:p>
      <w:pPr>
        <w:ind w:left="1000" w:right="16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Gamer and creator peripherals. </w:t>
      </w:r>
      <w:r>
        <w:rPr>
          <w:rFonts w:ascii="Arial" w:cs="Arial" w:eastAsia="Arial" w:hAnsi="Arial"/>
          <w:sz w:val="18"/>
          <w:szCs w:val="18"/>
          <w:color w:val="auto"/>
        </w:rPr>
        <w:t>Includes our high-performance gaming keyboards, mice, headsets, controllers, and streaming gear,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capture cards, Stream Decks, USB microphones, studio accessories, and EpocCam software, as well as coaching and training services and content design services, among others.</w:t>
      </w:r>
    </w:p>
    <w:p>
      <w:pPr>
        <w:spacing w:after="0" w:line="89" w:lineRule="exact"/>
        <w:rPr>
          <w:rFonts w:ascii="Arial" w:cs="Arial" w:eastAsia="Arial" w:hAnsi="Arial"/>
          <w:sz w:val="18"/>
          <w:szCs w:val="18"/>
          <w:color w:val="auto"/>
        </w:rPr>
      </w:pPr>
    </w:p>
    <w:p>
      <w:pPr>
        <w:ind w:left="1000" w:right="42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Gaming components and systems. </w:t>
      </w:r>
      <w:r>
        <w:rPr>
          <w:rFonts w:ascii="Arial" w:cs="Arial" w:eastAsia="Arial" w:hAnsi="Arial"/>
          <w:sz w:val="17"/>
          <w:szCs w:val="17"/>
          <w:color w:val="auto"/>
        </w:rPr>
        <w:t>Includes our high-performance power supply units, or PSUs, cooling solutions, computer cases,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DRAM modules, as well as high-end prebuilt and custom-built gaming PCs, and gaming monitor, among others.</w:t>
      </w:r>
    </w:p>
    <w:p>
      <w:pPr>
        <w:spacing w:after="0" w:line="14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Our gear is sold to gaming enthusiasts worldwide through either our retail channel or our direct-to-consumer channel. In our retail channel, we distribute our gear either directly to the retailer, such as Amazon and Best Buy, or through key distributors. While we historically have sold a small percentage of our gear directly to consumers through our website, following the SCUF Acquisition and the Origin Acquisition in 2019, the volume of direct-to-consumer sales has increased as both of these companies primarily generated sales through direct-to-consumer channels. We expect net revenue from our direct-to-consumer channel to continue to increase as a percentage of total net revenue in future periods.</w:t>
      </w:r>
    </w:p>
    <w:p>
      <w:pPr>
        <w:spacing w:after="0" w:line="1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From time to time, we may seek to partner with or, when appropriate, acquire companies that have products, personnel, and technologies that complement our strategic direction. In July 2019, we acquired Origin PC Corporation, a company based in Florida, specializing in delivering hand-built, personalized high-end gaming PCs and in December 2019, we acquired SCUF Holdings, Inc. and its subsidiaries. SCUF, headquartered in Georgia, specializes in delivering superior accessories and customized gaming controllers for gaming consoles and PCs that are used by top professional gamers as well as competitive amateur gamers. The addition of Origin’s and SCUF’s products enhances and expands our product offering to PC and console gamers, respectively. We subsequently completed three more immaterial acquisitions. In August 2020, we acquired EpocCam to enhance the Elgato streaming camera software offering; in October 2020, we acquired Gamer Sensei to offer gaming coaching services to the wide audience of gamers looking to improve their skills and in February 2021, we acquired VBI to provide creative services to streamers looking to professionalize the look of their broadcast. Origin is part of our gaming components and systems segment and SCUF, EpocCam, Gamer Sensei and VBI are part of our gamer and creator peripherals segment.</w:t>
      </w:r>
    </w:p>
    <w:p>
      <w:pPr>
        <w:spacing w:after="0" w:line="185" w:lineRule="exact"/>
        <w:rPr>
          <w:sz w:val="20"/>
          <w:szCs w:val="20"/>
          <w:color w:val="auto"/>
        </w:rPr>
      </w:pPr>
    </w:p>
    <w:p>
      <w:pPr>
        <w:ind w:right="320" w:firstLine="510"/>
        <w:spacing w:after="0" w:line="255" w:lineRule="auto"/>
        <w:rPr>
          <w:sz w:val="20"/>
          <w:szCs w:val="20"/>
          <w:color w:val="auto"/>
        </w:rPr>
      </w:pPr>
      <w:r>
        <w:rPr>
          <w:rFonts w:ascii="Arial" w:cs="Arial" w:eastAsia="Arial" w:hAnsi="Arial"/>
          <w:sz w:val="18"/>
          <w:szCs w:val="18"/>
          <w:color w:val="auto"/>
        </w:rPr>
        <w:t>Our net revenue was $391.1 million and $457.1 million for the three months ended September 30, 2021 and 2020, respectively, representing a period-over-period decrease of 14.4%. We had net income of $1.8 million and $36.4 million for the three months ended September 30, 2021 and 2020, respectively. Our net revenue was $1.4 billion and $1.1 billion for the nine months ended September 30, 2021 and 2020, respectively, representing a period-over-period increase of 21.6%. We had net income of $76.2 million and $60.2 million for the nine months ended September 30, 2021 and 2020, respectively. Net cash provided by operating activities was $25.1 million and $100.3 million for the nine months ended September 30, 2021 and 2020, respectively.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results of operations and financial condition are affected by numerous factors, including those discussed in the section titled “Risk Factors” in Part II, Item 1A of this Quarterly Report on Form 10-Q and those described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Impact of Industry Trends</w:t>
      </w:r>
      <w:r>
        <w:rPr>
          <w:rFonts w:ascii="Arial" w:cs="Arial" w:eastAsia="Arial" w:hAnsi="Arial"/>
          <w:sz w:val="17"/>
          <w:szCs w:val="17"/>
          <w:color w:val="auto"/>
        </w:rPr>
        <w:t>. Our results of operations and financial condition are impacted by industry trends in the gaming market, including:</w:t>
      </w:r>
    </w:p>
    <w:p>
      <w:pPr>
        <w:spacing w:after="0" w:line="129" w:lineRule="exact"/>
        <w:rPr>
          <w:sz w:val="20"/>
          <w:szCs w:val="20"/>
          <w:color w:val="auto"/>
        </w:rPr>
      </w:pPr>
    </w:p>
    <w:p>
      <w:pPr>
        <w:ind w:left="1000" w:right="80" w:hanging="493"/>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Increasing gaming engagement</w:t>
      </w:r>
      <w:r>
        <w:rPr>
          <w:rFonts w:ascii="Arial" w:cs="Arial" w:eastAsia="Arial" w:hAnsi="Arial"/>
          <w:sz w:val="18"/>
          <w:szCs w:val="18"/>
          <w:color w:val="auto"/>
        </w:rPr>
        <w:t>. We believe that gaming’s increasing time share of global entertainment consumption will drive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spending on both games and gaming gear. Gaming continues to become increasingly social and streaming viewership more widely adopted along with increasing numbers of content creators. We believe this trend will continue and Corsair is well positioned to serve the streaming market with best-in-class tools for content creation.</w:t>
      </w:r>
    </w:p>
    <w:p>
      <w:pPr>
        <w:spacing w:after="0" w:line="78" w:lineRule="exact"/>
        <w:rPr>
          <w:rFonts w:ascii="Arial" w:cs="Arial" w:eastAsia="Arial" w:hAnsi="Arial"/>
          <w:sz w:val="18"/>
          <w:szCs w:val="18"/>
          <w:color w:val="auto"/>
        </w:rPr>
      </w:pPr>
    </w:p>
    <w:p>
      <w:pPr>
        <w:ind w:left="1000" w:right="60" w:hanging="493"/>
        <w:spacing w:after="0" w:line="269"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Introduction of new high-performance computing hardware and sophisticated games</w:t>
      </w:r>
      <w:r>
        <w:rPr>
          <w:rFonts w:ascii="Arial" w:cs="Arial" w:eastAsia="Arial" w:hAnsi="Arial"/>
          <w:sz w:val="17"/>
          <w:szCs w:val="17"/>
          <w:color w:val="auto"/>
        </w:rPr>
        <w:t>. We believe that the introduction and availability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more powerful CPUs and GPUs 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as well as the availability and pricing of such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8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b w:val="1"/>
          <w:bCs w:val="1"/>
          <w:i w:val="1"/>
          <w:iCs w:val="1"/>
          <w:color w:val="auto"/>
        </w:rPr>
        <w:t>Impact of Product Mix</w:t>
      </w:r>
      <w:r>
        <w:rPr>
          <w:rFonts w:ascii="Arial" w:cs="Arial" w:eastAsia="Arial" w:hAnsi="Arial"/>
          <w:sz w:val="18"/>
          <w:szCs w:val="18"/>
          <w:color w:val="auto"/>
        </w:rPr>
        <w:t>. Our gamer and creator peripherals segment has a higher gross margin than our gaming components and systems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b w:val="1"/>
          <w:bCs w:val="1"/>
          <w:i w:val="1"/>
          <w:iCs w:val="1"/>
          <w:color w:val="auto"/>
        </w:rPr>
        <w:t>Impact of Customer Concentration</w:t>
      </w:r>
      <w:r>
        <w:rPr>
          <w:rFonts w:ascii="Arial" w:cs="Arial" w:eastAsia="Arial" w:hAnsi="Arial"/>
          <w:sz w:val="17"/>
          <w:szCs w:val="17"/>
          <w:color w:val="auto"/>
        </w:rPr>
        <w:t>. We operate a global sales network that consists primarily of retailers (including eRetailers),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distributors we use to access certain retailers. Further, a limited number of retailers and distributors represent a significant portion of our net revenue, with eRetailer Amazon accounting for 26.4% and 25.1% of our net revenue for the nine months ended September 30, 2021 and 2020, respectively, and sales to our ten largest customers accounting for approximately 50.5% and 51.0% of our net revenue for the nine months ended September 30, 2021 and 2020,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that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8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b w:val="1"/>
          <w:bCs w:val="1"/>
          <w:i w:val="1"/>
          <w:iCs w:val="1"/>
          <w:color w:val="auto"/>
        </w:rPr>
        <w:t>Impact of New Product Introductions</w:t>
      </w:r>
      <w:r>
        <w:rPr>
          <w:rFonts w:ascii="Arial" w:cs="Arial" w:eastAsia="Arial" w:hAnsi="Arial"/>
          <w:sz w:val="16"/>
          <w:szCs w:val="16"/>
          <w:color w:val="auto"/>
        </w:rPr>
        <w:t>. Gamers demand new technology and product features, and we expect our ability to accurately anticipate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 these demands will be one of the main drivers for any future sales growth and market share expansion. To date, we have had several new product introductions that had a favorable impact on our net revenue and operating results, such as the introduction of our new K65 mini RGB keyboard and Elgato’s new accessories in the first quarter of 2021 and our new Facecam in the third quarter of 2021. However, there can be no assurance that our new product introductions will have a favorable impact on our operating results or that customers will choose our new gear over those of our competitors.</w:t>
      </w:r>
    </w:p>
    <w:p>
      <w:pPr>
        <w:spacing w:after="0" w:line="16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b w:val="1"/>
          <w:bCs w:val="1"/>
          <w:i w:val="1"/>
          <w:iCs w:val="1"/>
          <w:color w:val="auto"/>
        </w:rPr>
        <w:t xml:space="preserve">Impact of Seasonal Sales Trends. </w:t>
      </w:r>
      <w:r>
        <w:rPr>
          <w:rFonts w:ascii="Arial" w:cs="Arial" w:eastAsia="Arial" w:hAnsi="Arial"/>
          <w:sz w:val="17"/>
          <w:szCs w:val="17"/>
          <w:color w:val="auto"/>
        </w:rPr>
        <w:t>Notwithstanding the results of operations for the third quarter of 2021, which were adversely impacted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pandemic, historically, we have experienced and expect to continue to experience seasonal fluctuations in sales due to the buying 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and may be further impacted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future, by increasing supply constraints, GPUs shortages, shifts in customer behavior and the evolving impacts of the COVID-19 pandemic.</w:t>
      </w:r>
    </w:p>
    <w:p>
      <w:pPr>
        <w:spacing w:after="0" w:line="23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b w:val="1"/>
          <w:bCs w:val="1"/>
          <w:i w:val="1"/>
          <w:iCs w:val="1"/>
          <w:color w:val="auto"/>
        </w:rPr>
        <w:t>Impact of Fluctuations in Currency Exchange Rates</w:t>
      </w:r>
      <w:r>
        <w:rPr>
          <w:rFonts w:ascii="Arial" w:cs="Arial" w:eastAsia="Arial" w:hAnsi="Arial"/>
          <w:sz w:val="17"/>
          <w:szCs w:val="17"/>
          <w:color w:val="auto"/>
        </w:rPr>
        <w:t>. We are subject to inherent risks attributed to operating in a global economy. Some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17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b w:val="1"/>
          <w:bCs w:val="1"/>
          <w:i w:val="1"/>
          <w:iCs w:val="1"/>
          <w:color w:val="auto"/>
        </w:rPr>
        <w:t xml:space="preserve">Impact of COVID-19. </w:t>
      </w:r>
      <w:r>
        <w:rPr>
          <w:rFonts w:ascii="Arial" w:cs="Arial" w:eastAsia="Arial" w:hAnsi="Arial"/>
          <w:sz w:val="16"/>
          <w:szCs w:val="16"/>
          <w:color w:val="auto"/>
        </w:rPr>
        <w:t>Due to the COVID-19 pandemic, there has been and will continue to be uncertainty and disruption in the global economy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markets. Since early 2020, we have experienced some business disruptions due to COVID-19, including the stoppage in our factories in early 2020, disruption in our supply chain and increased distribution costs, which led to increases in operating costs such as the significantly elevated ocean freight costs we incurred in the third quarter of 2021 as compared to the same quarter from the prior year and the most recent trailing quarter. As a result of the COVID-19 pandemic, we are continuing to experience logistics challenges globally. These negative financial impacts have been offset by strong revenue growth year-over-year partly due to an increase in demand for our gear as more people in more countries are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and could continue to result in shelter-in-place and other similar restrictions being eased. Such easing of restrictions likely has, and will continue to result in consumers returning to other alternative forms of entertainment and interaction. This in turn has, and could continue to, result in a decline in demand for our products. The full extent of the impact of the COVID-19 pandemic on our business, results of operations, cash flows and financial position will depend on future developments, which are highly uncertain and cannot be predicted, including, but not limited to, the duration and spread of the outbreak, its severity, the prevalence and severity of any variants,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6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We continue to closely monitor the impact of the COVID-19 pandemic to our business, and we have implemented various measures to mitigate the disruptive logistic impact specifically around managing inventory stocking levels at our distribution hubs and determining the mode of shipment used to deploy our gear to the customers, and we are also ready to implement adjustments to our expenses and cash flow in the event of declines in revenues.</w:t>
      </w:r>
    </w:p>
    <w:p>
      <w:pPr>
        <w:spacing w:after="0" w:line="149"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b w:val="1"/>
          <w:bCs w:val="1"/>
          <w:i w:val="1"/>
          <w:iCs w:val="1"/>
          <w:color w:val="auto"/>
        </w:rPr>
        <w:t>Impact of Fluctuations in Integrated Circuits Pricing</w:t>
      </w:r>
      <w:r>
        <w:rPr>
          <w:rFonts w:ascii="Arial" w:cs="Arial" w:eastAsia="Arial" w:hAnsi="Arial"/>
          <w:sz w:val="17"/>
          <w:szCs w:val="17"/>
          <w:color w:val="auto"/>
        </w:rPr>
        <w:t>. Integrated circuits, or ICs, account for most of the cost of producing our high-performance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Cost of revenue consists primarily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consist of product development and sales, general and administrative expenses.</w:t>
      </w:r>
    </w:p>
    <w:p>
      <w:pPr>
        <w:spacing w:after="0" w:line="22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i w:val="1"/>
          <w:iCs w:val="1"/>
          <w:color w:val="auto"/>
        </w:rPr>
        <w:t xml:space="preserve">Sales, general and administrative. </w:t>
      </w:r>
      <w:r>
        <w:rPr>
          <w:rFonts w:ascii="Arial" w:cs="Arial" w:eastAsia="Arial" w:hAnsi="Arial"/>
          <w:sz w:val="18"/>
          <w:szCs w:val="18"/>
          <w:color w:val="auto"/>
        </w:rPr>
        <w:t>Sales, general and administrative, or SG&amp;A expenses represent the largest component of our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and personnel-related cost. General and administrative costs consist primarily of personnel-related expenses for our finance, legal, human resources, IT and administrative personnel, as well as the costs of professional services related to these functions.</w:t>
      </w:r>
    </w:p>
    <w:p>
      <w:pPr>
        <w:spacing w:after="0" w:line="195"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 in legal, accounting, insurance, compliance, investor relations and other costs associated with becoming a public company.</w:t>
      </w:r>
    </w:p>
    <w:p>
      <w:pPr>
        <w:spacing w:after="0" w:line="184"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costs are generally expensed as incurred and reported in the condensed combined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expect our product development expenses to increase in absolute dollars as we continue to make significant investments in developing new products and enhancing existing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Other (expense) income, net consists primarily of our foreign currency exchange gains and losses relating to transactions and remeasurement of asset and liability balances denominated in currencies other than the U.S. dollar. We expect our foreign currency gains and losses to continue to fluctuate in the future due to changes in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tables set forth the components of our condensed combined consolidated statements of operations, in dollars and as a percentage of total net revenue, for each of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391,121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457,103</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1,393,438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1,146,028</w:t>
            </w:r>
          </w:p>
        </w:tc>
        <w:tc>
          <w:tcPr>
            <w:tcW w:w="100" w:type="dxa"/>
            <w:vAlign w:val="bottom"/>
            <w:shd w:val="clear" w:color="auto" w:fill="CFF0FC"/>
          </w:tcPr>
          <w:p>
            <w:pPr>
              <w:spacing w:after="0"/>
              <w:rPr>
                <w:sz w:val="19"/>
                <w:szCs w:val="19"/>
                <w:color w:val="auto"/>
              </w:rPr>
            </w:pPr>
          </w:p>
        </w:tc>
      </w:tr>
      <w:tr>
        <w:trPr>
          <w:trHeight w:val="230"/>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329,159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1,001,397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834,398</w:t>
            </w:r>
          </w:p>
        </w:tc>
        <w:tc>
          <w:tcPr>
            <w:tcW w:w="10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127,944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311,630</w:t>
            </w:r>
          </w:p>
        </w:tc>
        <w:tc>
          <w:tcPr>
            <w:tcW w:w="10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175,877</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12,902</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36,285</w:t>
            </w:r>
          </w:p>
        </w:tc>
        <w:tc>
          <w:tcPr>
            <w:tcW w:w="10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78,223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212,162</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99,468</w:t>
            </w:r>
          </w:p>
        </w:tc>
        <w:tc>
          <w:tcPr>
            <w:tcW w:w="10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(10,170)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(16,656)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(29,116)</w:t>
            </w:r>
          </w:p>
        </w:tc>
      </w:tr>
      <w:tr>
        <w:trPr>
          <w:trHeight w:val="229"/>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(29,145)</w:t>
            </w:r>
          </w:p>
        </w:tc>
        <w:tc>
          <w:tcPr>
            <w:tcW w:w="10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70,323</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(3,217)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(15,854)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(10,149)</w:t>
            </w:r>
          </w:p>
        </w:tc>
      </w:tr>
      <w:tr>
        <w:trPr>
          <w:trHeight w:val="223"/>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5"/>
          </w:tcPr>
          <w:p>
            <w:pPr>
              <w:ind w:left="140"/>
              <w:spacing w:after="0"/>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7"/>
          </w:tcPr>
          <w:p>
            <w:pPr>
              <w:ind w:left="2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7"/>
          </w:tcPr>
          <w:p>
            <w:pPr>
              <w:ind w:left="4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Components of Results of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w w:val="89"/>
              </w:rPr>
              <w:t>391,121</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9"/>
              </w:rPr>
              <w:t>457,103</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89"/>
              </w:rPr>
              <w:t>1,393,438</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1,146,028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Net revenue decreased $66.0 million, or 14.4%, for the three months ended September 30, 2021 as compared to the same period last year. The decrease was due to a 13.8% decrease in sales for our gamer and creator peripherals segment and a 14.8% decrease in sales for our gaming components and systems segment. We believe the decrease in sales in both segments was primarily due to supply and logistic constraints caused by the COVID-19 pandemic, as well as the shortage of reasonably priced GPUs.</w:t>
      </w:r>
    </w:p>
    <w:p>
      <w:pPr>
        <w:spacing w:after="0" w:line="25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Net revenue increased $247.4 million, or 21.6%, for the nine months ended September 30, 2021 as compared to the same period last year. The increase was due to a 35.3% increase in sales for our gamer and creator peripherals segment and a 15.6% increase in sales for our gaming components and systems segment. Overall, we saw strong growth in revenue for both our gamer and creator peripherals segment and gaming components and systems segments year-over-year primarily resulting from a larger number of consumers that are gaming and working from home due to the COVID-19 pandemic, but this revenue growth was partially offset by a decrease in revenue in the third quarter of 2021 in both segments primarily due to supply and logistic constraints caused by the COVID-19 pandemic, as well as the shortage of reasonably priced GPUs.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Gross Profit and Gross Margin</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4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r>
      <w:tr>
        <w:trPr>
          <w:trHeight w:val="277"/>
        </w:trPr>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101,362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127,944</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392,041</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311,630</w:t>
            </w:r>
          </w:p>
        </w:tc>
        <w:tc>
          <w:tcPr>
            <w:tcW w:w="18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Gross margin</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bl>
    <w:p>
      <w:pPr>
        <w:spacing w:after="0" w:line="241"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Gross margin decreased to 25.9% for the three months ended September 30, 2021 from 28.0% for the same period last year. The decrease was driven primarily by an increase in logistic costs which were largely driven by the COVID-19 pandemic, and increased promotional activity.</w:t>
      </w:r>
    </w:p>
    <w:p>
      <w:pPr>
        <w:spacing w:after="0" w:line="19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Gross margin increased to 28.1% for the nine months ended September 30, 2021 from 27.2% for the same period last year. This increase was primarily driven by improved product mix towards our gamer and creator peripherals segment and the increase in sales volume, particularly the strong revenue growth in our Elgato streaming products. The increase in gross margin was partially offset by increased logistics costs largely due to the COVID-19 pandemic, and pandemic related port shutdowns in addition to increased promotional activity.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Sales, General and Administrative (SG&amp;A)</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center"/>
              <w:ind w:right="176"/>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center"/>
              <w:ind w:right="196"/>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4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Sales, general and administrative</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65,321</w:t>
            </w: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234,134</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175,877</w:t>
            </w:r>
          </w:p>
        </w:tc>
        <w:tc>
          <w:tcPr>
            <w:tcW w:w="100" w:type="dxa"/>
            <w:vAlign w:val="bottom"/>
            <w:shd w:val="clear" w:color="auto" w:fill="CFF0FC"/>
          </w:tcPr>
          <w:p>
            <w:pPr>
              <w:spacing w:after="0"/>
              <w:rPr>
                <w:sz w:val="19"/>
                <w:szCs w:val="19"/>
                <w:color w:val="auto"/>
              </w:rPr>
            </w:pPr>
          </w:p>
        </w:tc>
      </w:tr>
      <w:tr>
        <w:trPr>
          <w:trHeight w:val="432"/>
        </w:trPr>
        <w:tc>
          <w:tcPr>
            <w:tcW w:w="4360" w:type="dxa"/>
            <w:vAlign w:val="bottom"/>
          </w:tcPr>
          <w:p>
            <w:pPr>
              <w:spacing w:after="0"/>
              <w:rPr>
                <w:sz w:val="24"/>
                <w:szCs w:val="24"/>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SG&amp;A expenses increased $10.8 million, or 16.5%, for the three months ended September 30, 2021 as compared to the same period last year. The increase was primarily due a $2.7 million increase in personnel-related costs due to headcount growth and higher stock-based compensation, a $2.5 million increase in marketing expenses, mainly due to increase in sponsorships and digital marketing programs, a $2.0 million increase in director and officer insurance fees, and a $1.9 million increase in distribution costs including outbound freight and the costs to operate our distribution hubs largely due to the COVID-19 pandemic impact to logistic constraints. Other increases in SG&amp;A expenses included increased credit card processing fees, driven by an increase in our webstore sales and professional services expenses.</w:t>
      </w:r>
    </w:p>
    <w:p>
      <w:pPr>
        <w:spacing w:after="0" w:line="260"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SG&amp;A expenses increased $58.3 million, or 33.1%, for the nine months ended September 30, 2021 as compared to the same period last year. The increase was primarily due to a $20.7 million increase in distribution costs including outbound freight expenses and the costs to operate our distribution hubs, in each case, due to increased sales volume as well as the COVID-19 pandemic impact to logistic constraints, a $19.4 million increase in personnel-related costs due to headcount growth and higher stock-based compensation, a $6.0 million increase in director and officer insurance fees, a $5.8 million increase in marketing expenses, mainly due to increase in sponsorships and digital marketing programs, and a $3.0 million increase in credit card processing fees driven by an increase in our webstore sales. Other increases in SG&amp;A expenses included increased professional services expenses.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center"/>
              <w:ind w:right="176"/>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center"/>
              <w:ind w:right="196"/>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12,902</w:t>
            </w: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45,150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36,285</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Product development expenses increased $1.6 million, or 12.3%, for the three months ended September 30, 2021 as compared to the same period last year. The increase was primarily due to a $0.6 million increase in consultant and contractor expense, a $0.7 million increase in other product development related costs to support our continued innovation and broadening of our product portfolio, and a $0.3 million increase in personnel-related expense.</w:t>
      </w:r>
    </w:p>
    <w:p>
      <w:pPr>
        <w:spacing w:after="0" w:line="25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Product development expenses increased $8.9 million, or 24.4%, for the nine months ended September 30, 2021 as compared to the same period last year. The increase was primarily due to a $5.7 million increase in personnel-related expenses due to headcount growth and higher stock-based compensation, a $1.8 million increase in other product development related costs to support our continued innovation and broadening of our product portfolio, and a $1.4 million increase in consultant and contractor expense.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and Other (Expense) Income,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(7,202)</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(10,170)</w:t>
            </w: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(29,116)</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(4,002)</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24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Interest expense decreased $3.0 million, or 29.2%, for the three months ended September 30, 2021 as compared to the same period last year. Interest expense decreased $12.5 million, or 42.8%, for the nine months ended September 30, 2021 as compared to the same period last year. The decreases in interest expense in both the three and nine-months ended September 30, 2021 compared to the same periods last year were due to lower interest expense paid for our First Lien Term Loan as a result of the partial and full extinguishment of our First Lien Term Loan in 2020 and 2021, respectively, and no interest paid for our Second Lien Term Loan due to the full extinguishment of our Second Lien Term Loan in 2020. Additionally, the decreases in interest expense were due in part, to a lesser extent, lower interest rate on our new Term Loan executed in September 2021 which replaced our First Lien Term Loan.</w:t>
      </w:r>
    </w:p>
    <w:p>
      <w:pPr>
        <w:spacing w:after="0" w:line="19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77"/>
        </w:trPr>
        <w:tc>
          <w:tcPr>
            <w:tcW w:w="3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Expense</w:t>
            </w: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253"/>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9"/>
                <w:szCs w:val="19"/>
                <w:color w:val="auto"/>
              </w:rPr>
            </w:pPr>
          </w:p>
        </w:tc>
      </w:tr>
      <w:tr>
        <w:trPr>
          <w:trHeight w:val="277"/>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50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2,151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39,574</w:t>
            </w:r>
          </w:p>
        </w:tc>
        <w:tc>
          <w:tcPr>
            <w:tcW w:w="2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70,323</w:t>
            </w:r>
          </w:p>
        </w:tc>
        <w:tc>
          <w:tcPr>
            <w:tcW w:w="180" w:type="dxa"/>
            <w:vAlign w:val="bottom"/>
            <w:shd w:val="clear" w:color="auto" w:fill="CFF0FC"/>
          </w:tcPr>
          <w:p>
            <w:pPr>
              <w:spacing w:after="0"/>
              <w:rPr>
                <w:sz w:val="19"/>
                <w:szCs w:val="19"/>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4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(3,217)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(15,854)</w:t>
            </w:r>
          </w:p>
        </w:tc>
        <w:tc>
          <w:tcPr>
            <w:tcW w:w="4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(10,149)</w:t>
            </w: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w:t>
            </w: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w:t>
            </w:r>
          </w:p>
        </w:tc>
      </w:tr>
    </w:tbl>
    <w:p>
      <w:pPr>
        <w:spacing w:after="0" w:line="24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Our effective tax rates were 17.4% and 8.1% for the three months ended September 30, 2021 and 2020, respectively. The effective tax rate was higher in the three months ended September 30, 2021 as compared to the same period last year primarily due to a $4.3 million tax benefit recognized in the three months ended September 30, 2020, resulting from the change in management’s assessment of the realizability of certain deferred tax assets as a result of the Reorganization. The increase to the effective tax rate for such three-month period was partially offset by the favorable impacts on the effective tax rate for 2021 from higher excess tax benefits related to stock-based compensation recognized in the three months ended September 30, 2021, as well as the change in the mix of income and losses in the various tax jurisdictions in which we operate.</w:t>
      </w:r>
    </w:p>
    <w:p>
      <w:pPr>
        <w:spacing w:after="0" w:line="178"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Our effective tax rates were 17.2% and 14.4% for the nine months ended September 30, 2021 and 2020, respectively. The effective tax rate was higher in the nine months ended September 30, 2021 as compared to the same period last year primarily due to a $4.3 million tax benefit recognized in the nine months ended September 30, 2020, resulting from the change in management’s assessment of the realizability of certain deferred tax assets as a result of the Reorganization and a $0.6 million one-time tax benefit from the change in tax law resulting from the enactment of the CARES Act. In the nine months ended September 30, 2021, we recorded a $1.4 million one-time tax expense related to the remeasurement of our United Kingdom deferred tax liabilities as a result of the enactment of the increased corporate tax rate in the United Kingdom. The increase to the effective tax rate for such nine-month period was partially offset by the favorable impacts on the effective tax rate for 2021 from higher excess tax benefits related to stock-based compensation recognized in the nine months ended September 30, 2021, as well as the change in the mix of income and losses in the various tax jurisdictions in which we operate.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Net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net revenue by segment expressed both in dollars (thousands) and as a percentage of net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580" w:type="dxa"/>
            <w:vAlign w:val="bottom"/>
            <w:gridSpan w:val="9"/>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3480" w:type="dxa"/>
            <w:vAlign w:val="bottom"/>
            <w:gridSpan w:val="10"/>
          </w:tcPr>
          <w:p>
            <w:pPr>
              <w:ind w:left="28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06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8"/>
        </w:trPr>
        <w:tc>
          <w:tcPr>
            <w:tcW w:w="40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Gamer and Creator Peripherals Segment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$ 139,260</w:t>
            </w: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$ 161,555</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35.3%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470,329</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347,531</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30.3%</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Gaming Components and Systems Segment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Memory Products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115,524</w:t>
            </w: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141,298</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436,123</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424,150</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ind w:left="320"/>
              <w:spacing w:after="0"/>
              <w:rPr>
                <w:sz w:val="20"/>
                <w:szCs w:val="20"/>
                <w:color w:val="auto"/>
              </w:rPr>
            </w:pPr>
            <w:r>
              <w:rPr>
                <w:rFonts w:ascii="Arial" w:cs="Arial" w:eastAsia="Arial" w:hAnsi="Arial"/>
                <w:sz w:val="18"/>
                <w:szCs w:val="18"/>
                <w:color w:val="auto"/>
              </w:rPr>
              <w:t>Other Component Products</w:t>
            </w:r>
          </w:p>
        </w:tc>
        <w:tc>
          <w:tcPr>
            <w:tcW w:w="760" w:type="dxa"/>
            <w:vAlign w:val="bottom"/>
          </w:tcPr>
          <w:p>
            <w:pPr>
              <w:jc w:val="right"/>
              <w:spacing w:after="0"/>
              <w:rPr>
                <w:sz w:val="20"/>
                <w:szCs w:val="20"/>
                <w:color w:val="auto"/>
              </w:rPr>
            </w:pPr>
            <w:r>
              <w:rPr>
                <w:rFonts w:ascii="Arial" w:cs="Arial" w:eastAsia="Arial" w:hAnsi="Arial"/>
                <w:sz w:val="18"/>
                <w:szCs w:val="18"/>
                <w:color w:val="auto"/>
              </w:rPr>
              <w:t>136,337</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154,250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486,986</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374,347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r>
      <w:tr>
        <w:trPr>
          <w:trHeight w:val="223"/>
        </w:trPr>
        <w:tc>
          <w:tcPr>
            <w:tcW w:w="40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251,861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295,548</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923,109</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798,497</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060" w:type="dxa"/>
            <w:vAlign w:val="bottom"/>
          </w:tcPr>
          <w:p>
            <w:pPr>
              <w:ind w:left="320"/>
              <w:spacing w:after="0"/>
              <w:rPr>
                <w:sz w:val="20"/>
                <w:szCs w:val="20"/>
                <w:color w:val="auto"/>
              </w:rPr>
            </w:pPr>
            <w:r>
              <w:rPr>
                <w:rFonts w:ascii="Arial" w:cs="Arial" w:eastAsia="Arial" w:hAnsi="Arial"/>
                <w:sz w:val="18"/>
                <w:szCs w:val="18"/>
                <w:color w:val="auto"/>
              </w:rPr>
              <w:t>Total Net Revenue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$ 391,121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$ 457,103</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1,393,438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1,146,028</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Net revenue of the gamer and creator peripherals segment decreased $22.3 million, or 13.8%, for the three months ended September 30, 2021 as compared to the same period last year, due to decreased sales across all products in this segment. The decrease in sales was primarily driven by supply and logistics constraints caused by the COVID-19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Net revenue of the gamer and creator peripherals segment increased $122.8 million, or 35.3%, for the nine months ended September 30, 2021 as compared to the same period last year due to strong growth across all product categories in the first half of 2021, led primarily by increased sales of our Elgato branded streaming and peripherals products, as well as our SCUF branded console products. We believe the revenue growth year-over-year was driven in part by the COVID-19 shelter-in-place orders as consumers spend more time working and gaming at home and gamers seeking to improve their performance by upgrading their gear. This revenue growth was partially offset by decreased sales in the third quarter of 2021 which was primarily driven by supply and logistic constraints caused by the COVID-19 pandemic.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Net revenue of the gaming components and systems segment decreased $43.7 million, or 14.8%, for the three months ended September 30, 2021 as compared to the same period last year, due to decreased sales across all products in this segment, The decrease was primarily attributable to the shortage of reasonably priced GPUs which curtailed the demand for new PC builds and its components, as well as supply and logistic constraints caused by the COVID-19 pandemic.</w:t>
      </w:r>
    </w:p>
    <w:p>
      <w:pPr>
        <w:spacing w:after="0" w:line="7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Net revenue of the gaming components and systems segment increased $124.6 million, or 15.6%, for the nine months ended September 30, 2021 as compared to the same period last year. We believe the revenue growth year-over-year was driven in part by the COVID-19 shelter-in-place orders, particularly, for our PSUs and pre-built systems. This revenue growth was partially offset in the third quarter of 2021 due to the shortage of reasonably priced GPUs which curtailed the demand for new PC builds and its components, as well as supply and logistic constraints caused by the COVID-19 pandemic.</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Gross Profit and Gross Margin</w:t>
      </w:r>
    </w:p>
    <w:p>
      <w:pPr>
        <w:spacing w:after="0" w:line="117"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The following table sets forth our gross profit expressed in dollars (thousands) and gross margin (which we define as gross profit as a percentage of net revenue)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11"/>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8"/>
          </w:tcPr>
          <w:p>
            <w:pPr>
              <w:ind w:left="2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8"/>
        </w:trPr>
        <w:tc>
          <w:tcPr>
            <w:tcW w:w="46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Gamer and Creator Peripherals Segment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48,580</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60,010</w:t>
            </w: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37.1%</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$ 172,080</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36.6%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$ 120,886</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34.8%</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Gaming Components and Systems Segment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Memory Products</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15,935</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26,552</w:t>
            </w: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77,984</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89,507</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320"/>
              <w:spacing w:after="0"/>
              <w:rPr>
                <w:sz w:val="20"/>
                <w:szCs w:val="20"/>
                <w:color w:val="auto"/>
              </w:rPr>
            </w:pPr>
            <w:r>
              <w:rPr>
                <w:rFonts w:ascii="Arial" w:cs="Arial" w:eastAsia="Arial" w:hAnsi="Arial"/>
                <w:sz w:val="18"/>
                <w:szCs w:val="18"/>
                <w:color w:val="auto"/>
              </w:rPr>
              <w:t>Other Component Products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36,847</w:t>
            </w: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41,382</w:t>
            </w: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141,977</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101,237</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r>
      <w:tr>
        <w:trPr>
          <w:trHeight w:val="223"/>
        </w:trPr>
        <w:tc>
          <w:tcPr>
            <w:tcW w:w="4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52,782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219,961</w:t>
            </w:r>
          </w:p>
        </w:tc>
        <w:tc>
          <w:tcPr>
            <w:tcW w:w="2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190,744</w:t>
            </w:r>
          </w:p>
        </w:tc>
        <w:tc>
          <w:tcPr>
            <w:tcW w:w="2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600" w:type="dxa"/>
            <w:vAlign w:val="bottom"/>
          </w:tcPr>
          <w:p>
            <w:pPr>
              <w:ind w:left="320"/>
              <w:spacing w:after="0"/>
              <w:rPr>
                <w:sz w:val="20"/>
                <w:szCs w:val="20"/>
                <w:color w:val="auto"/>
              </w:rPr>
            </w:pPr>
            <w:r>
              <w:rPr>
                <w:rFonts w:ascii="Arial" w:cs="Arial" w:eastAsia="Arial" w:hAnsi="Arial"/>
                <w:sz w:val="18"/>
                <w:szCs w:val="18"/>
                <w:color w:val="auto"/>
              </w:rPr>
              <w:t>Total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101,362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127,944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28.0%</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$ 392,041</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28.1%</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$ 311,630</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27.2%</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The gross profit of the gamer and creator peripherals segment decreased in the three months ended September 30, 2021 by $11.4 million, or 19.0%, as compared to the same period last year. The 2.2% decrease in gross margin in the three-month period, compared to the same period last year, was driven by increased logistics costs, largely due to the COVID-19 pandemic, and increased promotional activity.</w:t>
      </w:r>
    </w:p>
    <w:p>
      <w:pPr>
        <w:spacing w:after="0" w:line="5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gross profit of the gamer and creator peripherals segment increased in the nine months ended September 30, 2021 by $51.2 million, or 42.3%, as compared to the same period last year. The 1.8% increase in gross margin in the nine-month period, compared to the same period last year, was primarily driven by the strong growth in sales of higher margin Elgato branded streaming products and the increase in sales volume in the same period. This increase was partially offset by increased logistics costs, largely due to the COVID-19 pandemic, and increased promotional activity.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gross profit of the gaming components and systems segment decreased in the three months ended September 30, 2021 by $15.2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22.3%, as compared to the same period last year. The 2.0% decrease in gross margin in the three-month period, compared to the same period last year,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driven by increased logistic costs, largely due to the COVID-19 pandemic, and increased promotional activity.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gross profit of the gaming components and systems segment increased in the nine months ended September 30, 2021 by $29.2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15.3%, as compared to the same period last year. Gross margin for the nine-month period, compared to the same period last year, remained relatively flat.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Our principal sources of liquidity have been the payments received from customers purchasing our products, the net proceeds we received from private sales of equity securities, the borrowings under our credit facilities and the net proceeds we received from our IPO, completed in September 2020. As of September 30, 2021, we had cash and restricted cash, in aggregate of $76.3 million.</w:t>
      </w:r>
    </w:p>
    <w:p>
      <w:pPr>
        <w:spacing w:after="0" w:line="76"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On September 3, 2021, we entered into a new Credit Agreement (defined below) which replaced our previous credit facilities under the First Lien and Credit Guaranty Agreement (defined below). As of September 30, 2021, under the new Credit Agreement, we had $100 million capacity under the Revolving Facility and $250.0 million Term Loan outstanding (face value). Please see the section below under the heading “Credit Agreement” for additional information on the Credit Agreement and the loans thereunder.</w:t>
      </w:r>
    </w:p>
    <w:p>
      <w:pPr>
        <w:spacing w:after="0" w:line="18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anticipate our principal uses of cash will include purchases of inventory, payroll and other operating expenses related to the development and marketing of our gear, repayments of debt and related interest, and purchases of property and equipment and other contractual obligations for the foreseeable future. We believe that our existing cash balances and cash flow from operations will be sufficient to fund our principal uses of cash for at least the next 12 months. Our future capital requirements may vary materially from those currently planned and will depend on many factors, including our rate of revenue growth (if any), the timing and extent of spending on research and development efforts and other business initiatives, the expansion of sales and marketing activities, the timing of new product introductions, market acceptance and demand for our products and overall economic conditions. To the extent that current and anticipated future sources of liquidity are insufficient to fund our future business activities and requirements, we may be required to seek additional equity or debt financing. In addition, we may enter into other arrangements for potential investments in, or acquisitions of, complementary businesses, services or technologies, which could require us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7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2"/>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9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20" w:type="dxa"/>
            <w:vAlign w:val="bottom"/>
          </w:tcPr>
          <w:p>
            <w:pPr>
              <w:ind w:left="600"/>
              <w:spacing w:after="0" w:line="155" w:lineRule="exact"/>
              <w:rPr>
                <w:sz w:val="20"/>
                <w:szCs w:val="20"/>
                <w:color w:val="auto"/>
              </w:rPr>
            </w:pPr>
            <w:r>
              <w:rPr>
                <w:rFonts w:ascii="Arial" w:cs="Arial" w:eastAsia="Arial" w:hAnsi="Arial"/>
                <w:sz w:val="14"/>
                <w:szCs w:val="14"/>
                <w:b w:val="1"/>
                <w:bCs w:val="1"/>
                <w:color w:val="auto"/>
                <w:w w:val="96"/>
              </w:rPr>
              <w:t>2021</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8"/>
        </w:trPr>
        <w:tc>
          <w:tcPr>
            <w:tcW w:w="39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38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8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25,061</w:t>
            </w:r>
          </w:p>
        </w:tc>
        <w:tc>
          <w:tcPr>
            <w:tcW w:w="180" w:type="dxa"/>
            <w:vAlign w:val="bottom"/>
          </w:tcPr>
          <w:p>
            <w:pPr>
              <w:spacing w:after="0"/>
              <w:rPr>
                <w:sz w:val="19"/>
                <w:szCs w:val="19"/>
                <w:color w:val="auto"/>
              </w:rPr>
            </w:pPr>
          </w:p>
        </w:tc>
        <w:tc>
          <w:tcPr>
            <w:tcW w:w="1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100,324</w:t>
            </w:r>
          </w:p>
        </w:tc>
        <w:tc>
          <w:tcPr>
            <w:tcW w:w="100" w:type="dxa"/>
            <w:vAlign w:val="bottom"/>
          </w:tcPr>
          <w:p>
            <w:pPr>
              <w:spacing w:after="0"/>
              <w:rPr>
                <w:sz w:val="19"/>
                <w:szCs w:val="19"/>
                <w:color w:val="auto"/>
              </w:rPr>
            </w:pPr>
          </w:p>
        </w:tc>
      </w:tr>
      <w:tr>
        <w:trPr>
          <w:trHeight w:val="229"/>
        </w:trPr>
        <w:tc>
          <w:tcPr>
            <w:tcW w:w="3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38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(14,039)</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(5,908)</w:t>
            </w: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(67,183)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(26,371)</w:t>
            </w:r>
          </w:p>
        </w:tc>
      </w:tr>
      <w:tr>
        <w:trPr>
          <w:trHeight w:val="431"/>
        </w:trPr>
        <w:tc>
          <w:tcPr>
            <w:tcW w:w="3900" w:type="dxa"/>
            <w:vAlign w:val="bottom"/>
          </w:tcPr>
          <w:p>
            <w:pPr>
              <w:spacing w:after="0"/>
              <w:rPr>
                <w:sz w:val="24"/>
                <w:szCs w:val="24"/>
                <w:color w:val="auto"/>
              </w:rPr>
            </w:pPr>
          </w:p>
        </w:tc>
        <w:tc>
          <w:tcPr>
            <w:tcW w:w="3880" w:type="dxa"/>
            <w:vAlign w:val="bottom"/>
          </w:tcPr>
          <w:p>
            <w:pPr>
              <w:jc w:val="right"/>
              <w:ind w:right="1970"/>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Net cash provided by operating activities for the nine months ended September 30, 2021 was $25.1 million and consisted of net income of $76.2 million, non-cash adjustments of $48.7 million and was partially offset by $99.8 million from changes in our net operating assets and liabilities. The non-cash adjustments consisted primarily of amortization of intangibles and depreciation, stock-based compensation expense, loss on debt extinguishment and amortization of debt issuance costs and change in deferred tax assets. The net cash outflow from changes in our net operating assets and liabilities was primarily related to increase in inventory, prepaid expenses and other assets, and a decrease in accounts payable mainly due to timing of payments. The net cash outflow was partially offset by a decrease in accounts receivable and an increase in other liabilities and accrued expenses.</w:t>
      </w:r>
    </w:p>
    <w:p>
      <w:pPr>
        <w:spacing w:after="0" w:line="164"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Net cash provided by operating activities for the nine months ended September 30, 2020 was $100.3 million and consisted of a net income of $60.2 million, non-cash adjustments of $35.7 million and $4.4 million from changes in our net operating assets and liabilities. The non-cash adjustments consisted primarily of amortization of intangibles and depreciation, stock-based compensation expense, loss on debt extinguishment and amortization of debt issuance costs and change in deferred tax assets. The net cash inflow from changes in our net operating assets and liabilities was primarily related to an increase in accounts payable and other liabilities and accrued expenses. The net cash inflow was partially offset by an increase in inventory, accounts receivable and prepaid expenses and other assets.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Cash used in investing activities was $14.0 million for the nine months ended September 30, 2021 and consisted of $7.7 million for the purchase of capital equipment and software, $4.7 million for the payment of deferred and contingent consideration primarily related to the Origin business acquisition, and $1.7 million for the acquisition of an immaterial business.</w:t>
      </w:r>
    </w:p>
    <w:p>
      <w:pPr>
        <w:spacing w:after="0" w:line="18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Cash used in investing activities was $5.9 million for the nine months ended September 30, 2020 and consisted of $5.1 million for the purchase of capital equipment and software, and $0.8 million for the acquisition of an immaterial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Cash used in financing activities was $67.2 million for the nine months ended September 30, 2021 and consisted primarily of $327.0 million repayments of debt (First Lien Term Loan) and $0.2 million payment of taxes related to net share settlement of equity awards. These cash outflows were partially offset by $248.5 million net proceeds from our new Term Loan executed in September 2021 and $11.5 million proceeds received from the issuance of shares through the employee equity incentive plans.</w:t>
      </w:r>
    </w:p>
    <w:p>
      <w:pPr>
        <w:spacing w:after="0" w:line="18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Cash used in financing activities was $26.4 million for the nine months ended September 30, 2020 and consisted primarily of $140.4 million repayments of debt, $5.6 million payment of offering costs, and $0.2 million payment of debt issuance costs. These cash outflows were partially offset by $118.6 million proceeds received from the issuance of our common stock in connection with our IPO, after deducting underwriting discounts and commissions, and $1.2 million proceeds received from the issuance of shares through the employee equity incentive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First Lien Credit and Guaranty Agreement (Extinguished in September 2021)</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August 2017, we entered into a syndicated First Lien Credit and Guaranty Agreement, or the First Lien, with various financial institutions. The First Lien originally provided a $235 million term loan, or the First Lien Term Loan, for a business acquisition and to repay existing indebtedness of the acquired company and a $50 million revolving line-of-credit, or the Revolver. The First Lien and the Revolver was to mature on August 28, 2024 and August 28, 2022, respectively.</w:t>
      </w:r>
    </w:p>
    <w:p>
      <w:pPr>
        <w:spacing w:after="0" w:line="187"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2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First Lien Term Loan initially carried interest at a rate equal to, at our election, either the (a) greatest of (i) the prime rate, (ii) sum of the Federal Funds Effective Rate plus 0.5%, (iii) one month LIBOR plus 1.0% and (iv) 2%, plus a margin of 3.5%, or (b) the greater of (i) LIBOR and (ii) 1.0%, plus a margin of 4.5%. The Revolver initially carried interest at a rate equal to, at our election, either the (a) greatest of (i) the prime rate, (ii) sum of the Federal Funds Effective Rate plus 0.5%, (iii) one month LIBOR plus 1.0% and (iv) 2%, plus 3.5%, or (b) the greater of (i) LIBOR and (ii) 1.0%, plus a margin of 4.5%. As a result of the First Lien amendment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October 2018, the margin for the First Lien term loan and Revolver margin were both changed to range from 2.75% to 3.25% for base rate loans and to range from 3.75% to 4.25% for Eurodollar loans, in each case, based on our net leverage ratio.</w:t>
      </w:r>
    </w:p>
    <w:p>
      <w:pPr>
        <w:spacing w:after="0" w:line="170"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According to the repayment schedule, the Consolidated Excess Cash Flow (as defined in the First Lien) and the IPO repayment provisions as set forth in the First Lien, we made required repayments of the First Lien Term Loan of $59.6 million, in aggregate, in 2020 using the net proceeds from our IPO and excess cash on hand. Further, we may prepay the First Lien Term Loan and the Revolver at any time without premium or penalty other than customary LIBOR breakage. In 2020, we began to prepay the First Lien Term loan using our excess cash on hand, resulting in $80.8 million in 2020 and $78.3 million in 2021 through September 2021. The remainder of First Lien Term Loan of $248.5 million was fully prepaid with the proceeds from the Term Loan (defined below) on September 3, 2021, and as a result, all obligations and covenants thereunder were terminated.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Second Lien Credit and Guaranty Agreement (Extinguished in September 2020)</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In August 2017, we also entered into a syndicated Second Lien Credit and Guaranty Agreement, or the Second Lien, with various financial institutions. The Second Lien initially provided a $65 million term loan, or the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w:t>
      </w:r>
    </w:p>
    <w:p>
      <w:pPr>
        <w:spacing w:after="0" w:line="84"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In 2020, with excess cash on hand, we prepaid the entire outstanding balance of $50 million on the Second Lien Term Loan without paying any premium or penalty, and as a result, all obligations and covenants thereunder were terminated.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Credit Agreement (Executed on September 3, 2021)</w:t>
      </w:r>
    </w:p>
    <w:p>
      <w:pPr>
        <w:spacing w:after="0" w:line="225"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On September 3, 2021, we entered into a new Credit Agreement (“</w:t>
      </w:r>
      <w:r>
        <w:rPr>
          <w:rFonts w:ascii="Arial" w:cs="Arial" w:eastAsia="Arial" w:hAnsi="Arial"/>
          <w:sz w:val="17"/>
          <w:szCs w:val="17"/>
          <w:i w:val="1"/>
          <w:iCs w:val="1"/>
          <w:color w:val="auto"/>
        </w:rPr>
        <w:t>Credit Agreement</w:t>
      </w:r>
      <w:r>
        <w:rPr>
          <w:rFonts w:ascii="Arial" w:cs="Arial" w:eastAsia="Arial" w:hAnsi="Arial"/>
          <w:sz w:val="17"/>
          <w:szCs w:val="17"/>
          <w:color w:val="auto"/>
        </w:rPr>
        <w:t>”) which provides for a $100.0 million five-year revolving credit facility (“</w:t>
      </w:r>
      <w:r>
        <w:rPr>
          <w:rFonts w:ascii="Arial" w:cs="Arial" w:eastAsia="Arial" w:hAnsi="Arial"/>
          <w:sz w:val="17"/>
          <w:szCs w:val="17"/>
          <w:i w:val="1"/>
          <w:iCs w:val="1"/>
          <w:color w:val="auto"/>
        </w:rPr>
        <w:t>Revolving Facility</w:t>
      </w:r>
      <w:r>
        <w:rPr>
          <w:rFonts w:ascii="Arial" w:cs="Arial" w:eastAsia="Arial" w:hAnsi="Arial"/>
          <w:sz w:val="17"/>
          <w:szCs w:val="17"/>
          <w:color w:val="auto"/>
        </w:rPr>
        <w:t>”) and a $250.0 million five-year term loan facility (“</w:t>
      </w:r>
      <w:r>
        <w:rPr>
          <w:rFonts w:ascii="Arial" w:cs="Arial" w:eastAsia="Arial" w:hAnsi="Arial"/>
          <w:sz w:val="17"/>
          <w:szCs w:val="17"/>
          <w:i w:val="1"/>
          <w:iCs w:val="1"/>
          <w:color w:val="auto"/>
        </w:rPr>
        <w:t>Term Loan</w:t>
      </w:r>
      <w:r>
        <w:rPr>
          <w:rFonts w:ascii="Arial" w:cs="Arial" w:eastAsia="Arial" w:hAnsi="Arial"/>
          <w:sz w:val="17"/>
          <w:szCs w:val="17"/>
          <w:color w:val="auto"/>
        </w:rPr>
        <w:t>”),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w:t>
      </w:r>
    </w:p>
    <w:p>
      <w:pPr>
        <w:spacing w:after="0" w:line="17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credit facilities under the Credit Agreement replaced our senior credit facilities under the First Lien Credit and Guaranty Agreement. The net proceeds from borrowings under the Credit Agreement of $248.5 million (net of $1.5 million of debt discount) were used to repay all amounts outstanding under the First Lien Term Loan on September 3, 2021.</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Term Loan and Revolving Facility under the Credit Agreement will each bear interest at the Company’s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p>
    <w:p>
      <w:pPr>
        <w:spacing w:after="0" w:line="7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7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facilities).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increased by 2.0%. As of September 30, 2021, we were not in default under the Credit Agreement and our Consolidated Total Net Leverage Ratio and Consolidated Interest Coverage Ratio were 0.8 to 1.0 and 10.4 to 1.0 as of September 30, 2021,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September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w w:val="92"/>
              </w:rPr>
              <w:t>Payments Due by Period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8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principal and interest </w:t>
            </w:r>
            <w:r>
              <w:rPr>
                <w:rFonts w:ascii="Arial" w:cs="Arial" w:eastAsia="Arial" w:hAnsi="Arial"/>
                <w:sz w:val="15"/>
                <w:szCs w:val="15"/>
                <w:color w:val="auto"/>
              </w:rPr>
              <w:t>(1)</w:t>
            </w:r>
          </w:p>
        </w:tc>
        <w:tc>
          <w:tcPr>
            <w:tcW w:w="17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265,693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23,961</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9,257</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423,627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246,034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500" w:right="320" w:hanging="492"/>
        <w:spacing w:after="0" w:line="26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our new Term Loan and related interests according to the repayment schedule for the Term Loan as of September 30, 2021. See Note 8 “Debt” to our condensed combined consolidated financial statements for more information.</w:t>
      </w:r>
    </w:p>
    <w:p>
      <w:pPr>
        <w:spacing w:after="0" w:line="1" w:lineRule="exact"/>
        <w:rPr>
          <w:rFonts w:ascii="Arial" w:cs="Arial" w:eastAsia="Arial" w:hAnsi="Arial"/>
          <w:sz w:val="16"/>
          <w:szCs w:val="16"/>
          <w:color w:val="auto"/>
        </w:rPr>
      </w:pPr>
    </w:p>
    <w:p>
      <w:pPr>
        <w:ind w:left="500" w:right="40" w:hanging="492"/>
        <w:spacing w:after="0" w:line="264"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estimate of our non-cancelable open purchase orders and contractual obligations in the ordinary course of business for which we have not received the goods or services as of September 30, 2021.</w:t>
      </w: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contractual obligations from our non-cancellable operating leases for office and warehouse spaces.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combined consolidated financial statements, which have been prepared in accordance with GAAP. The preparation of these condensed combined consolidated financial statements requires us to make estimates and assumptions that affect the reported amounts of assets and liabilities and the disclosure of contingent assets and liabilities at the date of the condensed combined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There have been no material changes to our critical accounting policies and estimates during the nine months ended September 30, 2021 as compared to the critical accounting policies and estimates described in our Management's Discussion and Analysis of Financial Condition and Results of Operations included in our Annual Report on Form 10-K for the year ended December 31, 2020 filed with the SEC on March 11,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Refer to Note 2 to the condensed combined consolidated financial statements included in this Quarterly Report on Form 10-Q for recent accounting pronouncements adopted and to be adopted.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As of September 30, 2021, we had cash and restricted cash of $76.3 million, which consisted primarily of bank deposits. Our cash is held for working capital purposes.</w:t>
      </w:r>
    </w:p>
    <w:p>
      <w:pPr>
        <w:spacing w:after="0" w:line="62"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On September 3, 2021 we entered into a new Credit Agreement which replaced our previous credit facilities under First Lien and Credit Guaranty Agreement. As of September 30, 2021, under the new Credit Agreement, we had $250.0 million Term Loan outstanding (face value), and the Term Loan bears variable market rates, primarily LIBOR. Refer to Note 8 “Debt – Credit Agreement” for additional information on this new Credit Agreement. A significant change in these market rates may adversely affect our operating results. As of September 30, 2021, a hypothetical 100 basis point change in interest rates would result in a change to annual interest expense by approximately $2.5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Approximately 20.5% of our net revenue in the nine months ended September 30, 2021 was denominated in foreign currencies, primarily Euro and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78"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three to four months, and we do not enter into foreign currency forward contracts for trading purposes. The outstanding notional principal amount was $38.5 million and $41.6 million as of September 30, 2021 and December 31, 2020, respectively. The gains or losses on these contracts are recognized in earnings based on the changes in fair value.</w:t>
      </w:r>
    </w:p>
    <w:p>
      <w:pPr>
        <w:spacing w:after="0" w:line="188"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impact of changes in foreign currency rates, including the gains or losses on the forward currency contracts, recognized in other (expense) income, net was $(4.1) million and $(0.3) million for the nine months ended September 30, 2021 and 2020, respectively. A hypothetical ten percent change in exchange rates between foreign currencies and the U.S. dollar would increase or decrease our gains or losses on foreign currency exchange of approximately $2.8 million in our combined consolidated financial statements for the nine months ended September 30, 2021.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31"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September 30,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63" w:lineRule="exact"/>
        <w:rPr>
          <w:sz w:val="20"/>
          <w:szCs w:val="20"/>
          <w:color w:val="auto"/>
        </w:rPr>
      </w:pPr>
    </w:p>
    <w:p>
      <w:pPr>
        <w:ind w:left="1000" w:right="200" w:hanging="493"/>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38"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62" w:lineRule="exact"/>
        <w:rPr>
          <w:rFonts w:ascii="Arial" w:cs="Arial" w:eastAsia="Arial" w:hAnsi="Arial"/>
          <w:sz w:val="18"/>
          <w:szCs w:val="18"/>
          <w:color w:val="auto"/>
        </w:rPr>
      </w:pPr>
    </w:p>
    <w:p>
      <w:pPr>
        <w:ind w:left="1000" w:right="6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78"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intense competition, and if we do not compete effectively, we could lose market share, demand for our gear could decline and our business may be seriously harmed.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gaming industry, including streaming and eSports, does not grow as expected or declines, our business could be seriously harmed.</w:t>
      </w:r>
    </w:p>
    <w:p>
      <w:pPr>
        <w:spacing w:after="0" w:line="140"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lose or are unable to attract and retain key management, our ability to compete could be seriously harmed and our financial performance could suffer.</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coronavirus outbreak has had, and could continue to have, a materially disruptive effect on our business.</w:t>
      </w:r>
    </w:p>
    <w:p>
      <w:pPr>
        <w:spacing w:after="0" w:line="117"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controlled by a single stockholder, whose interest in our business may be different than yours.</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consider carefully the risks and uncertainties described below, together with all of the other information contained in this Quarterly Report on Form 10-Q such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and our combined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Unless otherwise indicated, references to our business being seriously harmed in these risk factors and elsewhere will include harm to our business, reputation, financial condition, results of operations, revenue and future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20" w:right="340"/>
        <w:spacing w:after="0" w:line="375" w:lineRule="auto"/>
        <w:rPr>
          <w:sz w:val="20"/>
          <w:szCs w:val="20"/>
          <w:color w:val="auto"/>
        </w:rPr>
      </w:pPr>
      <w:r>
        <w:rPr>
          <w:rFonts w:ascii="Arial" w:cs="Arial" w:eastAsia="Arial" w:hAnsi="Arial"/>
          <w:sz w:val="15"/>
          <w:szCs w:val="15"/>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6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57" w:lineRule="exact"/>
        <w:rPr>
          <w:sz w:val="20"/>
          <w:szCs w:val="20"/>
          <w:color w:val="auto"/>
        </w:rPr>
      </w:pPr>
    </w:p>
    <w:p>
      <w:pPr>
        <w:ind w:left="520" w:right="40"/>
        <w:spacing w:after="0" w:line="308" w:lineRule="auto"/>
        <w:rPr>
          <w:sz w:val="20"/>
          <w:szCs w:val="20"/>
          <w:color w:val="auto"/>
        </w:rPr>
      </w:pPr>
      <w:r>
        <w:rPr>
          <w:rFonts w:ascii="Arial" w:cs="Arial" w:eastAsia="Arial" w:hAnsi="Arial"/>
          <w:sz w:val="17"/>
          <w:szCs w:val="17"/>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3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we entered the console controller market in 2019 following our acquisition of SCUF and in the future intend to introduce other gear designed to appeal to the console gaming market.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82"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addition, we implemented a work from home policy for many of our employees as a result of the COVID-19 coronavirus outbreak, which may have a substantial impact on attendance, morale and productivity, disrupt access to facilities, equipment, networks, corporate systems, books and records and may add additional expenses and strain on our business. The duration and extent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a substantial number of our employees continue to work from home, it could negatively impact new gear and improvements and potentially result in delays or releasing significant updates.</w:t>
      </w:r>
    </w:p>
    <w:p>
      <w:pPr>
        <w:spacing w:after="0" w:line="18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95" w:lineRule="exact"/>
        <w:rPr>
          <w:sz w:val="20"/>
          <w:szCs w:val="20"/>
          <w:color w:val="auto"/>
        </w:rPr>
      </w:pPr>
    </w:p>
    <w:p>
      <w:pPr>
        <w:ind w:left="520" w:right="160"/>
        <w:spacing w:after="0" w:line="286" w:lineRule="auto"/>
        <w:rPr>
          <w:sz w:val="20"/>
          <w:szCs w:val="20"/>
          <w:color w:val="auto"/>
        </w:rPr>
      </w:pPr>
      <w:r>
        <w:rPr>
          <w:rFonts w:ascii="Arial" w:cs="Arial" w:eastAsia="Arial" w:hAnsi="Arial"/>
          <w:sz w:val="17"/>
          <w:szCs w:val="17"/>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5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6"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89"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Competitors in the gamer and creator peripherals market. </w:t>
      </w:r>
      <w:r>
        <w:rPr>
          <w:rFonts w:ascii="Arial" w:cs="Arial" w:eastAsia="Arial" w:hAnsi="Arial"/>
          <w:sz w:val="18"/>
          <w:szCs w:val="18"/>
          <w:color w:val="auto"/>
        </w:rPr>
        <w:t>Our primary competitors in the market for gaming keyboards and mice include Logitech</w:t>
      </w:r>
      <w:r>
        <w:rPr>
          <w:rFonts w:ascii="Arial" w:cs="Arial" w:eastAsia="Arial" w:hAnsi="Arial"/>
          <w:sz w:val="18"/>
          <w:szCs w:val="18"/>
          <w:i w:val="1"/>
          <w:iCs w:val="1"/>
          <w:color w:val="auto"/>
        </w:rPr>
        <w:t xml:space="preserve"> </w:t>
      </w:r>
      <w:r>
        <w:rPr>
          <w:rFonts w:ascii="Arial" w:cs="Arial" w:eastAsia="Arial" w:hAnsi="Arial"/>
          <w:sz w:val="18"/>
          <w:szCs w:val="18"/>
          <w:color w:val="auto"/>
        </w:rPr>
        <w:t>and Razer. Our primary competitors in the market for headset and related audio products include Logitech, Razer and HP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 xml:space="preserve">Competitors in the gaming components and systems market. </w:t>
      </w:r>
      <w:r>
        <w:rPr>
          <w:rFonts w:ascii="Arial" w:cs="Arial" w:eastAsia="Arial" w:hAnsi="Arial"/>
          <w:sz w:val="18"/>
          <w:szCs w:val="18"/>
          <w:color w:val="auto"/>
        </w:rPr>
        <w:t>Our primary competitors in the market for PSUs, cooling solutions and computer cases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Cooler Master, NZXT, EVGA, Seasonic and Thermaltake. Our primary competitors in the market for DRAM modules include G.Skill, Kingston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8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i w:val="1"/>
          <w:iCs w:val="1"/>
          <w:color w:val="auto"/>
        </w:rPr>
        <w:t>Competitors in new markets</w:t>
      </w:r>
      <w:r>
        <w:rPr>
          <w:rFonts w:ascii="Arial" w:cs="Arial" w:eastAsia="Arial" w:hAnsi="Arial"/>
          <w:sz w:val="17"/>
          <w:szCs w:val="17"/>
          <w:color w:val="auto"/>
        </w:rPr>
        <w:t>. We are considering introducing new gear for gamers or streamers and content creators and, to the extent we introduce</w:t>
      </w:r>
      <w:r>
        <w:rPr>
          <w:rFonts w:ascii="Arial" w:cs="Arial" w:eastAsia="Arial" w:hAnsi="Arial"/>
          <w:sz w:val="17"/>
          <w:szCs w:val="17"/>
          <w:i w:val="1"/>
          <w:iCs w:val="1"/>
          <w:color w:val="auto"/>
        </w:rPr>
        <w:t xml:space="preserve"> </w:t>
      </w:r>
      <w:r>
        <w:rPr>
          <w:rFonts w:ascii="Arial" w:cs="Arial" w:eastAsia="Arial" w:hAnsi="Arial"/>
          <w:sz w:val="17"/>
          <w:szCs w:val="17"/>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65"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5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gaming, including streaming and eSports, does not grow as expected or declines our business could be seriously harmed.</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Over the past two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63" w:lineRule="exact"/>
        <w:rPr>
          <w:sz w:val="20"/>
          <w:szCs w:val="20"/>
          <w:color w:val="auto"/>
        </w:rPr>
      </w:pPr>
    </w:p>
    <w:p>
      <w:pPr>
        <w:ind w:left="1000" w:right="1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growth of PCs and gaming consoles or the migration of gamers to mobile devices and tablets away from PCs, which historically have been the core focus of our business;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of streaming, including its popularity among fans and aspiring content creators and how it impacts their desire to purchase high-performance gaming and streaming gear;</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of eSports, including its increasing popularity among fans and amateur eSports athletes and how it impacts their desire to purchase high-performance gaming gear;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particularly economic conditions adversely affecting discretionary consumer spending;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social perceptions of gaming, especially those related to the impact of gaming on health and social development;</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availability and popularity of other forms of entertainment;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demographics, tastes and preferences.</w:t>
      </w:r>
    </w:p>
    <w:p>
      <w:pPr>
        <w:spacing w:after="0" w:line="22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70"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While there were 2.6 billion mobile gamers in 2020, according to Newzoo, we have no specific plans to attract gamers who use only mobile devices or tablets and we have no plans to develop gear specifically designed for gamers who use mobile devices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95"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62"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The success of our business depends on live game streaming and eSports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5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competitors marketing products that gain broader acceptance among game streamers, eSports participants and content creators;</w:t>
      </w:r>
    </w:p>
    <w:p>
      <w:pPr>
        <w:spacing w:after="0" w:line="128" w:lineRule="exact"/>
        <w:rPr>
          <w:rFonts w:ascii="Arial" w:cs="Arial" w:eastAsia="Arial" w:hAnsi="Arial"/>
          <w:sz w:val="17"/>
          <w:szCs w:val="17"/>
          <w:color w:val="auto"/>
        </w:rPr>
      </w:pPr>
    </w:p>
    <w:p>
      <w:pPr>
        <w:ind w:left="1000" w:right="2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popularity of eSports games that do not utilize any of our gear, for example games that run on mobile devices or tablets that replace more traditional eSports; and</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research and development and the gear we sell failing to satisfy the increasing high-performance requirements of competitive gamers or streamers.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there are a number of factors which could result in the growth in live game streaming or the eSports markets stagnating, or even decreasing.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w:t>
      </w:r>
    </w:p>
    <w:p>
      <w:pPr>
        <w:spacing w:after="0" w:line="10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consumer interest in watching either live or streamed broadcasts of competitors playing video games diminishing or even disappearing;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limiting the broadcast of live streaming or eSports;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accessibility of streaming and other gaming video content, whether due to platform fragmentation, the erection of paywalls, or otherwise;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economics or monetization of eSports performing below expectations, ultimately causing a decrease in outside investments in eSports.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one or more of the above factors are realized, our business may be seriously harmed.</w:t>
      </w:r>
    </w:p>
    <w:p>
      <w:pPr>
        <w:spacing w:after="0" w:line="333"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performance depends to a significant degree upon the contributions of our management team, particularly Andrew J. Paul, our co-</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9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face significant competition for employees, particularly in the San Francisco Bay Area where our headquarters are located, and as a result, skilled employees in this competitive geographic location can often command higher compensation and may be difficult to hire.</w:t>
      </w:r>
    </w:p>
    <w:p>
      <w:pPr>
        <w:spacing w:after="0" w:line="278"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For example, continuing uncertainty of financial conditions in Europe, including concerns regarding the United Kingdom’s exit from the European Union, and the resulting economic instability and fluctuations in the values of the Euro and British pound compared to the U.S. dollar have led to variations in the local currency selling prices of, and therefore affected demand for, our gear in Europe and the United Kingdom.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0"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Total unit shipments of our gear have historically been higher during the third and fourth quarters of the year. As a result, our sales may be subject to seasonal fluctuations, which may seriously harm our business.</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Notwithstanding the results of operations of the third quarter for 2021 which were adversely impacted by the COVID-19 pandemic, historically, 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As a result, our total unit shipments are subject to seasonal fluctuations, which may seriously harm our business. Historical seasonal patterns may not continue in the future and have been impacted, and may be further impacted in the future, by increasing supply constraints, GPUs shortages, shifts in customer behavior and the evolving impacts of the COVID-19 pandemic.</w:t>
      </w:r>
    </w:p>
    <w:p>
      <w:pPr>
        <w:spacing w:after="0" w:line="289"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results of operations are subject to substantial quarterly and annual fluctuations, which may adversely affect the market price of our common stock.</w:t>
      </w:r>
    </w:p>
    <w:p>
      <w:pPr>
        <w:spacing w:after="0" w:line="62"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8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i w:val="1"/>
          <w:iCs w:val="1"/>
          <w:color w:val="auto"/>
        </w:rPr>
        <w:t>Factors affecting our business and markets</w:t>
      </w:r>
      <w:r>
        <w:rPr>
          <w:rFonts w:ascii="Arial" w:cs="Arial" w:eastAsia="Arial" w:hAnsi="Arial"/>
          <w:sz w:val="18"/>
          <w:szCs w:val="18"/>
          <w:color w:val="auto"/>
        </w:rPr>
        <w:t>. Our result of operations may be materially adversely affected by factors that directly affect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competitive conditions in our markets, including the following:</w:t>
      </w:r>
    </w:p>
    <w:p>
      <w:pPr>
        <w:spacing w:after="0" w:line="62"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demand for our lower margin products relative to demand for our higher margin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introduction or enhancement of products by us and our competitors, and market acceptance of these new or enhanced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significant retail customers, cancellations or reductions of orders and product returns;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average selling prices of and demand for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demand for our gear due to our gear having higher price-points than products supplied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discounts and price reductions offered by our competitors;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delay, reduction or cessation of deliveries from one or more of the third parties that manufacture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or shortages of our gear or components used in our gear;</w:t>
      </w:r>
    </w:p>
    <w:p>
      <w:pPr>
        <w:spacing w:after="0" w:line="117" w:lineRule="exact"/>
        <w:rPr>
          <w:rFonts w:ascii="Arial" w:cs="Arial" w:eastAsia="Arial" w:hAnsi="Arial"/>
          <w:sz w:val="18"/>
          <w:szCs w:val="18"/>
          <w:color w:val="auto"/>
        </w:rPr>
      </w:pPr>
    </w:p>
    <w:p>
      <w:pPr>
        <w:ind w:left="1000" w:right="36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75" w:lineRule="exact"/>
        <w:rPr>
          <w:rFonts w:ascii="Arial" w:cs="Arial" w:eastAsia="Arial" w:hAnsi="Arial"/>
          <w:sz w:val="18"/>
          <w:szCs w:val="18"/>
          <w:color w:val="auto"/>
        </w:rPr>
      </w:pPr>
    </w:p>
    <w:p>
      <w:pPr>
        <w:ind w:left="1000" w:right="32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changes in trade relations arising from policy initiatives implemented by the current U.S. administration, which has been critical of existing and proposed trade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laws, including tax and trade laws, and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problems in our introduction of new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problems in the shipment or delivery of gear to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freight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purchasing patterns by the distributors and retailers to which we sell our gear;</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electronics product purchasing patterns by our retail and distributor customers, as well as the gamers and streamers that purchase their gear directly from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pressures resulting in, among other things, lower selling prices or loss of market share;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and adverse outcomes of litigation, governmental proceedings or any proceedings to protect our brand or other intellectual property.</w:t>
      </w:r>
    </w:p>
    <w:p>
      <w:pPr>
        <w:spacing w:after="0" w:line="24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i w:val="1"/>
          <w:iCs w:val="1"/>
          <w:color w:val="auto"/>
        </w:rPr>
        <w:t>General economic conditions</w:t>
      </w:r>
      <w:r>
        <w:rPr>
          <w:rFonts w:ascii="Arial" w:cs="Arial" w:eastAsia="Arial" w:hAnsi="Arial"/>
          <w:sz w:val="18"/>
          <w:szCs w:val="18"/>
          <w:color w:val="auto"/>
        </w:rPr>
        <w:t>. Our business may be materially adversely affected by factors relating to global, national and regional economies,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in economic conditions, either globally or in specific countries or regions;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outbreaks of pandemics, such as the novel coronavirus;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political instability, natural disasters, war and/or events of terrorism;</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fluctuations in the United States and global economies, including those that impact discretionary consumer spending such as may result from the COVID-19 coronavirus outbreak;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cycles that affect the markets in which we sell our gear;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fluctuations in interest rates on consumer disposable income.</w:t>
      </w:r>
    </w:p>
    <w:p>
      <w:pPr>
        <w:spacing w:after="0" w:line="22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Technological factors</w:t>
      </w:r>
      <w:r>
        <w:rPr>
          <w:rFonts w:ascii="Arial" w:cs="Arial" w:eastAsia="Arial" w:hAnsi="Arial"/>
          <w:sz w:val="18"/>
          <w:szCs w:val="18"/>
          <w:color w:val="auto"/>
        </w:rPr>
        <w:t>. In addition to technological developments directly relating to our gear, more generalized changes in technology may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Cloud computing may seriously harm our business.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73"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Conditions in the retail and consumer electronics markets may significantly affect our business and could have an adverse effect on our net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for promotions, customer incentive programs and other initiatives used to stimulate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risk of excess and obsolete inventories, which may require write-downs or impairment charges;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distress or bankruptcy of key suppliers or third-party manufacturers, resulting in insufficient product quantities to meet demand or increases in the cost of producing our gear;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distress or bankruptcy of key distributors, resellers or retailers.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78"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sponsorship of individuals, teams and events within the gaming community is subject to numerous risks that may seriously harm our business.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273"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71"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market share data for DRAM IC manufacturers appearing on the website of DRAM Exchange, a market research firm, Samsung, a manufacturer of DRAM ICs, had an approximately 43% share of the worldwide DRAM IC market for 2020, compared to approximately 29% for Hynix and approximately 23%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coronavirus outbreak has had, and could continue to have, a materially disruptive effect on our business.</w:t>
      </w:r>
    </w:p>
    <w:p>
      <w:pPr>
        <w:spacing w:after="0" w:line="22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6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spread of COVID-19 has and could continue to seriously harm our business. Current and potential impacts include, but are not limited to, the following:</w:t>
      </w:r>
    </w:p>
    <w:p>
      <w:pPr>
        <w:spacing w:after="0" w:line="62" w:lineRule="exact"/>
        <w:rPr>
          <w:sz w:val="20"/>
          <w:szCs w:val="20"/>
          <w:color w:val="auto"/>
        </w:rPr>
      </w:pPr>
    </w:p>
    <w:p>
      <w:pPr>
        <w:jc w:val="both"/>
        <w:ind w:left="1000" w:right="40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supply and transportation costs have increased, and may continue to increase, as alternate suppliers are sought;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labor shortages within delivery and other industries due to extended worker absences could create further supply chain disruptions;</w:t>
      </w:r>
    </w:p>
    <w:p>
      <w:pPr>
        <w:spacing w:after="0" w:line="128" w:lineRule="exact"/>
        <w:rPr>
          <w:rFonts w:ascii="Arial" w:cs="Arial" w:eastAsia="Arial" w:hAnsi="Arial"/>
          <w:sz w:val="17"/>
          <w:szCs w:val="17"/>
          <w:color w:val="auto"/>
        </w:rPr>
      </w:pPr>
    </w:p>
    <w:p>
      <w:pPr>
        <w:ind w:left="1000" w:right="4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exchange rates could make our products less competitive in a price-sensitive environment for our non-US customers; and</w:t>
      </w:r>
    </w:p>
    <w:p>
      <w:pPr>
        <w:spacing w:after="0" w:line="62"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70"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Since early 2020, we have experienced some business disruptions due to COVID-19, including the stoppage in our factories in early 2020, disruption in our supply chain and increased distribution costs such as the elevated ocean freight costs we incurred in the third quarter of 2021, which led to increases in operating costs. As a result of the COVID-19 pandemic, we are continuing to experience logistics challenges globally. These negative financial impacts have been offset by strong revenue growth year-over-year partly due to an increase in demand for our gear as more people in more countries are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and could continue to result in shelter-in-place and other similar restrictions being eased. Such easing of restrictions likely has, and will continue to result in consumers returning to other alternative forms of entertainment and interaction. This in turn has, and could continue to, result in a decline in demand for our products.</w:t>
      </w:r>
    </w:p>
    <w:p>
      <w:pPr>
        <w:spacing w:after="0" w:line="88"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extent to which the COVID-19 outbreak, including the spread of more contagious and deadly variants, ultimately impacts our business, results of operations, cash flows and financial condition will depend on future developments, which are highly uncertain and cannot be predicted, including, but not limited to, the duration and spread of the outbreak, its severity, the actions to contain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40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6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 significant percentage of our net revenue is generated by sales of DRAM modules. In particular, net revenue generated by sales of DRAM modules accounted for a total of 27.2% and 34.2% of our net revenue for the nine months ended September 30, 2021 and 2020,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96"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For the nine months ended September 30, 2021 and 2020, sales to Amazon accounted for 26.4% and 25.1% of our net revenue, respectively. Sales to our ten largest customers accounted for 50.5% and 51.0% of our net revenue for the nine months ended September 30, 2021 and 2020, respectively.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82"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9"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maintain limited manufacturing facilities that only assemble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some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reliance upon a limited number of manufacturers and suppliers exposes us to numerous risks, including those described below.</w:t>
      </w:r>
    </w:p>
    <w:p>
      <w:pPr>
        <w:spacing w:after="0" w:line="22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i w:val="1"/>
          <w:iCs w:val="1"/>
          <w:color w:val="auto"/>
        </w:rPr>
        <w:t xml:space="preserve">Risks relating to production and manufacturing. </w:t>
      </w:r>
      <w:r>
        <w:rPr>
          <w:rFonts w:ascii="Arial" w:cs="Arial" w:eastAsia="Arial" w:hAnsi="Arial"/>
          <w:sz w:val="18"/>
          <w:szCs w:val="18"/>
          <w:color w:val="auto"/>
        </w:rPr>
        <w:t>Our business could be seriously harmed if our manufacturers or suppliers ceased or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Furthermore,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military actions.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178"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i w:val="1"/>
          <w:iCs w:val="1"/>
          <w:color w:val="auto"/>
        </w:rPr>
        <w:t>Risks relating to product quality</w:t>
      </w:r>
      <w:r>
        <w:rPr>
          <w:rFonts w:ascii="Arial" w:cs="Arial" w:eastAsia="Arial" w:hAnsi="Arial"/>
          <w:sz w:val="17"/>
          <w:szCs w:val="17"/>
          <w:color w:val="auto"/>
        </w:rPr>
        <w:t>. Our manufacturers or suppliers may provide us with products or components that do not perform reliably or do not</w:t>
      </w:r>
      <w:r>
        <w:rPr>
          <w:rFonts w:ascii="Arial" w:cs="Arial" w:eastAsia="Arial" w:hAnsi="Arial"/>
          <w:sz w:val="17"/>
          <w:szCs w:val="17"/>
          <w:i w:val="1"/>
          <w:iCs w:val="1"/>
          <w:color w:val="auto"/>
        </w:rPr>
        <w:t xml:space="preserve"> </w:t>
      </w:r>
      <w:r>
        <w:rPr>
          <w:rFonts w:ascii="Arial" w:cs="Arial" w:eastAsia="Arial" w:hAnsi="Arial"/>
          <w:sz w:val="17"/>
          <w:szCs w:val="17"/>
          <w:color w:val="auto"/>
        </w:rPr>
        <w:t>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6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i w:val="1"/>
          <w:iCs w:val="1"/>
          <w:color w:val="auto"/>
        </w:rPr>
        <w:t xml:space="preserve">Risks relating to product and component shortages. </w:t>
      </w:r>
      <w:r>
        <w:rPr>
          <w:rFonts w:ascii="Arial" w:cs="Arial" w:eastAsia="Arial" w:hAnsi="Arial"/>
          <w:sz w:val="18"/>
          <w:szCs w:val="18"/>
          <w:color w:val="auto"/>
        </w:rPr>
        <w:t>From time to time we have experienced product shortages due to both disruptions in supply</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69" w:lineRule="exact"/>
        <w:rPr>
          <w:sz w:val="20"/>
          <w:szCs w:val="20"/>
          <w:color w:val="auto"/>
        </w:rPr>
      </w:pPr>
    </w:p>
    <w:p>
      <w:pPr>
        <w:ind w:left="520" w:right="620"/>
        <w:spacing w:after="0" w:line="342" w:lineRule="auto"/>
        <w:rPr>
          <w:sz w:val="20"/>
          <w:szCs w:val="20"/>
          <w:color w:val="auto"/>
        </w:rPr>
      </w:pPr>
      <w:r>
        <w:rPr>
          <w:rFonts w:ascii="Arial" w:cs="Arial" w:eastAsia="Arial" w:hAnsi="Arial"/>
          <w:sz w:val="16"/>
          <w:szCs w:val="16"/>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85" w:lineRule="exact"/>
        <w:rPr>
          <w:sz w:val="20"/>
          <w:szCs w:val="20"/>
          <w:color w:val="auto"/>
        </w:rPr>
      </w:pPr>
    </w:p>
    <w:p>
      <w:pPr>
        <w:ind w:left="520" w:right="260"/>
        <w:spacing w:after="0" w:line="263" w:lineRule="auto"/>
        <w:rPr>
          <w:sz w:val="20"/>
          <w:szCs w:val="20"/>
          <w:color w:val="auto"/>
        </w:rPr>
      </w:pPr>
      <w:r>
        <w:rPr>
          <w:rFonts w:ascii="Arial" w:cs="Arial" w:eastAsia="Arial" w:hAnsi="Arial"/>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China, Taiwan and countries in Southeast Asia exposes us to numerous risks.</w:t>
      </w:r>
    </w:p>
    <w:p>
      <w:pPr>
        <w:spacing w:after="0" w:line="192"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We believe one of the most significant risks associated with this concentration is that production may be interrupted or limited because of labor shortages in southern China and by strains on the local infrastructure. In addition, production at facilities located in China, Taiwan or Southeast Asia,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In addition, political instability in countries in Southeast Asia where we source certain components, such as Thailand,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6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Other risks resulting from this concentration of our manufacturing facilities and our suppliers in China, Taiwan and Southeast Asia include the following:</w:t>
      </w:r>
    </w:p>
    <w:p>
      <w:pPr>
        <w:spacing w:after="0" w:line="62" w:lineRule="exact"/>
        <w:rPr>
          <w:sz w:val="20"/>
          <w:szCs w:val="20"/>
          <w:color w:val="auto"/>
        </w:rPr>
      </w:pPr>
    </w:p>
    <w:p>
      <w:pPr>
        <w:ind w:left="1000" w:right="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and enforcement of China’s laws continues to evolve, which may make it more difficult for us to obtain a reliable supply of our gear at predictable costs;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costs may be increased and deliveries of our gear may be decreased or delayed by trade restrictions; and</w:t>
      </w:r>
    </w:p>
    <w:p>
      <w:pPr>
        <w:spacing w:after="0" w:line="117"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one or more of these risks may seriously harm our business.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successfully coordinate the worldwide manufacturing and distribution of our gear, we could lose sales.</w:t>
      </w:r>
    </w:p>
    <w:p>
      <w:pPr>
        <w:spacing w:after="0" w:line="11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79" w:lineRule="exact"/>
        <w:rPr>
          <w:sz w:val="20"/>
          <w:szCs w:val="20"/>
          <w:color w:val="auto"/>
        </w:rPr>
      </w:pPr>
    </w:p>
    <w:p>
      <w:pPr>
        <w:ind w:left="520" w:right="220"/>
        <w:spacing w:after="0" w:line="375" w:lineRule="auto"/>
        <w:rPr>
          <w:sz w:val="20"/>
          <w:szCs w:val="20"/>
          <w:color w:val="auto"/>
        </w:rPr>
      </w:pPr>
      <w:r>
        <w:rPr>
          <w:rFonts w:ascii="Arial" w:cs="Arial" w:eastAsia="Arial" w:hAnsi="Arial"/>
          <w:sz w:val="15"/>
          <w:szCs w:val="15"/>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65"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5"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Our effective tax rate may increase in the future, including as a result of the Reorganization and changes in tax legislation, which may have a material adverse effect on our business, financial condition and results of operations.</w:t>
      </w:r>
    </w:p>
    <w:p>
      <w:pPr>
        <w:spacing w:after="0" w:line="62"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w:t>
      </w:r>
    </w:p>
    <w:p>
      <w:pPr>
        <w:spacing w:after="0" w:line="184"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w:t>
      </w:r>
    </w:p>
    <w:p>
      <w:pPr>
        <w:spacing w:after="0" w:line="15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As a result of the Reorganization, we acquired a number of non-U.S. affiliated entities with substantial non-U.S. assets and operations. Following the Reorganization, we may be subject to current U.S. federal income taxes on the earnings of such non-U.S. affiliates in a manner that may adversely impact our effective tax rate.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also increase due to several factors, including:</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rates, tax treaties, and regulations or the interpretation of them, including the Tax Act and the CARES Act;</w:t>
      </w:r>
    </w:p>
    <w:p>
      <w:pPr>
        <w:spacing w:after="0" w:line="117"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acquisitions.</w:t>
      </w:r>
    </w:p>
    <w:p>
      <w:pPr>
        <w:spacing w:after="0" w:line="225"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In the past, we have experienced fluctuations in our effective income tax rate which reflects a variety of factors that may or may not be present in any given year. In light of these factors, there can be no assurance that our effective income tax rate will not change in future periods. Accordingly, if our effective tax rate were to increase, it may have a material adverse effect on our business, financial condition and results of operations.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utilize our net operating losses, or NOLs, carryforwards and certain other tax attributes may be limited.</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86"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Technological developments or other changes in our industry could render our gear less competitive or obsolete, which may seriously harm our business.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$45.2 million and $36.3 million for the nine months ended September 30, 2021 and 2020, respectively, representing 3.2% of our net revenue for each of these periods. Our failure to improve our gear, create new and relevant categories of gear and adapt to changing business models in a timely manner may seriously harm our business.</w:t>
      </w:r>
    </w:p>
    <w:p>
      <w:pPr>
        <w:spacing w:after="0" w:line="28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7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200"/>
        <w:spacing w:after="0" w:line="308" w:lineRule="auto"/>
        <w:rPr>
          <w:sz w:val="20"/>
          <w:szCs w:val="20"/>
          <w:color w:val="auto"/>
        </w:rPr>
      </w:pPr>
      <w:r>
        <w:rPr>
          <w:rFonts w:ascii="Arial" w:cs="Arial" w:eastAsia="Arial" w:hAnsi="Arial"/>
          <w:sz w:val="17"/>
          <w:szCs w:val="17"/>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38"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4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8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In addition, we provide a variety of rebates to both customers and gamers, including instant rebates, volume incentive rebates, back end rebates and mail-in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the nine months ended September 30, 2021 and 2020, our gross revenue was reduced approximately by 7.9% and 6.8%, respectively, as a result of these rebates. In the future, we also may be required to write down inventory or receivables due to product obsolescence or because of declines in market prices of our gear. Any write-downs or offsets could seriously harm our business.</w:t>
      </w:r>
    </w:p>
    <w:p>
      <w:pPr>
        <w:spacing w:after="0" w:line="28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6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74"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Acquisitions may be particularly challenging during the COVID-19 pandemic. For example, we will likely not be able to travel to conduct in-person meetings and due diligence sessions with potential target companies. If we are successful in making any acquisition or strategic transaction, we may be unable to integrate the acquired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7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92"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may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other debt financing is limited by the negative covenant in our credit agreement restricting our ability to incur other indebtedness, as well as the financial covenants therein prohibiting our Consolidated Total Net Leverage Ratio from exceeding 3.0 to 1.0 or our Consolidated Interest Coverage Ratio being less than 3.0 to 1.0 (both tested quarterly on a trailing four fiscal quarter basis). As a result, such restrictions could limit, perhaps substantially, the amount of indebtedness we are permitted to borrow under other debt arrangements.</w:t>
      </w:r>
    </w:p>
    <w:p>
      <w:pPr>
        <w:spacing w:after="0" w:line="179"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6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had $248.8 million of indebtedness as of September 30, 2021.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76" w:lineRule="exact"/>
        <w:rPr>
          <w:sz w:val="20"/>
          <w:szCs w:val="20"/>
          <w:color w:val="auto"/>
        </w:rPr>
      </w:pPr>
    </w:p>
    <w:p>
      <w:pPr>
        <w:jc w:val="both"/>
        <w:ind w:right="180" w:firstLine="510"/>
        <w:spacing w:after="0" w:line="279" w:lineRule="auto"/>
        <w:rPr>
          <w:sz w:val="20"/>
          <w:szCs w:val="20"/>
          <w:color w:val="auto"/>
        </w:rPr>
      </w:pPr>
      <w:r>
        <w:rPr>
          <w:rFonts w:ascii="Arial" w:cs="Arial" w:eastAsia="Arial" w:hAnsi="Arial"/>
          <w:sz w:val="17"/>
          <w:szCs w:val="17"/>
          <w:i w:val="1"/>
          <w:iCs w:val="1"/>
          <w:color w:val="auto"/>
        </w:rPr>
        <w:t xml:space="preserve">Cash flow required to pay debt service. </w:t>
      </w:r>
      <w:r>
        <w:rPr>
          <w:rFonts w:ascii="Arial" w:cs="Arial" w:eastAsia="Arial" w:hAnsi="Arial"/>
          <w:sz w:val="17"/>
          <w:szCs w:val="17"/>
          <w:color w:val="auto"/>
        </w:rPr>
        <w:t>We may be required to dedicate a substantial portion of our available cash flow to debt service. This risk 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i w:val="1"/>
          <w:iCs w:val="1"/>
          <w:color w:val="auto"/>
        </w:rPr>
        <w:t>Adverse effect of financial and other covenants</w:t>
      </w:r>
      <w:r>
        <w:rPr>
          <w:rFonts w:ascii="Arial" w:cs="Arial" w:eastAsia="Arial" w:hAnsi="Arial"/>
          <w:sz w:val="17"/>
          <w:szCs w:val="17"/>
          <w:color w:val="auto"/>
        </w:rPr>
        <w:t>. The covenants and other restrictions in our credit facilities and any debt instruments we may enter</w:t>
      </w:r>
      <w:r>
        <w:rPr>
          <w:rFonts w:ascii="Arial" w:cs="Arial" w:eastAsia="Arial" w:hAnsi="Arial"/>
          <w:sz w:val="17"/>
          <w:szCs w:val="17"/>
          <w:i w:val="1"/>
          <w:iCs w:val="1"/>
          <w:color w:val="auto"/>
        </w:rPr>
        <w:t xml:space="preserve"> </w:t>
      </w:r>
      <w:r>
        <w:rPr>
          <w:rFonts w:ascii="Arial" w:cs="Arial" w:eastAsia="Arial" w:hAnsi="Arial"/>
          <w:sz w:val="17"/>
          <w:szCs w:val="17"/>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Risks of default</w:t>
      </w:r>
      <w:r>
        <w:rPr>
          <w:rFonts w:ascii="Arial" w:cs="Arial" w:eastAsia="Arial" w:hAnsi="Arial"/>
          <w:sz w:val="17"/>
          <w:szCs w:val="17"/>
          <w:color w:val="auto"/>
        </w:rPr>
        <w:t>. If we breach or are unable to comply with a covenant or other agreement contained in a debt instrument, the lender generally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some of the shares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179"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i w:val="1"/>
          <w:iCs w:val="1"/>
          <w:color w:val="auto"/>
        </w:rPr>
        <w:t>Restrictions under our credit facilities</w:t>
      </w:r>
      <w:r>
        <w:rPr>
          <w:rFonts w:ascii="Arial" w:cs="Arial" w:eastAsia="Arial" w:hAnsi="Arial"/>
          <w:sz w:val="16"/>
          <w:szCs w:val="16"/>
          <w:color w:val="auto"/>
        </w:rPr>
        <w:t>. We must comply with covenants under our current credit facilities, which require the maintenance of a</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Consolidated Total Net Leverage Ratio of 3.0 to 1.0 and a Minimum Consolidated Interest Coverage Ratio of 3.0 to 1.0 (as defined in our credit facilities). Our Consolidated Total Net Leverage Ratio and Consolidated Interest Coverage Ratio were 0.8 to 1.0 and 10.4 to 1.0 as of September 30, 2021, respectively. While we were in compliance with all applicable financial covenants under our credit facilities as of September 30, 2021, there can be no assurance that we will not breach these financial covenants in our credit facilities in the future or other covenants in our future credit facilities.</w:t>
      </w:r>
    </w:p>
    <w:p>
      <w:pPr>
        <w:spacing w:after="0" w:line="16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Our credit facilities also include covenants that limit or restrict our ability to, among other things, incur liens on our properties, make acquisitions and other investments and sell assets, in each case, subject to specified exceptions. In addition to the covenants described in the preceding sentence, we are also prohibited from incurring indebtedness other than debt owed to the lenders under our credit facilities, debt associated with certain liens permitted by our credit facilities, certain subordinated debt and other specified exceptions. Our credit facilities also contain restrictions on our ability to pay dividends or make distributions in respect of our common stock or redemptions or repurchases of our common stock.</w:t>
      </w:r>
    </w:p>
    <w:p>
      <w:pPr>
        <w:spacing w:after="0" w:line="269"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or LIBOR, or the replacement of LIBOR with a different reference rate, may adversely affect interest rates.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Borrowings under our credit facilities bear interest at rates determined using LIBOR as the reference rate. 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and currently it appears highly likely that LIBOR will be discontinued or substantially modified by 2021.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Furthermore, we may need to renegotiate our revolving credit facility or incur other indebtedness, and changes in the method of calculating LIBOR, or the use of an alternative rate or benchmark, may negatively impact the terms of such indebtedness.</w:t>
      </w:r>
    </w:p>
    <w:p>
      <w:pPr>
        <w:spacing w:after="0" w:line="273"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6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Sales to customers outside the United States accounted for 62.7% and 62.4% of our net revenue for the nine months ended September 30, 2021 and 2020, respectively. In addition, substantially all of the gear that we sell is manufactured at facilities in Asia.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international sales and operations are subject to a wide range of risks, which may vary from country to country or region to region. These risks include the following:</w:t>
      </w:r>
    </w:p>
    <w:p>
      <w:pPr>
        <w:spacing w:after="0" w:line="6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trade and technical standards in a variety of jurisdictions;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including the risks associated with fraud, theft and other illegal conduct;</w:t>
      </w:r>
    </w:p>
    <w:p>
      <w:pPr>
        <w:spacing w:after="0" w:line="128" w:lineRule="exact"/>
        <w:rPr>
          <w:rFonts w:ascii="Arial" w:cs="Arial" w:eastAsia="Arial" w:hAnsi="Arial"/>
          <w:sz w:val="17"/>
          <w:szCs w:val="17"/>
          <w:color w:val="auto"/>
        </w:rPr>
      </w:pPr>
    </w:p>
    <w:p>
      <w:pPr>
        <w:ind w:left="1000" w:right="4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62"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or between China and the United States;</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United States and foreign trade restrictions, including those that may limit the importation of technology or components to or from various countries or impose tariffs or quotas;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or increased costs in establishing sales and distribution channels in unfamiliar markets, with their own market characteristics and competition;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currency exchange controls or taxes that make it impracticable or costly to repatriate funds from foreign countries.</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78"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example, we recently discovered the exploitation by hackers of our subsidiary SCUF’s servers, which may have enabled such hackers to collect information provided by our customers, including payment card information, that is handled by our third-party ecommerce service provider. Such hackers utilized the credentials we had provided to another third-party to inject a script, which was active for a limited amount of time, that collected this information provided by customers. Additionally,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74"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Actual or perceived breaches of our security measures, those of third-parties or the accidental loss, inadvertent disclosure or unapproved dissemination of proprietary information or sensitive or confidential data about us, our partners, our customers or third parties have exposed, and may in the future could expose us and the parties affected to a risk of loss or misuse of this information, resulting in litigation and potential liability, paying damages, regulatory inquiries or actions, damage to our brand and reputation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95"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are subject to a variety of laws, regulations, and industry standards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5"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5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are also subject to payment card association operating rules, certification requirements and rules governing electronic funds transfers, including the Payment Card Industry Data Security Standard, or PCI DSS, a security standard applicable to companies that collect, store or transmit certain data regarding credit and debit cards, holders and transactions. Any data security incidents, such as those described above, and/or other issues involving payment card information, can constitute a failure to comply with PCI DSS, which may therefore violate payment card association operating rules and the terms of our contracts with payment networks, processors and merchant banks. Such failure to comply may result in the loss of our ability to accept credit and debit card payments, subject us to fines, penalties, and damages. In addition, there is no guarantee that PCI DSS compliance will prevent illegal or improper use of our payment systems or the theft, loss or misuse of data pertaining to credit and debit cards, credit and debit card holders and credit and debit card transactions.</w:t>
      </w:r>
    </w:p>
    <w:p>
      <w:pPr>
        <w:spacing w:after="0" w:line="19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7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62"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76"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that they have obtained valid consent or have another legal basis in place to justify their data processing activities. The GDPR provides that EU member states may make their own additional laws and regulations in relation to certain data processing activities, which could limit our ability to use and share personal data or could require localized changes to our operating model. Under the GDPR, fines of up 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while the Data Protection Act of 2018, which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and the GDPR will be converted into UK law. Beginning in 2021, the UK will be a “third country” under the GDPR, and we may incur liabilities, expenses, costs, and other operational losses under the GDPR and applicable EU Member States, and the United Kingdom privacy laws, in connection with any measures that we take to comply with them.</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were to rely on the EU-U.S. Privacy Shield Framework, we will not be able to do so in the future, which could increase our costs and limit our ability to process personal data from the EU. The same decision also casts doubt on the alternatives to the Privacy Shield, in particular the European Commission’s Standard Contractual Clauses to lawfully transfer personal data from Europe to the United States and most other countries, and by requiring additional risk assessments increasing the regulatory burden relating to such alternatives. At present, there are few if any viable alternatives to the Privacy Shield and the Standard Contractual Clauses.</w:t>
      </w:r>
    </w:p>
    <w:p>
      <w:pPr>
        <w:spacing w:after="0" w:line="17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will also create a new California data protection agency specifically tasked to enforce the law, which could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8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Furthermore,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6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customers to lose trust in us, which could have material impacts on our revenue and operations and could seriously harm our business.</w:t>
      </w:r>
    </w:p>
    <w:p>
      <w:pPr>
        <w:spacing w:after="0" w:line="333"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62"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6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online operations are subject to numerous risks that may seriously harm our business.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7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62"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2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are required to test goodwill, intangible assets and other long-lived assets for recoverability and may be required to record charges if there are indicators of impairment, and we have in the past recognized impairment charges. As of September 30, 2021, we had approximately $313.8 million of goodwill, $234.1 million of intangible assets and $70.5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180"/>
        <w:spacing w:after="0" w:line="263" w:lineRule="auto"/>
        <w:rPr>
          <w:sz w:val="20"/>
          <w:szCs w:val="20"/>
          <w:color w:val="auto"/>
        </w:rPr>
      </w:pPr>
      <w:r>
        <w:rPr>
          <w:rFonts w:ascii="Arial" w:cs="Arial" w:eastAsia="Arial" w:hAnsi="Arial"/>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Nightsword, Scimitar, Vengeance,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Nightsword, Origin, SCUF, Slipstream, Scimitar, Vengeance and Void brand names, or other brand names we maintain, to sell their products in countries where we do not have trademark protection, it may seriously harm our business.</w:t>
      </w:r>
    </w:p>
    <w:p>
      <w:pPr>
        <w:spacing w:after="0" w:line="168" w:lineRule="exact"/>
        <w:rPr>
          <w:sz w:val="20"/>
          <w:szCs w:val="20"/>
          <w:color w:val="auto"/>
        </w:rPr>
      </w:pPr>
    </w:p>
    <w:p>
      <w:pPr>
        <w:ind w:right="380" w:firstLine="510"/>
        <w:spacing w:after="0" w:line="257" w:lineRule="auto"/>
        <w:rPr>
          <w:sz w:val="20"/>
          <w:szCs w:val="20"/>
          <w:color w:val="auto"/>
        </w:rPr>
      </w:pPr>
      <w:r>
        <w:rPr>
          <w:rFonts w:ascii="Arial" w:cs="Arial" w:eastAsia="Arial" w:hAnsi="Arial"/>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84"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7"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Some of our products contain open source software, which may pose particular risks to our proprietary software and products.</w:t>
      </w:r>
    </w:p>
    <w:p>
      <w:pPr>
        <w:spacing w:after="0" w:line="129"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Furthermore,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92" w:lineRule="exact"/>
        <w:rPr>
          <w:sz w:val="20"/>
          <w:szCs w:val="20"/>
          <w:color w:val="auto"/>
        </w:rPr>
      </w:pPr>
    </w:p>
    <w:p>
      <w:pPr>
        <w:ind w:left="520" w:right="240"/>
        <w:spacing w:after="0" w:line="308" w:lineRule="auto"/>
        <w:rPr>
          <w:sz w:val="20"/>
          <w:szCs w:val="20"/>
          <w:color w:val="auto"/>
        </w:rPr>
      </w:pPr>
      <w:r>
        <w:rPr>
          <w:rFonts w:ascii="Arial" w:cs="Arial" w:eastAsia="Arial" w:hAnsi="Arial"/>
          <w:sz w:val="17"/>
          <w:szCs w:val="17"/>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3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71"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w:t>
      </w:r>
    </w:p>
    <w:p>
      <w:pPr>
        <w:spacing w:after="0" w:line="2"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81"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62"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74"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preparation of our 2018 audited financial statements, we identified material weaknesses in our internal controls over financial reporting.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1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These material weaknesses related to maintaining an insufficient compliment of appropriately trained resources, which resulted in the failure to identify risks related to appropriate process level controls over accounting across multiple areas of financial reporting, including inventory, income taxes, general information technology controls, warranty reserves, sales returns and web based sales.</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After these material weaknesses were identified, during 2019 management implemented a remediation plan that included hiring key accounting personnel. While we have taken steps to remediate these material weaknesses, there can be no assurance that these measures will significantly improve or fully remediate the material weaknesses described above. If we are unable to remediate the above material weaknesses, our reputation and the market price of our stock could be seriously harmed.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179"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7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controlled by EagleTree, whose interests in our business may be different than yours.</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As of September 30, 2021, EagleTree beneficially owned approximately 57.5%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17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acquire or seek to acquire assets that we seek to acquire and, as a result, those acquisition opportunities may not be available to us or may be more expensive for us to pursue.</w:t>
      </w:r>
    </w:p>
    <w:p>
      <w:pPr>
        <w:spacing w:after="0" w:line="278"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9"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1000" w:right="80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may decline.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8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concerning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estimates or guidance that we or our competitors may give to the market;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of new technologies or other innovations;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outbreak of epidemics or pandemics, such as the coronavirus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widespread civil unrest;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be maintained.</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stock only recently began trading on Nasdaq, but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the trading price of our common stock could decline. Based upon the number of shares outstanding as of September 30, 2021, we had outstanding a total of 94.2 million shares of common stock. Of these shares, all of the shares of our common stock sold in the initial public offering and in the secondary in January 2021, are freely tradable, without restriction, in the public market.</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As of September 30, 2021, the holders of approximately 54.2 million shares of our common stock, or approximately 57.5% of our total outstanding common stock based upon the number of shares outstanding as of September 30, 2021, will be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80" w:lineRule="exact"/>
        <w:rPr>
          <w:sz w:val="20"/>
          <w:szCs w:val="20"/>
          <w:color w:val="auto"/>
        </w:rPr>
      </w:pPr>
    </w:p>
    <w:p>
      <w:pPr>
        <w:ind w:left="1000" w:right="8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75"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submit nominations of candidates for election to our board of directors and other proposals to be brought before a stockholders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26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75" w:lineRule="exact"/>
        <w:rPr>
          <w:rFonts w:ascii="Arial" w:cs="Arial" w:eastAsia="Arial" w:hAnsi="Arial"/>
          <w:sz w:val="18"/>
          <w:szCs w:val="18"/>
          <w:color w:val="auto"/>
        </w:rPr>
      </w:pPr>
    </w:p>
    <w:p>
      <w:pPr>
        <w:ind w:left="1000" w:right="22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terms of three years each;</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62"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62" w:lineRule="exact"/>
        <w:rPr>
          <w:rFonts w:ascii="Arial" w:cs="Arial" w:eastAsia="Arial" w:hAnsi="Arial"/>
          <w:sz w:val="18"/>
          <w:szCs w:val="18"/>
          <w:color w:val="auto"/>
        </w:rPr>
      </w:pPr>
    </w:p>
    <w:p>
      <w:pPr>
        <w:jc w:val="both"/>
        <w:ind w:left="1000" w:hanging="493"/>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6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62" w:lineRule="exact"/>
        <w:rPr>
          <w:sz w:val="20"/>
          <w:szCs w:val="20"/>
          <w:color w:val="auto"/>
        </w:rPr>
      </w:pPr>
    </w:p>
    <w:p>
      <w:pPr>
        <w:ind w:left="1000" w:right="120" w:hanging="493"/>
        <w:spacing w:after="0" w:line="279"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000" w:right="200" w:hanging="49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00" w:right="26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1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6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7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w:t>
      </w:r>
    </w:p>
    <w:p>
      <w:pPr>
        <w:spacing w:after="0" w:line="1" w:lineRule="exact"/>
        <w:rPr>
          <w:sz w:val="20"/>
          <w:szCs w:val="20"/>
          <w:color w:val="auto"/>
        </w:rPr>
      </w:pPr>
    </w:p>
    <w:p>
      <w:pPr>
        <w:ind w:right="40" w:firstLine="8"/>
        <w:spacing w:after="0" w:line="268"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8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a provision renouncing our interest and expectancy in certain corporate opportunities.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September 30, 2021, this provision of our amended and restated certificate of incorporation relates only to the EagleTree director designees. These potential conflicts of interest could seriously harm our business if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attractive corporate opportunities are allocated by EagleTree to itself or its respective portfolio companies, funds or other affiliates instead of to 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future tax audits in various jurisdictions, which may seriously harm our business.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including in the Acquisition Transaction, and the tax positions we have adopted in connection with these restructuring transactions may be subject to challenge. While we have contractual rights to indemnification in respect of certain taxable periods ending on or before the date of the Acquisition Transaction, such indemnity protection does not address all potential tax risks that may arise from such taxable periods, and there can be no assurance that we would be successful in collecting on an indemnification claim if such tax matters were to arise. Accordingly, a material assessment by a tax authority in any jurisdiction could require that we make significant cash payments without reimbursement. If this were to occur, our business may be seriously harmed.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Failure to comply with other laws and governmental regulations may seriously harm our business.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7"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54" w:lineRule="exact"/>
        <w:rPr>
          <w:sz w:val="20"/>
          <w:szCs w:val="20"/>
          <w:color w:val="auto"/>
        </w:rPr>
      </w:pPr>
    </w:p>
    <w:p>
      <w:pPr>
        <w:ind w:left="520" w:right="320"/>
        <w:spacing w:after="0" w:line="342"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1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financial performance.</w:t>
      </w:r>
    </w:p>
    <w:p>
      <w:pPr>
        <w:spacing w:after="0" w:line="1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Furthermore, if we are unable to satisfy our obligations as a public company, we could be subject to delisting of our common stock, fines, sanctions and other regulatory action and potentially civil litigation.</w:t>
      </w:r>
    </w:p>
    <w:p>
      <w:pPr>
        <w:spacing w:after="0" w:line="289" w:lineRule="exact"/>
        <w:rPr>
          <w:sz w:val="20"/>
          <w:szCs w:val="20"/>
          <w:color w:val="auto"/>
        </w:rPr>
      </w:pPr>
    </w:p>
    <w:p>
      <w:pPr>
        <w:ind w:left="520" w:right="120"/>
        <w:spacing w:after="0" w:line="279"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6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by the time our annual report for the year ending December 31, 2021 is due and thereafter, which will require us to document and make significant changes to our internal controls over financial reporting. Likewise, our independent registered public accounting firm will be required to provide an attestation report on the effectiveness of our internal controls over financial reporting in our Annual Report on Form 10-K to be filed in 2022. As a result, we will be required to improve our financial and managerial controls, reporting systems and procedures, to incur substantial expenses to test our systems to make such improvements and to hire additional personnel.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such as those described more fully above, we could be subject to regulatory scrutiny and a loss of public confidence, which could seriously harm our reputation and the market price of our common stock. In addition, if we do not maintain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20" w:type="dxa"/>
            <w:vAlign w:val="bottom"/>
            <w:gridSpan w:val="2"/>
          </w:tcPr>
          <w:p>
            <w:pPr>
              <w:jc w:val="center"/>
              <w:ind w:right="535"/>
              <w:spacing w:after="0"/>
              <w:rPr>
                <w:sz w:val="20"/>
                <w:szCs w:val="20"/>
                <w:color w:val="auto"/>
              </w:rPr>
            </w:pPr>
            <w:r>
              <w:rPr>
                <w:rFonts w:ascii="Arial" w:cs="Arial" w:eastAsia="Arial" w:hAnsi="Arial"/>
                <w:sz w:val="14"/>
                <w:szCs w:val="14"/>
                <w:b w:val="1"/>
                <w:bCs w:val="1"/>
                <w:color w:val="auto"/>
                <w:w w:val="94"/>
              </w:rPr>
              <w:t>Incorporated by</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center"/>
              <w:ind w:right="1155"/>
              <w:spacing w:after="0"/>
              <w:rPr>
                <w:sz w:val="20"/>
                <w:szCs w:val="20"/>
                <w:color w:val="auto"/>
              </w:rPr>
            </w:pPr>
            <w:r>
              <w:rPr>
                <w:rFonts w:ascii="Arial" w:cs="Arial" w:eastAsia="Arial" w:hAnsi="Arial"/>
                <w:sz w:val="14"/>
                <w:szCs w:val="14"/>
                <w:b w:val="1"/>
                <w:bCs w:val="1"/>
                <w:color w:val="auto"/>
                <w:w w:val="88"/>
              </w:rPr>
              <w:t>Reference</w:t>
            </w:r>
          </w:p>
        </w:tc>
        <w:tc>
          <w:tcPr>
            <w:tcW w:w="70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gridSpan w:val="12"/>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w w:val="95"/>
              </w:rPr>
              <w:t>Date Filed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1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700" w:type="dxa"/>
            <w:vAlign w:val="bottom"/>
          </w:tcPr>
          <w:p>
            <w:pPr>
              <w:jc w:val="center"/>
              <w:ind w:left="3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82"/>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3.1</w:t>
            </w:r>
          </w:p>
        </w:tc>
        <w:tc>
          <w:tcPr>
            <w:tcW w:w="4320" w:type="dxa"/>
            <w:vAlign w:val="bottom"/>
            <w:tcBorders>
              <w:bottom w:val="single" w:sz="8" w:color="0000EE"/>
            </w:tcBorders>
            <w:gridSpan w:val="7"/>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Second Amended and Restated Certificate of Incorporation.</w:t>
              </w:r>
            </w:hyperlink>
          </w:p>
        </w:tc>
        <w:tc>
          <w:tcPr>
            <w:tcW w:w="2000" w:type="dxa"/>
            <w:vAlign w:val="bottom"/>
            <w:gridSpan w:val="10"/>
          </w:tcPr>
          <w:p>
            <w:pPr>
              <w:spacing w:after="0"/>
              <w:rPr>
                <w:sz w:val="24"/>
                <w:szCs w:val="24"/>
                <w:color w:val="auto"/>
              </w:rPr>
            </w:pPr>
          </w:p>
        </w:tc>
        <w:tc>
          <w:tcPr>
            <w:tcW w:w="62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09/25/2020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3.2</w:t>
            </w:r>
          </w:p>
        </w:tc>
        <w:tc>
          <w:tcPr>
            <w:tcW w:w="6320" w:type="dxa"/>
            <w:vAlign w:val="bottom"/>
            <w:gridSpan w:val="17"/>
          </w:tcPr>
          <w:p>
            <w:pPr>
              <w:spacing w:after="0"/>
              <w:rPr>
                <w:rFonts w:ascii="Arial" w:cs="Arial" w:eastAsia="Arial" w:hAnsi="Arial"/>
                <w:sz w:val="18"/>
                <w:szCs w:val="18"/>
                <w:color w:val="0000EE"/>
              </w:rPr>
            </w:pPr>
            <w:hyperlink r:id="rId92">
              <w:r>
                <w:rPr>
                  <w:rFonts w:ascii="Arial" w:cs="Arial" w:eastAsia="Arial" w:hAnsi="Arial"/>
                  <w:sz w:val="18"/>
                  <w:szCs w:val="18"/>
                  <w:color w:val="0000EE"/>
                </w:rPr>
                <w:t>Amended and Restated Bylaws.</w:t>
              </w:r>
            </w:hyperlink>
          </w:p>
        </w:tc>
        <w:tc>
          <w:tcPr>
            <w:tcW w:w="62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09/25/2020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4.1</w:t>
            </w:r>
          </w:p>
        </w:tc>
        <w:tc>
          <w:tcPr>
            <w:tcW w:w="3480" w:type="dxa"/>
            <w:vAlign w:val="bottom"/>
            <w:tcBorders>
              <w:bottom w:val="single" w:sz="8" w:color="0000EE"/>
            </w:tcBorders>
            <w:gridSpan w:val="6"/>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common stock certificate of Registrant.</w:t>
              </w:r>
            </w:hyperlink>
          </w:p>
        </w:tc>
        <w:tc>
          <w:tcPr>
            <w:tcW w:w="2840" w:type="dxa"/>
            <w:vAlign w:val="bottom"/>
            <w:gridSpan w:val="11"/>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09/18/2020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4.2</w:t>
            </w:r>
          </w:p>
        </w:tc>
        <w:tc>
          <w:tcPr>
            <w:tcW w:w="6320" w:type="dxa"/>
            <w:vAlign w:val="bottom"/>
            <w:gridSpan w:val="17"/>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Investor Rights Agreement, by and between Corsair Gaming, Inc. and Corsair Group</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09/18/2020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(Cayman), LP.</w:t>
              </w:r>
            </w:hyperlink>
          </w:p>
        </w:tc>
        <w:tc>
          <w:tcPr>
            <w:tcW w:w="5060" w:type="dxa"/>
            <w:vAlign w:val="bottom"/>
            <w:tcBorders>
              <w:top w:val="single" w:sz="8" w:color="0000EE"/>
            </w:tcBorders>
            <w:gridSpan w:val="12"/>
          </w:tcPr>
          <w:p>
            <w:pPr>
              <w:spacing w:after="0"/>
              <w:rPr>
                <w:sz w:val="17"/>
                <w:szCs w:val="17"/>
                <w:color w:val="auto"/>
              </w:rPr>
            </w:pPr>
          </w:p>
        </w:tc>
        <w:tc>
          <w:tcPr>
            <w:tcW w:w="20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4.3</w:t>
            </w:r>
          </w:p>
        </w:tc>
        <w:tc>
          <w:tcPr>
            <w:tcW w:w="6200" w:type="dxa"/>
            <w:vAlign w:val="bottom"/>
            <w:tcBorders>
              <w:bottom w:val="single" w:sz="8" w:color="0000EE"/>
            </w:tcBorders>
            <w:gridSpan w:val="15"/>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Description of Corsair’s Securities Registered Pursuant to Section 12 of the Securities</w:t>
              </w:r>
            </w:hyperlink>
          </w:p>
        </w:tc>
        <w:tc>
          <w:tcPr>
            <w:tcW w:w="120" w:type="dxa"/>
            <w:vAlign w:val="bottom"/>
            <w:gridSpan w:val="2"/>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03/11/2021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17"/>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Exchange Act of 1934.</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320" w:type="dxa"/>
            <w:vAlign w:val="bottom"/>
            <w:gridSpan w:val="17"/>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Credit Agreement, dated as of September 3, 2021, by and among Corsair Gaming, Inc.</w:t>
              </w:r>
            </w:hyperlink>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and certain of its subsidiaries, Bank of America, N.A. as administrative agent,</w:t>
              </w:r>
            </w:hyperlink>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swingline lender and L/C issuer, and the other parties thereto.</w:t>
              </w:r>
            </w:hyperlink>
          </w:p>
        </w:tc>
        <w:tc>
          <w:tcPr>
            <w:tcW w:w="1180" w:type="dxa"/>
            <w:vAlign w:val="bottom"/>
            <w:tcBorders>
              <w:top w:val="single" w:sz="8" w:color="0000EE"/>
            </w:tcBorders>
            <w:gridSpan w:val="4"/>
          </w:tcPr>
          <w:p>
            <w:pPr>
              <w:spacing w:after="0"/>
              <w:rPr>
                <w:sz w:val="17"/>
                <w:szCs w:val="17"/>
                <w:color w:val="auto"/>
              </w:rPr>
            </w:pPr>
          </w:p>
        </w:tc>
        <w:tc>
          <w:tcPr>
            <w:tcW w:w="70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4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40">
              <w:r>
                <w:rPr>
                  <w:rFonts w:ascii="Arial" w:cs="Arial" w:eastAsia="Arial" w:hAnsi="Arial"/>
                  <w:sz w:val="18"/>
                  <w:szCs w:val="18"/>
                  <w:color w:val="0000EE"/>
                  <w:w w:val="92"/>
                </w:rPr>
                <w:t>Certification of Principal Executive Officer under Securities Exchange Act</w:t>
              </w:r>
            </w:hyperlink>
          </w:p>
        </w:tc>
        <w:tc>
          <w:tcPr>
            <w:tcW w:w="9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40">
              <w:r>
                <w:rPr>
                  <w:rFonts w:ascii="Arial" w:cs="Arial" w:eastAsia="Arial" w:hAnsi="Arial"/>
                  <w:sz w:val="18"/>
                  <w:szCs w:val="18"/>
                  <w:color w:val="0000EE"/>
                  <w:w w:val="89"/>
                </w:rPr>
                <w:t>Rule 13a</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 and 15d</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w:t>
              </w:r>
            </w:hyperlink>
          </w:p>
        </w:tc>
        <w:tc>
          <w:tcPr>
            <w:tcW w:w="412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320" w:type="dxa"/>
            <w:vAlign w:val="bottom"/>
            <w:gridSpan w:val="17"/>
          </w:tcPr>
          <w:p>
            <w:pPr>
              <w:spacing w:after="0"/>
              <w:rPr>
                <w:rFonts w:ascii="Arial" w:cs="Arial" w:eastAsia="Arial" w:hAnsi="Arial"/>
                <w:sz w:val="18"/>
                <w:szCs w:val="18"/>
                <w:color w:val="0000EE"/>
              </w:rPr>
            </w:pPr>
            <w:hyperlink w:anchor="page241">
              <w:r>
                <w:rPr>
                  <w:rFonts w:ascii="Arial" w:cs="Arial" w:eastAsia="Arial" w:hAnsi="Arial"/>
                  <w:sz w:val="18"/>
                  <w:szCs w:val="18"/>
                  <w:color w:val="0000EE"/>
                </w:rPr>
                <w:t>Certification of Principal Financial Officer under Securities Exchange Act</w:t>
              </w:r>
            </w:hyperlink>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41">
              <w:r>
                <w:rPr>
                  <w:rFonts w:ascii="Arial" w:cs="Arial" w:eastAsia="Arial" w:hAnsi="Arial"/>
                  <w:sz w:val="18"/>
                  <w:szCs w:val="18"/>
                  <w:color w:val="0000EE"/>
                  <w:w w:val="89"/>
                </w:rPr>
                <w:t>Rule 13a</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 and 15d</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w:t>
              </w:r>
            </w:hyperlink>
          </w:p>
        </w:tc>
        <w:tc>
          <w:tcPr>
            <w:tcW w:w="3140" w:type="dxa"/>
            <w:vAlign w:val="bottom"/>
            <w:tcBorders>
              <w:top w:val="single" w:sz="8" w:color="0000EE"/>
            </w:tcBorders>
            <w:gridSpan w:val="6"/>
          </w:tcPr>
          <w:p>
            <w:pPr>
              <w:spacing w:after="0"/>
              <w:rPr>
                <w:sz w:val="17"/>
                <w:szCs w:val="17"/>
                <w:color w:val="auto"/>
              </w:rPr>
            </w:pPr>
          </w:p>
        </w:tc>
        <w:tc>
          <w:tcPr>
            <w:tcW w:w="98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614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42">
              <w:r>
                <w:rPr>
                  <w:rFonts w:ascii="Arial" w:cs="Arial" w:eastAsia="Arial" w:hAnsi="Arial"/>
                  <w:sz w:val="18"/>
                  <w:szCs w:val="18"/>
                  <w:color w:val="0000EE"/>
                  <w:w w:val="92"/>
                </w:rPr>
                <w:t>Certifications of Principal Executive Officer and Principal Financial Officer pursuant</w:t>
              </w:r>
            </w:hyperlink>
          </w:p>
        </w:tc>
        <w:tc>
          <w:tcPr>
            <w:tcW w:w="18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17"/>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to 18 U.S.C. 1350 and Securities Exchange Act Rule 13a</w:t>
              </w:r>
              <w:r>
                <w:rPr>
                  <w:rFonts w:ascii="MS PGothic" w:cs="MS PGothic" w:eastAsia="MS PGothic" w:hAnsi="MS PGothic"/>
                  <w:sz w:val="18"/>
                  <w:szCs w:val="18"/>
                  <w:color w:val="0000EE"/>
                </w:rPr>
                <w:t>‑</w:t>
              </w:r>
              <w:r>
                <w:rPr>
                  <w:rFonts w:ascii="Arial" w:cs="Arial" w:eastAsia="Arial" w:hAnsi="Arial"/>
                  <w:sz w:val="18"/>
                  <w:szCs w:val="18"/>
                  <w:color w:val="0000EE"/>
                </w:rPr>
                <w:t>14(b).</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0" w:type="dxa"/>
            <w:vAlign w:val="bottom"/>
            <w:gridSpan w:val="9"/>
            <w:shd w:val="clear" w:color="auto" w:fill="0000EE"/>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320" w:type="dxa"/>
            <w:vAlign w:val="bottom"/>
            <w:gridSpan w:val="17"/>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gridSpan w:val="17"/>
          </w:tcPr>
          <w:p>
            <w:pPr>
              <w:spacing w:after="0"/>
              <w:rPr>
                <w:sz w:val="20"/>
                <w:szCs w:val="20"/>
                <w:color w:val="auto"/>
              </w:rPr>
            </w:pPr>
            <w:r>
              <w:rPr>
                <w:rFonts w:ascii="Arial" w:cs="Arial" w:eastAsia="Arial" w:hAnsi="Arial"/>
                <w:sz w:val="18"/>
                <w:szCs w:val="18"/>
                <w:color w:val="auto"/>
              </w:rPr>
              <w:t>Interactive Data File because XBRL tags are embedded within the Inline XBRL</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32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90"/>
              </w:rPr>
              <w:t>101.SCH</w:t>
            </w:r>
          </w:p>
        </w:tc>
        <w:tc>
          <w:tcPr>
            <w:tcW w:w="63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3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7"/>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92"/>
              </w:rPr>
              <w:t>101.DEF</w:t>
            </w:r>
          </w:p>
        </w:tc>
        <w:tc>
          <w:tcPr>
            <w:tcW w:w="63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3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32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6"/>
              </w:rPr>
              <w:t>104</w:t>
            </w:r>
          </w:p>
        </w:tc>
        <w:tc>
          <w:tcPr>
            <w:tcW w:w="632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00" w:right="80" w:hanging="492"/>
        <w:spacing w:after="0" w:line="305" w:lineRule="auto"/>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3600" w:type="dxa"/>
            <w:vAlign w:val="bottom"/>
            <w:gridSpan w:val="2"/>
          </w:tcPr>
          <w:p>
            <w:pPr>
              <w:ind w:left="2040"/>
              <w:spacing w:after="0"/>
              <w:rPr>
                <w:sz w:val="20"/>
                <w:szCs w:val="20"/>
                <w:color w:val="auto"/>
              </w:rPr>
            </w:pPr>
            <w:r>
              <w:rPr>
                <w:rFonts w:ascii="Arial" w:cs="Arial" w:eastAsia="Arial" w:hAnsi="Arial"/>
                <w:sz w:val="18"/>
                <w:szCs w:val="18"/>
                <w:color w:val="auto"/>
                <w:w w:val="93"/>
              </w:rPr>
              <w:t>Corsair Gaming, Inc.</w:t>
            </w:r>
          </w:p>
        </w:tc>
        <w:tc>
          <w:tcPr>
            <w:tcW w:w="3980" w:type="dxa"/>
            <w:vAlign w:val="bottom"/>
          </w:tcPr>
          <w:p>
            <w:pPr>
              <w:spacing w:after="0"/>
              <w:rPr>
                <w:sz w:val="20"/>
                <w:szCs w:val="20"/>
                <w:color w:val="auto"/>
              </w:rPr>
            </w:pPr>
          </w:p>
        </w:tc>
      </w:tr>
      <w:tr>
        <w:trPr>
          <w:trHeight w:val="675"/>
        </w:trPr>
        <w:tc>
          <w:tcPr>
            <w:tcW w:w="3660" w:type="dxa"/>
            <w:vAlign w:val="bottom"/>
          </w:tcPr>
          <w:p>
            <w:pPr>
              <w:spacing w:after="0"/>
              <w:rPr>
                <w:sz w:val="20"/>
                <w:szCs w:val="20"/>
                <w:color w:val="auto"/>
              </w:rPr>
            </w:pPr>
            <w:r>
              <w:rPr>
                <w:rFonts w:ascii="Arial" w:cs="Arial" w:eastAsia="Arial" w:hAnsi="Arial"/>
                <w:sz w:val="18"/>
                <w:szCs w:val="18"/>
                <w:color w:val="auto"/>
              </w:rPr>
              <w:t>Date: November 2, 2021</w:t>
            </w:r>
          </w:p>
        </w:tc>
        <w:tc>
          <w:tcPr>
            <w:tcW w:w="3600" w:type="dxa"/>
            <w:vAlign w:val="bottom"/>
            <w:gridSpan w:val="2"/>
          </w:tcPr>
          <w:p>
            <w:pPr>
              <w:ind w:left="20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92"/>
              </w:rPr>
              <w:t>Michael G. Potter</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2"/>
              </w:rPr>
              <w:t>Chief Financial Officer, Treasurer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91"/>
        </w:trPr>
        <w:tc>
          <w:tcPr>
            <w:tcW w:w="3660" w:type="dxa"/>
            <w:vAlign w:val="bottom"/>
          </w:tcPr>
          <w:p>
            <w:pPr>
              <w:spacing w:after="0"/>
              <w:rPr>
                <w:sz w:val="20"/>
                <w:szCs w:val="20"/>
                <w:color w:val="auto"/>
              </w:rPr>
            </w:pPr>
            <w:r>
              <w:rPr>
                <w:rFonts w:ascii="Arial" w:cs="Arial" w:eastAsia="Arial" w:hAnsi="Arial"/>
                <w:sz w:val="18"/>
                <w:szCs w:val="18"/>
                <w:color w:val="auto"/>
              </w:rPr>
              <w:t>Date: November 2, 2021</w:t>
            </w:r>
          </w:p>
        </w:tc>
        <w:tc>
          <w:tcPr>
            <w:tcW w:w="3600" w:type="dxa"/>
            <w:vAlign w:val="bottom"/>
            <w:gridSpan w:val="2"/>
          </w:tcPr>
          <w:p>
            <w:pPr>
              <w:ind w:left="20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4"/>
              </w:rPr>
              <w:t>/s/ Gregg A. Lakritz</w:t>
            </w:r>
          </w:p>
        </w:tc>
      </w:tr>
      <w:tr>
        <w:trPr>
          <w:trHeight w:val="209"/>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Gregg A. Lakritz</w:t>
            </w:r>
          </w:p>
        </w:tc>
      </w:tr>
      <w:tr>
        <w:trPr>
          <w:trHeight w:val="229"/>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1"/>
              </w:rPr>
              <w:t>Vice President, Corporate Controller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675"/>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color w:val="auto"/>
              </w:rPr>
              <w:t>70</w:t>
            </w: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11430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CREDIT AGREEMENT</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September 3, 2021</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CORSAIR GAMING, INC.</w:t>
      </w:r>
      <w:r>
        <w:rPr>
          <w:rFonts w:ascii="Arial" w:cs="Arial" w:eastAsia="Arial" w:hAnsi="Arial"/>
          <w:sz w:val="20"/>
          <w:szCs w:val="20"/>
          <w:color w:val="auto"/>
        </w:rPr>
        <w:t>,</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the Borrower,</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THE SUBSIDIARIES OF THE BORROWER PARTY HERETO</w:t>
      </w:r>
      <w:r>
        <w:rPr>
          <w:rFonts w:ascii="Arial" w:cs="Arial" w:eastAsia="Arial" w:hAnsi="Arial"/>
          <w:sz w:val="19"/>
          <w:szCs w:val="19"/>
          <w:color w:val="auto"/>
        </w:rPr>
        <w:t>,</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the Guarantors,</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 Swingline Lender and</w:t>
      </w:r>
    </w:p>
    <w:p>
      <w:pPr>
        <w:jc w:val="center"/>
        <w:ind w:right="1120"/>
        <w:spacing w:after="0"/>
        <w:rPr>
          <w:sz w:val="20"/>
          <w:szCs w:val="20"/>
          <w:color w:val="auto"/>
        </w:rPr>
      </w:pPr>
      <w:r>
        <w:rPr>
          <w:rFonts w:ascii="Arial" w:cs="Arial" w:eastAsia="Arial" w:hAnsi="Arial"/>
          <w:sz w:val="20"/>
          <w:szCs w:val="20"/>
          <w:color w:val="auto"/>
        </w:rPr>
        <w:t>L/C Issuer,</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THE LENDERS PARTY HERETO</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BOFA SECURITIES, INC.,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1290320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0"/>
        </w:trPr>
        <w:tc>
          <w:tcPr>
            <w:tcW w:w="1360" w:type="dxa"/>
            <w:vAlign w:val="bottom"/>
          </w:tcPr>
          <w:p>
            <w:pPr>
              <w:spacing w:after="0"/>
              <w:rPr>
                <w:sz w:val="21"/>
                <w:szCs w:val="21"/>
                <w:color w:val="auto"/>
              </w:rPr>
            </w:pPr>
          </w:p>
        </w:tc>
        <w:tc>
          <w:tcPr>
            <w:tcW w:w="8940" w:type="dxa"/>
            <w:vAlign w:val="bottom"/>
          </w:tcPr>
          <w:p>
            <w:pPr>
              <w:ind w:left="3260"/>
              <w:spacing w:after="0"/>
              <w:rPr>
                <w:sz w:val="20"/>
                <w:szCs w:val="20"/>
                <w:color w:val="auto"/>
              </w:rPr>
            </w:pPr>
            <w:r>
              <w:rPr>
                <w:rFonts w:ascii="Arial" w:cs="Arial" w:eastAsia="Arial" w:hAnsi="Arial"/>
                <w:sz w:val="20"/>
                <w:szCs w:val="20"/>
                <w:color w:val="auto"/>
              </w:rPr>
              <w:t>TABLE OF CONTENTS</w:t>
            </w:r>
          </w:p>
        </w:tc>
        <w:tc>
          <w:tcPr>
            <w:tcW w:w="380" w:type="dxa"/>
            <w:vAlign w:val="bottom"/>
          </w:tcPr>
          <w:p>
            <w:pPr>
              <w:spacing w:after="0"/>
              <w:rPr>
                <w:sz w:val="21"/>
                <w:szCs w:val="21"/>
                <w:color w:val="auto"/>
              </w:rPr>
            </w:pPr>
          </w:p>
        </w:tc>
      </w:tr>
      <w:tr>
        <w:trPr>
          <w:trHeight w:val="198"/>
        </w:trPr>
        <w:tc>
          <w:tcPr>
            <w:tcW w:w="136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9"/>
                <w:szCs w:val="19"/>
                <w:i w:val="1"/>
                <w:iCs w:val="1"/>
                <w:color w:val="auto"/>
                <w:w w:val="81"/>
              </w:rPr>
              <w:t>Page</w:t>
            </w:r>
          </w:p>
        </w:tc>
      </w:tr>
      <w:tr>
        <w:trPr>
          <w:trHeight w:val="265"/>
        </w:trPr>
        <w:tc>
          <w:tcPr>
            <w:tcW w:w="10300" w:type="dxa"/>
            <w:vAlign w:val="bottom"/>
            <w:gridSpan w:val="2"/>
          </w:tcPr>
          <w:p>
            <w:pPr>
              <w:spacing w:after="0"/>
              <w:rPr>
                <w:sz w:val="20"/>
                <w:szCs w:val="20"/>
                <w:color w:val="auto"/>
              </w:rPr>
            </w:pPr>
            <w:r>
              <w:rPr>
                <w:rFonts w:ascii="Arial" w:cs="Arial" w:eastAsia="Arial" w:hAnsi="Arial"/>
                <w:sz w:val="19"/>
                <w:szCs w:val="19"/>
                <w:color w:val="auto"/>
              </w:rPr>
              <w:t>ARTICLE I DEFINITIONS AND ACCOUNTING TERMS</w:t>
            </w:r>
          </w:p>
        </w:tc>
        <w:tc>
          <w:tcPr>
            <w:tcW w:w="3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1.01</w:t>
            </w:r>
          </w:p>
        </w:tc>
        <w:tc>
          <w:tcPr>
            <w:tcW w:w="8940" w:type="dxa"/>
            <w:vAlign w:val="bottom"/>
          </w:tcPr>
          <w:p>
            <w:pPr>
              <w:ind w:left="240"/>
              <w:spacing w:after="0"/>
              <w:rPr>
                <w:sz w:val="20"/>
                <w:szCs w:val="20"/>
                <w:color w:val="auto"/>
              </w:rPr>
            </w:pPr>
            <w:r>
              <w:rPr>
                <w:rFonts w:ascii="Arial" w:cs="Arial" w:eastAsia="Arial" w:hAnsi="Arial"/>
                <w:sz w:val="19"/>
                <w:szCs w:val="19"/>
                <w:color w:val="auto"/>
              </w:rPr>
              <w:t>Defined Terms.</w:t>
            </w:r>
          </w:p>
        </w:tc>
        <w:tc>
          <w:tcPr>
            <w:tcW w:w="3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1.02</w:t>
            </w:r>
          </w:p>
        </w:tc>
        <w:tc>
          <w:tcPr>
            <w:tcW w:w="8940" w:type="dxa"/>
            <w:vAlign w:val="bottom"/>
          </w:tcPr>
          <w:p>
            <w:pPr>
              <w:ind w:left="240"/>
              <w:spacing w:after="0"/>
              <w:rPr>
                <w:sz w:val="20"/>
                <w:szCs w:val="20"/>
                <w:color w:val="auto"/>
              </w:rPr>
            </w:pPr>
            <w:r>
              <w:rPr>
                <w:rFonts w:ascii="Arial" w:cs="Arial" w:eastAsia="Arial" w:hAnsi="Arial"/>
                <w:sz w:val="19"/>
                <w:szCs w:val="19"/>
                <w:color w:val="auto"/>
              </w:rPr>
              <w:t>Other Interpretive Provisions</w:t>
            </w:r>
          </w:p>
        </w:tc>
        <w:tc>
          <w:tcPr>
            <w:tcW w:w="38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1.03</w:t>
            </w:r>
          </w:p>
        </w:tc>
        <w:tc>
          <w:tcPr>
            <w:tcW w:w="8940" w:type="dxa"/>
            <w:vAlign w:val="bottom"/>
          </w:tcPr>
          <w:p>
            <w:pPr>
              <w:ind w:left="240"/>
              <w:spacing w:after="0"/>
              <w:rPr>
                <w:sz w:val="20"/>
                <w:szCs w:val="20"/>
                <w:color w:val="auto"/>
              </w:rPr>
            </w:pPr>
            <w:r>
              <w:rPr>
                <w:rFonts w:ascii="Arial" w:cs="Arial" w:eastAsia="Arial" w:hAnsi="Arial"/>
                <w:sz w:val="19"/>
                <w:szCs w:val="19"/>
                <w:color w:val="auto"/>
              </w:rPr>
              <w:t>Accounting Terms.</w:t>
            </w:r>
          </w:p>
        </w:tc>
        <w:tc>
          <w:tcPr>
            <w:tcW w:w="38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1.04</w:t>
            </w:r>
          </w:p>
        </w:tc>
        <w:tc>
          <w:tcPr>
            <w:tcW w:w="8940" w:type="dxa"/>
            <w:vAlign w:val="bottom"/>
          </w:tcPr>
          <w:p>
            <w:pPr>
              <w:ind w:left="240"/>
              <w:spacing w:after="0"/>
              <w:rPr>
                <w:sz w:val="20"/>
                <w:szCs w:val="20"/>
                <w:color w:val="auto"/>
              </w:rPr>
            </w:pPr>
            <w:r>
              <w:rPr>
                <w:rFonts w:ascii="Arial" w:cs="Arial" w:eastAsia="Arial" w:hAnsi="Arial"/>
                <w:sz w:val="19"/>
                <w:szCs w:val="19"/>
                <w:color w:val="auto"/>
              </w:rPr>
              <w:t>Rounding.</w:t>
            </w:r>
          </w:p>
        </w:tc>
        <w:tc>
          <w:tcPr>
            <w:tcW w:w="38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1.05</w:t>
            </w:r>
          </w:p>
        </w:tc>
        <w:tc>
          <w:tcPr>
            <w:tcW w:w="8940" w:type="dxa"/>
            <w:vAlign w:val="bottom"/>
          </w:tcPr>
          <w:p>
            <w:pPr>
              <w:ind w:left="240"/>
              <w:spacing w:after="0"/>
              <w:rPr>
                <w:sz w:val="20"/>
                <w:szCs w:val="20"/>
                <w:color w:val="auto"/>
              </w:rPr>
            </w:pPr>
            <w:r>
              <w:rPr>
                <w:rFonts w:ascii="Arial" w:cs="Arial" w:eastAsia="Arial" w:hAnsi="Arial"/>
                <w:sz w:val="19"/>
                <w:szCs w:val="19"/>
                <w:color w:val="auto"/>
              </w:rPr>
              <w:t>Times of Day.</w:t>
            </w:r>
          </w:p>
        </w:tc>
        <w:tc>
          <w:tcPr>
            <w:tcW w:w="38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1.06</w:t>
            </w:r>
          </w:p>
        </w:tc>
        <w:tc>
          <w:tcPr>
            <w:tcW w:w="8940" w:type="dxa"/>
            <w:vAlign w:val="bottom"/>
          </w:tcPr>
          <w:p>
            <w:pPr>
              <w:ind w:left="240"/>
              <w:spacing w:after="0"/>
              <w:rPr>
                <w:sz w:val="20"/>
                <w:szCs w:val="20"/>
                <w:color w:val="auto"/>
              </w:rPr>
            </w:pPr>
            <w:r>
              <w:rPr>
                <w:rFonts w:ascii="Arial" w:cs="Arial" w:eastAsia="Arial" w:hAnsi="Arial"/>
                <w:sz w:val="19"/>
                <w:szCs w:val="19"/>
                <w:color w:val="auto"/>
              </w:rPr>
              <w:t>Letter of Credit Amounts.</w:t>
            </w:r>
          </w:p>
        </w:tc>
        <w:tc>
          <w:tcPr>
            <w:tcW w:w="3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1.07</w:t>
            </w:r>
          </w:p>
        </w:tc>
        <w:tc>
          <w:tcPr>
            <w:tcW w:w="8940" w:type="dxa"/>
            <w:vAlign w:val="bottom"/>
          </w:tcPr>
          <w:p>
            <w:pPr>
              <w:ind w:left="240"/>
              <w:spacing w:after="0"/>
              <w:rPr>
                <w:sz w:val="20"/>
                <w:szCs w:val="20"/>
                <w:color w:val="auto"/>
              </w:rPr>
            </w:pPr>
            <w:r>
              <w:rPr>
                <w:rFonts w:ascii="Arial" w:cs="Arial" w:eastAsia="Arial" w:hAnsi="Arial"/>
                <w:sz w:val="19"/>
                <w:szCs w:val="19"/>
                <w:color w:val="auto"/>
              </w:rPr>
              <w:t>UCC Terms.</w:t>
            </w:r>
          </w:p>
        </w:tc>
        <w:tc>
          <w:tcPr>
            <w:tcW w:w="3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1.08</w:t>
            </w:r>
          </w:p>
        </w:tc>
        <w:tc>
          <w:tcPr>
            <w:tcW w:w="8940" w:type="dxa"/>
            <w:vAlign w:val="bottom"/>
          </w:tcPr>
          <w:p>
            <w:pPr>
              <w:ind w:left="240"/>
              <w:spacing w:after="0"/>
              <w:rPr>
                <w:sz w:val="20"/>
                <w:szCs w:val="20"/>
                <w:color w:val="auto"/>
              </w:rPr>
            </w:pPr>
            <w:r>
              <w:rPr>
                <w:rFonts w:ascii="Arial" w:cs="Arial" w:eastAsia="Arial" w:hAnsi="Arial"/>
                <w:sz w:val="19"/>
                <w:szCs w:val="19"/>
                <w:color w:val="auto"/>
              </w:rPr>
              <w:t>Rates.</w:t>
            </w:r>
          </w:p>
        </w:tc>
        <w:tc>
          <w:tcPr>
            <w:tcW w:w="3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3"/>
        </w:trPr>
        <w:tc>
          <w:tcPr>
            <w:tcW w:w="10300" w:type="dxa"/>
            <w:vAlign w:val="bottom"/>
            <w:gridSpan w:val="2"/>
          </w:tcPr>
          <w:p>
            <w:pPr>
              <w:spacing w:after="0"/>
              <w:rPr>
                <w:sz w:val="20"/>
                <w:szCs w:val="20"/>
                <w:color w:val="auto"/>
              </w:rPr>
            </w:pPr>
            <w:r>
              <w:rPr>
                <w:rFonts w:ascii="Arial" w:cs="Arial" w:eastAsia="Arial" w:hAnsi="Arial"/>
                <w:sz w:val="19"/>
                <w:szCs w:val="19"/>
                <w:color w:val="auto"/>
              </w:rPr>
              <w:t>ARTICLE II COMMITMENTS AND CREDIT EXTENSIONS</w:t>
            </w:r>
          </w:p>
        </w:tc>
        <w:tc>
          <w:tcPr>
            <w:tcW w:w="3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2.01</w:t>
            </w:r>
          </w:p>
        </w:tc>
        <w:tc>
          <w:tcPr>
            <w:tcW w:w="8940" w:type="dxa"/>
            <w:vAlign w:val="bottom"/>
          </w:tcPr>
          <w:p>
            <w:pPr>
              <w:ind w:left="240"/>
              <w:spacing w:after="0"/>
              <w:rPr>
                <w:sz w:val="20"/>
                <w:szCs w:val="20"/>
                <w:color w:val="auto"/>
              </w:rPr>
            </w:pPr>
            <w:r>
              <w:rPr>
                <w:rFonts w:ascii="Arial" w:cs="Arial" w:eastAsia="Arial" w:hAnsi="Arial"/>
                <w:sz w:val="19"/>
                <w:szCs w:val="19"/>
                <w:color w:val="auto"/>
              </w:rPr>
              <w:t>Loans.</w:t>
            </w:r>
          </w:p>
        </w:tc>
        <w:tc>
          <w:tcPr>
            <w:tcW w:w="3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2.02</w:t>
            </w:r>
          </w:p>
        </w:tc>
        <w:tc>
          <w:tcPr>
            <w:tcW w:w="8940" w:type="dxa"/>
            <w:vAlign w:val="bottom"/>
          </w:tcPr>
          <w:p>
            <w:pPr>
              <w:ind w:left="240"/>
              <w:spacing w:after="0"/>
              <w:rPr>
                <w:sz w:val="20"/>
                <w:szCs w:val="20"/>
                <w:color w:val="auto"/>
              </w:rPr>
            </w:pPr>
            <w:r>
              <w:rPr>
                <w:rFonts w:ascii="Arial" w:cs="Arial" w:eastAsia="Arial" w:hAnsi="Arial"/>
                <w:sz w:val="19"/>
                <w:szCs w:val="19"/>
                <w:color w:val="auto"/>
              </w:rPr>
              <w:t>Borrowings, Conversions and Continuations of Loans.</w:t>
            </w:r>
          </w:p>
        </w:tc>
        <w:tc>
          <w:tcPr>
            <w:tcW w:w="38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2.03</w:t>
            </w:r>
          </w:p>
        </w:tc>
        <w:tc>
          <w:tcPr>
            <w:tcW w:w="8940" w:type="dxa"/>
            <w:vAlign w:val="bottom"/>
          </w:tcPr>
          <w:p>
            <w:pPr>
              <w:ind w:left="240"/>
              <w:spacing w:after="0"/>
              <w:rPr>
                <w:sz w:val="20"/>
                <w:szCs w:val="20"/>
                <w:color w:val="auto"/>
              </w:rPr>
            </w:pPr>
            <w:r>
              <w:rPr>
                <w:rFonts w:ascii="Arial" w:cs="Arial" w:eastAsia="Arial" w:hAnsi="Arial"/>
                <w:sz w:val="19"/>
                <w:szCs w:val="19"/>
                <w:color w:val="auto"/>
              </w:rPr>
              <w:t>Letters of Credit.</w:t>
            </w:r>
          </w:p>
        </w:tc>
        <w:tc>
          <w:tcPr>
            <w:tcW w:w="38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2.04</w:t>
            </w:r>
          </w:p>
        </w:tc>
        <w:tc>
          <w:tcPr>
            <w:tcW w:w="8940" w:type="dxa"/>
            <w:vAlign w:val="bottom"/>
          </w:tcPr>
          <w:p>
            <w:pPr>
              <w:ind w:left="240"/>
              <w:spacing w:after="0"/>
              <w:rPr>
                <w:sz w:val="20"/>
                <w:szCs w:val="20"/>
                <w:color w:val="auto"/>
              </w:rPr>
            </w:pPr>
            <w:r>
              <w:rPr>
                <w:rFonts w:ascii="Arial" w:cs="Arial" w:eastAsia="Arial" w:hAnsi="Arial"/>
                <w:sz w:val="19"/>
                <w:szCs w:val="19"/>
                <w:color w:val="auto"/>
              </w:rPr>
              <w:t>Swingline Loans.</w:t>
            </w:r>
          </w:p>
        </w:tc>
        <w:tc>
          <w:tcPr>
            <w:tcW w:w="38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2.05</w:t>
            </w:r>
          </w:p>
        </w:tc>
        <w:tc>
          <w:tcPr>
            <w:tcW w:w="8940" w:type="dxa"/>
            <w:vAlign w:val="bottom"/>
          </w:tcPr>
          <w:p>
            <w:pPr>
              <w:ind w:left="240"/>
              <w:spacing w:after="0"/>
              <w:rPr>
                <w:sz w:val="20"/>
                <w:szCs w:val="20"/>
                <w:color w:val="auto"/>
              </w:rPr>
            </w:pPr>
            <w:r>
              <w:rPr>
                <w:rFonts w:ascii="Arial" w:cs="Arial" w:eastAsia="Arial" w:hAnsi="Arial"/>
                <w:sz w:val="19"/>
                <w:szCs w:val="19"/>
                <w:color w:val="auto"/>
              </w:rPr>
              <w:t>Prepayments.</w:t>
            </w:r>
          </w:p>
        </w:tc>
        <w:tc>
          <w:tcPr>
            <w:tcW w:w="38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2.06</w:t>
            </w:r>
          </w:p>
        </w:tc>
        <w:tc>
          <w:tcPr>
            <w:tcW w:w="8940" w:type="dxa"/>
            <w:vAlign w:val="bottom"/>
          </w:tcPr>
          <w:p>
            <w:pPr>
              <w:ind w:left="240"/>
              <w:spacing w:after="0"/>
              <w:rPr>
                <w:sz w:val="20"/>
                <w:szCs w:val="20"/>
                <w:color w:val="auto"/>
              </w:rPr>
            </w:pPr>
            <w:r>
              <w:rPr>
                <w:rFonts w:ascii="Arial" w:cs="Arial" w:eastAsia="Arial" w:hAnsi="Arial"/>
                <w:sz w:val="19"/>
                <w:szCs w:val="19"/>
                <w:color w:val="auto"/>
              </w:rPr>
              <w:t>Termination or Reduction of Commitments.</w:t>
            </w:r>
          </w:p>
        </w:tc>
        <w:tc>
          <w:tcPr>
            <w:tcW w:w="38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2.07</w:t>
            </w:r>
          </w:p>
        </w:tc>
        <w:tc>
          <w:tcPr>
            <w:tcW w:w="8940" w:type="dxa"/>
            <w:vAlign w:val="bottom"/>
          </w:tcPr>
          <w:p>
            <w:pPr>
              <w:ind w:left="240"/>
              <w:spacing w:after="0"/>
              <w:rPr>
                <w:sz w:val="20"/>
                <w:szCs w:val="20"/>
                <w:color w:val="auto"/>
              </w:rPr>
            </w:pPr>
            <w:r>
              <w:rPr>
                <w:rFonts w:ascii="Arial" w:cs="Arial" w:eastAsia="Arial" w:hAnsi="Arial"/>
                <w:sz w:val="19"/>
                <w:szCs w:val="19"/>
                <w:color w:val="auto"/>
              </w:rPr>
              <w:t>Repayment of Loans</w:t>
            </w:r>
          </w:p>
        </w:tc>
        <w:tc>
          <w:tcPr>
            <w:tcW w:w="38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2.08</w:t>
            </w:r>
          </w:p>
        </w:tc>
        <w:tc>
          <w:tcPr>
            <w:tcW w:w="8940" w:type="dxa"/>
            <w:vAlign w:val="bottom"/>
          </w:tcPr>
          <w:p>
            <w:pPr>
              <w:ind w:left="240"/>
              <w:spacing w:after="0"/>
              <w:rPr>
                <w:sz w:val="20"/>
                <w:szCs w:val="20"/>
                <w:color w:val="auto"/>
              </w:rPr>
            </w:pPr>
            <w:r>
              <w:rPr>
                <w:rFonts w:ascii="Arial" w:cs="Arial" w:eastAsia="Arial" w:hAnsi="Arial"/>
                <w:sz w:val="19"/>
                <w:szCs w:val="19"/>
                <w:color w:val="auto"/>
              </w:rPr>
              <w:t>Interest and Default Rate.</w:t>
            </w:r>
          </w:p>
        </w:tc>
        <w:tc>
          <w:tcPr>
            <w:tcW w:w="38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2.09</w:t>
            </w:r>
          </w:p>
        </w:tc>
        <w:tc>
          <w:tcPr>
            <w:tcW w:w="8940" w:type="dxa"/>
            <w:vAlign w:val="bottom"/>
          </w:tcPr>
          <w:p>
            <w:pPr>
              <w:ind w:left="240"/>
              <w:spacing w:after="0"/>
              <w:rPr>
                <w:sz w:val="20"/>
                <w:szCs w:val="20"/>
                <w:color w:val="auto"/>
              </w:rPr>
            </w:pPr>
            <w:r>
              <w:rPr>
                <w:rFonts w:ascii="Arial" w:cs="Arial" w:eastAsia="Arial" w:hAnsi="Arial"/>
                <w:sz w:val="19"/>
                <w:szCs w:val="19"/>
                <w:color w:val="auto"/>
              </w:rPr>
              <w:t>Fees.</w:t>
            </w:r>
          </w:p>
        </w:tc>
        <w:tc>
          <w:tcPr>
            <w:tcW w:w="38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2.10</w:t>
            </w:r>
          </w:p>
        </w:tc>
        <w:tc>
          <w:tcPr>
            <w:tcW w:w="8940" w:type="dxa"/>
            <w:vAlign w:val="bottom"/>
          </w:tcPr>
          <w:p>
            <w:pPr>
              <w:ind w:left="240"/>
              <w:spacing w:after="0"/>
              <w:rPr>
                <w:sz w:val="20"/>
                <w:szCs w:val="20"/>
                <w:color w:val="auto"/>
              </w:rPr>
            </w:pPr>
            <w:r>
              <w:rPr>
                <w:rFonts w:ascii="Arial" w:cs="Arial" w:eastAsia="Arial" w:hAnsi="Arial"/>
                <w:sz w:val="19"/>
                <w:szCs w:val="19"/>
                <w:color w:val="auto"/>
              </w:rPr>
              <w:t>Computation of Interest and Fees; Retroactive Adjustments of Applicable Rate.</w:t>
            </w:r>
          </w:p>
        </w:tc>
        <w:tc>
          <w:tcPr>
            <w:tcW w:w="38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43"/>
        </w:trPr>
        <w:tc>
          <w:tcPr>
            <w:tcW w:w="1360" w:type="dxa"/>
            <w:vAlign w:val="bottom"/>
          </w:tcPr>
          <w:p>
            <w:pPr>
              <w:jc w:val="right"/>
              <w:ind w:right="145"/>
              <w:spacing w:after="0"/>
              <w:rPr>
                <w:sz w:val="20"/>
                <w:szCs w:val="20"/>
                <w:color w:val="auto"/>
              </w:rPr>
            </w:pPr>
            <w:r>
              <w:rPr>
                <w:rFonts w:ascii="Arial" w:cs="Arial" w:eastAsia="Arial" w:hAnsi="Arial"/>
                <w:sz w:val="19"/>
                <w:szCs w:val="19"/>
                <w:color w:val="auto"/>
              </w:rPr>
              <w:t>2.11</w:t>
            </w:r>
          </w:p>
        </w:tc>
        <w:tc>
          <w:tcPr>
            <w:tcW w:w="8940" w:type="dxa"/>
            <w:vAlign w:val="bottom"/>
          </w:tcPr>
          <w:p>
            <w:pPr>
              <w:ind w:left="240"/>
              <w:spacing w:after="0"/>
              <w:rPr>
                <w:sz w:val="20"/>
                <w:szCs w:val="20"/>
                <w:color w:val="auto"/>
              </w:rPr>
            </w:pPr>
            <w:r>
              <w:rPr>
                <w:rFonts w:ascii="Arial" w:cs="Arial" w:eastAsia="Arial" w:hAnsi="Arial"/>
                <w:sz w:val="19"/>
                <w:szCs w:val="19"/>
                <w:color w:val="auto"/>
              </w:rPr>
              <w:t>Evidence of Debt.</w:t>
            </w:r>
          </w:p>
        </w:tc>
        <w:tc>
          <w:tcPr>
            <w:tcW w:w="38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2.12</w:t>
            </w:r>
          </w:p>
        </w:tc>
        <w:tc>
          <w:tcPr>
            <w:tcW w:w="8940" w:type="dxa"/>
            <w:vAlign w:val="bottom"/>
          </w:tcPr>
          <w:p>
            <w:pPr>
              <w:ind w:left="240"/>
              <w:spacing w:after="0"/>
              <w:rPr>
                <w:sz w:val="20"/>
                <w:szCs w:val="20"/>
                <w:color w:val="auto"/>
              </w:rPr>
            </w:pPr>
            <w:r>
              <w:rPr>
                <w:rFonts w:ascii="Arial" w:cs="Arial" w:eastAsia="Arial" w:hAnsi="Arial"/>
                <w:sz w:val="19"/>
                <w:szCs w:val="19"/>
                <w:color w:val="auto"/>
              </w:rPr>
              <w:t>Payments Generally; Administrative Agent’s Clawback.</w:t>
            </w:r>
          </w:p>
        </w:tc>
        <w:tc>
          <w:tcPr>
            <w:tcW w:w="38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2.13</w:t>
            </w:r>
          </w:p>
        </w:tc>
        <w:tc>
          <w:tcPr>
            <w:tcW w:w="8940" w:type="dxa"/>
            <w:vAlign w:val="bottom"/>
          </w:tcPr>
          <w:p>
            <w:pPr>
              <w:ind w:left="240"/>
              <w:spacing w:after="0"/>
              <w:rPr>
                <w:sz w:val="20"/>
                <w:szCs w:val="20"/>
                <w:color w:val="auto"/>
              </w:rPr>
            </w:pPr>
            <w:r>
              <w:rPr>
                <w:rFonts w:ascii="Arial" w:cs="Arial" w:eastAsia="Arial" w:hAnsi="Arial"/>
                <w:sz w:val="19"/>
                <w:szCs w:val="19"/>
                <w:color w:val="auto"/>
              </w:rPr>
              <w:t>Sharing of Payment by Lenders</w:t>
            </w:r>
          </w:p>
        </w:tc>
        <w:tc>
          <w:tcPr>
            <w:tcW w:w="38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2.14</w:t>
            </w:r>
          </w:p>
        </w:tc>
        <w:tc>
          <w:tcPr>
            <w:tcW w:w="8940" w:type="dxa"/>
            <w:vAlign w:val="bottom"/>
          </w:tcPr>
          <w:p>
            <w:pPr>
              <w:ind w:left="240"/>
              <w:spacing w:after="0"/>
              <w:rPr>
                <w:sz w:val="20"/>
                <w:szCs w:val="20"/>
                <w:color w:val="auto"/>
              </w:rPr>
            </w:pPr>
            <w:r>
              <w:rPr>
                <w:rFonts w:ascii="Arial" w:cs="Arial" w:eastAsia="Arial" w:hAnsi="Arial"/>
                <w:sz w:val="19"/>
                <w:szCs w:val="19"/>
                <w:color w:val="auto"/>
              </w:rPr>
              <w:t>Cash Collateral.</w:t>
            </w:r>
          </w:p>
        </w:tc>
        <w:tc>
          <w:tcPr>
            <w:tcW w:w="38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2.15</w:t>
            </w:r>
          </w:p>
        </w:tc>
        <w:tc>
          <w:tcPr>
            <w:tcW w:w="8940" w:type="dxa"/>
            <w:vAlign w:val="bottom"/>
          </w:tcPr>
          <w:p>
            <w:pPr>
              <w:ind w:left="240"/>
              <w:spacing w:after="0"/>
              <w:rPr>
                <w:sz w:val="20"/>
                <w:szCs w:val="20"/>
                <w:color w:val="auto"/>
              </w:rPr>
            </w:pPr>
            <w:r>
              <w:rPr>
                <w:rFonts w:ascii="Arial" w:cs="Arial" w:eastAsia="Arial" w:hAnsi="Arial"/>
                <w:sz w:val="19"/>
                <w:szCs w:val="19"/>
                <w:color w:val="auto"/>
              </w:rPr>
              <w:t>Defaulting Lenders.</w:t>
            </w:r>
          </w:p>
        </w:tc>
        <w:tc>
          <w:tcPr>
            <w:tcW w:w="380" w:type="dxa"/>
            <w:vAlign w:val="bottom"/>
          </w:tcPr>
          <w:p>
            <w:pPr>
              <w:jc w:val="right"/>
              <w:spacing w:after="0"/>
              <w:rPr>
                <w:sz w:val="20"/>
                <w:szCs w:val="20"/>
                <w:color w:val="auto"/>
              </w:rPr>
            </w:pPr>
            <w:r>
              <w:rPr>
                <w:rFonts w:ascii="Arial" w:cs="Arial" w:eastAsia="Arial" w:hAnsi="Arial"/>
                <w:sz w:val="19"/>
                <w:szCs w:val="19"/>
                <w:color w:val="auto"/>
              </w:rPr>
              <w:t>78</w:t>
            </w:r>
          </w:p>
        </w:tc>
      </w:tr>
      <w:tr>
        <w:trPr>
          <w:trHeight w:val="243"/>
        </w:trPr>
        <w:tc>
          <w:tcPr>
            <w:tcW w:w="10300" w:type="dxa"/>
            <w:vAlign w:val="bottom"/>
            <w:gridSpan w:val="2"/>
          </w:tcPr>
          <w:p>
            <w:pPr>
              <w:spacing w:after="0"/>
              <w:rPr>
                <w:sz w:val="20"/>
                <w:szCs w:val="20"/>
                <w:color w:val="auto"/>
              </w:rPr>
            </w:pPr>
            <w:r>
              <w:rPr>
                <w:rFonts w:ascii="Arial" w:cs="Arial" w:eastAsia="Arial" w:hAnsi="Arial"/>
                <w:sz w:val="19"/>
                <w:szCs w:val="19"/>
                <w:color w:val="auto"/>
              </w:rPr>
              <w:t>ARTICLE III TAXES, YIELD PROTECTION AND ILLEGALITY</w:t>
            </w:r>
          </w:p>
        </w:tc>
        <w:tc>
          <w:tcPr>
            <w:tcW w:w="380" w:type="dxa"/>
            <w:vAlign w:val="bottom"/>
          </w:tcPr>
          <w:p>
            <w:pPr>
              <w:jc w:val="right"/>
              <w:spacing w:after="0"/>
              <w:rPr>
                <w:sz w:val="20"/>
                <w:szCs w:val="20"/>
                <w:color w:val="auto"/>
              </w:rPr>
            </w:pPr>
            <w:r>
              <w:rPr>
                <w:rFonts w:ascii="Arial" w:cs="Arial" w:eastAsia="Arial" w:hAnsi="Arial"/>
                <w:sz w:val="19"/>
                <w:szCs w:val="19"/>
                <w:color w:val="auto"/>
              </w:rPr>
              <w:t>80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3.01</w:t>
            </w:r>
          </w:p>
        </w:tc>
        <w:tc>
          <w:tcPr>
            <w:tcW w:w="8940" w:type="dxa"/>
            <w:vAlign w:val="bottom"/>
          </w:tcPr>
          <w:p>
            <w:pPr>
              <w:ind w:left="240"/>
              <w:spacing w:after="0"/>
              <w:rPr>
                <w:sz w:val="20"/>
                <w:szCs w:val="20"/>
                <w:color w:val="auto"/>
              </w:rPr>
            </w:pPr>
            <w:r>
              <w:rPr>
                <w:rFonts w:ascii="Arial" w:cs="Arial" w:eastAsia="Arial" w:hAnsi="Arial"/>
                <w:sz w:val="19"/>
                <w:szCs w:val="19"/>
                <w:color w:val="auto"/>
              </w:rPr>
              <w:t>Taxes.</w:t>
            </w:r>
          </w:p>
        </w:tc>
        <w:tc>
          <w:tcPr>
            <w:tcW w:w="380" w:type="dxa"/>
            <w:vAlign w:val="bottom"/>
          </w:tcPr>
          <w:p>
            <w:pPr>
              <w:jc w:val="right"/>
              <w:spacing w:after="0"/>
              <w:rPr>
                <w:sz w:val="20"/>
                <w:szCs w:val="20"/>
                <w:color w:val="auto"/>
              </w:rPr>
            </w:pPr>
            <w:r>
              <w:rPr>
                <w:rFonts w:ascii="Arial" w:cs="Arial" w:eastAsia="Arial" w:hAnsi="Arial"/>
                <w:sz w:val="19"/>
                <w:szCs w:val="19"/>
                <w:color w:val="auto"/>
              </w:rPr>
              <w:t>80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3.02</w:t>
            </w:r>
          </w:p>
        </w:tc>
        <w:tc>
          <w:tcPr>
            <w:tcW w:w="8940" w:type="dxa"/>
            <w:vAlign w:val="bottom"/>
          </w:tcPr>
          <w:p>
            <w:pPr>
              <w:ind w:left="240"/>
              <w:spacing w:after="0"/>
              <w:rPr>
                <w:sz w:val="20"/>
                <w:szCs w:val="20"/>
                <w:color w:val="auto"/>
              </w:rPr>
            </w:pPr>
            <w:r>
              <w:rPr>
                <w:rFonts w:ascii="Arial" w:cs="Arial" w:eastAsia="Arial" w:hAnsi="Arial"/>
                <w:sz w:val="19"/>
                <w:szCs w:val="19"/>
                <w:color w:val="auto"/>
              </w:rPr>
              <w:t>Illegality.</w:t>
            </w:r>
          </w:p>
        </w:tc>
        <w:tc>
          <w:tcPr>
            <w:tcW w:w="380" w:type="dxa"/>
            <w:vAlign w:val="bottom"/>
          </w:tcPr>
          <w:p>
            <w:pPr>
              <w:jc w:val="right"/>
              <w:spacing w:after="0"/>
              <w:rPr>
                <w:sz w:val="20"/>
                <w:szCs w:val="20"/>
                <w:color w:val="auto"/>
              </w:rPr>
            </w:pPr>
            <w:r>
              <w:rPr>
                <w:rFonts w:ascii="Arial" w:cs="Arial" w:eastAsia="Arial" w:hAnsi="Arial"/>
                <w:sz w:val="19"/>
                <w:szCs w:val="19"/>
                <w:color w:val="auto"/>
              </w:rPr>
              <w:t>84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3.03</w:t>
            </w:r>
          </w:p>
        </w:tc>
        <w:tc>
          <w:tcPr>
            <w:tcW w:w="8940" w:type="dxa"/>
            <w:vAlign w:val="bottom"/>
          </w:tcPr>
          <w:p>
            <w:pPr>
              <w:ind w:left="240"/>
              <w:spacing w:after="0"/>
              <w:rPr>
                <w:sz w:val="20"/>
                <w:szCs w:val="20"/>
                <w:color w:val="auto"/>
              </w:rPr>
            </w:pPr>
            <w:r>
              <w:rPr>
                <w:rFonts w:ascii="Arial" w:cs="Arial" w:eastAsia="Arial" w:hAnsi="Arial"/>
                <w:sz w:val="19"/>
                <w:szCs w:val="19"/>
                <w:color w:val="auto"/>
              </w:rPr>
              <w:t>Inability to Determine Rates.</w:t>
            </w:r>
          </w:p>
        </w:tc>
        <w:tc>
          <w:tcPr>
            <w:tcW w:w="380" w:type="dxa"/>
            <w:vAlign w:val="bottom"/>
          </w:tcPr>
          <w:p>
            <w:pPr>
              <w:jc w:val="right"/>
              <w:spacing w:after="0"/>
              <w:rPr>
                <w:sz w:val="20"/>
                <w:szCs w:val="20"/>
                <w:color w:val="auto"/>
              </w:rPr>
            </w:pPr>
            <w:r>
              <w:rPr>
                <w:rFonts w:ascii="Arial" w:cs="Arial" w:eastAsia="Arial" w:hAnsi="Arial"/>
                <w:sz w:val="19"/>
                <w:szCs w:val="19"/>
                <w:color w:val="auto"/>
              </w:rPr>
              <w:t>84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3.04</w:t>
            </w:r>
          </w:p>
        </w:tc>
        <w:tc>
          <w:tcPr>
            <w:tcW w:w="8940" w:type="dxa"/>
            <w:vAlign w:val="bottom"/>
          </w:tcPr>
          <w:p>
            <w:pPr>
              <w:ind w:left="240"/>
              <w:spacing w:after="0"/>
              <w:rPr>
                <w:sz w:val="20"/>
                <w:szCs w:val="20"/>
                <w:color w:val="auto"/>
              </w:rPr>
            </w:pPr>
            <w:r>
              <w:rPr>
                <w:rFonts w:ascii="Arial" w:cs="Arial" w:eastAsia="Arial" w:hAnsi="Arial"/>
                <w:sz w:val="19"/>
                <w:szCs w:val="19"/>
                <w:color w:val="auto"/>
              </w:rPr>
              <w:t>Increased Costs; Reserves on Eurodollar Rate Loans.</w:t>
            </w:r>
          </w:p>
        </w:tc>
        <w:tc>
          <w:tcPr>
            <w:tcW w:w="380" w:type="dxa"/>
            <w:vAlign w:val="bottom"/>
          </w:tcPr>
          <w:p>
            <w:pPr>
              <w:jc w:val="right"/>
              <w:spacing w:after="0"/>
              <w:rPr>
                <w:sz w:val="20"/>
                <w:szCs w:val="20"/>
                <w:color w:val="auto"/>
              </w:rPr>
            </w:pPr>
            <w:r>
              <w:rPr>
                <w:rFonts w:ascii="Arial" w:cs="Arial" w:eastAsia="Arial" w:hAnsi="Arial"/>
                <w:sz w:val="19"/>
                <w:szCs w:val="19"/>
                <w:color w:val="auto"/>
              </w:rPr>
              <w:t>87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3.05</w:t>
            </w:r>
          </w:p>
        </w:tc>
        <w:tc>
          <w:tcPr>
            <w:tcW w:w="8940" w:type="dxa"/>
            <w:vAlign w:val="bottom"/>
          </w:tcPr>
          <w:p>
            <w:pPr>
              <w:ind w:left="240"/>
              <w:spacing w:after="0"/>
              <w:rPr>
                <w:sz w:val="20"/>
                <w:szCs w:val="20"/>
                <w:color w:val="auto"/>
              </w:rPr>
            </w:pPr>
            <w:r>
              <w:rPr>
                <w:rFonts w:ascii="Arial" w:cs="Arial" w:eastAsia="Arial" w:hAnsi="Arial"/>
                <w:sz w:val="19"/>
                <w:szCs w:val="19"/>
                <w:color w:val="auto"/>
              </w:rPr>
              <w:t>Compensation for Losses.</w:t>
            </w:r>
          </w:p>
        </w:tc>
        <w:tc>
          <w:tcPr>
            <w:tcW w:w="380" w:type="dxa"/>
            <w:vAlign w:val="bottom"/>
          </w:tcPr>
          <w:p>
            <w:pPr>
              <w:jc w:val="right"/>
              <w:spacing w:after="0"/>
              <w:rPr>
                <w:sz w:val="20"/>
                <w:szCs w:val="20"/>
                <w:color w:val="auto"/>
              </w:rPr>
            </w:pPr>
            <w:r>
              <w:rPr>
                <w:rFonts w:ascii="Arial" w:cs="Arial" w:eastAsia="Arial" w:hAnsi="Arial"/>
                <w:sz w:val="19"/>
                <w:szCs w:val="19"/>
                <w:color w:val="auto"/>
              </w:rPr>
              <w:t>88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3.06</w:t>
            </w:r>
          </w:p>
        </w:tc>
        <w:tc>
          <w:tcPr>
            <w:tcW w:w="8940" w:type="dxa"/>
            <w:vAlign w:val="bottom"/>
          </w:tcPr>
          <w:p>
            <w:pPr>
              <w:ind w:left="240"/>
              <w:spacing w:after="0"/>
              <w:rPr>
                <w:sz w:val="20"/>
                <w:szCs w:val="20"/>
                <w:color w:val="auto"/>
              </w:rPr>
            </w:pPr>
            <w:r>
              <w:rPr>
                <w:rFonts w:ascii="Arial" w:cs="Arial" w:eastAsia="Arial" w:hAnsi="Arial"/>
                <w:sz w:val="19"/>
                <w:szCs w:val="19"/>
                <w:color w:val="auto"/>
              </w:rPr>
              <w:t>Mitigation Obligations; Replacement of Lenders.</w:t>
            </w:r>
          </w:p>
        </w:tc>
        <w:tc>
          <w:tcPr>
            <w:tcW w:w="380" w:type="dxa"/>
            <w:vAlign w:val="bottom"/>
          </w:tcPr>
          <w:p>
            <w:pPr>
              <w:jc w:val="right"/>
              <w:spacing w:after="0"/>
              <w:rPr>
                <w:sz w:val="20"/>
                <w:szCs w:val="20"/>
                <w:color w:val="auto"/>
              </w:rPr>
            </w:pPr>
            <w:r>
              <w:rPr>
                <w:rFonts w:ascii="Arial" w:cs="Arial" w:eastAsia="Arial" w:hAnsi="Arial"/>
                <w:sz w:val="19"/>
                <w:szCs w:val="19"/>
                <w:color w:val="auto"/>
              </w:rPr>
              <w:t>89</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3.07</w:t>
            </w:r>
          </w:p>
        </w:tc>
        <w:tc>
          <w:tcPr>
            <w:tcW w:w="8940" w:type="dxa"/>
            <w:vAlign w:val="bottom"/>
          </w:tcPr>
          <w:p>
            <w:pPr>
              <w:ind w:left="240"/>
              <w:spacing w:after="0"/>
              <w:rPr>
                <w:sz w:val="20"/>
                <w:szCs w:val="20"/>
                <w:color w:val="auto"/>
              </w:rPr>
            </w:pPr>
            <w:r>
              <w:rPr>
                <w:rFonts w:ascii="Arial" w:cs="Arial" w:eastAsia="Arial" w:hAnsi="Arial"/>
                <w:sz w:val="19"/>
                <w:szCs w:val="19"/>
                <w:color w:val="auto"/>
              </w:rPr>
              <w:t>Survival.</w:t>
            </w:r>
          </w:p>
        </w:tc>
        <w:tc>
          <w:tcPr>
            <w:tcW w:w="380" w:type="dxa"/>
            <w:vAlign w:val="bottom"/>
          </w:tcPr>
          <w:p>
            <w:pPr>
              <w:jc w:val="right"/>
              <w:spacing w:after="0"/>
              <w:rPr>
                <w:sz w:val="20"/>
                <w:szCs w:val="20"/>
                <w:color w:val="auto"/>
              </w:rPr>
            </w:pPr>
            <w:r>
              <w:rPr>
                <w:rFonts w:ascii="Arial" w:cs="Arial" w:eastAsia="Arial" w:hAnsi="Arial"/>
                <w:sz w:val="19"/>
                <w:szCs w:val="19"/>
                <w:color w:val="auto"/>
              </w:rPr>
              <w:t>89</w:t>
            </w:r>
          </w:p>
        </w:tc>
      </w:tr>
      <w:tr>
        <w:trPr>
          <w:trHeight w:val="243"/>
        </w:trPr>
        <w:tc>
          <w:tcPr>
            <w:tcW w:w="10300" w:type="dxa"/>
            <w:vAlign w:val="bottom"/>
            <w:gridSpan w:val="2"/>
          </w:tcPr>
          <w:p>
            <w:pPr>
              <w:spacing w:after="0"/>
              <w:rPr>
                <w:sz w:val="20"/>
                <w:szCs w:val="20"/>
                <w:color w:val="auto"/>
              </w:rPr>
            </w:pPr>
            <w:r>
              <w:rPr>
                <w:rFonts w:ascii="Arial" w:cs="Arial" w:eastAsia="Arial" w:hAnsi="Arial"/>
                <w:sz w:val="19"/>
                <w:szCs w:val="19"/>
                <w:color w:val="auto"/>
              </w:rPr>
              <w:t>ARTICLE IV CONDITIONS PRECEDENT TO CREDIT EXTENSIONS</w:t>
            </w:r>
          </w:p>
        </w:tc>
        <w:tc>
          <w:tcPr>
            <w:tcW w:w="38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4.01</w:t>
            </w:r>
          </w:p>
        </w:tc>
        <w:tc>
          <w:tcPr>
            <w:tcW w:w="8940" w:type="dxa"/>
            <w:vAlign w:val="bottom"/>
          </w:tcPr>
          <w:p>
            <w:pPr>
              <w:ind w:left="240"/>
              <w:spacing w:after="0"/>
              <w:rPr>
                <w:sz w:val="20"/>
                <w:szCs w:val="20"/>
                <w:color w:val="auto"/>
              </w:rPr>
            </w:pPr>
            <w:r>
              <w:rPr>
                <w:rFonts w:ascii="Arial" w:cs="Arial" w:eastAsia="Arial" w:hAnsi="Arial"/>
                <w:sz w:val="19"/>
                <w:szCs w:val="19"/>
                <w:color w:val="auto"/>
              </w:rPr>
              <w:t>Conditions of Initial Credit Extension.</w:t>
            </w:r>
          </w:p>
        </w:tc>
        <w:tc>
          <w:tcPr>
            <w:tcW w:w="38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4.02</w:t>
            </w:r>
          </w:p>
        </w:tc>
        <w:tc>
          <w:tcPr>
            <w:tcW w:w="8940" w:type="dxa"/>
            <w:vAlign w:val="bottom"/>
          </w:tcPr>
          <w:p>
            <w:pPr>
              <w:ind w:left="240"/>
              <w:spacing w:after="0"/>
              <w:rPr>
                <w:sz w:val="20"/>
                <w:szCs w:val="20"/>
                <w:color w:val="auto"/>
              </w:rPr>
            </w:pPr>
            <w:r>
              <w:rPr>
                <w:rFonts w:ascii="Arial" w:cs="Arial" w:eastAsia="Arial" w:hAnsi="Arial"/>
                <w:sz w:val="19"/>
                <w:szCs w:val="19"/>
                <w:color w:val="auto"/>
              </w:rPr>
              <w:t>Conditions to all Credit Extensions.</w:t>
            </w:r>
          </w:p>
        </w:tc>
        <w:tc>
          <w:tcPr>
            <w:tcW w:w="380" w:type="dxa"/>
            <w:vAlign w:val="bottom"/>
          </w:tcPr>
          <w:p>
            <w:pPr>
              <w:jc w:val="right"/>
              <w:spacing w:after="0"/>
              <w:rPr>
                <w:sz w:val="20"/>
                <w:szCs w:val="20"/>
                <w:color w:val="auto"/>
              </w:rPr>
            </w:pPr>
            <w:r>
              <w:rPr>
                <w:rFonts w:ascii="Arial" w:cs="Arial" w:eastAsia="Arial" w:hAnsi="Arial"/>
                <w:sz w:val="19"/>
                <w:szCs w:val="19"/>
                <w:color w:val="auto"/>
              </w:rPr>
              <w:t>92</w:t>
            </w:r>
          </w:p>
        </w:tc>
      </w:tr>
      <w:tr>
        <w:trPr>
          <w:trHeight w:val="243"/>
        </w:trPr>
        <w:tc>
          <w:tcPr>
            <w:tcW w:w="10300" w:type="dxa"/>
            <w:vAlign w:val="bottom"/>
            <w:gridSpan w:val="2"/>
          </w:tcPr>
          <w:p>
            <w:pPr>
              <w:spacing w:after="0"/>
              <w:rPr>
                <w:sz w:val="20"/>
                <w:szCs w:val="20"/>
                <w:color w:val="auto"/>
              </w:rPr>
            </w:pPr>
            <w:r>
              <w:rPr>
                <w:rFonts w:ascii="Arial" w:cs="Arial" w:eastAsia="Arial" w:hAnsi="Arial"/>
                <w:sz w:val="19"/>
                <w:szCs w:val="19"/>
                <w:color w:val="auto"/>
              </w:rPr>
              <w:t>ARTICLE V REPRESENTATIONS AND WARRANTIES</w:t>
            </w:r>
          </w:p>
        </w:tc>
        <w:tc>
          <w:tcPr>
            <w:tcW w:w="380" w:type="dxa"/>
            <w:vAlign w:val="bottom"/>
          </w:tcPr>
          <w:p>
            <w:pPr>
              <w:jc w:val="right"/>
              <w:spacing w:after="0"/>
              <w:rPr>
                <w:sz w:val="20"/>
                <w:szCs w:val="20"/>
                <w:color w:val="auto"/>
              </w:rPr>
            </w:pPr>
            <w:r>
              <w:rPr>
                <w:rFonts w:ascii="Arial" w:cs="Arial" w:eastAsia="Arial" w:hAnsi="Arial"/>
                <w:sz w:val="19"/>
                <w:szCs w:val="19"/>
                <w:color w:val="auto"/>
              </w:rPr>
              <w:t>92</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5.01</w:t>
            </w:r>
          </w:p>
        </w:tc>
        <w:tc>
          <w:tcPr>
            <w:tcW w:w="8940" w:type="dxa"/>
            <w:vAlign w:val="bottom"/>
          </w:tcPr>
          <w:p>
            <w:pPr>
              <w:ind w:left="240"/>
              <w:spacing w:after="0"/>
              <w:rPr>
                <w:sz w:val="20"/>
                <w:szCs w:val="20"/>
                <w:color w:val="auto"/>
              </w:rPr>
            </w:pPr>
            <w:r>
              <w:rPr>
                <w:rFonts w:ascii="Arial" w:cs="Arial" w:eastAsia="Arial" w:hAnsi="Arial"/>
                <w:sz w:val="19"/>
                <w:szCs w:val="19"/>
                <w:color w:val="auto"/>
              </w:rPr>
              <w:t>Existence, Qualification and Power</w:t>
            </w:r>
          </w:p>
        </w:tc>
        <w:tc>
          <w:tcPr>
            <w:tcW w:w="38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5.02</w:t>
            </w:r>
          </w:p>
        </w:tc>
        <w:tc>
          <w:tcPr>
            <w:tcW w:w="8940" w:type="dxa"/>
            <w:vAlign w:val="bottom"/>
          </w:tcPr>
          <w:p>
            <w:pPr>
              <w:ind w:left="240"/>
              <w:spacing w:after="0"/>
              <w:rPr>
                <w:sz w:val="20"/>
                <w:szCs w:val="20"/>
                <w:color w:val="auto"/>
              </w:rPr>
            </w:pPr>
            <w:r>
              <w:rPr>
                <w:rFonts w:ascii="Arial" w:cs="Arial" w:eastAsia="Arial" w:hAnsi="Arial"/>
                <w:sz w:val="19"/>
                <w:szCs w:val="19"/>
                <w:color w:val="auto"/>
              </w:rPr>
              <w:t>Authorization; No Contravention.</w:t>
            </w:r>
          </w:p>
        </w:tc>
        <w:tc>
          <w:tcPr>
            <w:tcW w:w="38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5.03</w:t>
            </w:r>
          </w:p>
        </w:tc>
        <w:tc>
          <w:tcPr>
            <w:tcW w:w="8940" w:type="dxa"/>
            <w:vAlign w:val="bottom"/>
          </w:tcPr>
          <w:p>
            <w:pPr>
              <w:ind w:left="240"/>
              <w:spacing w:after="0"/>
              <w:rPr>
                <w:sz w:val="20"/>
                <w:szCs w:val="20"/>
                <w:color w:val="auto"/>
              </w:rPr>
            </w:pPr>
            <w:r>
              <w:rPr>
                <w:rFonts w:ascii="Arial" w:cs="Arial" w:eastAsia="Arial" w:hAnsi="Arial"/>
                <w:sz w:val="19"/>
                <w:szCs w:val="19"/>
                <w:color w:val="auto"/>
              </w:rPr>
              <w:t>Governmental Authorization; Other Consents.</w:t>
            </w:r>
          </w:p>
        </w:tc>
        <w:tc>
          <w:tcPr>
            <w:tcW w:w="38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5.04</w:t>
            </w:r>
          </w:p>
        </w:tc>
        <w:tc>
          <w:tcPr>
            <w:tcW w:w="8940" w:type="dxa"/>
            <w:vAlign w:val="bottom"/>
          </w:tcPr>
          <w:p>
            <w:pPr>
              <w:ind w:left="240"/>
              <w:spacing w:after="0"/>
              <w:rPr>
                <w:sz w:val="20"/>
                <w:szCs w:val="20"/>
                <w:color w:val="auto"/>
              </w:rPr>
            </w:pPr>
            <w:r>
              <w:rPr>
                <w:rFonts w:ascii="Arial" w:cs="Arial" w:eastAsia="Arial" w:hAnsi="Arial"/>
                <w:sz w:val="19"/>
                <w:szCs w:val="19"/>
                <w:color w:val="auto"/>
              </w:rPr>
              <w:t>Binding Effect.</w:t>
            </w:r>
          </w:p>
        </w:tc>
        <w:tc>
          <w:tcPr>
            <w:tcW w:w="38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5.05</w:t>
            </w:r>
          </w:p>
        </w:tc>
        <w:tc>
          <w:tcPr>
            <w:tcW w:w="8940" w:type="dxa"/>
            <w:vAlign w:val="bottom"/>
          </w:tcPr>
          <w:p>
            <w:pPr>
              <w:ind w:left="240"/>
              <w:spacing w:after="0"/>
              <w:rPr>
                <w:sz w:val="20"/>
                <w:szCs w:val="20"/>
                <w:color w:val="auto"/>
              </w:rPr>
            </w:pPr>
            <w:r>
              <w:rPr>
                <w:rFonts w:ascii="Arial" w:cs="Arial" w:eastAsia="Arial" w:hAnsi="Arial"/>
                <w:sz w:val="19"/>
                <w:szCs w:val="19"/>
                <w:color w:val="auto"/>
              </w:rPr>
              <w:t>Financial Statements; No Material Adverse Effect.</w:t>
            </w:r>
          </w:p>
        </w:tc>
        <w:tc>
          <w:tcPr>
            <w:tcW w:w="38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5.06</w:t>
            </w:r>
          </w:p>
        </w:tc>
        <w:tc>
          <w:tcPr>
            <w:tcW w:w="8940" w:type="dxa"/>
            <w:vAlign w:val="bottom"/>
          </w:tcPr>
          <w:p>
            <w:pPr>
              <w:ind w:left="240"/>
              <w:spacing w:after="0"/>
              <w:rPr>
                <w:sz w:val="20"/>
                <w:szCs w:val="20"/>
                <w:color w:val="auto"/>
              </w:rPr>
            </w:pPr>
            <w:r>
              <w:rPr>
                <w:rFonts w:ascii="Arial" w:cs="Arial" w:eastAsia="Arial" w:hAnsi="Arial"/>
                <w:sz w:val="19"/>
                <w:szCs w:val="19"/>
                <w:color w:val="auto"/>
              </w:rPr>
              <w:t>Litigation.</w:t>
            </w:r>
          </w:p>
        </w:tc>
        <w:tc>
          <w:tcPr>
            <w:tcW w:w="38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5.07</w:t>
            </w:r>
          </w:p>
        </w:tc>
        <w:tc>
          <w:tcPr>
            <w:tcW w:w="8940" w:type="dxa"/>
            <w:vAlign w:val="bottom"/>
          </w:tcPr>
          <w:p>
            <w:pPr>
              <w:ind w:left="240"/>
              <w:spacing w:after="0"/>
              <w:rPr>
                <w:sz w:val="20"/>
                <w:szCs w:val="20"/>
                <w:color w:val="auto"/>
              </w:rPr>
            </w:pPr>
            <w:r>
              <w:rPr>
                <w:rFonts w:ascii="Arial" w:cs="Arial" w:eastAsia="Arial" w:hAnsi="Arial"/>
                <w:sz w:val="19"/>
                <w:szCs w:val="19"/>
                <w:color w:val="auto"/>
              </w:rPr>
              <w:t>No Default.</w:t>
            </w:r>
          </w:p>
        </w:tc>
        <w:tc>
          <w:tcPr>
            <w:tcW w:w="38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5.08</w:t>
            </w:r>
          </w:p>
        </w:tc>
        <w:tc>
          <w:tcPr>
            <w:tcW w:w="8940" w:type="dxa"/>
            <w:vAlign w:val="bottom"/>
          </w:tcPr>
          <w:p>
            <w:pPr>
              <w:ind w:left="240"/>
              <w:spacing w:after="0"/>
              <w:rPr>
                <w:sz w:val="20"/>
                <w:szCs w:val="20"/>
                <w:color w:val="auto"/>
              </w:rPr>
            </w:pPr>
            <w:r>
              <w:rPr>
                <w:rFonts w:ascii="Arial" w:cs="Arial" w:eastAsia="Arial" w:hAnsi="Arial"/>
                <w:sz w:val="19"/>
                <w:szCs w:val="19"/>
                <w:color w:val="auto"/>
              </w:rPr>
              <w:t>Ownership of Property</w:t>
            </w:r>
          </w:p>
        </w:tc>
        <w:tc>
          <w:tcPr>
            <w:tcW w:w="38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5.09</w:t>
            </w:r>
          </w:p>
        </w:tc>
        <w:tc>
          <w:tcPr>
            <w:tcW w:w="8940" w:type="dxa"/>
            <w:vAlign w:val="bottom"/>
          </w:tcPr>
          <w:p>
            <w:pPr>
              <w:ind w:left="240"/>
              <w:spacing w:after="0"/>
              <w:rPr>
                <w:sz w:val="20"/>
                <w:szCs w:val="20"/>
                <w:color w:val="auto"/>
              </w:rPr>
            </w:pPr>
            <w:r>
              <w:rPr>
                <w:rFonts w:ascii="Arial" w:cs="Arial" w:eastAsia="Arial" w:hAnsi="Arial"/>
                <w:sz w:val="19"/>
                <w:szCs w:val="19"/>
                <w:color w:val="auto"/>
              </w:rPr>
              <w:t>Environmental Compliance.</w:t>
            </w:r>
          </w:p>
        </w:tc>
        <w:tc>
          <w:tcPr>
            <w:tcW w:w="380" w:type="dxa"/>
            <w:vAlign w:val="bottom"/>
          </w:tcPr>
          <w:p>
            <w:pPr>
              <w:jc w:val="right"/>
              <w:spacing w:after="0"/>
              <w:rPr>
                <w:sz w:val="20"/>
                <w:szCs w:val="20"/>
                <w:color w:val="auto"/>
              </w:rPr>
            </w:pPr>
            <w:r>
              <w:rPr>
                <w:rFonts w:ascii="Arial" w:cs="Arial" w:eastAsia="Arial" w:hAnsi="Arial"/>
                <w:sz w:val="19"/>
                <w:szCs w:val="19"/>
                <w:color w:val="auto"/>
              </w:rPr>
              <w:t>94</w:t>
            </w:r>
          </w:p>
        </w:tc>
      </w:tr>
    </w:tbl>
    <w:p>
      <w:pPr>
        <w:spacing w:after="0" w:line="20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609" w:right="8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0"/>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5.10</w:t>
            </w:r>
          </w:p>
        </w:tc>
        <w:tc>
          <w:tcPr>
            <w:tcW w:w="7540" w:type="dxa"/>
            <w:vAlign w:val="bottom"/>
          </w:tcPr>
          <w:p>
            <w:pPr>
              <w:ind w:left="240"/>
              <w:spacing w:after="0"/>
              <w:rPr>
                <w:sz w:val="20"/>
                <w:szCs w:val="20"/>
                <w:color w:val="auto"/>
              </w:rPr>
            </w:pPr>
            <w:r>
              <w:rPr>
                <w:rFonts w:ascii="Arial" w:cs="Arial" w:eastAsia="Arial" w:hAnsi="Arial"/>
                <w:sz w:val="19"/>
                <w:szCs w:val="19"/>
                <w:color w:val="auto"/>
              </w:rPr>
              <w:t>Insurance.</w:t>
            </w:r>
          </w:p>
        </w:tc>
        <w:tc>
          <w:tcPr>
            <w:tcW w:w="178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43"/>
        </w:trPr>
        <w:tc>
          <w:tcPr>
            <w:tcW w:w="1360" w:type="dxa"/>
            <w:vAlign w:val="bottom"/>
          </w:tcPr>
          <w:p>
            <w:pPr>
              <w:jc w:val="right"/>
              <w:ind w:right="145"/>
              <w:spacing w:after="0"/>
              <w:rPr>
                <w:sz w:val="20"/>
                <w:szCs w:val="20"/>
                <w:color w:val="auto"/>
              </w:rPr>
            </w:pPr>
            <w:r>
              <w:rPr>
                <w:rFonts w:ascii="Arial" w:cs="Arial" w:eastAsia="Arial" w:hAnsi="Arial"/>
                <w:sz w:val="19"/>
                <w:szCs w:val="19"/>
                <w:color w:val="auto"/>
              </w:rPr>
              <w:t>5.11</w:t>
            </w:r>
          </w:p>
        </w:tc>
        <w:tc>
          <w:tcPr>
            <w:tcW w:w="7540" w:type="dxa"/>
            <w:vAlign w:val="bottom"/>
          </w:tcPr>
          <w:p>
            <w:pPr>
              <w:ind w:left="240"/>
              <w:spacing w:after="0"/>
              <w:rPr>
                <w:sz w:val="20"/>
                <w:szCs w:val="20"/>
                <w:color w:val="auto"/>
              </w:rPr>
            </w:pPr>
            <w:r>
              <w:rPr>
                <w:rFonts w:ascii="Arial" w:cs="Arial" w:eastAsia="Arial" w:hAnsi="Arial"/>
                <w:sz w:val="19"/>
                <w:szCs w:val="19"/>
                <w:color w:val="auto"/>
              </w:rPr>
              <w:t>Taxes.</w:t>
            </w:r>
          </w:p>
        </w:tc>
        <w:tc>
          <w:tcPr>
            <w:tcW w:w="178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5.12</w:t>
            </w:r>
          </w:p>
        </w:tc>
        <w:tc>
          <w:tcPr>
            <w:tcW w:w="7540" w:type="dxa"/>
            <w:vAlign w:val="bottom"/>
          </w:tcPr>
          <w:p>
            <w:pPr>
              <w:ind w:left="240"/>
              <w:spacing w:after="0"/>
              <w:rPr>
                <w:sz w:val="20"/>
                <w:szCs w:val="20"/>
                <w:color w:val="auto"/>
              </w:rPr>
            </w:pPr>
            <w:r>
              <w:rPr>
                <w:rFonts w:ascii="Arial" w:cs="Arial" w:eastAsia="Arial" w:hAnsi="Arial"/>
                <w:sz w:val="19"/>
                <w:szCs w:val="19"/>
                <w:color w:val="auto"/>
              </w:rPr>
              <w:t>ERISA Compliance.</w:t>
            </w:r>
          </w:p>
        </w:tc>
        <w:tc>
          <w:tcPr>
            <w:tcW w:w="178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5.13</w:t>
            </w:r>
          </w:p>
        </w:tc>
        <w:tc>
          <w:tcPr>
            <w:tcW w:w="7540" w:type="dxa"/>
            <w:vAlign w:val="bottom"/>
          </w:tcPr>
          <w:p>
            <w:pPr>
              <w:ind w:left="240"/>
              <w:spacing w:after="0"/>
              <w:rPr>
                <w:sz w:val="20"/>
                <w:szCs w:val="20"/>
                <w:color w:val="auto"/>
              </w:rPr>
            </w:pPr>
            <w:r>
              <w:rPr>
                <w:rFonts w:ascii="Arial" w:cs="Arial" w:eastAsia="Arial" w:hAnsi="Arial"/>
                <w:sz w:val="19"/>
                <w:szCs w:val="19"/>
                <w:color w:val="auto"/>
              </w:rPr>
              <w:t>Margin Regulations; Investment Company Act.</w:t>
            </w:r>
          </w:p>
        </w:tc>
        <w:tc>
          <w:tcPr>
            <w:tcW w:w="178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5.14</w:t>
            </w:r>
          </w:p>
        </w:tc>
        <w:tc>
          <w:tcPr>
            <w:tcW w:w="7540" w:type="dxa"/>
            <w:vAlign w:val="bottom"/>
          </w:tcPr>
          <w:p>
            <w:pPr>
              <w:ind w:left="240"/>
              <w:spacing w:after="0"/>
              <w:rPr>
                <w:sz w:val="20"/>
                <w:szCs w:val="20"/>
                <w:color w:val="auto"/>
              </w:rPr>
            </w:pPr>
            <w:r>
              <w:rPr>
                <w:rFonts w:ascii="Arial" w:cs="Arial" w:eastAsia="Arial" w:hAnsi="Arial"/>
                <w:sz w:val="19"/>
                <w:szCs w:val="19"/>
                <w:color w:val="auto"/>
              </w:rPr>
              <w:t>Disclosure.</w:t>
            </w:r>
          </w:p>
        </w:tc>
        <w:tc>
          <w:tcPr>
            <w:tcW w:w="178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5.15</w:t>
            </w:r>
          </w:p>
        </w:tc>
        <w:tc>
          <w:tcPr>
            <w:tcW w:w="7540" w:type="dxa"/>
            <w:vAlign w:val="bottom"/>
          </w:tcPr>
          <w:p>
            <w:pPr>
              <w:ind w:left="240"/>
              <w:spacing w:after="0"/>
              <w:rPr>
                <w:sz w:val="20"/>
                <w:szCs w:val="20"/>
                <w:color w:val="auto"/>
              </w:rPr>
            </w:pPr>
            <w:r>
              <w:rPr>
                <w:rFonts w:ascii="Arial" w:cs="Arial" w:eastAsia="Arial" w:hAnsi="Arial"/>
                <w:sz w:val="19"/>
                <w:szCs w:val="19"/>
                <w:color w:val="auto"/>
              </w:rPr>
              <w:t>Compliance with Laws.</w:t>
            </w:r>
          </w:p>
        </w:tc>
        <w:tc>
          <w:tcPr>
            <w:tcW w:w="178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5.16</w:t>
            </w:r>
          </w:p>
        </w:tc>
        <w:tc>
          <w:tcPr>
            <w:tcW w:w="7540" w:type="dxa"/>
            <w:vAlign w:val="bottom"/>
          </w:tcPr>
          <w:p>
            <w:pPr>
              <w:ind w:left="240"/>
              <w:spacing w:after="0"/>
              <w:rPr>
                <w:sz w:val="20"/>
                <w:szCs w:val="20"/>
                <w:color w:val="auto"/>
              </w:rPr>
            </w:pPr>
            <w:r>
              <w:rPr>
                <w:rFonts w:ascii="Arial" w:cs="Arial" w:eastAsia="Arial" w:hAnsi="Arial"/>
                <w:sz w:val="19"/>
                <w:szCs w:val="19"/>
                <w:color w:val="auto"/>
              </w:rPr>
              <w:t>Solvency.</w:t>
            </w:r>
          </w:p>
        </w:tc>
        <w:tc>
          <w:tcPr>
            <w:tcW w:w="1780" w:type="dxa"/>
            <w:vAlign w:val="bottom"/>
          </w:tcPr>
          <w:p>
            <w:pPr>
              <w:jc w:val="right"/>
              <w:spacing w:after="0"/>
              <w:rPr>
                <w:sz w:val="20"/>
                <w:szCs w:val="20"/>
                <w:color w:val="auto"/>
              </w:rPr>
            </w:pPr>
            <w:r>
              <w:rPr>
                <w:rFonts w:ascii="Arial" w:cs="Arial" w:eastAsia="Arial" w:hAnsi="Arial"/>
                <w:sz w:val="19"/>
                <w:szCs w:val="19"/>
                <w:color w:val="auto"/>
              </w:rPr>
              <w:t>97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5.17</w:t>
            </w:r>
          </w:p>
        </w:tc>
        <w:tc>
          <w:tcPr>
            <w:tcW w:w="7540" w:type="dxa"/>
            <w:vAlign w:val="bottom"/>
          </w:tcPr>
          <w:p>
            <w:pPr>
              <w:ind w:left="240"/>
              <w:spacing w:after="0"/>
              <w:rPr>
                <w:sz w:val="20"/>
                <w:szCs w:val="20"/>
                <w:color w:val="auto"/>
              </w:rPr>
            </w:pPr>
            <w:r>
              <w:rPr>
                <w:rFonts w:ascii="Arial" w:cs="Arial" w:eastAsia="Arial" w:hAnsi="Arial"/>
                <w:sz w:val="19"/>
                <w:szCs w:val="19"/>
                <w:color w:val="auto"/>
              </w:rPr>
              <w:t>Sanctions Concerns and Anti-Corruption Laws.</w:t>
            </w:r>
          </w:p>
        </w:tc>
        <w:tc>
          <w:tcPr>
            <w:tcW w:w="1780" w:type="dxa"/>
            <w:vAlign w:val="bottom"/>
          </w:tcPr>
          <w:p>
            <w:pPr>
              <w:jc w:val="right"/>
              <w:spacing w:after="0"/>
              <w:rPr>
                <w:sz w:val="20"/>
                <w:szCs w:val="20"/>
                <w:color w:val="auto"/>
              </w:rPr>
            </w:pPr>
            <w:r>
              <w:rPr>
                <w:rFonts w:ascii="Arial" w:cs="Arial" w:eastAsia="Arial" w:hAnsi="Arial"/>
                <w:sz w:val="19"/>
                <w:szCs w:val="19"/>
                <w:color w:val="auto"/>
              </w:rPr>
              <w:t>97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5.18</w:t>
            </w:r>
          </w:p>
        </w:tc>
        <w:tc>
          <w:tcPr>
            <w:tcW w:w="7540" w:type="dxa"/>
            <w:vAlign w:val="bottom"/>
          </w:tcPr>
          <w:p>
            <w:pPr>
              <w:ind w:left="240"/>
              <w:spacing w:after="0"/>
              <w:rPr>
                <w:sz w:val="20"/>
                <w:szCs w:val="20"/>
                <w:color w:val="auto"/>
              </w:rPr>
            </w:pPr>
            <w:r>
              <w:rPr>
                <w:rFonts w:ascii="Arial" w:cs="Arial" w:eastAsia="Arial" w:hAnsi="Arial"/>
                <w:sz w:val="19"/>
                <w:szCs w:val="19"/>
                <w:color w:val="auto"/>
              </w:rPr>
              <w:t>Subsidiaries; Equity Interests; Loan Parties</w:t>
            </w:r>
          </w:p>
        </w:tc>
        <w:tc>
          <w:tcPr>
            <w:tcW w:w="1780" w:type="dxa"/>
            <w:vAlign w:val="bottom"/>
          </w:tcPr>
          <w:p>
            <w:pPr>
              <w:jc w:val="right"/>
              <w:spacing w:after="0"/>
              <w:rPr>
                <w:sz w:val="20"/>
                <w:szCs w:val="20"/>
                <w:color w:val="auto"/>
              </w:rPr>
            </w:pPr>
            <w:r>
              <w:rPr>
                <w:rFonts w:ascii="Arial" w:cs="Arial" w:eastAsia="Arial" w:hAnsi="Arial"/>
                <w:sz w:val="19"/>
                <w:szCs w:val="19"/>
                <w:color w:val="auto"/>
              </w:rPr>
              <w:t>97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5.19</w:t>
            </w:r>
          </w:p>
        </w:tc>
        <w:tc>
          <w:tcPr>
            <w:tcW w:w="7540" w:type="dxa"/>
            <w:vAlign w:val="bottom"/>
          </w:tcPr>
          <w:p>
            <w:pPr>
              <w:ind w:left="240"/>
              <w:spacing w:after="0"/>
              <w:rPr>
                <w:sz w:val="20"/>
                <w:szCs w:val="20"/>
                <w:color w:val="auto"/>
              </w:rPr>
            </w:pPr>
            <w:r>
              <w:rPr>
                <w:rFonts w:ascii="Arial" w:cs="Arial" w:eastAsia="Arial" w:hAnsi="Arial"/>
                <w:sz w:val="19"/>
                <w:szCs w:val="19"/>
                <w:color w:val="auto"/>
              </w:rPr>
              <w:t>Collateral Representations.</w:t>
            </w:r>
          </w:p>
        </w:tc>
        <w:tc>
          <w:tcPr>
            <w:tcW w:w="1780" w:type="dxa"/>
            <w:vAlign w:val="bottom"/>
          </w:tcPr>
          <w:p>
            <w:pPr>
              <w:jc w:val="right"/>
              <w:spacing w:after="0"/>
              <w:rPr>
                <w:sz w:val="20"/>
                <w:szCs w:val="20"/>
                <w:color w:val="auto"/>
              </w:rPr>
            </w:pPr>
            <w:r>
              <w:rPr>
                <w:rFonts w:ascii="Arial" w:cs="Arial" w:eastAsia="Arial" w:hAnsi="Arial"/>
                <w:sz w:val="19"/>
                <w:szCs w:val="19"/>
                <w:color w:val="auto"/>
              </w:rPr>
              <w:t>98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5.20</w:t>
            </w:r>
          </w:p>
        </w:tc>
        <w:tc>
          <w:tcPr>
            <w:tcW w:w="7540" w:type="dxa"/>
            <w:vAlign w:val="bottom"/>
          </w:tcPr>
          <w:p>
            <w:pPr>
              <w:ind w:left="240"/>
              <w:spacing w:after="0"/>
              <w:rPr>
                <w:sz w:val="20"/>
                <w:szCs w:val="20"/>
                <w:color w:val="auto"/>
              </w:rPr>
            </w:pPr>
            <w:r>
              <w:rPr>
                <w:rFonts w:ascii="Arial" w:cs="Arial" w:eastAsia="Arial" w:hAnsi="Arial"/>
                <w:sz w:val="19"/>
                <w:szCs w:val="19"/>
                <w:color w:val="auto"/>
              </w:rPr>
              <w:t>Affected Financial Institutions.</w:t>
            </w:r>
          </w:p>
        </w:tc>
        <w:tc>
          <w:tcPr>
            <w:tcW w:w="1780" w:type="dxa"/>
            <w:vAlign w:val="bottom"/>
          </w:tcPr>
          <w:p>
            <w:pPr>
              <w:jc w:val="right"/>
              <w:spacing w:after="0"/>
              <w:rPr>
                <w:sz w:val="20"/>
                <w:szCs w:val="20"/>
                <w:color w:val="auto"/>
              </w:rPr>
            </w:pPr>
            <w:r>
              <w:rPr>
                <w:rFonts w:ascii="Arial" w:cs="Arial" w:eastAsia="Arial" w:hAnsi="Arial"/>
                <w:sz w:val="19"/>
                <w:szCs w:val="19"/>
                <w:color w:val="auto"/>
              </w:rPr>
              <w:t>98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5.21</w:t>
            </w:r>
          </w:p>
        </w:tc>
        <w:tc>
          <w:tcPr>
            <w:tcW w:w="7540" w:type="dxa"/>
            <w:vAlign w:val="bottom"/>
          </w:tcPr>
          <w:p>
            <w:pPr>
              <w:ind w:left="240"/>
              <w:spacing w:after="0"/>
              <w:rPr>
                <w:sz w:val="20"/>
                <w:szCs w:val="20"/>
                <w:color w:val="auto"/>
              </w:rPr>
            </w:pPr>
            <w:r>
              <w:rPr>
                <w:rFonts w:ascii="Arial" w:cs="Arial" w:eastAsia="Arial" w:hAnsi="Arial"/>
                <w:sz w:val="19"/>
                <w:szCs w:val="19"/>
                <w:color w:val="auto"/>
              </w:rPr>
              <w:t>Covered Entities.</w:t>
            </w:r>
          </w:p>
        </w:tc>
        <w:tc>
          <w:tcPr>
            <w:tcW w:w="1780" w:type="dxa"/>
            <w:vAlign w:val="bottom"/>
          </w:tcPr>
          <w:p>
            <w:pPr>
              <w:jc w:val="right"/>
              <w:spacing w:after="0"/>
              <w:rPr>
                <w:sz w:val="20"/>
                <w:szCs w:val="20"/>
                <w:color w:val="auto"/>
              </w:rPr>
            </w:pPr>
            <w:r>
              <w:rPr>
                <w:rFonts w:ascii="Arial" w:cs="Arial" w:eastAsia="Arial" w:hAnsi="Arial"/>
                <w:sz w:val="19"/>
                <w:szCs w:val="19"/>
                <w:color w:val="auto"/>
              </w:rPr>
              <w:t>98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5.22</w:t>
            </w:r>
          </w:p>
        </w:tc>
        <w:tc>
          <w:tcPr>
            <w:tcW w:w="7540" w:type="dxa"/>
            <w:vAlign w:val="bottom"/>
          </w:tcPr>
          <w:p>
            <w:pPr>
              <w:ind w:left="240"/>
              <w:spacing w:after="0"/>
              <w:rPr>
                <w:sz w:val="20"/>
                <w:szCs w:val="20"/>
                <w:color w:val="auto"/>
              </w:rPr>
            </w:pPr>
            <w:r>
              <w:rPr>
                <w:rFonts w:ascii="Arial" w:cs="Arial" w:eastAsia="Arial" w:hAnsi="Arial"/>
                <w:sz w:val="19"/>
                <w:szCs w:val="19"/>
                <w:color w:val="auto"/>
              </w:rPr>
              <w:t>Beneficial Ownership Certification.</w:t>
            </w:r>
          </w:p>
        </w:tc>
        <w:tc>
          <w:tcPr>
            <w:tcW w:w="1780" w:type="dxa"/>
            <w:vAlign w:val="bottom"/>
          </w:tcPr>
          <w:p>
            <w:pPr>
              <w:jc w:val="right"/>
              <w:spacing w:after="0"/>
              <w:rPr>
                <w:sz w:val="20"/>
                <w:szCs w:val="20"/>
                <w:color w:val="auto"/>
              </w:rPr>
            </w:pPr>
            <w:r>
              <w:rPr>
                <w:rFonts w:ascii="Arial" w:cs="Arial" w:eastAsia="Arial" w:hAnsi="Arial"/>
                <w:sz w:val="19"/>
                <w:szCs w:val="19"/>
                <w:color w:val="auto"/>
              </w:rPr>
              <w:t>98</w:t>
            </w:r>
          </w:p>
        </w:tc>
      </w:tr>
      <w:tr>
        <w:trPr>
          <w:trHeight w:val="243"/>
        </w:trPr>
        <w:tc>
          <w:tcPr>
            <w:tcW w:w="8900" w:type="dxa"/>
            <w:vAlign w:val="bottom"/>
            <w:gridSpan w:val="2"/>
          </w:tcPr>
          <w:p>
            <w:pPr>
              <w:spacing w:after="0"/>
              <w:rPr>
                <w:sz w:val="20"/>
                <w:szCs w:val="20"/>
                <w:color w:val="auto"/>
              </w:rPr>
            </w:pPr>
            <w:r>
              <w:rPr>
                <w:rFonts w:ascii="Arial" w:cs="Arial" w:eastAsia="Arial" w:hAnsi="Arial"/>
                <w:sz w:val="19"/>
                <w:szCs w:val="19"/>
                <w:color w:val="auto"/>
              </w:rPr>
              <w:t>ARTICLE VI AFFIRMATIVE COVENANTS</w:t>
            </w:r>
          </w:p>
        </w:tc>
        <w:tc>
          <w:tcPr>
            <w:tcW w:w="1780" w:type="dxa"/>
            <w:vAlign w:val="bottom"/>
          </w:tcPr>
          <w:p>
            <w:pPr>
              <w:jc w:val="right"/>
              <w:spacing w:after="0"/>
              <w:rPr>
                <w:sz w:val="20"/>
                <w:szCs w:val="20"/>
                <w:color w:val="auto"/>
              </w:rPr>
            </w:pPr>
            <w:r>
              <w:rPr>
                <w:rFonts w:ascii="Arial" w:cs="Arial" w:eastAsia="Arial" w:hAnsi="Arial"/>
                <w:sz w:val="19"/>
                <w:szCs w:val="19"/>
                <w:color w:val="auto"/>
              </w:rPr>
              <w:t>98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6.01</w:t>
            </w:r>
          </w:p>
        </w:tc>
        <w:tc>
          <w:tcPr>
            <w:tcW w:w="7540" w:type="dxa"/>
            <w:vAlign w:val="bottom"/>
          </w:tcPr>
          <w:p>
            <w:pPr>
              <w:ind w:left="240"/>
              <w:spacing w:after="0"/>
              <w:rPr>
                <w:sz w:val="20"/>
                <w:szCs w:val="20"/>
                <w:color w:val="auto"/>
              </w:rPr>
            </w:pPr>
            <w:r>
              <w:rPr>
                <w:rFonts w:ascii="Arial" w:cs="Arial" w:eastAsia="Arial" w:hAnsi="Arial"/>
                <w:sz w:val="19"/>
                <w:szCs w:val="19"/>
                <w:color w:val="auto"/>
              </w:rPr>
              <w:t>Financial Statements.</w:t>
            </w:r>
          </w:p>
        </w:tc>
        <w:tc>
          <w:tcPr>
            <w:tcW w:w="1780" w:type="dxa"/>
            <w:vAlign w:val="bottom"/>
          </w:tcPr>
          <w:p>
            <w:pPr>
              <w:jc w:val="right"/>
              <w:spacing w:after="0"/>
              <w:rPr>
                <w:sz w:val="20"/>
                <w:szCs w:val="20"/>
                <w:color w:val="auto"/>
              </w:rPr>
            </w:pPr>
            <w:r>
              <w:rPr>
                <w:rFonts w:ascii="Arial" w:cs="Arial" w:eastAsia="Arial" w:hAnsi="Arial"/>
                <w:sz w:val="19"/>
                <w:szCs w:val="19"/>
                <w:color w:val="auto"/>
              </w:rPr>
              <w:t>98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6.02</w:t>
            </w:r>
          </w:p>
        </w:tc>
        <w:tc>
          <w:tcPr>
            <w:tcW w:w="7540" w:type="dxa"/>
            <w:vAlign w:val="bottom"/>
          </w:tcPr>
          <w:p>
            <w:pPr>
              <w:ind w:left="240"/>
              <w:spacing w:after="0"/>
              <w:rPr>
                <w:sz w:val="20"/>
                <w:szCs w:val="20"/>
                <w:color w:val="auto"/>
              </w:rPr>
            </w:pPr>
            <w:r>
              <w:rPr>
                <w:rFonts w:ascii="Arial" w:cs="Arial" w:eastAsia="Arial" w:hAnsi="Arial"/>
                <w:sz w:val="19"/>
                <w:szCs w:val="19"/>
                <w:color w:val="auto"/>
              </w:rPr>
              <w:t>Certificates; Other Information.</w:t>
            </w:r>
          </w:p>
        </w:tc>
        <w:tc>
          <w:tcPr>
            <w:tcW w:w="1780" w:type="dxa"/>
            <w:vAlign w:val="bottom"/>
          </w:tcPr>
          <w:p>
            <w:pPr>
              <w:jc w:val="right"/>
              <w:spacing w:after="0"/>
              <w:rPr>
                <w:sz w:val="20"/>
                <w:szCs w:val="20"/>
                <w:color w:val="auto"/>
              </w:rPr>
            </w:pPr>
            <w:r>
              <w:rPr>
                <w:rFonts w:ascii="Arial" w:cs="Arial" w:eastAsia="Arial" w:hAnsi="Arial"/>
                <w:sz w:val="19"/>
                <w:szCs w:val="19"/>
                <w:color w:val="auto"/>
              </w:rPr>
              <w:t>99</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6.03</w:t>
            </w:r>
          </w:p>
        </w:tc>
        <w:tc>
          <w:tcPr>
            <w:tcW w:w="7540" w:type="dxa"/>
            <w:vAlign w:val="bottom"/>
          </w:tcPr>
          <w:p>
            <w:pPr>
              <w:ind w:left="240"/>
              <w:spacing w:after="0"/>
              <w:rPr>
                <w:sz w:val="20"/>
                <w:szCs w:val="20"/>
                <w:color w:val="auto"/>
              </w:rPr>
            </w:pPr>
            <w:r>
              <w:rPr>
                <w:rFonts w:ascii="Arial" w:cs="Arial" w:eastAsia="Arial" w:hAnsi="Arial"/>
                <w:sz w:val="19"/>
                <w:szCs w:val="19"/>
                <w:color w:val="auto"/>
              </w:rPr>
              <w:t>Notices.</w:t>
            </w:r>
          </w:p>
        </w:tc>
        <w:tc>
          <w:tcPr>
            <w:tcW w:w="1780" w:type="dxa"/>
            <w:vAlign w:val="bottom"/>
          </w:tcPr>
          <w:p>
            <w:pPr>
              <w:jc w:val="right"/>
              <w:spacing w:after="0"/>
              <w:rPr>
                <w:sz w:val="20"/>
                <w:szCs w:val="20"/>
                <w:color w:val="auto"/>
              </w:rPr>
            </w:pPr>
            <w:r>
              <w:rPr>
                <w:rFonts w:ascii="Arial" w:cs="Arial" w:eastAsia="Arial" w:hAnsi="Arial"/>
                <w:sz w:val="19"/>
                <w:szCs w:val="19"/>
                <w:color w:val="auto"/>
              </w:rPr>
              <w:t>101</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6.04</w:t>
            </w:r>
          </w:p>
        </w:tc>
        <w:tc>
          <w:tcPr>
            <w:tcW w:w="7540" w:type="dxa"/>
            <w:vAlign w:val="bottom"/>
          </w:tcPr>
          <w:p>
            <w:pPr>
              <w:ind w:left="240"/>
              <w:spacing w:after="0"/>
              <w:rPr>
                <w:sz w:val="20"/>
                <w:szCs w:val="20"/>
                <w:color w:val="auto"/>
              </w:rPr>
            </w:pPr>
            <w:r>
              <w:rPr>
                <w:rFonts w:ascii="Arial" w:cs="Arial" w:eastAsia="Arial" w:hAnsi="Arial"/>
                <w:sz w:val="19"/>
                <w:szCs w:val="19"/>
                <w:color w:val="auto"/>
              </w:rPr>
              <w:t>Payment of Obligations.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102</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6.05</w:t>
            </w:r>
          </w:p>
        </w:tc>
        <w:tc>
          <w:tcPr>
            <w:tcW w:w="7540" w:type="dxa"/>
            <w:vAlign w:val="bottom"/>
          </w:tcPr>
          <w:p>
            <w:pPr>
              <w:ind w:left="240"/>
              <w:spacing w:after="0"/>
              <w:rPr>
                <w:sz w:val="20"/>
                <w:szCs w:val="20"/>
                <w:color w:val="auto"/>
              </w:rPr>
            </w:pPr>
            <w:r>
              <w:rPr>
                <w:rFonts w:ascii="Arial" w:cs="Arial" w:eastAsia="Arial" w:hAnsi="Arial"/>
                <w:sz w:val="19"/>
                <w:szCs w:val="19"/>
                <w:color w:val="auto"/>
              </w:rPr>
              <w:t>Preservation of Existence, Etc.</w:t>
            </w:r>
          </w:p>
        </w:tc>
        <w:tc>
          <w:tcPr>
            <w:tcW w:w="1780" w:type="dxa"/>
            <w:vAlign w:val="bottom"/>
          </w:tcPr>
          <w:p>
            <w:pPr>
              <w:jc w:val="right"/>
              <w:spacing w:after="0"/>
              <w:rPr>
                <w:sz w:val="20"/>
                <w:szCs w:val="20"/>
                <w:color w:val="auto"/>
              </w:rPr>
            </w:pPr>
            <w:r>
              <w:rPr>
                <w:rFonts w:ascii="Arial" w:cs="Arial" w:eastAsia="Arial" w:hAnsi="Arial"/>
                <w:sz w:val="19"/>
                <w:szCs w:val="19"/>
                <w:color w:val="auto"/>
              </w:rPr>
              <w:t>102</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6.06</w:t>
            </w:r>
          </w:p>
        </w:tc>
        <w:tc>
          <w:tcPr>
            <w:tcW w:w="7540" w:type="dxa"/>
            <w:vAlign w:val="bottom"/>
          </w:tcPr>
          <w:p>
            <w:pPr>
              <w:ind w:left="240"/>
              <w:spacing w:after="0"/>
              <w:rPr>
                <w:sz w:val="20"/>
                <w:szCs w:val="20"/>
                <w:color w:val="auto"/>
              </w:rPr>
            </w:pPr>
            <w:r>
              <w:rPr>
                <w:rFonts w:ascii="Arial" w:cs="Arial" w:eastAsia="Arial" w:hAnsi="Arial"/>
                <w:sz w:val="19"/>
                <w:szCs w:val="19"/>
                <w:color w:val="auto"/>
              </w:rPr>
              <w:t>Maintenance of Properties</w:t>
            </w:r>
          </w:p>
        </w:tc>
        <w:tc>
          <w:tcPr>
            <w:tcW w:w="1780" w:type="dxa"/>
            <w:vAlign w:val="bottom"/>
          </w:tcPr>
          <w:p>
            <w:pPr>
              <w:jc w:val="right"/>
              <w:spacing w:after="0"/>
              <w:rPr>
                <w:sz w:val="20"/>
                <w:szCs w:val="20"/>
                <w:color w:val="auto"/>
              </w:rPr>
            </w:pPr>
            <w:r>
              <w:rPr>
                <w:rFonts w:ascii="Arial" w:cs="Arial" w:eastAsia="Arial" w:hAnsi="Arial"/>
                <w:sz w:val="19"/>
                <w:szCs w:val="19"/>
                <w:color w:val="auto"/>
              </w:rPr>
              <w:t>102</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6.07</w:t>
            </w:r>
          </w:p>
        </w:tc>
        <w:tc>
          <w:tcPr>
            <w:tcW w:w="7540" w:type="dxa"/>
            <w:vAlign w:val="bottom"/>
          </w:tcPr>
          <w:p>
            <w:pPr>
              <w:ind w:left="240"/>
              <w:spacing w:after="0"/>
              <w:rPr>
                <w:sz w:val="20"/>
                <w:szCs w:val="20"/>
                <w:color w:val="auto"/>
              </w:rPr>
            </w:pPr>
            <w:r>
              <w:rPr>
                <w:rFonts w:ascii="Arial" w:cs="Arial" w:eastAsia="Arial" w:hAnsi="Arial"/>
                <w:sz w:val="19"/>
                <w:szCs w:val="19"/>
                <w:color w:val="auto"/>
              </w:rPr>
              <w:t>Maintenance of Insurance.</w:t>
            </w:r>
          </w:p>
        </w:tc>
        <w:tc>
          <w:tcPr>
            <w:tcW w:w="1780" w:type="dxa"/>
            <w:vAlign w:val="bottom"/>
          </w:tcPr>
          <w:p>
            <w:pPr>
              <w:jc w:val="right"/>
              <w:spacing w:after="0"/>
              <w:rPr>
                <w:sz w:val="20"/>
                <w:szCs w:val="20"/>
                <w:color w:val="auto"/>
              </w:rPr>
            </w:pPr>
            <w:r>
              <w:rPr>
                <w:rFonts w:ascii="Arial" w:cs="Arial" w:eastAsia="Arial" w:hAnsi="Arial"/>
                <w:sz w:val="19"/>
                <w:szCs w:val="19"/>
                <w:color w:val="auto"/>
              </w:rPr>
              <w:t>103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6.08</w:t>
            </w:r>
          </w:p>
        </w:tc>
        <w:tc>
          <w:tcPr>
            <w:tcW w:w="7540" w:type="dxa"/>
            <w:vAlign w:val="bottom"/>
          </w:tcPr>
          <w:p>
            <w:pPr>
              <w:ind w:left="240"/>
              <w:spacing w:after="0"/>
              <w:rPr>
                <w:sz w:val="20"/>
                <w:szCs w:val="20"/>
                <w:color w:val="auto"/>
              </w:rPr>
            </w:pPr>
            <w:r>
              <w:rPr>
                <w:rFonts w:ascii="Arial" w:cs="Arial" w:eastAsia="Arial" w:hAnsi="Arial"/>
                <w:sz w:val="19"/>
                <w:szCs w:val="19"/>
                <w:color w:val="auto"/>
              </w:rPr>
              <w:t>Compliance with Laws.</w:t>
            </w:r>
          </w:p>
        </w:tc>
        <w:tc>
          <w:tcPr>
            <w:tcW w:w="1780" w:type="dxa"/>
            <w:vAlign w:val="bottom"/>
          </w:tcPr>
          <w:p>
            <w:pPr>
              <w:jc w:val="right"/>
              <w:spacing w:after="0"/>
              <w:rPr>
                <w:sz w:val="20"/>
                <w:szCs w:val="20"/>
                <w:color w:val="auto"/>
              </w:rPr>
            </w:pPr>
            <w:r>
              <w:rPr>
                <w:rFonts w:ascii="Arial" w:cs="Arial" w:eastAsia="Arial" w:hAnsi="Arial"/>
                <w:sz w:val="19"/>
                <w:szCs w:val="19"/>
                <w:color w:val="auto"/>
              </w:rPr>
              <w:t>103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6.09</w:t>
            </w:r>
          </w:p>
        </w:tc>
        <w:tc>
          <w:tcPr>
            <w:tcW w:w="7540" w:type="dxa"/>
            <w:vAlign w:val="bottom"/>
          </w:tcPr>
          <w:p>
            <w:pPr>
              <w:ind w:left="240"/>
              <w:spacing w:after="0"/>
              <w:rPr>
                <w:sz w:val="20"/>
                <w:szCs w:val="20"/>
                <w:color w:val="auto"/>
              </w:rPr>
            </w:pPr>
            <w:r>
              <w:rPr>
                <w:rFonts w:ascii="Arial" w:cs="Arial" w:eastAsia="Arial" w:hAnsi="Arial"/>
                <w:sz w:val="19"/>
                <w:szCs w:val="19"/>
                <w:color w:val="auto"/>
              </w:rPr>
              <w:t>Books and Records.</w:t>
            </w:r>
          </w:p>
        </w:tc>
        <w:tc>
          <w:tcPr>
            <w:tcW w:w="1780" w:type="dxa"/>
            <w:vAlign w:val="bottom"/>
          </w:tcPr>
          <w:p>
            <w:pPr>
              <w:jc w:val="right"/>
              <w:spacing w:after="0"/>
              <w:rPr>
                <w:sz w:val="20"/>
                <w:szCs w:val="20"/>
                <w:color w:val="auto"/>
              </w:rPr>
            </w:pPr>
            <w:r>
              <w:rPr>
                <w:rFonts w:ascii="Arial" w:cs="Arial" w:eastAsia="Arial" w:hAnsi="Arial"/>
                <w:sz w:val="19"/>
                <w:szCs w:val="19"/>
                <w:color w:val="auto"/>
              </w:rPr>
              <w:t>103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6.10</w:t>
            </w:r>
          </w:p>
        </w:tc>
        <w:tc>
          <w:tcPr>
            <w:tcW w:w="7540" w:type="dxa"/>
            <w:vAlign w:val="bottom"/>
          </w:tcPr>
          <w:p>
            <w:pPr>
              <w:ind w:left="240"/>
              <w:spacing w:after="0"/>
              <w:rPr>
                <w:sz w:val="20"/>
                <w:szCs w:val="20"/>
                <w:color w:val="auto"/>
              </w:rPr>
            </w:pPr>
            <w:r>
              <w:rPr>
                <w:rFonts w:ascii="Arial" w:cs="Arial" w:eastAsia="Arial" w:hAnsi="Arial"/>
                <w:sz w:val="19"/>
                <w:szCs w:val="19"/>
                <w:color w:val="auto"/>
              </w:rPr>
              <w:t>Inspection Rights.</w:t>
            </w:r>
          </w:p>
        </w:tc>
        <w:tc>
          <w:tcPr>
            <w:tcW w:w="178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43"/>
        </w:trPr>
        <w:tc>
          <w:tcPr>
            <w:tcW w:w="1360" w:type="dxa"/>
            <w:vAlign w:val="bottom"/>
          </w:tcPr>
          <w:p>
            <w:pPr>
              <w:jc w:val="right"/>
              <w:ind w:right="145"/>
              <w:spacing w:after="0"/>
              <w:rPr>
                <w:sz w:val="20"/>
                <w:szCs w:val="20"/>
                <w:color w:val="auto"/>
              </w:rPr>
            </w:pPr>
            <w:r>
              <w:rPr>
                <w:rFonts w:ascii="Arial" w:cs="Arial" w:eastAsia="Arial" w:hAnsi="Arial"/>
                <w:sz w:val="19"/>
                <w:szCs w:val="19"/>
                <w:color w:val="auto"/>
              </w:rPr>
              <w:t>6.11</w:t>
            </w:r>
          </w:p>
        </w:tc>
        <w:tc>
          <w:tcPr>
            <w:tcW w:w="7540" w:type="dxa"/>
            <w:vAlign w:val="bottom"/>
          </w:tcPr>
          <w:p>
            <w:pPr>
              <w:ind w:left="240"/>
              <w:spacing w:after="0"/>
              <w:rPr>
                <w:sz w:val="20"/>
                <w:szCs w:val="20"/>
                <w:color w:val="auto"/>
              </w:rPr>
            </w:pPr>
            <w:r>
              <w:rPr>
                <w:rFonts w:ascii="Arial" w:cs="Arial" w:eastAsia="Arial" w:hAnsi="Arial"/>
                <w:sz w:val="19"/>
                <w:szCs w:val="19"/>
                <w:color w:val="auto"/>
              </w:rPr>
              <w:t>Use of Proceeds</w:t>
            </w:r>
          </w:p>
        </w:tc>
        <w:tc>
          <w:tcPr>
            <w:tcW w:w="178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6.12</w:t>
            </w:r>
          </w:p>
        </w:tc>
        <w:tc>
          <w:tcPr>
            <w:tcW w:w="7540" w:type="dxa"/>
            <w:vAlign w:val="bottom"/>
          </w:tcPr>
          <w:p>
            <w:pPr>
              <w:ind w:left="240"/>
              <w:spacing w:after="0"/>
              <w:rPr>
                <w:sz w:val="20"/>
                <w:szCs w:val="20"/>
                <w:color w:val="auto"/>
              </w:rPr>
            </w:pPr>
            <w:r>
              <w:rPr>
                <w:rFonts w:ascii="Arial" w:cs="Arial" w:eastAsia="Arial" w:hAnsi="Arial"/>
                <w:sz w:val="19"/>
                <w:szCs w:val="19"/>
                <w:color w:val="auto"/>
              </w:rPr>
              <w:t>Covenant to Guarantee Obligations.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104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6.13</w:t>
            </w:r>
          </w:p>
        </w:tc>
        <w:tc>
          <w:tcPr>
            <w:tcW w:w="7540" w:type="dxa"/>
            <w:vAlign w:val="bottom"/>
          </w:tcPr>
          <w:p>
            <w:pPr>
              <w:ind w:left="240"/>
              <w:spacing w:after="0"/>
              <w:rPr>
                <w:sz w:val="20"/>
                <w:szCs w:val="20"/>
                <w:color w:val="auto"/>
              </w:rPr>
            </w:pPr>
            <w:r>
              <w:rPr>
                <w:rFonts w:ascii="Arial" w:cs="Arial" w:eastAsia="Arial" w:hAnsi="Arial"/>
                <w:sz w:val="19"/>
                <w:szCs w:val="19"/>
                <w:color w:val="auto"/>
              </w:rPr>
              <w:t>Covenant to Give Security.</w:t>
            </w:r>
          </w:p>
        </w:tc>
        <w:tc>
          <w:tcPr>
            <w:tcW w:w="1780" w:type="dxa"/>
            <w:vAlign w:val="bottom"/>
          </w:tcPr>
          <w:p>
            <w:pPr>
              <w:jc w:val="right"/>
              <w:spacing w:after="0"/>
              <w:rPr>
                <w:sz w:val="20"/>
                <w:szCs w:val="20"/>
                <w:color w:val="auto"/>
              </w:rPr>
            </w:pPr>
            <w:r>
              <w:rPr>
                <w:rFonts w:ascii="Arial" w:cs="Arial" w:eastAsia="Arial" w:hAnsi="Arial"/>
                <w:sz w:val="19"/>
                <w:szCs w:val="19"/>
                <w:color w:val="auto"/>
              </w:rPr>
              <w:t>105</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6.14</w:t>
            </w:r>
          </w:p>
        </w:tc>
        <w:tc>
          <w:tcPr>
            <w:tcW w:w="7540" w:type="dxa"/>
            <w:vAlign w:val="bottom"/>
          </w:tcPr>
          <w:p>
            <w:pPr>
              <w:ind w:left="240"/>
              <w:spacing w:after="0"/>
              <w:rPr>
                <w:sz w:val="20"/>
                <w:szCs w:val="20"/>
                <w:color w:val="auto"/>
              </w:rPr>
            </w:pPr>
            <w:r>
              <w:rPr>
                <w:rFonts w:ascii="Arial" w:cs="Arial" w:eastAsia="Arial" w:hAnsi="Arial"/>
                <w:sz w:val="19"/>
                <w:szCs w:val="19"/>
                <w:color w:val="auto"/>
              </w:rPr>
              <w:t>Anti-Corruption Laws; Sanctions.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6.15</w:t>
            </w:r>
          </w:p>
        </w:tc>
        <w:tc>
          <w:tcPr>
            <w:tcW w:w="7540" w:type="dxa"/>
            <w:vAlign w:val="bottom"/>
          </w:tcPr>
          <w:p>
            <w:pPr>
              <w:ind w:left="240"/>
              <w:spacing w:after="0"/>
              <w:rPr>
                <w:sz w:val="20"/>
                <w:szCs w:val="20"/>
                <w:color w:val="auto"/>
              </w:rPr>
            </w:pPr>
            <w:r>
              <w:rPr>
                <w:rFonts w:ascii="Arial" w:cs="Arial" w:eastAsia="Arial" w:hAnsi="Arial"/>
                <w:sz w:val="19"/>
                <w:szCs w:val="19"/>
                <w:color w:val="auto"/>
              </w:rPr>
              <w:t>Further Assurances.</w:t>
            </w:r>
          </w:p>
        </w:tc>
        <w:tc>
          <w:tcPr>
            <w:tcW w:w="178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6.16</w:t>
            </w:r>
          </w:p>
        </w:tc>
        <w:tc>
          <w:tcPr>
            <w:tcW w:w="7540" w:type="dxa"/>
            <w:vAlign w:val="bottom"/>
          </w:tcPr>
          <w:p>
            <w:pPr>
              <w:ind w:left="240"/>
              <w:spacing w:after="0"/>
              <w:rPr>
                <w:sz w:val="20"/>
                <w:szCs w:val="20"/>
                <w:color w:val="auto"/>
              </w:rPr>
            </w:pPr>
            <w:r>
              <w:rPr>
                <w:rFonts w:ascii="Arial" w:cs="Arial" w:eastAsia="Arial" w:hAnsi="Arial"/>
                <w:sz w:val="19"/>
                <w:szCs w:val="19"/>
                <w:color w:val="auto"/>
              </w:rPr>
              <w:t>Post-Closing Covenant.</w:t>
            </w:r>
          </w:p>
        </w:tc>
        <w:tc>
          <w:tcPr>
            <w:tcW w:w="1780" w:type="dxa"/>
            <w:vAlign w:val="bottom"/>
          </w:tcPr>
          <w:p>
            <w:pPr>
              <w:jc w:val="right"/>
              <w:spacing w:after="0"/>
              <w:rPr>
                <w:sz w:val="20"/>
                <w:szCs w:val="20"/>
                <w:color w:val="auto"/>
              </w:rPr>
            </w:pPr>
            <w:r>
              <w:rPr>
                <w:rFonts w:ascii="Arial" w:cs="Arial" w:eastAsia="Arial" w:hAnsi="Arial"/>
                <w:sz w:val="19"/>
                <w:szCs w:val="19"/>
                <w:color w:val="auto"/>
              </w:rPr>
              <w:t>107</w:t>
            </w:r>
          </w:p>
        </w:tc>
      </w:tr>
      <w:tr>
        <w:trPr>
          <w:trHeight w:val="243"/>
        </w:trPr>
        <w:tc>
          <w:tcPr>
            <w:tcW w:w="8900" w:type="dxa"/>
            <w:vAlign w:val="bottom"/>
            <w:gridSpan w:val="2"/>
          </w:tcPr>
          <w:p>
            <w:pPr>
              <w:spacing w:after="0"/>
              <w:rPr>
                <w:sz w:val="20"/>
                <w:szCs w:val="20"/>
                <w:color w:val="auto"/>
              </w:rPr>
            </w:pPr>
            <w:r>
              <w:rPr>
                <w:rFonts w:ascii="Arial" w:cs="Arial" w:eastAsia="Arial" w:hAnsi="Arial"/>
                <w:sz w:val="19"/>
                <w:szCs w:val="19"/>
                <w:color w:val="auto"/>
              </w:rPr>
              <w:t>ARTICLE VII NEGATIVE COVENANTS</w:t>
            </w:r>
          </w:p>
        </w:tc>
        <w:tc>
          <w:tcPr>
            <w:tcW w:w="1780" w:type="dxa"/>
            <w:vAlign w:val="bottom"/>
          </w:tcPr>
          <w:p>
            <w:pPr>
              <w:jc w:val="right"/>
              <w:spacing w:after="0"/>
              <w:rPr>
                <w:sz w:val="20"/>
                <w:szCs w:val="20"/>
                <w:color w:val="auto"/>
              </w:rPr>
            </w:pPr>
            <w:r>
              <w:rPr>
                <w:rFonts w:ascii="Arial" w:cs="Arial" w:eastAsia="Arial" w:hAnsi="Arial"/>
                <w:sz w:val="19"/>
                <w:szCs w:val="19"/>
                <w:color w:val="auto"/>
              </w:rPr>
              <w:t>107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7.01</w:t>
            </w:r>
          </w:p>
        </w:tc>
        <w:tc>
          <w:tcPr>
            <w:tcW w:w="7540" w:type="dxa"/>
            <w:vAlign w:val="bottom"/>
          </w:tcPr>
          <w:p>
            <w:pPr>
              <w:ind w:left="240"/>
              <w:spacing w:after="0"/>
              <w:rPr>
                <w:sz w:val="20"/>
                <w:szCs w:val="20"/>
                <w:color w:val="auto"/>
              </w:rPr>
            </w:pPr>
            <w:r>
              <w:rPr>
                <w:rFonts w:ascii="Arial" w:cs="Arial" w:eastAsia="Arial" w:hAnsi="Arial"/>
                <w:sz w:val="19"/>
                <w:szCs w:val="19"/>
                <w:color w:val="auto"/>
              </w:rPr>
              <w:t>Liens.</w:t>
            </w:r>
          </w:p>
        </w:tc>
        <w:tc>
          <w:tcPr>
            <w:tcW w:w="1780" w:type="dxa"/>
            <w:vAlign w:val="bottom"/>
          </w:tcPr>
          <w:p>
            <w:pPr>
              <w:jc w:val="right"/>
              <w:spacing w:after="0"/>
              <w:rPr>
                <w:sz w:val="20"/>
                <w:szCs w:val="20"/>
                <w:color w:val="auto"/>
              </w:rPr>
            </w:pPr>
            <w:r>
              <w:rPr>
                <w:rFonts w:ascii="Arial" w:cs="Arial" w:eastAsia="Arial" w:hAnsi="Arial"/>
                <w:sz w:val="19"/>
                <w:szCs w:val="19"/>
                <w:color w:val="auto"/>
              </w:rPr>
              <w:t>107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7.02</w:t>
            </w:r>
          </w:p>
        </w:tc>
        <w:tc>
          <w:tcPr>
            <w:tcW w:w="7540" w:type="dxa"/>
            <w:vAlign w:val="bottom"/>
          </w:tcPr>
          <w:p>
            <w:pPr>
              <w:ind w:left="240"/>
              <w:spacing w:after="0"/>
              <w:rPr>
                <w:sz w:val="20"/>
                <w:szCs w:val="20"/>
                <w:color w:val="auto"/>
              </w:rPr>
            </w:pPr>
            <w:r>
              <w:rPr>
                <w:rFonts w:ascii="Arial" w:cs="Arial" w:eastAsia="Arial" w:hAnsi="Arial"/>
                <w:sz w:val="19"/>
                <w:szCs w:val="19"/>
                <w:color w:val="auto"/>
              </w:rPr>
              <w:t>Indebtedness.</w:t>
            </w:r>
          </w:p>
        </w:tc>
        <w:tc>
          <w:tcPr>
            <w:tcW w:w="1780" w:type="dxa"/>
            <w:vAlign w:val="bottom"/>
          </w:tcPr>
          <w:p>
            <w:pPr>
              <w:jc w:val="right"/>
              <w:spacing w:after="0"/>
              <w:rPr>
                <w:sz w:val="20"/>
                <w:szCs w:val="20"/>
                <w:color w:val="auto"/>
              </w:rPr>
            </w:pPr>
            <w:r>
              <w:rPr>
                <w:rFonts w:ascii="Arial" w:cs="Arial" w:eastAsia="Arial" w:hAnsi="Arial"/>
                <w:sz w:val="19"/>
                <w:szCs w:val="19"/>
                <w:color w:val="auto"/>
              </w:rPr>
              <w:t>109</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7.03</w:t>
            </w:r>
          </w:p>
        </w:tc>
        <w:tc>
          <w:tcPr>
            <w:tcW w:w="7540" w:type="dxa"/>
            <w:vAlign w:val="bottom"/>
          </w:tcPr>
          <w:p>
            <w:pPr>
              <w:ind w:left="240"/>
              <w:spacing w:after="0"/>
              <w:rPr>
                <w:sz w:val="20"/>
                <w:szCs w:val="20"/>
                <w:color w:val="auto"/>
              </w:rPr>
            </w:pPr>
            <w:r>
              <w:rPr>
                <w:rFonts w:ascii="Arial" w:cs="Arial" w:eastAsia="Arial" w:hAnsi="Arial"/>
                <w:sz w:val="19"/>
                <w:szCs w:val="19"/>
                <w:color w:val="auto"/>
              </w:rPr>
              <w:t>Investments.</w:t>
            </w:r>
          </w:p>
        </w:tc>
        <w:tc>
          <w:tcPr>
            <w:tcW w:w="1780" w:type="dxa"/>
            <w:vAlign w:val="bottom"/>
          </w:tcPr>
          <w:p>
            <w:pPr>
              <w:jc w:val="right"/>
              <w:spacing w:after="0"/>
              <w:rPr>
                <w:sz w:val="20"/>
                <w:szCs w:val="20"/>
                <w:color w:val="auto"/>
              </w:rPr>
            </w:pPr>
            <w:r>
              <w:rPr>
                <w:rFonts w:ascii="Arial" w:cs="Arial" w:eastAsia="Arial" w:hAnsi="Arial"/>
                <w:sz w:val="19"/>
                <w:szCs w:val="19"/>
                <w:color w:val="auto"/>
              </w:rPr>
              <w:t>111</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7.04</w:t>
            </w:r>
          </w:p>
        </w:tc>
        <w:tc>
          <w:tcPr>
            <w:tcW w:w="7540" w:type="dxa"/>
            <w:vAlign w:val="bottom"/>
          </w:tcPr>
          <w:p>
            <w:pPr>
              <w:ind w:left="240"/>
              <w:spacing w:after="0"/>
              <w:rPr>
                <w:sz w:val="20"/>
                <w:szCs w:val="20"/>
                <w:color w:val="auto"/>
              </w:rPr>
            </w:pPr>
            <w:r>
              <w:rPr>
                <w:rFonts w:ascii="Arial" w:cs="Arial" w:eastAsia="Arial" w:hAnsi="Arial"/>
                <w:sz w:val="19"/>
                <w:szCs w:val="19"/>
                <w:color w:val="auto"/>
              </w:rPr>
              <w:t>Fundamental Changes.</w:t>
            </w:r>
          </w:p>
        </w:tc>
        <w:tc>
          <w:tcPr>
            <w:tcW w:w="1780" w:type="dxa"/>
            <w:vAlign w:val="bottom"/>
          </w:tcPr>
          <w:p>
            <w:pPr>
              <w:jc w:val="right"/>
              <w:spacing w:after="0"/>
              <w:rPr>
                <w:sz w:val="20"/>
                <w:szCs w:val="20"/>
                <w:color w:val="auto"/>
              </w:rPr>
            </w:pPr>
            <w:r>
              <w:rPr>
                <w:rFonts w:ascii="Arial" w:cs="Arial" w:eastAsia="Arial" w:hAnsi="Arial"/>
                <w:sz w:val="19"/>
                <w:szCs w:val="19"/>
                <w:color w:val="auto"/>
              </w:rPr>
              <w:t>113</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7.05</w:t>
            </w:r>
          </w:p>
        </w:tc>
        <w:tc>
          <w:tcPr>
            <w:tcW w:w="7540" w:type="dxa"/>
            <w:vAlign w:val="bottom"/>
          </w:tcPr>
          <w:p>
            <w:pPr>
              <w:ind w:left="240"/>
              <w:spacing w:after="0"/>
              <w:rPr>
                <w:sz w:val="20"/>
                <w:szCs w:val="20"/>
                <w:color w:val="auto"/>
              </w:rPr>
            </w:pPr>
            <w:r>
              <w:rPr>
                <w:rFonts w:ascii="Arial" w:cs="Arial" w:eastAsia="Arial" w:hAnsi="Arial"/>
                <w:sz w:val="19"/>
                <w:szCs w:val="19"/>
                <w:color w:val="auto"/>
              </w:rPr>
              <w:t>Dispositions.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114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7.06</w:t>
            </w:r>
          </w:p>
        </w:tc>
        <w:tc>
          <w:tcPr>
            <w:tcW w:w="7540" w:type="dxa"/>
            <w:vAlign w:val="bottom"/>
          </w:tcPr>
          <w:p>
            <w:pPr>
              <w:ind w:left="240"/>
              <w:spacing w:after="0"/>
              <w:rPr>
                <w:sz w:val="20"/>
                <w:szCs w:val="20"/>
                <w:color w:val="auto"/>
              </w:rPr>
            </w:pPr>
            <w:r>
              <w:rPr>
                <w:rFonts w:ascii="Arial" w:cs="Arial" w:eastAsia="Arial" w:hAnsi="Arial"/>
                <w:sz w:val="19"/>
                <w:szCs w:val="19"/>
                <w:color w:val="auto"/>
              </w:rPr>
              <w:t>Restricted Payments</w:t>
            </w:r>
          </w:p>
        </w:tc>
        <w:tc>
          <w:tcPr>
            <w:tcW w:w="1780" w:type="dxa"/>
            <w:vAlign w:val="bottom"/>
          </w:tcPr>
          <w:p>
            <w:pPr>
              <w:jc w:val="right"/>
              <w:spacing w:after="0"/>
              <w:rPr>
                <w:sz w:val="20"/>
                <w:szCs w:val="20"/>
                <w:color w:val="auto"/>
              </w:rPr>
            </w:pPr>
            <w:r>
              <w:rPr>
                <w:rFonts w:ascii="Arial" w:cs="Arial" w:eastAsia="Arial" w:hAnsi="Arial"/>
                <w:sz w:val="19"/>
                <w:szCs w:val="19"/>
                <w:color w:val="auto"/>
              </w:rPr>
              <w:t>114</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7.07</w:t>
            </w:r>
          </w:p>
        </w:tc>
        <w:tc>
          <w:tcPr>
            <w:tcW w:w="7540" w:type="dxa"/>
            <w:vAlign w:val="bottom"/>
          </w:tcPr>
          <w:p>
            <w:pPr>
              <w:ind w:left="240"/>
              <w:spacing w:after="0"/>
              <w:rPr>
                <w:sz w:val="20"/>
                <w:szCs w:val="20"/>
                <w:color w:val="auto"/>
              </w:rPr>
            </w:pPr>
            <w:r>
              <w:rPr>
                <w:rFonts w:ascii="Arial" w:cs="Arial" w:eastAsia="Arial" w:hAnsi="Arial"/>
                <w:sz w:val="19"/>
                <w:szCs w:val="19"/>
                <w:color w:val="auto"/>
              </w:rPr>
              <w:t>Change in Nature of Business.</w:t>
            </w:r>
          </w:p>
        </w:tc>
        <w:tc>
          <w:tcPr>
            <w:tcW w:w="1780" w:type="dxa"/>
            <w:vAlign w:val="bottom"/>
          </w:tcPr>
          <w:p>
            <w:pPr>
              <w:jc w:val="right"/>
              <w:spacing w:after="0"/>
              <w:rPr>
                <w:sz w:val="20"/>
                <w:szCs w:val="20"/>
                <w:color w:val="auto"/>
              </w:rPr>
            </w:pPr>
            <w:r>
              <w:rPr>
                <w:rFonts w:ascii="Arial" w:cs="Arial" w:eastAsia="Arial" w:hAnsi="Arial"/>
                <w:sz w:val="19"/>
                <w:szCs w:val="19"/>
                <w:color w:val="auto"/>
              </w:rPr>
              <w:t>115</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7.08</w:t>
            </w:r>
          </w:p>
        </w:tc>
        <w:tc>
          <w:tcPr>
            <w:tcW w:w="7540" w:type="dxa"/>
            <w:vAlign w:val="bottom"/>
          </w:tcPr>
          <w:p>
            <w:pPr>
              <w:ind w:left="240"/>
              <w:spacing w:after="0"/>
              <w:rPr>
                <w:sz w:val="20"/>
                <w:szCs w:val="20"/>
                <w:color w:val="auto"/>
              </w:rPr>
            </w:pPr>
            <w:r>
              <w:rPr>
                <w:rFonts w:ascii="Arial" w:cs="Arial" w:eastAsia="Arial" w:hAnsi="Arial"/>
                <w:sz w:val="19"/>
                <w:szCs w:val="19"/>
                <w:color w:val="auto"/>
              </w:rPr>
              <w:t>Transactions with Affiliates.</w:t>
            </w:r>
          </w:p>
        </w:tc>
        <w:tc>
          <w:tcPr>
            <w:tcW w:w="1780" w:type="dxa"/>
            <w:vAlign w:val="bottom"/>
          </w:tcPr>
          <w:p>
            <w:pPr>
              <w:jc w:val="right"/>
              <w:spacing w:after="0"/>
              <w:rPr>
                <w:sz w:val="20"/>
                <w:szCs w:val="20"/>
                <w:color w:val="auto"/>
              </w:rPr>
            </w:pPr>
            <w:r>
              <w:rPr>
                <w:rFonts w:ascii="Arial" w:cs="Arial" w:eastAsia="Arial" w:hAnsi="Arial"/>
                <w:sz w:val="19"/>
                <w:szCs w:val="19"/>
                <w:color w:val="auto"/>
              </w:rPr>
              <w:t>115</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7.09</w:t>
            </w:r>
          </w:p>
        </w:tc>
        <w:tc>
          <w:tcPr>
            <w:tcW w:w="7540" w:type="dxa"/>
            <w:vAlign w:val="bottom"/>
          </w:tcPr>
          <w:p>
            <w:pPr>
              <w:ind w:left="240"/>
              <w:spacing w:after="0"/>
              <w:rPr>
                <w:sz w:val="20"/>
                <w:szCs w:val="20"/>
                <w:color w:val="auto"/>
              </w:rPr>
            </w:pPr>
            <w:r>
              <w:rPr>
                <w:rFonts w:ascii="Arial" w:cs="Arial" w:eastAsia="Arial" w:hAnsi="Arial"/>
                <w:sz w:val="19"/>
                <w:szCs w:val="19"/>
                <w:color w:val="auto"/>
              </w:rPr>
              <w:t>Burdensome Agreements.</w:t>
            </w:r>
          </w:p>
        </w:tc>
        <w:tc>
          <w:tcPr>
            <w:tcW w:w="1780" w:type="dxa"/>
            <w:vAlign w:val="bottom"/>
          </w:tcPr>
          <w:p>
            <w:pPr>
              <w:jc w:val="right"/>
              <w:spacing w:after="0"/>
              <w:rPr>
                <w:sz w:val="20"/>
                <w:szCs w:val="20"/>
                <w:color w:val="auto"/>
              </w:rPr>
            </w:pPr>
            <w:r>
              <w:rPr>
                <w:rFonts w:ascii="Arial" w:cs="Arial" w:eastAsia="Arial" w:hAnsi="Arial"/>
                <w:sz w:val="19"/>
                <w:szCs w:val="19"/>
                <w:color w:val="auto"/>
              </w:rPr>
              <w:t>116</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7.10</w:t>
            </w:r>
          </w:p>
        </w:tc>
        <w:tc>
          <w:tcPr>
            <w:tcW w:w="7540" w:type="dxa"/>
            <w:vAlign w:val="bottom"/>
          </w:tcPr>
          <w:p>
            <w:pPr>
              <w:ind w:left="240"/>
              <w:spacing w:after="0"/>
              <w:rPr>
                <w:sz w:val="20"/>
                <w:szCs w:val="20"/>
                <w:color w:val="auto"/>
              </w:rPr>
            </w:pPr>
            <w:r>
              <w:rPr>
                <w:rFonts w:ascii="Arial" w:cs="Arial" w:eastAsia="Arial" w:hAnsi="Arial"/>
                <w:sz w:val="19"/>
                <w:szCs w:val="19"/>
                <w:color w:val="auto"/>
              </w:rPr>
              <w:t>Use of Proceeds</w:t>
            </w:r>
          </w:p>
        </w:tc>
        <w:tc>
          <w:tcPr>
            <w:tcW w:w="178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19"/>
        </w:trPr>
        <w:tc>
          <w:tcPr>
            <w:tcW w:w="1360" w:type="dxa"/>
            <w:vAlign w:val="bottom"/>
          </w:tcPr>
          <w:p>
            <w:pPr>
              <w:jc w:val="right"/>
              <w:ind w:right="145"/>
              <w:spacing w:after="0"/>
              <w:rPr>
                <w:sz w:val="20"/>
                <w:szCs w:val="20"/>
                <w:color w:val="auto"/>
              </w:rPr>
            </w:pPr>
            <w:r>
              <w:rPr>
                <w:rFonts w:ascii="Arial" w:cs="Arial" w:eastAsia="Arial" w:hAnsi="Arial"/>
                <w:sz w:val="19"/>
                <w:szCs w:val="19"/>
                <w:color w:val="auto"/>
              </w:rPr>
              <w:t>7.11</w:t>
            </w:r>
          </w:p>
        </w:tc>
        <w:tc>
          <w:tcPr>
            <w:tcW w:w="7540" w:type="dxa"/>
            <w:vAlign w:val="bottom"/>
          </w:tcPr>
          <w:p>
            <w:pPr>
              <w:ind w:left="240"/>
              <w:spacing w:after="0"/>
              <w:rPr>
                <w:sz w:val="20"/>
                <w:szCs w:val="20"/>
                <w:color w:val="auto"/>
              </w:rPr>
            </w:pPr>
            <w:r>
              <w:rPr>
                <w:rFonts w:ascii="Arial" w:cs="Arial" w:eastAsia="Arial" w:hAnsi="Arial"/>
                <w:sz w:val="19"/>
                <w:szCs w:val="19"/>
                <w:color w:val="auto"/>
              </w:rPr>
              <w:t>Financial Covenants.</w:t>
            </w:r>
          </w:p>
        </w:tc>
        <w:tc>
          <w:tcPr>
            <w:tcW w:w="178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70"/>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7.12</w:t>
            </w:r>
          </w:p>
        </w:tc>
        <w:tc>
          <w:tcPr>
            <w:tcW w:w="7540" w:type="dxa"/>
            <w:vAlign w:val="bottom"/>
          </w:tcPr>
          <w:p>
            <w:pPr>
              <w:ind w:left="240"/>
              <w:spacing w:after="0"/>
              <w:rPr>
                <w:sz w:val="20"/>
                <w:szCs w:val="20"/>
                <w:color w:val="auto"/>
              </w:rPr>
            </w:pPr>
            <w:r>
              <w:rPr>
                <w:rFonts w:ascii="Arial" w:cs="Arial" w:eastAsia="Arial" w:hAnsi="Arial"/>
                <w:sz w:val="19"/>
                <w:szCs w:val="19"/>
                <w:color w:val="auto"/>
              </w:rPr>
              <w:t>Amendments of Organization Documents; Fiscal Year; Legal Name, State of</w:t>
            </w:r>
          </w:p>
        </w:tc>
        <w:tc>
          <w:tcPr>
            <w:tcW w:w="1780" w:type="dxa"/>
            <w:vAlign w:val="bottom"/>
          </w:tcPr>
          <w:p>
            <w:pPr>
              <w:spacing w:after="0"/>
              <w:rPr>
                <w:sz w:val="23"/>
                <w:szCs w:val="23"/>
                <w:color w:val="auto"/>
              </w:rPr>
            </w:pPr>
          </w:p>
        </w:tc>
      </w:tr>
      <w:tr>
        <w:trPr>
          <w:trHeight w:val="240"/>
        </w:trPr>
        <w:tc>
          <w:tcPr>
            <w:tcW w:w="1360" w:type="dxa"/>
            <w:vAlign w:val="bottom"/>
          </w:tcPr>
          <w:p>
            <w:pPr>
              <w:spacing w:after="0"/>
              <w:rPr>
                <w:sz w:val="20"/>
                <w:szCs w:val="20"/>
                <w:color w:val="auto"/>
              </w:rPr>
            </w:pPr>
          </w:p>
        </w:tc>
        <w:tc>
          <w:tcPr>
            <w:tcW w:w="7540" w:type="dxa"/>
            <w:vAlign w:val="bottom"/>
          </w:tcPr>
          <w:p>
            <w:pPr>
              <w:ind w:left="240"/>
              <w:spacing w:after="0"/>
              <w:rPr>
                <w:sz w:val="20"/>
                <w:szCs w:val="20"/>
                <w:color w:val="auto"/>
              </w:rPr>
            </w:pPr>
            <w:r>
              <w:rPr>
                <w:rFonts w:ascii="Arial" w:cs="Arial" w:eastAsia="Arial" w:hAnsi="Arial"/>
                <w:sz w:val="19"/>
                <w:szCs w:val="19"/>
                <w:color w:val="auto"/>
              </w:rPr>
              <w:t>Formation; Form of Entity and Accounting Changes.</w:t>
            </w:r>
          </w:p>
        </w:tc>
        <w:tc>
          <w:tcPr>
            <w:tcW w:w="178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7.13</w:t>
            </w:r>
          </w:p>
        </w:tc>
        <w:tc>
          <w:tcPr>
            <w:tcW w:w="7540" w:type="dxa"/>
            <w:vAlign w:val="bottom"/>
          </w:tcPr>
          <w:p>
            <w:pPr>
              <w:ind w:left="240"/>
              <w:spacing w:after="0"/>
              <w:rPr>
                <w:sz w:val="20"/>
                <w:szCs w:val="20"/>
                <w:color w:val="auto"/>
              </w:rPr>
            </w:pPr>
            <w:r>
              <w:rPr>
                <w:rFonts w:ascii="Arial" w:cs="Arial" w:eastAsia="Arial" w:hAnsi="Arial"/>
                <w:sz w:val="19"/>
                <w:szCs w:val="19"/>
                <w:color w:val="auto"/>
              </w:rPr>
              <w:t>Prepayments, Etc. of Indebtedness.</w:t>
            </w:r>
          </w:p>
        </w:tc>
        <w:tc>
          <w:tcPr>
            <w:tcW w:w="178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7.14</w:t>
            </w:r>
          </w:p>
        </w:tc>
        <w:tc>
          <w:tcPr>
            <w:tcW w:w="7540" w:type="dxa"/>
            <w:vAlign w:val="bottom"/>
          </w:tcPr>
          <w:p>
            <w:pPr>
              <w:ind w:left="240"/>
              <w:spacing w:after="0"/>
              <w:rPr>
                <w:sz w:val="20"/>
                <w:szCs w:val="20"/>
                <w:color w:val="auto"/>
              </w:rPr>
            </w:pPr>
            <w:r>
              <w:rPr>
                <w:rFonts w:ascii="Arial" w:cs="Arial" w:eastAsia="Arial" w:hAnsi="Arial"/>
                <w:sz w:val="19"/>
                <w:szCs w:val="19"/>
                <w:color w:val="auto"/>
              </w:rPr>
              <w:t>Sale and Leaseback Transactions.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7.15</w:t>
            </w:r>
          </w:p>
        </w:tc>
        <w:tc>
          <w:tcPr>
            <w:tcW w:w="7540" w:type="dxa"/>
            <w:vAlign w:val="bottom"/>
          </w:tcPr>
          <w:p>
            <w:pPr>
              <w:ind w:left="240"/>
              <w:spacing w:after="0"/>
              <w:rPr>
                <w:sz w:val="20"/>
                <w:szCs w:val="20"/>
                <w:color w:val="auto"/>
              </w:rPr>
            </w:pPr>
            <w:r>
              <w:rPr>
                <w:rFonts w:ascii="Arial" w:cs="Arial" w:eastAsia="Arial" w:hAnsi="Arial"/>
                <w:sz w:val="19"/>
                <w:szCs w:val="19"/>
                <w:color w:val="auto"/>
              </w:rPr>
              <w:t>Sanctions.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43"/>
        </w:trPr>
        <w:tc>
          <w:tcPr>
            <w:tcW w:w="1360" w:type="dxa"/>
            <w:vAlign w:val="bottom"/>
          </w:tcPr>
          <w:p>
            <w:pPr>
              <w:jc w:val="right"/>
              <w:ind w:right="125"/>
              <w:spacing w:after="0"/>
              <w:rPr>
                <w:sz w:val="20"/>
                <w:szCs w:val="20"/>
                <w:color w:val="auto"/>
              </w:rPr>
            </w:pPr>
            <w:r>
              <w:rPr>
                <w:rFonts w:ascii="Arial" w:cs="Arial" w:eastAsia="Arial" w:hAnsi="Arial"/>
                <w:sz w:val="19"/>
                <w:szCs w:val="19"/>
                <w:color w:val="auto"/>
              </w:rPr>
              <w:t>7.16</w:t>
            </w:r>
          </w:p>
        </w:tc>
        <w:tc>
          <w:tcPr>
            <w:tcW w:w="7540" w:type="dxa"/>
            <w:vAlign w:val="bottom"/>
          </w:tcPr>
          <w:p>
            <w:pPr>
              <w:ind w:left="240"/>
              <w:spacing w:after="0"/>
              <w:rPr>
                <w:sz w:val="20"/>
                <w:szCs w:val="20"/>
                <w:color w:val="auto"/>
              </w:rPr>
            </w:pPr>
            <w:r>
              <w:rPr>
                <w:rFonts w:ascii="Arial" w:cs="Arial" w:eastAsia="Arial" w:hAnsi="Arial"/>
                <w:sz w:val="19"/>
                <w:szCs w:val="19"/>
                <w:color w:val="auto"/>
              </w:rPr>
              <w:t>Anti-Corruption Laws.</w:t>
            </w:r>
          </w:p>
        </w:tc>
        <w:tc>
          <w:tcPr>
            <w:tcW w:w="1780" w:type="dxa"/>
            <w:vAlign w:val="bottom"/>
          </w:tcPr>
          <w:p>
            <w:pPr>
              <w:jc w:val="right"/>
              <w:spacing w:after="0"/>
              <w:rPr>
                <w:sz w:val="20"/>
                <w:szCs w:val="20"/>
                <w:color w:val="auto"/>
              </w:rPr>
            </w:pPr>
            <w:r>
              <w:rPr>
                <w:rFonts w:ascii="Arial" w:cs="Arial" w:eastAsia="Arial" w:hAnsi="Arial"/>
                <w:sz w:val="19"/>
                <w:szCs w:val="19"/>
                <w:color w:val="auto"/>
              </w:rPr>
              <w:t>119</w:t>
            </w:r>
          </w:p>
        </w:tc>
      </w:tr>
    </w:tbl>
    <w:p>
      <w:pPr>
        <w:spacing w:after="0" w:line="20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387" w:right="8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40"/>
        </w:trPr>
        <w:tc>
          <w:tcPr>
            <w:tcW w:w="8900" w:type="dxa"/>
            <w:vAlign w:val="bottom"/>
            <w:gridSpan w:val="2"/>
          </w:tcPr>
          <w:p>
            <w:pPr>
              <w:spacing w:after="0"/>
              <w:rPr>
                <w:sz w:val="20"/>
                <w:szCs w:val="20"/>
                <w:color w:val="auto"/>
              </w:rPr>
            </w:pPr>
            <w:r>
              <w:rPr>
                <w:rFonts w:ascii="Arial" w:cs="Arial" w:eastAsia="Arial" w:hAnsi="Arial"/>
                <w:sz w:val="19"/>
                <w:szCs w:val="19"/>
                <w:color w:val="auto"/>
              </w:rPr>
              <w:t>ARTICLE VIII EVENTS OF DEFAULT AND REMEDIES</w:t>
            </w:r>
          </w:p>
        </w:tc>
        <w:tc>
          <w:tcPr>
            <w:tcW w:w="178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8.01</w:t>
            </w:r>
          </w:p>
        </w:tc>
        <w:tc>
          <w:tcPr>
            <w:tcW w:w="7480" w:type="dxa"/>
            <w:vAlign w:val="bottom"/>
          </w:tcPr>
          <w:p>
            <w:pPr>
              <w:ind w:left="180"/>
              <w:spacing w:after="0"/>
              <w:rPr>
                <w:sz w:val="20"/>
                <w:szCs w:val="20"/>
                <w:color w:val="auto"/>
              </w:rPr>
            </w:pPr>
            <w:r>
              <w:rPr>
                <w:rFonts w:ascii="Arial" w:cs="Arial" w:eastAsia="Arial" w:hAnsi="Arial"/>
                <w:sz w:val="19"/>
                <w:szCs w:val="19"/>
                <w:color w:val="auto"/>
              </w:rPr>
              <w:t>Events of Default.</w:t>
            </w:r>
          </w:p>
        </w:tc>
        <w:tc>
          <w:tcPr>
            <w:tcW w:w="178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8.02</w:t>
            </w:r>
          </w:p>
        </w:tc>
        <w:tc>
          <w:tcPr>
            <w:tcW w:w="7480" w:type="dxa"/>
            <w:vAlign w:val="bottom"/>
          </w:tcPr>
          <w:p>
            <w:pPr>
              <w:ind w:left="180"/>
              <w:spacing w:after="0"/>
              <w:rPr>
                <w:sz w:val="20"/>
                <w:szCs w:val="20"/>
                <w:color w:val="auto"/>
              </w:rPr>
            </w:pPr>
            <w:r>
              <w:rPr>
                <w:rFonts w:ascii="Arial" w:cs="Arial" w:eastAsia="Arial" w:hAnsi="Arial"/>
                <w:sz w:val="19"/>
                <w:szCs w:val="19"/>
                <w:color w:val="auto"/>
              </w:rPr>
              <w:t>Remedies upon Event of Default.</w:t>
            </w:r>
          </w:p>
        </w:tc>
        <w:tc>
          <w:tcPr>
            <w:tcW w:w="178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8.03</w:t>
            </w:r>
          </w:p>
        </w:tc>
        <w:tc>
          <w:tcPr>
            <w:tcW w:w="7480" w:type="dxa"/>
            <w:vAlign w:val="bottom"/>
          </w:tcPr>
          <w:p>
            <w:pPr>
              <w:ind w:left="180"/>
              <w:spacing w:after="0"/>
              <w:rPr>
                <w:sz w:val="20"/>
                <w:szCs w:val="20"/>
                <w:color w:val="auto"/>
              </w:rPr>
            </w:pPr>
            <w:r>
              <w:rPr>
                <w:rFonts w:ascii="Arial" w:cs="Arial" w:eastAsia="Arial" w:hAnsi="Arial"/>
                <w:sz w:val="19"/>
                <w:szCs w:val="19"/>
                <w:color w:val="auto"/>
              </w:rPr>
              <w:t>Application of Funds.</w:t>
            </w:r>
          </w:p>
        </w:tc>
        <w:tc>
          <w:tcPr>
            <w:tcW w:w="178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43"/>
        </w:trPr>
        <w:tc>
          <w:tcPr>
            <w:tcW w:w="8900" w:type="dxa"/>
            <w:vAlign w:val="bottom"/>
            <w:gridSpan w:val="2"/>
          </w:tcPr>
          <w:p>
            <w:pPr>
              <w:spacing w:after="0"/>
              <w:rPr>
                <w:sz w:val="20"/>
                <w:szCs w:val="20"/>
                <w:color w:val="auto"/>
              </w:rPr>
            </w:pPr>
            <w:r>
              <w:rPr>
                <w:rFonts w:ascii="Arial" w:cs="Arial" w:eastAsia="Arial" w:hAnsi="Arial"/>
                <w:sz w:val="19"/>
                <w:szCs w:val="19"/>
                <w:color w:val="auto"/>
              </w:rPr>
              <w:t>ARTICLE IX ADMINISTRATIVE AGENT</w:t>
            </w:r>
          </w:p>
        </w:tc>
        <w:tc>
          <w:tcPr>
            <w:tcW w:w="1780" w:type="dxa"/>
            <w:vAlign w:val="bottom"/>
          </w:tcPr>
          <w:p>
            <w:pPr>
              <w:jc w:val="right"/>
              <w:spacing w:after="0"/>
              <w:rPr>
                <w:sz w:val="20"/>
                <w:szCs w:val="20"/>
                <w:color w:val="auto"/>
              </w:rPr>
            </w:pPr>
            <w:r>
              <w:rPr>
                <w:rFonts w:ascii="Arial" w:cs="Arial" w:eastAsia="Arial" w:hAnsi="Arial"/>
                <w:sz w:val="19"/>
                <w:szCs w:val="19"/>
                <w:color w:val="auto"/>
              </w:rPr>
              <w:t>123</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9.01</w:t>
            </w:r>
          </w:p>
        </w:tc>
        <w:tc>
          <w:tcPr>
            <w:tcW w:w="7480" w:type="dxa"/>
            <w:vAlign w:val="bottom"/>
          </w:tcPr>
          <w:p>
            <w:pPr>
              <w:ind w:left="180"/>
              <w:spacing w:after="0"/>
              <w:rPr>
                <w:sz w:val="20"/>
                <w:szCs w:val="20"/>
                <w:color w:val="auto"/>
              </w:rPr>
            </w:pPr>
            <w:r>
              <w:rPr>
                <w:rFonts w:ascii="Arial" w:cs="Arial" w:eastAsia="Arial" w:hAnsi="Arial"/>
                <w:sz w:val="19"/>
                <w:szCs w:val="19"/>
                <w:color w:val="auto"/>
              </w:rPr>
              <w:t>Appointment and Authority.</w:t>
            </w:r>
          </w:p>
        </w:tc>
        <w:tc>
          <w:tcPr>
            <w:tcW w:w="1780" w:type="dxa"/>
            <w:vAlign w:val="bottom"/>
          </w:tcPr>
          <w:p>
            <w:pPr>
              <w:jc w:val="right"/>
              <w:spacing w:after="0"/>
              <w:rPr>
                <w:sz w:val="20"/>
                <w:szCs w:val="20"/>
                <w:color w:val="auto"/>
              </w:rPr>
            </w:pPr>
            <w:r>
              <w:rPr>
                <w:rFonts w:ascii="Arial" w:cs="Arial" w:eastAsia="Arial" w:hAnsi="Arial"/>
                <w:sz w:val="19"/>
                <w:szCs w:val="19"/>
                <w:color w:val="auto"/>
              </w:rPr>
              <w:t>123</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9.02</w:t>
            </w:r>
          </w:p>
        </w:tc>
        <w:tc>
          <w:tcPr>
            <w:tcW w:w="7480" w:type="dxa"/>
            <w:vAlign w:val="bottom"/>
          </w:tcPr>
          <w:p>
            <w:pPr>
              <w:ind w:left="180"/>
              <w:spacing w:after="0"/>
              <w:rPr>
                <w:sz w:val="20"/>
                <w:szCs w:val="20"/>
                <w:color w:val="auto"/>
              </w:rPr>
            </w:pPr>
            <w:r>
              <w:rPr>
                <w:rFonts w:ascii="Arial" w:cs="Arial" w:eastAsia="Arial" w:hAnsi="Arial"/>
                <w:sz w:val="19"/>
                <w:szCs w:val="19"/>
                <w:color w:val="auto"/>
              </w:rPr>
              <w:t>Rights as a Lender.</w:t>
            </w:r>
          </w:p>
        </w:tc>
        <w:tc>
          <w:tcPr>
            <w:tcW w:w="1780" w:type="dxa"/>
            <w:vAlign w:val="bottom"/>
          </w:tcPr>
          <w:p>
            <w:pPr>
              <w:jc w:val="right"/>
              <w:spacing w:after="0"/>
              <w:rPr>
                <w:sz w:val="20"/>
                <w:szCs w:val="20"/>
                <w:color w:val="auto"/>
              </w:rPr>
            </w:pPr>
            <w:r>
              <w:rPr>
                <w:rFonts w:ascii="Arial" w:cs="Arial" w:eastAsia="Arial" w:hAnsi="Arial"/>
                <w:sz w:val="19"/>
                <w:szCs w:val="19"/>
                <w:color w:val="auto"/>
              </w:rPr>
              <w:t>124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9.03</w:t>
            </w:r>
          </w:p>
        </w:tc>
        <w:tc>
          <w:tcPr>
            <w:tcW w:w="7480" w:type="dxa"/>
            <w:vAlign w:val="bottom"/>
          </w:tcPr>
          <w:p>
            <w:pPr>
              <w:ind w:left="180"/>
              <w:spacing w:after="0"/>
              <w:rPr>
                <w:sz w:val="20"/>
                <w:szCs w:val="20"/>
                <w:color w:val="auto"/>
              </w:rPr>
            </w:pPr>
            <w:r>
              <w:rPr>
                <w:rFonts w:ascii="Arial" w:cs="Arial" w:eastAsia="Arial" w:hAnsi="Arial"/>
                <w:sz w:val="19"/>
                <w:szCs w:val="19"/>
                <w:color w:val="auto"/>
              </w:rPr>
              <w:t>Exculpatory Provisions</w:t>
            </w:r>
          </w:p>
        </w:tc>
        <w:tc>
          <w:tcPr>
            <w:tcW w:w="1780" w:type="dxa"/>
            <w:vAlign w:val="bottom"/>
          </w:tcPr>
          <w:p>
            <w:pPr>
              <w:jc w:val="right"/>
              <w:spacing w:after="0"/>
              <w:rPr>
                <w:sz w:val="20"/>
                <w:szCs w:val="20"/>
                <w:color w:val="auto"/>
              </w:rPr>
            </w:pPr>
            <w:r>
              <w:rPr>
                <w:rFonts w:ascii="Arial" w:cs="Arial" w:eastAsia="Arial" w:hAnsi="Arial"/>
                <w:sz w:val="19"/>
                <w:szCs w:val="19"/>
                <w:color w:val="auto"/>
              </w:rPr>
              <w:t>124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9.04</w:t>
            </w:r>
          </w:p>
        </w:tc>
        <w:tc>
          <w:tcPr>
            <w:tcW w:w="7480" w:type="dxa"/>
            <w:vAlign w:val="bottom"/>
          </w:tcPr>
          <w:p>
            <w:pPr>
              <w:ind w:left="180"/>
              <w:spacing w:after="0"/>
              <w:rPr>
                <w:sz w:val="20"/>
                <w:szCs w:val="20"/>
                <w:color w:val="auto"/>
              </w:rPr>
            </w:pPr>
            <w:r>
              <w:rPr>
                <w:rFonts w:ascii="Arial" w:cs="Arial" w:eastAsia="Arial" w:hAnsi="Arial"/>
                <w:sz w:val="19"/>
                <w:szCs w:val="19"/>
                <w:color w:val="auto"/>
              </w:rPr>
              <w:t>Reliance by Administrative Agent.</w:t>
            </w:r>
          </w:p>
        </w:tc>
        <w:tc>
          <w:tcPr>
            <w:tcW w:w="1780" w:type="dxa"/>
            <w:vAlign w:val="bottom"/>
          </w:tcPr>
          <w:p>
            <w:pPr>
              <w:jc w:val="right"/>
              <w:spacing w:after="0"/>
              <w:rPr>
                <w:sz w:val="20"/>
                <w:szCs w:val="20"/>
                <w:color w:val="auto"/>
              </w:rPr>
            </w:pPr>
            <w:r>
              <w:rPr>
                <w:rFonts w:ascii="Arial" w:cs="Arial" w:eastAsia="Arial" w:hAnsi="Arial"/>
                <w:sz w:val="19"/>
                <w:szCs w:val="19"/>
                <w:color w:val="auto"/>
              </w:rPr>
              <w:t>125</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9.05</w:t>
            </w:r>
          </w:p>
        </w:tc>
        <w:tc>
          <w:tcPr>
            <w:tcW w:w="7480" w:type="dxa"/>
            <w:vAlign w:val="bottom"/>
          </w:tcPr>
          <w:p>
            <w:pPr>
              <w:ind w:left="180"/>
              <w:spacing w:after="0"/>
              <w:rPr>
                <w:sz w:val="20"/>
                <w:szCs w:val="20"/>
                <w:color w:val="auto"/>
              </w:rPr>
            </w:pPr>
            <w:r>
              <w:rPr>
                <w:rFonts w:ascii="Arial" w:cs="Arial" w:eastAsia="Arial" w:hAnsi="Arial"/>
                <w:sz w:val="19"/>
                <w:szCs w:val="19"/>
                <w:color w:val="auto"/>
              </w:rPr>
              <w:t>Delegation of Duties.</w:t>
            </w:r>
          </w:p>
        </w:tc>
        <w:tc>
          <w:tcPr>
            <w:tcW w:w="1780" w:type="dxa"/>
            <w:vAlign w:val="bottom"/>
          </w:tcPr>
          <w:p>
            <w:pPr>
              <w:jc w:val="right"/>
              <w:spacing w:after="0"/>
              <w:rPr>
                <w:sz w:val="20"/>
                <w:szCs w:val="20"/>
                <w:color w:val="auto"/>
              </w:rPr>
            </w:pPr>
            <w:r>
              <w:rPr>
                <w:rFonts w:ascii="Arial" w:cs="Arial" w:eastAsia="Arial" w:hAnsi="Arial"/>
                <w:sz w:val="19"/>
                <w:szCs w:val="19"/>
                <w:color w:val="auto"/>
              </w:rPr>
              <w:t>125</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9.06</w:t>
            </w:r>
          </w:p>
        </w:tc>
        <w:tc>
          <w:tcPr>
            <w:tcW w:w="7480" w:type="dxa"/>
            <w:vAlign w:val="bottom"/>
          </w:tcPr>
          <w:p>
            <w:pPr>
              <w:ind w:left="180"/>
              <w:spacing w:after="0"/>
              <w:rPr>
                <w:sz w:val="20"/>
                <w:szCs w:val="20"/>
                <w:color w:val="auto"/>
              </w:rPr>
            </w:pPr>
            <w:r>
              <w:rPr>
                <w:rFonts w:ascii="Arial" w:cs="Arial" w:eastAsia="Arial" w:hAnsi="Arial"/>
                <w:sz w:val="19"/>
                <w:szCs w:val="19"/>
                <w:color w:val="auto"/>
              </w:rPr>
              <w:t>Resignation of Administrative Agent.</w:t>
            </w:r>
          </w:p>
        </w:tc>
        <w:tc>
          <w:tcPr>
            <w:tcW w:w="1780" w:type="dxa"/>
            <w:vAlign w:val="bottom"/>
          </w:tcPr>
          <w:p>
            <w:pPr>
              <w:jc w:val="right"/>
              <w:spacing w:after="0"/>
              <w:rPr>
                <w:sz w:val="20"/>
                <w:szCs w:val="20"/>
                <w:color w:val="auto"/>
              </w:rPr>
            </w:pPr>
            <w:r>
              <w:rPr>
                <w:rFonts w:ascii="Arial" w:cs="Arial" w:eastAsia="Arial" w:hAnsi="Arial"/>
                <w:sz w:val="19"/>
                <w:szCs w:val="19"/>
                <w:color w:val="auto"/>
              </w:rPr>
              <w:t>126</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9.07</w:t>
            </w:r>
          </w:p>
        </w:tc>
        <w:tc>
          <w:tcPr>
            <w:tcW w:w="7480" w:type="dxa"/>
            <w:vAlign w:val="bottom"/>
          </w:tcPr>
          <w:p>
            <w:pPr>
              <w:ind w:left="180"/>
              <w:spacing w:after="0"/>
              <w:rPr>
                <w:sz w:val="20"/>
                <w:szCs w:val="20"/>
                <w:color w:val="auto"/>
              </w:rPr>
            </w:pPr>
            <w:r>
              <w:rPr>
                <w:rFonts w:ascii="Arial" w:cs="Arial" w:eastAsia="Arial" w:hAnsi="Arial"/>
                <w:sz w:val="19"/>
                <w:szCs w:val="19"/>
                <w:color w:val="auto"/>
              </w:rPr>
              <w:t>Non-Reliance on Administrative Agent, the Arranger and the Other Lenders.</w:t>
            </w:r>
          </w:p>
        </w:tc>
        <w:tc>
          <w:tcPr>
            <w:tcW w:w="1780" w:type="dxa"/>
            <w:vAlign w:val="bottom"/>
          </w:tcPr>
          <w:p>
            <w:pPr>
              <w:jc w:val="right"/>
              <w:spacing w:after="0"/>
              <w:rPr>
                <w:sz w:val="20"/>
                <w:szCs w:val="20"/>
                <w:color w:val="auto"/>
              </w:rPr>
            </w:pPr>
            <w:r>
              <w:rPr>
                <w:rFonts w:ascii="Arial" w:cs="Arial" w:eastAsia="Arial" w:hAnsi="Arial"/>
                <w:sz w:val="19"/>
                <w:szCs w:val="19"/>
                <w:color w:val="auto"/>
              </w:rPr>
              <w:t>127</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9.08</w:t>
            </w:r>
          </w:p>
        </w:tc>
        <w:tc>
          <w:tcPr>
            <w:tcW w:w="7480" w:type="dxa"/>
            <w:vAlign w:val="bottom"/>
          </w:tcPr>
          <w:p>
            <w:pPr>
              <w:ind w:left="180"/>
              <w:spacing w:after="0"/>
              <w:rPr>
                <w:sz w:val="20"/>
                <w:szCs w:val="20"/>
                <w:color w:val="auto"/>
              </w:rPr>
            </w:pPr>
            <w:r>
              <w:rPr>
                <w:rFonts w:ascii="Arial" w:cs="Arial" w:eastAsia="Arial" w:hAnsi="Arial"/>
                <w:sz w:val="19"/>
                <w:szCs w:val="19"/>
                <w:color w:val="auto"/>
              </w:rPr>
              <w:t>No Other Duties, Etc.</w:t>
            </w:r>
          </w:p>
        </w:tc>
        <w:tc>
          <w:tcPr>
            <w:tcW w:w="1780" w:type="dxa"/>
            <w:vAlign w:val="bottom"/>
          </w:tcPr>
          <w:p>
            <w:pPr>
              <w:jc w:val="right"/>
              <w:spacing w:after="0"/>
              <w:rPr>
                <w:sz w:val="20"/>
                <w:szCs w:val="20"/>
                <w:color w:val="auto"/>
              </w:rPr>
            </w:pPr>
            <w:r>
              <w:rPr>
                <w:rFonts w:ascii="Arial" w:cs="Arial" w:eastAsia="Arial" w:hAnsi="Arial"/>
                <w:sz w:val="19"/>
                <w:szCs w:val="19"/>
                <w:color w:val="auto"/>
              </w:rPr>
              <w:t>128</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9.09</w:t>
            </w:r>
          </w:p>
        </w:tc>
        <w:tc>
          <w:tcPr>
            <w:tcW w:w="7480" w:type="dxa"/>
            <w:vAlign w:val="bottom"/>
          </w:tcPr>
          <w:p>
            <w:pPr>
              <w:ind w:left="180"/>
              <w:spacing w:after="0"/>
              <w:rPr>
                <w:sz w:val="20"/>
                <w:szCs w:val="20"/>
                <w:color w:val="auto"/>
              </w:rPr>
            </w:pPr>
            <w:r>
              <w:rPr>
                <w:rFonts w:ascii="Arial" w:cs="Arial" w:eastAsia="Arial" w:hAnsi="Arial"/>
                <w:sz w:val="19"/>
                <w:szCs w:val="19"/>
                <w:color w:val="auto"/>
              </w:rPr>
              <w:t>Administrative Agent May File Proofs of Claim; Credit Bidding</w:t>
            </w:r>
          </w:p>
        </w:tc>
        <w:tc>
          <w:tcPr>
            <w:tcW w:w="1780" w:type="dxa"/>
            <w:vAlign w:val="bottom"/>
          </w:tcPr>
          <w:p>
            <w:pPr>
              <w:jc w:val="right"/>
              <w:spacing w:after="0"/>
              <w:rPr>
                <w:sz w:val="20"/>
                <w:szCs w:val="20"/>
                <w:color w:val="auto"/>
              </w:rPr>
            </w:pPr>
            <w:r>
              <w:rPr>
                <w:rFonts w:ascii="Arial" w:cs="Arial" w:eastAsia="Arial" w:hAnsi="Arial"/>
                <w:sz w:val="19"/>
                <w:szCs w:val="19"/>
                <w:color w:val="auto"/>
              </w:rPr>
              <w:t>128</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9.10</w:t>
            </w:r>
          </w:p>
        </w:tc>
        <w:tc>
          <w:tcPr>
            <w:tcW w:w="7480" w:type="dxa"/>
            <w:vAlign w:val="bottom"/>
          </w:tcPr>
          <w:p>
            <w:pPr>
              <w:ind w:left="180"/>
              <w:spacing w:after="0"/>
              <w:rPr>
                <w:sz w:val="20"/>
                <w:szCs w:val="20"/>
                <w:color w:val="auto"/>
              </w:rPr>
            </w:pPr>
            <w:r>
              <w:rPr>
                <w:rFonts w:ascii="Arial" w:cs="Arial" w:eastAsia="Arial" w:hAnsi="Arial"/>
                <w:sz w:val="19"/>
                <w:szCs w:val="19"/>
                <w:color w:val="auto"/>
              </w:rPr>
              <w:t>Collateral and Guaranty Matters.</w:t>
            </w:r>
          </w:p>
        </w:tc>
        <w:tc>
          <w:tcPr>
            <w:tcW w:w="1780" w:type="dxa"/>
            <w:vAlign w:val="bottom"/>
          </w:tcPr>
          <w:p>
            <w:pPr>
              <w:jc w:val="right"/>
              <w:spacing w:after="0"/>
              <w:rPr>
                <w:sz w:val="20"/>
                <w:szCs w:val="20"/>
                <w:color w:val="auto"/>
              </w:rPr>
            </w:pPr>
            <w:r>
              <w:rPr>
                <w:rFonts w:ascii="Arial" w:cs="Arial" w:eastAsia="Arial" w:hAnsi="Arial"/>
                <w:sz w:val="19"/>
                <w:szCs w:val="19"/>
                <w:color w:val="auto"/>
              </w:rPr>
              <w:t>130</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9.11</w:t>
            </w:r>
          </w:p>
        </w:tc>
        <w:tc>
          <w:tcPr>
            <w:tcW w:w="7480" w:type="dxa"/>
            <w:vAlign w:val="bottom"/>
          </w:tcPr>
          <w:p>
            <w:pPr>
              <w:ind w:left="180"/>
              <w:spacing w:after="0"/>
              <w:rPr>
                <w:sz w:val="20"/>
                <w:szCs w:val="20"/>
                <w:color w:val="auto"/>
              </w:rPr>
            </w:pPr>
            <w:r>
              <w:rPr>
                <w:rFonts w:ascii="Arial" w:cs="Arial" w:eastAsia="Arial" w:hAnsi="Arial"/>
                <w:sz w:val="19"/>
                <w:szCs w:val="19"/>
                <w:color w:val="auto"/>
              </w:rPr>
              <w:t>Secured Cash Management Agreements and Secured Hedge Agreements.</w:t>
            </w:r>
          </w:p>
        </w:tc>
        <w:tc>
          <w:tcPr>
            <w:tcW w:w="1780" w:type="dxa"/>
            <w:vAlign w:val="bottom"/>
          </w:tcPr>
          <w:p>
            <w:pPr>
              <w:jc w:val="right"/>
              <w:spacing w:after="0"/>
              <w:rPr>
                <w:sz w:val="20"/>
                <w:szCs w:val="20"/>
                <w:color w:val="auto"/>
              </w:rPr>
            </w:pPr>
            <w:r>
              <w:rPr>
                <w:rFonts w:ascii="Arial" w:cs="Arial" w:eastAsia="Arial" w:hAnsi="Arial"/>
                <w:sz w:val="19"/>
                <w:szCs w:val="19"/>
                <w:color w:val="auto"/>
              </w:rPr>
              <w:t>130</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9.12</w:t>
            </w:r>
          </w:p>
        </w:tc>
        <w:tc>
          <w:tcPr>
            <w:tcW w:w="7480" w:type="dxa"/>
            <w:vAlign w:val="bottom"/>
          </w:tcPr>
          <w:p>
            <w:pPr>
              <w:ind w:left="180"/>
              <w:spacing w:after="0"/>
              <w:rPr>
                <w:sz w:val="20"/>
                <w:szCs w:val="20"/>
                <w:color w:val="auto"/>
              </w:rPr>
            </w:pPr>
            <w:r>
              <w:rPr>
                <w:rFonts w:ascii="Arial" w:cs="Arial" w:eastAsia="Arial" w:hAnsi="Arial"/>
                <w:sz w:val="19"/>
                <w:szCs w:val="19"/>
                <w:color w:val="auto"/>
              </w:rPr>
              <w:t>Certain ERISA Matters.</w:t>
            </w:r>
          </w:p>
        </w:tc>
        <w:tc>
          <w:tcPr>
            <w:tcW w:w="1780" w:type="dxa"/>
            <w:vAlign w:val="bottom"/>
          </w:tcPr>
          <w:p>
            <w:pPr>
              <w:jc w:val="right"/>
              <w:spacing w:after="0"/>
              <w:rPr>
                <w:sz w:val="20"/>
                <w:szCs w:val="20"/>
                <w:color w:val="auto"/>
              </w:rPr>
            </w:pPr>
            <w:r>
              <w:rPr>
                <w:rFonts w:ascii="Arial" w:cs="Arial" w:eastAsia="Arial" w:hAnsi="Arial"/>
                <w:sz w:val="19"/>
                <w:szCs w:val="19"/>
                <w:color w:val="auto"/>
              </w:rPr>
              <w:t>131</w:t>
            </w:r>
          </w:p>
        </w:tc>
      </w:tr>
      <w:tr>
        <w:trPr>
          <w:trHeight w:val="243"/>
        </w:trPr>
        <w:tc>
          <w:tcPr>
            <w:tcW w:w="8900" w:type="dxa"/>
            <w:vAlign w:val="bottom"/>
            <w:gridSpan w:val="2"/>
          </w:tcPr>
          <w:p>
            <w:pPr>
              <w:spacing w:after="0"/>
              <w:rPr>
                <w:sz w:val="20"/>
                <w:szCs w:val="20"/>
                <w:color w:val="auto"/>
              </w:rPr>
            </w:pPr>
            <w:r>
              <w:rPr>
                <w:rFonts w:ascii="Arial" w:cs="Arial" w:eastAsia="Arial" w:hAnsi="Arial"/>
                <w:sz w:val="19"/>
                <w:szCs w:val="19"/>
                <w:color w:val="auto"/>
              </w:rPr>
              <w:t>ARTICLE X CONTINUING GUARANTY</w:t>
            </w:r>
          </w:p>
        </w:tc>
        <w:tc>
          <w:tcPr>
            <w:tcW w:w="178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10.01</w:t>
            </w:r>
          </w:p>
        </w:tc>
        <w:tc>
          <w:tcPr>
            <w:tcW w:w="7480" w:type="dxa"/>
            <w:vAlign w:val="bottom"/>
          </w:tcPr>
          <w:p>
            <w:pPr>
              <w:ind w:left="180"/>
              <w:spacing w:after="0"/>
              <w:rPr>
                <w:sz w:val="20"/>
                <w:szCs w:val="20"/>
                <w:color w:val="auto"/>
              </w:rPr>
            </w:pPr>
            <w:r>
              <w:rPr>
                <w:rFonts w:ascii="Arial" w:cs="Arial" w:eastAsia="Arial" w:hAnsi="Arial"/>
                <w:sz w:val="19"/>
                <w:szCs w:val="19"/>
                <w:color w:val="auto"/>
              </w:rPr>
              <w:t>Guaranty.</w:t>
            </w:r>
          </w:p>
        </w:tc>
        <w:tc>
          <w:tcPr>
            <w:tcW w:w="178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10.02</w:t>
            </w:r>
          </w:p>
        </w:tc>
        <w:tc>
          <w:tcPr>
            <w:tcW w:w="7480" w:type="dxa"/>
            <w:vAlign w:val="bottom"/>
          </w:tcPr>
          <w:p>
            <w:pPr>
              <w:ind w:left="180"/>
              <w:spacing w:after="0"/>
              <w:rPr>
                <w:sz w:val="20"/>
                <w:szCs w:val="20"/>
                <w:color w:val="auto"/>
              </w:rPr>
            </w:pPr>
            <w:r>
              <w:rPr>
                <w:rFonts w:ascii="Arial" w:cs="Arial" w:eastAsia="Arial" w:hAnsi="Arial"/>
                <w:sz w:val="19"/>
                <w:szCs w:val="19"/>
                <w:color w:val="auto"/>
              </w:rPr>
              <w:t>Rights of Lenders.</w:t>
            </w:r>
          </w:p>
        </w:tc>
        <w:tc>
          <w:tcPr>
            <w:tcW w:w="178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10.03</w:t>
            </w:r>
          </w:p>
        </w:tc>
        <w:tc>
          <w:tcPr>
            <w:tcW w:w="7480" w:type="dxa"/>
            <w:vAlign w:val="bottom"/>
          </w:tcPr>
          <w:p>
            <w:pPr>
              <w:ind w:left="180"/>
              <w:spacing w:after="0"/>
              <w:rPr>
                <w:sz w:val="20"/>
                <w:szCs w:val="20"/>
                <w:color w:val="auto"/>
              </w:rPr>
            </w:pPr>
            <w:r>
              <w:rPr>
                <w:rFonts w:ascii="Arial" w:cs="Arial" w:eastAsia="Arial" w:hAnsi="Arial"/>
                <w:sz w:val="19"/>
                <w:szCs w:val="19"/>
                <w:color w:val="auto"/>
              </w:rPr>
              <w:t>Certain Waivers.</w:t>
            </w:r>
          </w:p>
        </w:tc>
        <w:tc>
          <w:tcPr>
            <w:tcW w:w="1780" w:type="dxa"/>
            <w:vAlign w:val="bottom"/>
          </w:tcPr>
          <w:p>
            <w:pPr>
              <w:jc w:val="right"/>
              <w:spacing w:after="0"/>
              <w:rPr>
                <w:sz w:val="20"/>
                <w:szCs w:val="20"/>
                <w:color w:val="auto"/>
              </w:rPr>
            </w:pPr>
            <w:r>
              <w:rPr>
                <w:rFonts w:ascii="Arial" w:cs="Arial" w:eastAsia="Arial" w:hAnsi="Arial"/>
                <w:sz w:val="19"/>
                <w:szCs w:val="19"/>
                <w:color w:val="auto"/>
              </w:rPr>
              <w:t>133</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10.04</w:t>
            </w:r>
          </w:p>
        </w:tc>
        <w:tc>
          <w:tcPr>
            <w:tcW w:w="7480" w:type="dxa"/>
            <w:vAlign w:val="bottom"/>
          </w:tcPr>
          <w:p>
            <w:pPr>
              <w:ind w:left="180"/>
              <w:spacing w:after="0"/>
              <w:rPr>
                <w:sz w:val="20"/>
                <w:szCs w:val="20"/>
                <w:color w:val="auto"/>
              </w:rPr>
            </w:pPr>
            <w:r>
              <w:rPr>
                <w:rFonts w:ascii="Arial" w:cs="Arial" w:eastAsia="Arial" w:hAnsi="Arial"/>
                <w:sz w:val="19"/>
                <w:szCs w:val="19"/>
                <w:color w:val="auto"/>
              </w:rPr>
              <w:t>Obligations Independent.</w:t>
            </w:r>
          </w:p>
        </w:tc>
        <w:tc>
          <w:tcPr>
            <w:tcW w:w="1780" w:type="dxa"/>
            <w:vAlign w:val="bottom"/>
          </w:tcPr>
          <w:p>
            <w:pPr>
              <w:jc w:val="right"/>
              <w:spacing w:after="0"/>
              <w:rPr>
                <w:sz w:val="20"/>
                <w:szCs w:val="20"/>
                <w:color w:val="auto"/>
              </w:rPr>
            </w:pPr>
            <w:r>
              <w:rPr>
                <w:rFonts w:ascii="Arial" w:cs="Arial" w:eastAsia="Arial" w:hAnsi="Arial"/>
                <w:sz w:val="19"/>
                <w:szCs w:val="19"/>
                <w:color w:val="auto"/>
              </w:rPr>
              <w:t>133</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10.05</w:t>
            </w:r>
          </w:p>
        </w:tc>
        <w:tc>
          <w:tcPr>
            <w:tcW w:w="7480" w:type="dxa"/>
            <w:vAlign w:val="bottom"/>
          </w:tcPr>
          <w:p>
            <w:pPr>
              <w:ind w:left="180"/>
              <w:spacing w:after="0"/>
              <w:rPr>
                <w:sz w:val="20"/>
                <w:szCs w:val="20"/>
                <w:color w:val="auto"/>
              </w:rPr>
            </w:pPr>
            <w:r>
              <w:rPr>
                <w:rFonts w:ascii="Arial" w:cs="Arial" w:eastAsia="Arial" w:hAnsi="Arial"/>
                <w:sz w:val="19"/>
                <w:szCs w:val="19"/>
                <w:color w:val="auto"/>
              </w:rPr>
              <w:t>Subrogation.</w:t>
            </w:r>
          </w:p>
        </w:tc>
        <w:tc>
          <w:tcPr>
            <w:tcW w:w="1780" w:type="dxa"/>
            <w:vAlign w:val="bottom"/>
          </w:tcPr>
          <w:p>
            <w:pPr>
              <w:jc w:val="right"/>
              <w:spacing w:after="0"/>
              <w:rPr>
                <w:sz w:val="20"/>
                <w:szCs w:val="20"/>
                <w:color w:val="auto"/>
              </w:rPr>
            </w:pPr>
            <w:r>
              <w:rPr>
                <w:rFonts w:ascii="Arial" w:cs="Arial" w:eastAsia="Arial" w:hAnsi="Arial"/>
                <w:sz w:val="19"/>
                <w:szCs w:val="19"/>
                <w:color w:val="auto"/>
              </w:rPr>
              <w:t>133</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10.06</w:t>
            </w:r>
          </w:p>
        </w:tc>
        <w:tc>
          <w:tcPr>
            <w:tcW w:w="7480" w:type="dxa"/>
            <w:vAlign w:val="bottom"/>
          </w:tcPr>
          <w:p>
            <w:pPr>
              <w:ind w:left="180"/>
              <w:spacing w:after="0"/>
              <w:rPr>
                <w:sz w:val="20"/>
                <w:szCs w:val="20"/>
                <w:color w:val="auto"/>
              </w:rPr>
            </w:pPr>
            <w:r>
              <w:rPr>
                <w:rFonts w:ascii="Arial" w:cs="Arial" w:eastAsia="Arial" w:hAnsi="Arial"/>
                <w:sz w:val="19"/>
                <w:szCs w:val="19"/>
                <w:color w:val="auto"/>
              </w:rPr>
              <w:t>Termination; Reinstatement.</w:t>
            </w:r>
          </w:p>
        </w:tc>
        <w:tc>
          <w:tcPr>
            <w:tcW w:w="1780" w:type="dxa"/>
            <w:vAlign w:val="bottom"/>
          </w:tcPr>
          <w:p>
            <w:pPr>
              <w:jc w:val="right"/>
              <w:spacing w:after="0"/>
              <w:rPr>
                <w:sz w:val="20"/>
                <w:szCs w:val="20"/>
                <w:color w:val="auto"/>
              </w:rPr>
            </w:pPr>
            <w:r>
              <w:rPr>
                <w:rFonts w:ascii="Arial" w:cs="Arial" w:eastAsia="Arial" w:hAnsi="Arial"/>
                <w:sz w:val="19"/>
                <w:szCs w:val="19"/>
                <w:color w:val="auto"/>
              </w:rPr>
              <w:t>133</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10.07</w:t>
            </w:r>
          </w:p>
        </w:tc>
        <w:tc>
          <w:tcPr>
            <w:tcW w:w="7480" w:type="dxa"/>
            <w:vAlign w:val="bottom"/>
          </w:tcPr>
          <w:p>
            <w:pPr>
              <w:ind w:left="180"/>
              <w:spacing w:after="0"/>
              <w:rPr>
                <w:sz w:val="20"/>
                <w:szCs w:val="20"/>
                <w:color w:val="auto"/>
              </w:rPr>
            </w:pPr>
            <w:r>
              <w:rPr>
                <w:rFonts w:ascii="Arial" w:cs="Arial" w:eastAsia="Arial" w:hAnsi="Arial"/>
                <w:sz w:val="19"/>
                <w:szCs w:val="19"/>
                <w:color w:val="auto"/>
              </w:rPr>
              <w:t>Stay of Acceleration.</w:t>
            </w:r>
          </w:p>
        </w:tc>
        <w:tc>
          <w:tcPr>
            <w:tcW w:w="178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10.08</w:t>
            </w:r>
          </w:p>
        </w:tc>
        <w:tc>
          <w:tcPr>
            <w:tcW w:w="7480" w:type="dxa"/>
            <w:vAlign w:val="bottom"/>
          </w:tcPr>
          <w:p>
            <w:pPr>
              <w:ind w:left="180"/>
              <w:spacing w:after="0"/>
              <w:rPr>
                <w:sz w:val="20"/>
                <w:szCs w:val="20"/>
                <w:color w:val="auto"/>
              </w:rPr>
            </w:pPr>
            <w:r>
              <w:rPr>
                <w:rFonts w:ascii="Arial" w:cs="Arial" w:eastAsia="Arial" w:hAnsi="Arial"/>
                <w:sz w:val="19"/>
                <w:szCs w:val="19"/>
                <w:color w:val="auto"/>
              </w:rPr>
              <w:t>Condition of Borrower.</w:t>
            </w:r>
          </w:p>
        </w:tc>
        <w:tc>
          <w:tcPr>
            <w:tcW w:w="178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10.09</w:t>
            </w:r>
          </w:p>
        </w:tc>
        <w:tc>
          <w:tcPr>
            <w:tcW w:w="7480" w:type="dxa"/>
            <w:vAlign w:val="bottom"/>
          </w:tcPr>
          <w:p>
            <w:pPr>
              <w:ind w:left="180"/>
              <w:spacing w:after="0"/>
              <w:rPr>
                <w:sz w:val="20"/>
                <w:szCs w:val="20"/>
                <w:color w:val="auto"/>
              </w:rPr>
            </w:pPr>
            <w:r>
              <w:rPr>
                <w:rFonts w:ascii="Arial" w:cs="Arial" w:eastAsia="Arial" w:hAnsi="Arial"/>
                <w:sz w:val="19"/>
                <w:szCs w:val="19"/>
                <w:color w:val="auto"/>
              </w:rPr>
              <w:t>Appointment of Borrower.</w:t>
            </w:r>
          </w:p>
        </w:tc>
        <w:tc>
          <w:tcPr>
            <w:tcW w:w="178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10.10</w:t>
            </w:r>
          </w:p>
        </w:tc>
        <w:tc>
          <w:tcPr>
            <w:tcW w:w="7480" w:type="dxa"/>
            <w:vAlign w:val="bottom"/>
          </w:tcPr>
          <w:p>
            <w:pPr>
              <w:ind w:left="180"/>
              <w:spacing w:after="0"/>
              <w:rPr>
                <w:sz w:val="20"/>
                <w:szCs w:val="20"/>
                <w:color w:val="auto"/>
              </w:rPr>
            </w:pPr>
            <w:r>
              <w:rPr>
                <w:rFonts w:ascii="Arial" w:cs="Arial" w:eastAsia="Arial" w:hAnsi="Arial"/>
                <w:sz w:val="19"/>
                <w:szCs w:val="19"/>
                <w:color w:val="auto"/>
              </w:rPr>
              <w:t>Right of Contribution.</w:t>
            </w:r>
          </w:p>
        </w:tc>
        <w:tc>
          <w:tcPr>
            <w:tcW w:w="178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10.11</w:t>
            </w:r>
          </w:p>
        </w:tc>
        <w:tc>
          <w:tcPr>
            <w:tcW w:w="7480" w:type="dxa"/>
            <w:vAlign w:val="bottom"/>
          </w:tcPr>
          <w:p>
            <w:pPr>
              <w:ind w:left="180"/>
              <w:spacing w:after="0"/>
              <w:rPr>
                <w:sz w:val="20"/>
                <w:szCs w:val="20"/>
                <w:color w:val="auto"/>
              </w:rPr>
            </w:pPr>
            <w:r>
              <w:rPr>
                <w:rFonts w:ascii="Arial" w:cs="Arial" w:eastAsia="Arial" w:hAnsi="Arial"/>
                <w:sz w:val="19"/>
                <w:szCs w:val="19"/>
                <w:color w:val="auto"/>
              </w:rPr>
              <w:t>Keepwell.</w:t>
            </w:r>
          </w:p>
        </w:tc>
        <w:tc>
          <w:tcPr>
            <w:tcW w:w="178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243"/>
        </w:trPr>
        <w:tc>
          <w:tcPr>
            <w:tcW w:w="8900" w:type="dxa"/>
            <w:vAlign w:val="bottom"/>
            <w:gridSpan w:val="2"/>
          </w:tcPr>
          <w:p>
            <w:pPr>
              <w:spacing w:after="0"/>
              <w:rPr>
                <w:sz w:val="20"/>
                <w:szCs w:val="20"/>
                <w:color w:val="auto"/>
              </w:rPr>
            </w:pPr>
            <w:r>
              <w:rPr>
                <w:rFonts w:ascii="Arial" w:cs="Arial" w:eastAsia="Arial" w:hAnsi="Arial"/>
                <w:sz w:val="19"/>
                <w:szCs w:val="19"/>
                <w:color w:val="auto"/>
              </w:rPr>
              <w:t>ARTICLE XI MISCELLANEOUS</w:t>
            </w:r>
          </w:p>
        </w:tc>
        <w:tc>
          <w:tcPr>
            <w:tcW w:w="1780" w:type="dxa"/>
            <w:vAlign w:val="bottom"/>
          </w:tcPr>
          <w:p>
            <w:pPr>
              <w:jc w:val="right"/>
              <w:spacing w:after="0"/>
              <w:rPr>
                <w:sz w:val="20"/>
                <w:szCs w:val="20"/>
                <w:color w:val="auto"/>
              </w:rPr>
            </w:pPr>
            <w:r>
              <w:rPr>
                <w:rFonts w:ascii="Arial" w:cs="Arial" w:eastAsia="Arial" w:hAnsi="Arial"/>
                <w:sz w:val="19"/>
                <w:szCs w:val="19"/>
                <w:color w:val="auto"/>
              </w:rPr>
              <w:t>135</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11.01</w:t>
            </w:r>
          </w:p>
        </w:tc>
        <w:tc>
          <w:tcPr>
            <w:tcW w:w="7480" w:type="dxa"/>
            <w:vAlign w:val="bottom"/>
          </w:tcPr>
          <w:p>
            <w:pPr>
              <w:ind w:left="180"/>
              <w:spacing w:after="0"/>
              <w:rPr>
                <w:sz w:val="20"/>
                <w:szCs w:val="20"/>
                <w:color w:val="auto"/>
              </w:rPr>
            </w:pPr>
            <w:r>
              <w:rPr>
                <w:rFonts w:ascii="Arial" w:cs="Arial" w:eastAsia="Arial" w:hAnsi="Arial"/>
                <w:sz w:val="19"/>
                <w:szCs w:val="19"/>
                <w:color w:val="auto"/>
              </w:rPr>
              <w:t>Amendments, Etc.</w:t>
            </w:r>
          </w:p>
        </w:tc>
        <w:tc>
          <w:tcPr>
            <w:tcW w:w="1780" w:type="dxa"/>
            <w:vAlign w:val="bottom"/>
          </w:tcPr>
          <w:p>
            <w:pPr>
              <w:jc w:val="right"/>
              <w:spacing w:after="0"/>
              <w:rPr>
                <w:sz w:val="20"/>
                <w:szCs w:val="20"/>
                <w:color w:val="auto"/>
              </w:rPr>
            </w:pPr>
            <w:r>
              <w:rPr>
                <w:rFonts w:ascii="Arial" w:cs="Arial" w:eastAsia="Arial" w:hAnsi="Arial"/>
                <w:sz w:val="19"/>
                <w:szCs w:val="19"/>
                <w:color w:val="auto"/>
              </w:rPr>
              <w:t>135</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11.02</w:t>
            </w:r>
          </w:p>
        </w:tc>
        <w:tc>
          <w:tcPr>
            <w:tcW w:w="7480" w:type="dxa"/>
            <w:vAlign w:val="bottom"/>
          </w:tcPr>
          <w:p>
            <w:pPr>
              <w:ind w:left="180"/>
              <w:spacing w:after="0"/>
              <w:rPr>
                <w:sz w:val="20"/>
                <w:szCs w:val="20"/>
                <w:color w:val="auto"/>
              </w:rPr>
            </w:pPr>
            <w:r>
              <w:rPr>
                <w:rFonts w:ascii="Arial" w:cs="Arial" w:eastAsia="Arial" w:hAnsi="Arial"/>
                <w:sz w:val="19"/>
                <w:szCs w:val="19"/>
                <w:color w:val="auto"/>
              </w:rPr>
              <w:t>Notices; Effectiveness; Electronic Communications.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137</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11.03</w:t>
            </w:r>
          </w:p>
        </w:tc>
        <w:tc>
          <w:tcPr>
            <w:tcW w:w="7480" w:type="dxa"/>
            <w:vAlign w:val="bottom"/>
          </w:tcPr>
          <w:p>
            <w:pPr>
              <w:ind w:left="180"/>
              <w:spacing w:after="0"/>
              <w:rPr>
                <w:sz w:val="20"/>
                <w:szCs w:val="20"/>
                <w:color w:val="auto"/>
              </w:rPr>
            </w:pPr>
            <w:r>
              <w:rPr>
                <w:rFonts w:ascii="Arial" w:cs="Arial" w:eastAsia="Arial" w:hAnsi="Arial"/>
                <w:sz w:val="19"/>
                <w:szCs w:val="19"/>
                <w:color w:val="auto"/>
              </w:rPr>
              <w:t>No Waiver; Cumulative Remedies; Enforcement.</w:t>
            </w:r>
          </w:p>
        </w:tc>
        <w:tc>
          <w:tcPr>
            <w:tcW w:w="178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11.04</w:t>
            </w:r>
          </w:p>
        </w:tc>
        <w:tc>
          <w:tcPr>
            <w:tcW w:w="7480" w:type="dxa"/>
            <w:vAlign w:val="bottom"/>
          </w:tcPr>
          <w:p>
            <w:pPr>
              <w:ind w:left="180"/>
              <w:spacing w:after="0"/>
              <w:rPr>
                <w:sz w:val="20"/>
                <w:szCs w:val="20"/>
                <w:color w:val="auto"/>
              </w:rPr>
            </w:pPr>
            <w:r>
              <w:rPr>
                <w:rFonts w:ascii="Arial" w:cs="Arial" w:eastAsia="Arial" w:hAnsi="Arial"/>
                <w:sz w:val="19"/>
                <w:szCs w:val="19"/>
                <w:color w:val="auto"/>
              </w:rPr>
              <w:t>Expenses; Indemnity; Damage Waiver.</w:t>
            </w:r>
          </w:p>
        </w:tc>
        <w:tc>
          <w:tcPr>
            <w:tcW w:w="1780" w:type="dxa"/>
            <w:vAlign w:val="bottom"/>
          </w:tcPr>
          <w:p>
            <w:pPr>
              <w:jc w:val="right"/>
              <w:spacing w:after="0"/>
              <w:rPr>
                <w:sz w:val="20"/>
                <w:szCs w:val="20"/>
                <w:color w:val="auto"/>
              </w:rPr>
            </w:pPr>
            <w:r>
              <w:rPr>
                <w:rFonts w:ascii="Arial" w:cs="Arial" w:eastAsia="Arial" w:hAnsi="Arial"/>
                <w:sz w:val="19"/>
                <w:szCs w:val="19"/>
                <w:color w:val="auto"/>
              </w:rPr>
              <w:t>140</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11.05</w:t>
            </w:r>
          </w:p>
        </w:tc>
        <w:tc>
          <w:tcPr>
            <w:tcW w:w="7480" w:type="dxa"/>
            <w:vAlign w:val="bottom"/>
          </w:tcPr>
          <w:p>
            <w:pPr>
              <w:ind w:left="180"/>
              <w:spacing w:after="0"/>
              <w:rPr>
                <w:sz w:val="20"/>
                <w:szCs w:val="20"/>
                <w:color w:val="auto"/>
              </w:rPr>
            </w:pPr>
            <w:r>
              <w:rPr>
                <w:rFonts w:ascii="Arial" w:cs="Arial" w:eastAsia="Arial" w:hAnsi="Arial"/>
                <w:sz w:val="19"/>
                <w:szCs w:val="19"/>
                <w:color w:val="auto"/>
              </w:rPr>
              <w:t>Payments Set Aside.</w:t>
            </w:r>
          </w:p>
        </w:tc>
        <w:tc>
          <w:tcPr>
            <w:tcW w:w="1780" w:type="dxa"/>
            <w:vAlign w:val="bottom"/>
          </w:tcPr>
          <w:p>
            <w:pPr>
              <w:jc w:val="right"/>
              <w:spacing w:after="0"/>
              <w:rPr>
                <w:sz w:val="20"/>
                <w:szCs w:val="20"/>
                <w:color w:val="auto"/>
              </w:rPr>
            </w:pPr>
            <w:r>
              <w:rPr>
                <w:rFonts w:ascii="Arial" w:cs="Arial" w:eastAsia="Arial" w:hAnsi="Arial"/>
                <w:sz w:val="19"/>
                <w:szCs w:val="19"/>
                <w:color w:val="auto"/>
              </w:rPr>
              <w:t>142</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11.06</w:t>
            </w:r>
          </w:p>
        </w:tc>
        <w:tc>
          <w:tcPr>
            <w:tcW w:w="7480" w:type="dxa"/>
            <w:vAlign w:val="bottom"/>
          </w:tcPr>
          <w:p>
            <w:pPr>
              <w:ind w:left="180"/>
              <w:spacing w:after="0"/>
              <w:rPr>
                <w:sz w:val="20"/>
                <w:szCs w:val="20"/>
                <w:color w:val="auto"/>
              </w:rPr>
            </w:pPr>
            <w:r>
              <w:rPr>
                <w:rFonts w:ascii="Arial" w:cs="Arial" w:eastAsia="Arial" w:hAnsi="Arial"/>
                <w:sz w:val="19"/>
                <w:szCs w:val="19"/>
                <w:color w:val="auto"/>
              </w:rPr>
              <w:t>Successors and Assigns.</w:t>
            </w:r>
          </w:p>
        </w:tc>
        <w:tc>
          <w:tcPr>
            <w:tcW w:w="1780" w:type="dxa"/>
            <w:vAlign w:val="bottom"/>
          </w:tcPr>
          <w:p>
            <w:pPr>
              <w:jc w:val="right"/>
              <w:spacing w:after="0"/>
              <w:rPr>
                <w:sz w:val="20"/>
                <w:szCs w:val="20"/>
                <w:color w:val="auto"/>
              </w:rPr>
            </w:pPr>
            <w:r>
              <w:rPr>
                <w:rFonts w:ascii="Arial" w:cs="Arial" w:eastAsia="Arial" w:hAnsi="Arial"/>
                <w:sz w:val="19"/>
                <w:szCs w:val="19"/>
                <w:color w:val="auto"/>
              </w:rPr>
              <w:t>142</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11.07</w:t>
            </w:r>
          </w:p>
        </w:tc>
        <w:tc>
          <w:tcPr>
            <w:tcW w:w="7480" w:type="dxa"/>
            <w:vAlign w:val="bottom"/>
          </w:tcPr>
          <w:p>
            <w:pPr>
              <w:ind w:left="180"/>
              <w:spacing w:after="0"/>
              <w:rPr>
                <w:sz w:val="20"/>
                <w:szCs w:val="20"/>
                <w:color w:val="auto"/>
              </w:rPr>
            </w:pPr>
            <w:r>
              <w:rPr>
                <w:rFonts w:ascii="Arial" w:cs="Arial" w:eastAsia="Arial" w:hAnsi="Arial"/>
                <w:sz w:val="19"/>
                <w:szCs w:val="19"/>
                <w:color w:val="auto"/>
              </w:rPr>
              <w:t>Treatment of Certain Information; Confidentiality.</w:t>
            </w:r>
          </w:p>
        </w:tc>
        <w:tc>
          <w:tcPr>
            <w:tcW w:w="1780" w:type="dxa"/>
            <w:vAlign w:val="bottom"/>
          </w:tcPr>
          <w:p>
            <w:pPr>
              <w:jc w:val="right"/>
              <w:spacing w:after="0"/>
              <w:rPr>
                <w:sz w:val="20"/>
                <w:szCs w:val="20"/>
                <w:color w:val="auto"/>
              </w:rPr>
            </w:pPr>
            <w:r>
              <w:rPr>
                <w:rFonts w:ascii="Arial" w:cs="Arial" w:eastAsia="Arial" w:hAnsi="Arial"/>
                <w:sz w:val="19"/>
                <w:szCs w:val="19"/>
                <w:color w:val="auto"/>
              </w:rPr>
              <w:t>148</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11.08</w:t>
            </w:r>
          </w:p>
        </w:tc>
        <w:tc>
          <w:tcPr>
            <w:tcW w:w="7480" w:type="dxa"/>
            <w:vAlign w:val="bottom"/>
          </w:tcPr>
          <w:p>
            <w:pPr>
              <w:ind w:left="180"/>
              <w:spacing w:after="0"/>
              <w:rPr>
                <w:sz w:val="20"/>
                <w:szCs w:val="20"/>
                <w:color w:val="auto"/>
              </w:rPr>
            </w:pPr>
            <w:r>
              <w:rPr>
                <w:rFonts w:ascii="Arial" w:cs="Arial" w:eastAsia="Arial" w:hAnsi="Arial"/>
                <w:sz w:val="19"/>
                <w:szCs w:val="19"/>
                <w:color w:val="auto"/>
              </w:rPr>
              <w:t>Right of Setoff.</w:t>
            </w:r>
          </w:p>
        </w:tc>
        <w:tc>
          <w:tcPr>
            <w:tcW w:w="1780" w:type="dxa"/>
            <w:vAlign w:val="bottom"/>
          </w:tcPr>
          <w:p>
            <w:pPr>
              <w:jc w:val="right"/>
              <w:spacing w:after="0"/>
              <w:rPr>
                <w:sz w:val="20"/>
                <w:szCs w:val="20"/>
                <w:color w:val="auto"/>
              </w:rPr>
            </w:pPr>
            <w:r>
              <w:rPr>
                <w:rFonts w:ascii="Arial" w:cs="Arial" w:eastAsia="Arial" w:hAnsi="Arial"/>
                <w:sz w:val="19"/>
                <w:szCs w:val="19"/>
                <w:color w:val="auto"/>
              </w:rPr>
              <w:t>150</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11.09</w:t>
            </w:r>
          </w:p>
        </w:tc>
        <w:tc>
          <w:tcPr>
            <w:tcW w:w="7480" w:type="dxa"/>
            <w:vAlign w:val="bottom"/>
          </w:tcPr>
          <w:p>
            <w:pPr>
              <w:ind w:left="180"/>
              <w:spacing w:after="0"/>
              <w:rPr>
                <w:sz w:val="20"/>
                <w:szCs w:val="20"/>
                <w:color w:val="auto"/>
              </w:rPr>
            </w:pPr>
            <w:r>
              <w:rPr>
                <w:rFonts w:ascii="Arial" w:cs="Arial" w:eastAsia="Arial" w:hAnsi="Arial"/>
                <w:sz w:val="19"/>
                <w:szCs w:val="19"/>
                <w:color w:val="auto"/>
              </w:rPr>
              <w:t>Interest Rate Limitation.</w:t>
            </w:r>
          </w:p>
        </w:tc>
        <w:tc>
          <w:tcPr>
            <w:tcW w:w="1780" w:type="dxa"/>
            <w:vAlign w:val="bottom"/>
          </w:tcPr>
          <w:p>
            <w:pPr>
              <w:jc w:val="right"/>
              <w:spacing w:after="0"/>
              <w:rPr>
                <w:sz w:val="20"/>
                <w:szCs w:val="20"/>
                <w:color w:val="auto"/>
              </w:rPr>
            </w:pPr>
            <w:r>
              <w:rPr>
                <w:rFonts w:ascii="Arial" w:cs="Arial" w:eastAsia="Arial" w:hAnsi="Arial"/>
                <w:sz w:val="19"/>
                <w:szCs w:val="19"/>
                <w:color w:val="auto"/>
              </w:rPr>
              <w:t>150</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11.10</w:t>
            </w:r>
          </w:p>
        </w:tc>
        <w:tc>
          <w:tcPr>
            <w:tcW w:w="7480" w:type="dxa"/>
            <w:vAlign w:val="bottom"/>
          </w:tcPr>
          <w:p>
            <w:pPr>
              <w:ind w:left="180"/>
              <w:spacing w:after="0"/>
              <w:rPr>
                <w:sz w:val="20"/>
                <w:szCs w:val="20"/>
                <w:color w:val="auto"/>
              </w:rPr>
            </w:pPr>
            <w:r>
              <w:rPr>
                <w:rFonts w:ascii="Arial" w:cs="Arial" w:eastAsia="Arial" w:hAnsi="Arial"/>
                <w:sz w:val="19"/>
                <w:szCs w:val="19"/>
                <w:color w:val="auto"/>
              </w:rPr>
              <w:t>Counterparts; Integration; Effectiveness.</w:t>
            </w:r>
          </w:p>
        </w:tc>
        <w:tc>
          <w:tcPr>
            <w:tcW w:w="1780" w:type="dxa"/>
            <w:vAlign w:val="bottom"/>
          </w:tcPr>
          <w:p>
            <w:pPr>
              <w:jc w:val="right"/>
              <w:spacing w:after="0"/>
              <w:rPr>
                <w:sz w:val="20"/>
                <w:szCs w:val="20"/>
                <w:color w:val="auto"/>
              </w:rPr>
            </w:pPr>
            <w:r>
              <w:rPr>
                <w:rFonts w:ascii="Arial" w:cs="Arial" w:eastAsia="Arial" w:hAnsi="Arial"/>
                <w:sz w:val="19"/>
                <w:szCs w:val="19"/>
                <w:color w:val="auto"/>
              </w:rPr>
              <w:t>150</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11.11</w:t>
            </w:r>
          </w:p>
        </w:tc>
        <w:tc>
          <w:tcPr>
            <w:tcW w:w="7480" w:type="dxa"/>
            <w:vAlign w:val="bottom"/>
          </w:tcPr>
          <w:p>
            <w:pPr>
              <w:ind w:left="180"/>
              <w:spacing w:after="0"/>
              <w:rPr>
                <w:sz w:val="20"/>
                <w:szCs w:val="20"/>
                <w:color w:val="auto"/>
              </w:rPr>
            </w:pPr>
            <w:r>
              <w:rPr>
                <w:rFonts w:ascii="Arial" w:cs="Arial" w:eastAsia="Arial" w:hAnsi="Arial"/>
                <w:sz w:val="19"/>
                <w:szCs w:val="19"/>
                <w:color w:val="auto"/>
              </w:rPr>
              <w:t>Survival of Representations and Warranties.</w:t>
            </w:r>
          </w:p>
        </w:tc>
        <w:tc>
          <w:tcPr>
            <w:tcW w:w="1780" w:type="dxa"/>
            <w:vAlign w:val="bottom"/>
          </w:tcPr>
          <w:p>
            <w:pPr>
              <w:jc w:val="right"/>
              <w:spacing w:after="0"/>
              <w:rPr>
                <w:sz w:val="20"/>
                <w:szCs w:val="20"/>
                <w:color w:val="auto"/>
              </w:rPr>
            </w:pPr>
            <w:r>
              <w:rPr>
                <w:rFonts w:ascii="Arial" w:cs="Arial" w:eastAsia="Arial" w:hAnsi="Arial"/>
                <w:sz w:val="19"/>
                <w:szCs w:val="19"/>
                <w:color w:val="auto"/>
              </w:rPr>
              <w:t>151</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11.12</w:t>
            </w:r>
          </w:p>
        </w:tc>
        <w:tc>
          <w:tcPr>
            <w:tcW w:w="7480" w:type="dxa"/>
            <w:vAlign w:val="bottom"/>
          </w:tcPr>
          <w:p>
            <w:pPr>
              <w:ind w:left="180"/>
              <w:spacing w:after="0"/>
              <w:rPr>
                <w:sz w:val="20"/>
                <w:szCs w:val="20"/>
                <w:color w:val="auto"/>
              </w:rPr>
            </w:pPr>
            <w:r>
              <w:rPr>
                <w:rFonts w:ascii="Arial" w:cs="Arial" w:eastAsia="Arial" w:hAnsi="Arial"/>
                <w:sz w:val="19"/>
                <w:szCs w:val="19"/>
                <w:color w:val="auto"/>
              </w:rPr>
              <w:t>Severability.</w:t>
            </w:r>
          </w:p>
        </w:tc>
        <w:tc>
          <w:tcPr>
            <w:tcW w:w="1780" w:type="dxa"/>
            <w:vAlign w:val="bottom"/>
          </w:tcPr>
          <w:p>
            <w:pPr>
              <w:jc w:val="right"/>
              <w:spacing w:after="0"/>
              <w:rPr>
                <w:sz w:val="20"/>
                <w:szCs w:val="20"/>
                <w:color w:val="auto"/>
              </w:rPr>
            </w:pPr>
            <w:r>
              <w:rPr>
                <w:rFonts w:ascii="Arial" w:cs="Arial" w:eastAsia="Arial" w:hAnsi="Arial"/>
                <w:sz w:val="19"/>
                <w:szCs w:val="19"/>
                <w:color w:val="auto"/>
              </w:rPr>
              <w:t>151</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11.13</w:t>
            </w:r>
          </w:p>
        </w:tc>
        <w:tc>
          <w:tcPr>
            <w:tcW w:w="7480" w:type="dxa"/>
            <w:vAlign w:val="bottom"/>
          </w:tcPr>
          <w:p>
            <w:pPr>
              <w:ind w:left="180"/>
              <w:spacing w:after="0"/>
              <w:rPr>
                <w:sz w:val="20"/>
                <w:szCs w:val="20"/>
                <w:color w:val="auto"/>
              </w:rPr>
            </w:pPr>
            <w:r>
              <w:rPr>
                <w:rFonts w:ascii="Arial" w:cs="Arial" w:eastAsia="Arial" w:hAnsi="Arial"/>
                <w:sz w:val="19"/>
                <w:szCs w:val="19"/>
                <w:color w:val="auto"/>
              </w:rPr>
              <w:t>Replacement of Lenders.</w:t>
            </w:r>
          </w:p>
        </w:tc>
        <w:tc>
          <w:tcPr>
            <w:tcW w:w="1780" w:type="dxa"/>
            <w:vAlign w:val="bottom"/>
          </w:tcPr>
          <w:p>
            <w:pPr>
              <w:jc w:val="right"/>
              <w:spacing w:after="0"/>
              <w:rPr>
                <w:sz w:val="20"/>
                <w:szCs w:val="20"/>
                <w:color w:val="auto"/>
              </w:rPr>
            </w:pPr>
            <w:r>
              <w:rPr>
                <w:rFonts w:ascii="Arial" w:cs="Arial" w:eastAsia="Arial" w:hAnsi="Arial"/>
                <w:sz w:val="19"/>
                <w:szCs w:val="19"/>
                <w:color w:val="auto"/>
              </w:rPr>
              <w:t>151</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11.14</w:t>
            </w:r>
          </w:p>
        </w:tc>
        <w:tc>
          <w:tcPr>
            <w:tcW w:w="7480" w:type="dxa"/>
            <w:vAlign w:val="bottom"/>
          </w:tcPr>
          <w:p>
            <w:pPr>
              <w:ind w:left="180"/>
              <w:spacing w:after="0"/>
              <w:rPr>
                <w:sz w:val="20"/>
                <w:szCs w:val="20"/>
                <w:color w:val="auto"/>
              </w:rPr>
            </w:pPr>
            <w:r>
              <w:rPr>
                <w:rFonts w:ascii="Arial" w:cs="Arial" w:eastAsia="Arial" w:hAnsi="Arial"/>
                <w:sz w:val="19"/>
                <w:szCs w:val="19"/>
                <w:color w:val="auto"/>
              </w:rPr>
              <w:t>Governing Law; Jurisdiction; Etc.</w:t>
            </w:r>
          </w:p>
        </w:tc>
        <w:tc>
          <w:tcPr>
            <w:tcW w:w="1780" w:type="dxa"/>
            <w:vAlign w:val="bottom"/>
          </w:tcPr>
          <w:p>
            <w:pPr>
              <w:jc w:val="right"/>
              <w:spacing w:after="0"/>
              <w:rPr>
                <w:sz w:val="20"/>
                <w:szCs w:val="20"/>
                <w:color w:val="auto"/>
              </w:rPr>
            </w:pPr>
            <w:r>
              <w:rPr>
                <w:rFonts w:ascii="Arial" w:cs="Arial" w:eastAsia="Arial" w:hAnsi="Arial"/>
                <w:sz w:val="19"/>
                <w:szCs w:val="19"/>
                <w:color w:val="auto"/>
              </w:rPr>
              <w:t>152</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11.15</w:t>
            </w:r>
          </w:p>
        </w:tc>
        <w:tc>
          <w:tcPr>
            <w:tcW w:w="7480" w:type="dxa"/>
            <w:vAlign w:val="bottom"/>
          </w:tcPr>
          <w:p>
            <w:pPr>
              <w:ind w:left="180"/>
              <w:spacing w:after="0"/>
              <w:rPr>
                <w:sz w:val="20"/>
                <w:szCs w:val="20"/>
                <w:color w:val="auto"/>
              </w:rPr>
            </w:pPr>
            <w:r>
              <w:rPr>
                <w:rFonts w:ascii="Arial" w:cs="Arial" w:eastAsia="Arial" w:hAnsi="Arial"/>
                <w:sz w:val="19"/>
                <w:szCs w:val="19"/>
                <w:color w:val="auto"/>
              </w:rPr>
              <w:t>Waiver of Jury Trial.</w:t>
            </w:r>
          </w:p>
        </w:tc>
        <w:tc>
          <w:tcPr>
            <w:tcW w:w="1780" w:type="dxa"/>
            <w:vAlign w:val="bottom"/>
          </w:tcPr>
          <w:p>
            <w:pPr>
              <w:jc w:val="right"/>
              <w:spacing w:after="0"/>
              <w:rPr>
                <w:sz w:val="20"/>
                <w:szCs w:val="20"/>
                <w:color w:val="auto"/>
              </w:rPr>
            </w:pPr>
            <w:r>
              <w:rPr>
                <w:rFonts w:ascii="Arial" w:cs="Arial" w:eastAsia="Arial" w:hAnsi="Arial"/>
                <w:sz w:val="19"/>
                <w:szCs w:val="19"/>
                <w:color w:val="auto"/>
              </w:rPr>
              <w:t>153</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11.16</w:t>
            </w:r>
          </w:p>
        </w:tc>
        <w:tc>
          <w:tcPr>
            <w:tcW w:w="7480" w:type="dxa"/>
            <w:vAlign w:val="bottom"/>
          </w:tcPr>
          <w:p>
            <w:pPr>
              <w:ind w:left="180"/>
              <w:spacing w:after="0"/>
              <w:rPr>
                <w:sz w:val="20"/>
                <w:szCs w:val="20"/>
                <w:color w:val="auto"/>
              </w:rPr>
            </w:pPr>
            <w:r>
              <w:rPr>
                <w:rFonts w:ascii="Arial" w:cs="Arial" w:eastAsia="Arial" w:hAnsi="Arial"/>
                <w:sz w:val="19"/>
                <w:szCs w:val="19"/>
                <w:color w:val="auto"/>
              </w:rPr>
              <w:t>Subordination.</w:t>
            </w:r>
          </w:p>
        </w:tc>
        <w:tc>
          <w:tcPr>
            <w:tcW w:w="1780" w:type="dxa"/>
            <w:vAlign w:val="bottom"/>
          </w:tcPr>
          <w:p>
            <w:pPr>
              <w:jc w:val="right"/>
              <w:spacing w:after="0"/>
              <w:rPr>
                <w:sz w:val="20"/>
                <w:szCs w:val="20"/>
                <w:color w:val="auto"/>
              </w:rPr>
            </w:pPr>
            <w:r>
              <w:rPr>
                <w:rFonts w:ascii="Arial" w:cs="Arial" w:eastAsia="Arial" w:hAnsi="Arial"/>
                <w:sz w:val="19"/>
                <w:szCs w:val="19"/>
                <w:color w:val="auto"/>
              </w:rPr>
              <w:t>154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11.17</w:t>
            </w:r>
          </w:p>
        </w:tc>
        <w:tc>
          <w:tcPr>
            <w:tcW w:w="7480" w:type="dxa"/>
            <w:vAlign w:val="bottom"/>
          </w:tcPr>
          <w:p>
            <w:pPr>
              <w:ind w:left="180"/>
              <w:spacing w:after="0"/>
              <w:rPr>
                <w:sz w:val="20"/>
                <w:szCs w:val="20"/>
                <w:color w:val="auto"/>
              </w:rPr>
            </w:pPr>
            <w:r>
              <w:rPr>
                <w:rFonts w:ascii="Arial" w:cs="Arial" w:eastAsia="Arial" w:hAnsi="Arial"/>
                <w:sz w:val="19"/>
                <w:szCs w:val="19"/>
                <w:color w:val="auto"/>
              </w:rPr>
              <w:t>No Advisory or Fiduciary Responsibility.</w:t>
            </w:r>
          </w:p>
        </w:tc>
        <w:tc>
          <w:tcPr>
            <w:tcW w:w="1780" w:type="dxa"/>
            <w:vAlign w:val="bottom"/>
          </w:tcPr>
          <w:p>
            <w:pPr>
              <w:jc w:val="right"/>
              <w:spacing w:after="0"/>
              <w:rPr>
                <w:sz w:val="20"/>
                <w:szCs w:val="20"/>
                <w:color w:val="auto"/>
              </w:rPr>
            </w:pPr>
            <w:r>
              <w:rPr>
                <w:rFonts w:ascii="Arial" w:cs="Arial" w:eastAsia="Arial" w:hAnsi="Arial"/>
                <w:sz w:val="19"/>
                <w:szCs w:val="19"/>
                <w:color w:val="auto"/>
              </w:rPr>
              <w:t>154</w:t>
            </w:r>
          </w:p>
        </w:tc>
      </w:tr>
      <w:tr>
        <w:trPr>
          <w:trHeight w:val="243"/>
        </w:trPr>
        <w:tc>
          <w:tcPr>
            <w:tcW w:w="1420" w:type="dxa"/>
            <w:vAlign w:val="bottom"/>
          </w:tcPr>
          <w:p>
            <w:pPr>
              <w:ind w:left="800"/>
              <w:spacing w:after="0"/>
              <w:rPr>
                <w:sz w:val="20"/>
                <w:szCs w:val="20"/>
                <w:color w:val="auto"/>
              </w:rPr>
            </w:pPr>
            <w:r>
              <w:rPr>
                <w:rFonts w:ascii="Arial" w:cs="Arial" w:eastAsia="Arial" w:hAnsi="Arial"/>
                <w:sz w:val="19"/>
                <w:szCs w:val="19"/>
                <w:color w:val="auto"/>
              </w:rPr>
              <w:t>11.18</w:t>
            </w:r>
          </w:p>
        </w:tc>
        <w:tc>
          <w:tcPr>
            <w:tcW w:w="7480" w:type="dxa"/>
            <w:vAlign w:val="bottom"/>
          </w:tcPr>
          <w:p>
            <w:pPr>
              <w:ind w:left="180"/>
              <w:spacing w:after="0"/>
              <w:rPr>
                <w:sz w:val="20"/>
                <w:szCs w:val="20"/>
                <w:color w:val="auto"/>
              </w:rPr>
            </w:pPr>
            <w:r>
              <w:rPr>
                <w:rFonts w:ascii="Arial" w:cs="Arial" w:eastAsia="Arial" w:hAnsi="Arial"/>
                <w:sz w:val="19"/>
                <w:szCs w:val="19"/>
                <w:color w:val="auto"/>
              </w:rPr>
              <w:t>Electronic Execution; Electronic Records.</w:t>
            </w:r>
          </w:p>
        </w:tc>
        <w:tc>
          <w:tcPr>
            <w:tcW w:w="1780" w:type="dxa"/>
            <w:vAlign w:val="bottom"/>
          </w:tcPr>
          <w:p>
            <w:pPr>
              <w:jc w:val="right"/>
              <w:spacing w:after="0"/>
              <w:rPr>
                <w:sz w:val="20"/>
                <w:szCs w:val="20"/>
                <w:color w:val="auto"/>
              </w:rPr>
            </w:pPr>
            <w:r>
              <w:rPr>
                <w:rFonts w:ascii="Arial" w:cs="Arial" w:eastAsia="Arial" w:hAnsi="Arial"/>
                <w:sz w:val="19"/>
                <w:szCs w:val="19"/>
                <w:color w:val="auto"/>
              </w:rPr>
              <w:t>155</w:t>
            </w:r>
          </w:p>
        </w:tc>
      </w:tr>
    </w:tbl>
    <w:p>
      <w:pPr>
        <w:spacing w:after="0" w:line="20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387" w:right="8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0"/>
        </w:trPr>
        <w:tc>
          <w:tcPr>
            <w:tcW w:w="620" w:type="dxa"/>
            <w:vAlign w:val="bottom"/>
          </w:tcPr>
          <w:p>
            <w:pPr>
              <w:jc w:val="right"/>
              <w:ind w:right="106"/>
              <w:spacing w:after="0"/>
              <w:rPr>
                <w:sz w:val="20"/>
                <w:szCs w:val="20"/>
                <w:color w:val="auto"/>
              </w:rPr>
            </w:pPr>
            <w:r>
              <w:rPr>
                <w:rFonts w:ascii="Arial" w:cs="Arial" w:eastAsia="Arial" w:hAnsi="Arial"/>
                <w:sz w:val="19"/>
                <w:szCs w:val="19"/>
                <w:color w:val="auto"/>
                <w:w w:val="84"/>
              </w:rPr>
              <w:t>11.19</w:t>
            </w:r>
          </w:p>
        </w:tc>
        <w:tc>
          <w:tcPr>
            <w:tcW w:w="7480" w:type="dxa"/>
            <w:vAlign w:val="bottom"/>
          </w:tcPr>
          <w:p>
            <w:pPr>
              <w:ind w:left="180"/>
              <w:spacing w:after="0"/>
              <w:rPr>
                <w:sz w:val="20"/>
                <w:szCs w:val="20"/>
                <w:color w:val="auto"/>
              </w:rPr>
            </w:pPr>
            <w:r>
              <w:rPr>
                <w:rFonts w:ascii="Arial" w:cs="Arial" w:eastAsia="Arial" w:hAnsi="Arial"/>
                <w:sz w:val="19"/>
                <w:szCs w:val="19"/>
                <w:color w:val="auto"/>
              </w:rPr>
              <w:t>USA Patriot Act Notice.</w:t>
            </w:r>
          </w:p>
        </w:tc>
        <w:tc>
          <w:tcPr>
            <w:tcW w:w="178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43"/>
        </w:trPr>
        <w:tc>
          <w:tcPr>
            <w:tcW w:w="620" w:type="dxa"/>
            <w:vAlign w:val="bottom"/>
          </w:tcPr>
          <w:p>
            <w:pPr>
              <w:jc w:val="right"/>
              <w:ind w:right="106"/>
              <w:spacing w:after="0"/>
              <w:rPr>
                <w:sz w:val="20"/>
                <w:szCs w:val="20"/>
                <w:color w:val="auto"/>
              </w:rPr>
            </w:pPr>
            <w:r>
              <w:rPr>
                <w:rFonts w:ascii="Arial" w:cs="Arial" w:eastAsia="Arial" w:hAnsi="Arial"/>
                <w:sz w:val="19"/>
                <w:szCs w:val="19"/>
                <w:color w:val="auto"/>
                <w:w w:val="84"/>
              </w:rPr>
              <w:t>11.20</w:t>
            </w:r>
          </w:p>
        </w:tc>
        <w:tc>
          <w:tcPr>
            <w:tcW w:w="7480" w:type="dxa"/>
            <w:vAlign w:val="bottom"/>
          </w:tcPr>
          <w:p>
            <w:pPr>
              <w:ind w:left="180"/>
              <w:spacing w:after="0"/>
              <w:rPr>
                <w:sz w:val="20"/>
                <w:szCs w:val="20"/>
                <w:color w:val="auto"/>
              </w:rPr>
            </w:pPr>
            <w:r>
              <w:rPr>
                <w:rFonts w:ascii="Arial" w:cs="Arial" w:eastAsia="Arial" w:hAnsi="Arial"/>
                <w:sz w:val="19"/>
                <w:szCs w:val="19"/>
                <w:color w:val="auto"/>
              </w:rPr>
              <w:t>Acknowledgement and Consent to Bail-In of Affected Financial Institutions.</w:t>
            </w:r>
          </w:p>
        </w:tc>
        <w:tc>
          <w:tcPr>
            <w:tcW w:w="1780" w:type="dxa"/>
            <w:vAlign w:val="bottom"/>
          </w:tcPr>
          <w:p>
            <w:pPr>
              <w:jc w:val="right"/>
              <w:spacing w:after="0"/>
              <w:rPr>
                <w:sz w:val="20"/>
                <w:szCs w:val="20"/>
                <w:color w:val="auto"/>
              </w:rPr>
            </w:pPr>
            <w:r>
              <w:rPr>
                <w:rFonts w:ascii="Arial" w:cs="Arial" w:eastAsia="Arial" w:hAnsi="Arial"/>
                <w:sz w:val="19"/>
                <w:szCs w:val="19"/>
                <w:color w:val="auto"/>
              </w:rPr>
              <w:t>155</w:t>
            </w:r>
          </w:p>
        </w:tc>
      </w:tr>
      <w:tr>
        <w:trPr>
          <w:trHeight w:val="243"/>
        </w:trPr>
        <w:tc>
          <w:tcPr>
            <w:tcW w:w="620" w:type="dxa"/>
            <w:vAlign w:val="bottom"/>
          </w:tcPr>
          <w:p>
            <w:pPr>
              <w:jc w:val="right"/>
              <w:ind w:right="106"/>
              <w:spacing w:after="0"/>
              <w:rPr>
                <w:sz w:val="20"/>
                <w:szCs w:val="20"/>
                <w:color w:val="auto"/>
              </w:rPr>
            </w:pPr>
            <w:r>
              <w:rPr>
                <w:rFonts w:ascii="Arial" w:cs="Arial" w:eastAsia="Arial" w:hAnsi="Arial"/>
                <w:sz w:val="19"/>
                <w:szCs w:val="19"/>
                <w:color w:val="auto"/>
                <w:w w:val="84"/>
              </w:rPr>
              <w:t>11.21</w:t>
            </w:r>
          </w:p>
        </w:tc>
        <w:tc>
          <w:tcPr>
            <w:tcW w:w="7480" w:type="dxa"/>
            <w:vAlign w:val="bottom"/>
          </w:tcPr>
          <w:p>
            <w:pPr>
              <w:ind w:left="180"/>
              <w:spacing w:after="0"/>
              <w:rPr>
                <w:sz w:val="20"/>
                <w:szCs w:val="20"/>
                <w:color w:val="auto"/>
              </w:rPr>
            </w:pPr>
            <w:r>
              <w:rPr>
                <w:rFonts w:ascii="Arial" w:cs="Arial" w:eastAsia="Arial" w:hAnsi="Arial"/>
                <w:sz w:val="19"/>
                <w:szCs w:val="19"/>
                <w:color w:val="auto"/>
              </w:rPr>
              <w:t>Acknowledgement Regarding Any Supported QFCs.</w:t>
            </w:r>
          </w:p>
        </w:tc>
        <w:tc>
          <w:tcPr>
            <w:tcW w:w="1780" w:type="dxa"/>
            <w:vAlign w:val="bottom"/>
          </w:tcPr>
          <w:p>
            <w:pPr>
              <w:jc w:val="right"/>
              <w:spacing w:after="0"/>
              <w:rPr>
                <w:sz w:val="20"/>
                <w:szCs w:val="20"/>
                <w:color w:val="auto"/>
              </w:rPr>
            </w:pPr>
            <w:r>
              <w:rPr>
                <w:rFonts w:ascii="Arial" w:cs="Arial" w:eastAsia="Arial" w:hAnsi="Arial"/>
                <w:sz w:val="19"/>
                <w:szCs w:val="19"/>
                <w:color w:val="auto"/>
              </w:rPr>
              <w:t>156</w:t>
            </w:r>
          </w:p>
        </w:tc>
      </w:tr>
      <w:tr>
        <w:trPr>
          <w:trHeight w:val="243"/>
        </w:trPr>
        <w:tc>
          <w:tcPr>
            <w:tcW w:w="620" w:type="dxa"/>
            <w:vAlign w:val="bottom"/>
          </w:tcPr>
          <w:p>
            <w:pPr>
              <w:jc w:val="right"/>
              <w:ind w:right="106"/>
              <w:spacing w:after="0"/>
              <w:rPr>
                <w:sz w:val="20"/>
                <w:szCs w:val="20"/>
                <w:color w:val="auto"/>
              </w:rPr>
            </w:pPr>
            <w:r>
              <w:rPr>
                <w:rFonts w:ascii="Arial" w:cs="Arial" w:eastAsia="Arial" w:hAnsi="Arial"/>
                <w:sz w:val="19"/>
                <w:szCs w:val="19"/>
                <w:color w:val="auto"/>
                <w:w w:val="84"/>
              </w:rPr>
              <w:t>11.22</w:t>
            </w:r>
          </w:p>
        </w:tc>
        <w:tc>
          <w:tcPr>
            <w:tcW w:w="7480" w:type="dxa"/>
            <w:vAlign w:val="bottom"/>
          </w:tcPr>
          <w:p>
            <w:pPr>
              <w:ind w:left="180"/>
              <w:spacing w:after="0"/>
              <w:rPr>
                <w:sz w:val="20"/>
                <w:szCs w:val="20"/>
                <w:color w:val="auto"/>
              </w:rPr>
            </w:pPr>
            <w:r>
              <w:rPr>
                <w:rFonts w:ascii="Arial" w:cs="Arial" w:eastAsia="Arial" w:hAnsi="Arial"/>
                <w:sz w:val="19"/>
                <w:szCs w:val="19"/>
                <w:color w:val="auto"/>
              </w:rPr>
              <w:t>ENTIRE AGREEMENT.</w:t>
            </w:r>
          </w:p>
        </w:tc>
        <w:tc>
          <w:tcPr>
            <w:tcW w:w="1780" w:type="dxa"/>
            <w:vAlign w:val="bottom"/>
          </w:tcPr>
          <w:p>
            <w:pPr>
              <w:jc w:val="right"/>
              <w:spacing w:after="0"/>
              <w:rPr>
                <w:sz w:val="20"/>
                <w:szCs w:val="20"/>
                <w:color w:val="auto"/>
              </w:rPr>
            </w:pPr>
            <w:r>
              <w:rPr>
                <w:rFonts w:ascii="Arial" w:cs="Arial" w:eastAsia="Arial" w:hAnsi="Arial"/>
                <w:sz w:val="19"/>
                <w:szCs w:val="19"/>
                <w:color w:val="auto"/>
              </w:rPr>
              <w:t>157</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207645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880"/>
          </w:cols>
          <w:pgMar w:left="1120" w:top="387" w:right="89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BORROWER PREPARED SCHEDULES</w:t>
      </w:r>
    </w:p>
    <w:p>
      <w:pPr>
        <w:sectPr>
          <w:pgSz w:w="11900" w:h="16838" w:orient="portrait"/>
          <w:cols w:equalWidth="0" w:num="1">
            <w:col w:w="10139"/>
          </w:cols>
          <w:pgMar w:left="320" w:top="644" w:right="1440" w:bottom="1440" w:gutter="0" w:footer="0" w:header="0"/>
        </w:sect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Schedule 5.18(a)</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Schedule 5.18(b)</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Schedule 5.19(b)</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Schedule 5.19(c)</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Schedule 7.01</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Schedule 7.02</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Schedule 7.03</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Schedule 7.08</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Subsidiaries, Joint Ventures, Partnerships and Other Equity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Loan Parties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Intellectual Property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Real Properties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Existing Liens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Existing Indebtedness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Existing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Existing Affiliate Transactions</w:t>
      </w:r>
    </w:p>
    <w:p>
      <w:pPr>
        <w:spacing w:after="0" w:line="200" w:lineRule="exact"/>
        <w:rPr>
          <w:sz w:val="20"/>
          <w:szCs w:val="20"/>
          <w:color w:val="auto"/>
        </w:rPr>
      </w:pPr>
    </w:p>
    <w:p>
      <w:pPr>
        <w:sectPr>
          <w:pgSz w:w="11900" w:h="16838" w:orient="portrait"/>
          <w:cols w:equalWidth="0" w:num="2">
            <w:col w:w="2580" w:space="720"/>
            <w:col w:w="6839"/>
          </w:cols>
          <w:pgMar w:left="320" w:top="644"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PREPARED SCHEDULES</w:t>
      </w:r>
    </w:p>
    <w:p>
      <w:pPr>
        <w:sectPr>
          <w:pgSz w:w="11900" w:h="16838" w:orient="portrait"/>
          <w:cols w:equalWidth="0" w:num="1">
            <w:col w:w="10139"/>
          </w:cols>
          <w:pgMar w:left="320" w:top="644" w:right="1440" w:bottom="1440" w:gutter="0" w:footer="0" w:header="0"/>
          <w:type w:val="continuous"/>
        </w:sect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Schedule 1.01(a)</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Schedule 1.01(b)</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Schedule 1.01(c)</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Schedule 2.01</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Schedule 2.03</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Schedule 6.16</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Certain Addresses for Notices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Initial Commitments and Applicable Percentages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Mortgaged Property Support Documents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Swingline Commitments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Letter of Credit Commitments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Post-Closing Schedule</w:t>
      </w:r>
    </w:p>
    <w:p>
      <w:pPr>
        <w:spacing w:after="0" w:line="200" w:lineRule="exact"/>
        <w:rPr>
          <w:sz w:val="20"/>
          <w:szCs w:val="20"/>
          <w:color w:val="auto"/>
        </w:rPr>
      </w:pPr>
    </w:p>
    <w:p>
      <w:pPr>
        <w:sectPr>
          <w:pgSz w:w="11900" w:h="16838" w:orient="portrait"/>
          <w:cols w:equalWidth="0" w:num="2">
            <w:col w:w="2580" w:space="720"/>
            <w:col w:w="6839"/>
          </w:cols>
          <w:pgMar w:left="320" w:top="644"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ectPr>
          <w:pgSz w:w="11900" w:h="16838" w:orient="portrait"/>
          <w:cols w:equalWidth="0" w:num="1">
            <w:col w:w="10139"/>
          </w:cols>
          <w:pgMar w:left="320" w:top="644" w:right="1440" w:bottom="1440" w:gutter="0" w:footer="0" w:header="0"/>
          <w:type w:val="continuous"/>
        </w:sect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A</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B</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C</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D</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F</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G</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H</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I</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J</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K</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Exhibit L</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M</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Exhibit 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Form of Administrative Questionnaire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Assignment and Assumption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Compliance Certificate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Incremental Term Note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[Reserved]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Joinder Agreement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Loan Notice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Revolving Note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Form of Secured Party Designation Notice</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Form of Swingline Loan Notice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Term Note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Forms of U.S. Tax Compliance Certificates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[Reserved]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of Notice of Loan Prepayment</w:t>
      </w:r>
    </w:p>
    <w:p>
      <w:pPr>
        <w:spacing w:after="0" w:line="200" w:lineRule="exact"/>
        <w:rPr>
          <w:sz w:val="20"/>
          <w:szCs w:val="20"/>
          <w:color w:val="auto"/>
        </w:rPr>
      </w:pPr>
    </w:p>
    <w:p>
      <w:pPr>
        <w:sectPr>
          <w:pgSz w:w="11900" w:h="16838" w:orient="portrait"/>
          <w:cols w:equalWidth="0" w:num="2">
            <w:col w:w="2580" w:space="720"/>
            <w:col w:w="6839"/>
          </w:cols>
          <w:pgMar w:left="320" w:top="644" w:right="1440" w:bottom="1440" w:gutter="0" w:footer="0" w:header="0"/>
          <w:type w:val="continuous"/>
        </w:sectPr>
      </w:pP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CREDIT AGREEMENT</w:t>
      </w:r>
      <w:r>
        <w:rPr>
          <w:rFonts w:ascii="Arial" w:cs="Arial" w:eastAsia="Arial" w:hAnsi="Arial"/>
          <w:sz w:val="20"/>
          <w:szCs w:val="20"/>
          <w:color w:val="auto"/>
        </w:rPr>
        <w:t xml:space="preserve"> is entered into as of September 3, 2021 among Corsair Gaming, Inc., a Delaware corporation (the “</w:t>
      </w:r>
      <w:r>
        <w:rPr>
          <w:rFonts w:ascii="Arial" w:cs="Arial" w:eastAsia="Arial" w:hAnsi="Arial"/>
          <w:sz w:val="20"/>
          <w:szCs w:val="20"/>
          <w:b w:val="1"/>
          <w:bCs w:val="1"/>
          <w:i w:val="1"/>
          <w:iCs w:val="1"/>
          <w:u w:val="single" w:color="auto"/>
          <w:color w:val="auto"/>
        </w:rPr>
        <w:t>Borrower</w:t>
      </w:r>
      <w:r>
        <w:rPr>
          <w:rFonts w:ascii="Arial" w:cs="Arial" w:eastAsia="Arial" w:hAnsi="Arial"/>
          <w:sz w:val="20"/>
          <w:szCs w:val="20"/>
          <w:color w:val="auto"/>
        </w:rPr>
        <w:t>”), the Guarantors (defined herein), the Lenders (defined herein), and BANK OF AMERICA, N.A., as Administrative Agent, Swingline Lender and L/C Issuer.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Loan Parties (as hereinafter defined) have requested that the Lenders, the Swingline Lender and the L/C Issuer</w:t>
      </w:r>
      <w:r>
        <w:rPr>
          <w:rFonts w:ascii="Arial" w:cs="Arial" w:eastAsia="Arial" w:hAnsi="Arial"/>
          <w:sz w:val="20"/>
          <w:szCs w:val="20"/>
          <w:b w:val="1"/>
          <w:bCs w:val="1"/>
          <w:color w:val="auto"/>
        </w:rPr>
        <w:t xml:space="preserve"> </w:t>
      </w:r>
      <w:r>
        <w:rPr>
          <w:rFonts w:ascii="Arial" w:cs="Arial" w:eastAsia="Arial" w:hAnsi="Arial"/>
          <w:sz w:val="20"/>
          <w:szCs w:val="20"/>
          <w:color w:val="auto"/>
        </w:rPr>
        <w:t>make loans and other financial accommodations to the Loan Parties in a principal amount of up to $350,000,000.</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the Swingline Lender and the L/C Issuer have agreed to make such loans and other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accommodations to the Loan Parties on the terms and subject to the conditions set forth herein.</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 contained, the parties hereto covenant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63"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 AND ACCOUNTING TERMS</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u w:val="single" w:color="auto"/>
          <w:color w:val="auto"/>
        </w:rPr>
        <w:t>Defined Terms.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Acquisition</w:t>
      </w:r>
      <w:r>
        <w:rPr>
          <w:rFonts w:ascii="Arial" w:cs="Arial" w:eastAsia="Arial" w:hAnsi="Arial"/>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9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Additional Secured Obligations</w:t>
      </w:r>
      <w:r>
        <w:rPr>
          <w:rFonts w:ascii="Arial" w:cs="Arial" w:eastAsia="Arial" w:hAnsi="Arial"/>
          <w:sz w:val="18"/>
          <w:szCs w:val="18"/>
          <w:color w:val="auto"/>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Additional Secured Obligations of a Guarantor shall exclude any Excluded Swap Obligations with respect to such Guarantor.</w:t>
      </w:r>
    </w:p>
    <w:p>
      <w:pPr>
        <w:spacing w:after="0" w:line="16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9" w:name="page80"/>
    <w:bookmarkEnd w:id="79"/>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Administrative Agent</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1.01(a</w:t>
      </w:r>
      <w:r>
        <w:rPr>
          <w:rFonts w:ascii="Arial" w:cs="Arial" w:eastAsia="Arial" w:hAnsi="Arial"/>
          <w:sz w:val="18"/>
          <w:szCs w:val="18"/>
          <w:color w:val="auto"/>
        </w:rPr>
        <w:t>), or such other address or account as the Administrative Agent may from time to time notify the Borrower and the Lenders.</w:t>
      </w:r>
    </w:p>
    <w:p>
      <w:pPr>
        <w:spacing w:after="0" w:line="13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Affected Financial Institution</w:t>
      </w:r>
      <w:r>
        <w:rPr>
          <w:rFonts w:ascii="Arial" w:cs="Arial" w:eastAsia="Arial" w:hAnsi="Arial"/>
          <w:sz w:val="20"/>
          <w:szCs w:val="20"/>
          <w:i w:val="1"/>
          <w:iCs w:val="1"/>
          <w:color w:val="auto"/>
        </w:rPr>
        <w:t xml:space="preserve">” </w:t>
      </w:r>
      <w:r>
        <w:rPr>
          <w:rFonts w:ascii="Arial" w:cs="Arial" w:eastAsia="Arial" w:hAnsi="Arial"/>
          <w:sz w:val="20"/>
          <w:szCs w:val="20"/>
          <w:color w:val="auto"/>
        </w:rPr>
        <w:t>means (a) any EEA Financial Institution or (b) any UK Financial Institution.</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Aggregate Commitments</w:t>
      </w:r>
      <w:r>
        <w:rPr>
          <w:rFonts w:ascii="Arial" w:cs="Arial" w:eastAsia="Arial" w:hAnsi="Arial"/>
          <w:sz w:val="20"/>
          <w:szCs w:val="20"/>
          <w:color w:val="auto"/>
        </w:rPr>
        <w:t>” means the Commitments of all the Lenders.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Agreement</w:t>
      </w:r>
      <w:r>
        <w:rPr>
          <w:rFonts w:ascii="Arial" w:cs="Arial" w:eastAsia="Arial" w:hAnsi="Arial"/>
          <w:sz w:val="20"/>
          <w:szCs w:val="20"/>
          <w:color w:val="auto"/>
        </w:rPr>
        <w:t>” means this Credit Agreement, including all schedules, exhibits and annexes hereto.</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All-in-Yield</w:t>
      </w:r>
      <w:r>
        <w:rPr>
          <w:rFonts w:ascii="Arial" w:cs="Arial" w:eastAsia="Arial" w:hAnsi="Arial"/>
          <w:sz w:val="19"/>
          <w:szCs w:val="19"/>
          <w:color w:val="auto"/>
        </w:rPr>
        <w:t>" means as to any Indebtedness the yield to maturity thereof, whether in the form of interest rate margin, original issue discount, upfront fees, any interest rate floors or similar devices, or otherwise, in each case payable generally to Lenders making such Loans, but excluding any arrangement, structuring, underwriting or other fees payable in connection therewith that are not generally shared with the relevant Lenders and customary consent fees paid generally to consenting Lenders.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239"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Applicable Percentage</w:t>
      </w:r>
      <w:r>
        <w:rPr>
          <w:rFonts w:ascii="Arial" w:cs="Arial" w:eastAsia="Arial" w:hAnsi="Arial"/>
          <w:sz w:val="18"/>
          <w:szCs w:val="18"/>
          <w:color w:val="auto"/>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(c) in respect of an Incremental Term Facility, with respect to any Incremental Term Lender under such Incremental Term Facility at any time, the percentage (carried out to the ninth decimal place) of such Incremental Term Facility represented by the outstanding principal amount of such Incremental Term Lender’s Incremental Term Loan advanced under such Incremental Term Facility at such time. If the Commitment of all of the Revolving Lenders to make Revolving Loans and the obligation of the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or in the Assignment and Assumption pursuant to which such Lender becomes a party hereto or in any documentation executed by such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as applicable.</w:t>
      </w:r>
    </w:p>
    <w:p>
      <w:pPr>
        <w:spacing w:after="0" w:line="17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Applicable Rate</w:t>
      </w:r>
      <w:r>
        <w:rPr>
          <w:rFonts w:ascii="Arial" w:cs="Arial" w:eastAsia="Arial" w:hAnsi="Arial"/>
          <w:sz w:val="20"/>
          <w:szCs w:val="20"/>
          <w:color w:val="auto"/>
        </w:rPr>
        <w:t>” means, for any day, the rate per annum set forth below opposite the applicable Level then in effect (based on the Consolidated Total Net Leverage Ratio), it being understood that the Applicable Rate with respect to (a) Incremental Term Loans advanced under any Incremental Term Facility,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0" w:name="page81"/>
    <w:bookmarkEnd w:id="80"/>
    <w:p>
      <w:pPr>
        <w:jc w:val="both"/>
        <w:spacing w:after="0" w:line="273" w:lineRule="auto"/>
        <w:rPr>
          <w:sz w:val="20"/>
          <w:szCs w:val="20"/>
          <w:color w:val="auto"/>
        </w:rPr>
      </w:pPr>
      <w:r>
        <w:rPr>
          <w:rFonts w:ascii="Arial" w:cs="Arial" w:eastAsia="Arial" w:hAnsi="Arial"/>
          <w:sz w:val="18"/>
          <w:szCs w:val="18"/>
          <w:color w:val="auto"/>
        </w:rPr>
        <w:t>the percentage(s) per annum set forth in the Incremental Term Facility Agreement executed and delivered in connection with the establishment of such Incremental Term Facility, (b) Revolving Loans that are Base Rate Loans shall be the percentage set forth under the column “Revolving Loans” and “Base Rate”, (c) Revolving Loans that are Eurodollar Rate Loans shall be the percentage set forth under the column “Revolving Loans” and “Eurodollar Rate &amp; Letter of Credit Fee”, (d) that portion of the Term Loan comprised of Base Rate Loans shall be the percentage set forth under the column “Term Loan” and “Base Rate”, (e) that portion of the Term Loan comprised of Eurodollar Rate Loans shall be the percentage set forth under the column “Term Loan” and “Eurodollar Rate &amp; Letter of Credit Fee”, (f) the Letter of Credit Fee shall be the percentage set forth under the column “Revolving Loans” and “Eurodollar Rate &amp; Letter of Credit Fee”, and (g) the Commitment Fee shall be the percentage set forth under the column “Commitment Fee”:</w:t>
      </w:r>
    </w:p>
    <w:p>
      <w:pPr>
        <w:spacing w:after="0" w:line="165" w:lineRule="exact"/>
        <w:rPr>
          <w:sz w:val="20"/>
          <w:szCs w:val="20"/>
          <w:color w:val="auto"/>
        </w:rPr>
      </w:pPr>
    </w:p>
    <w:tbl>
      <w:tblPr>
        <w:tblLayout w:type="fixed"/>
        <w:tblInd w:w="1890" w:type="dxa"/>
        <w:tblCellMar>
          <w:top w:w="0" w:type="dxa"/>
          <w:left w:w="0" w:type="dxa"/>
          <w:bottom w:w="0" w:type="dxa"/>
          <w:right w:w="0" w:type="dxa"/>
        </w:tblCellMar>
      </w:tblPr>
      <w:tr>
        <w:trPr>
          <w:trHeight w:val="288"/>
        </w:trPr>
        <w:tc>
          <w:tcPr>
            <w:tcW w:w="760" w:type="dxa"/>
            <w:vAlign w:val="bottom"/>
            <w:tcBorders>
              <w:top w:val="single" w:sz="8" w:color="auto"/>
              <w:left w:val="single" w:sz="8" w:color="auto"/>
              <w:right w:val="single" w:sz="8" w:color="auto"/>
            </w:tcBorders>
            <w:shd w:val="clear" w:color="auto" w:fill="F2F2F2"/>
          </w:tcPr>
          <w:p>
            <w:pPr>
              <w:spacing w:after="0"/>
              <w:rPr>
                <w:sz w:val="24"/>
                <w:szCs w:val="24"/>
                <w:color w:val="auto"/>
              </w:rPr>
            </w:pPr>
          </w:p>
        </w:tc>
        <w:tc>
          <w:tcPr>
            <w:tcW w:w="340" w:type="dxa"/>
            <w:vAlign w:val="bottom"/>
            <w:tcBorders>
              <w:top w:val="single" w:sz="8" w:color="auto"/>
            </w:tcBorders>
            <w:shd w:val="clear" w:color="auto" w:fill="F2F2F2"/>
          </w:tcPr>
          <w:p>
            <w:pPr>
              <w:spacing w:after="0"/>
              <w:rPr>
                <w:sz w:val="24"/>
                <w:szCs w:val="24"/>
                <w:color w:val="auto"/>
              </w:rPr>
            </w:pPr>
          </w:p>
        </w:tc>
        <w:tc>
          <w:tcPr>
            <w:tcW w:w="100" w:type="dxa"/>
            <w:vAlign w:val="bottom"/>
            <w:tcBorders>
              <w:top w:val="single" w:sz="8" w:color="auto"/>
            </w:tcBorders>
            <w:shd w:val="clear" w:color="auto" w:fill="F2F2F2"/>
          </w:tcPr>
          <w:p>
            <w:pPr>
              <w:spacing w:after="0"/>
              <w:rPr>
                <w:sz w:val="24"/>
                <w:szCs w:val="24"/>
                <w:color w:val="auto"/>
              </w:rPr>
            </w:pPr>
          </w:p>
        </w:tc>
        <w:tc>
          <w:tcPr>
            <w:tcW w:w="1220" w:type="dxa"/>
            <w:vAlign w:val="bottom"/>
            <w:tcBorders>
              <w:top w:val="single" w:sz="8" w:color="auto"/>
              <w:right w:val="single" w:sz="8" w:color="auto"/>
            </w:tcBorders>
            <w:shd w:val="clear" w:color="auto" w:fill="F2F2F2"/>
          </w:tcPr>
          <w:p>
            <w:pPr>
              <w:spacing w:after="0"/>
              <w:rPr>
                <w:sz w:val="24"/>
                <w:szCs w:val="24"/>
                <w:color w:val="auto"/>
              </w:rPr>
            </w:pPr>
          </w:p>
        </w:tc>
        <w:tc>
          <w:tcPr>
            <w:tcW w:w="1880" w:type="dxa"/>
            <w:vAlign w:val="bottom"/>
            <w:tcBorders>
              <w:top w:val="single" w:sz="8" w:color="auto"/>
              <w:right w:val="single" w:sz="8" w:color="auto"/>
            </w:tcBorders>
            <w:gridSpan w:val="2"/>
            <w:shd w:val="clear" w:color="auto" w:fill="F2F2F2"/>
          </w:tcPr>
          <w:p>
            <w:pPr>
              <w:jc w:val="center"/>
              <w:spacing w:after="0"/>
              <w:rPr>
                <w:sz w:val="20"/>
                <w:szCs w:val="20"/>
                <w:color w:val="auto"/>
              </w:rPr>
            </w:pPr>
            <w:r>
              <w:rPr>
                <w:rFonts w:ascii="Arial" w:cs="Arial" w:eastAsia="Arial" w:hAnsi="Arial"/>
                <w:sz w:val="20"/>
                <w:szCs w:val="20"/>
                <w:color w:val="auto"/>
                <w:w w:val="90"/>
              </w:rPr>
              <w:t>Eurodollar Rate</w:t>
            </w:r>
          </w:p>
        </w:tc>
        <w:tc>
          <w:tcPr>
            <w:tcW w:w="1820" w:type="dxa"/>
            <w:vAlign w:val="bottom"/>
            <w:tcBorders>
              <w:top w:val="single" w:sz="8" w:color="auto"/>
              <w:right w:val="single" w:sz="8" w:color="auto"/>
            </w:tcBorders>
            <w:gridSpan w:val="2"/>
            <w:vMerge w:val="restart"/>
            <w:shd w:val="clear" w:color="auto" w:fill="F2F2F2"/>
          </w:tcPr>
          <w:p>
            <w:pPr>
              <w:ind w:left="500"/>
              <w:spacing w:after="0"/>
              <w:rPr>
                <w:sz w:val="20"/>
                <w:szCs w:val="20"/>
                <w:color w:val="auto"/>
              </w:rPr>
            </w:pPr>
            <w:r>
              <w:rPr>
                <w:rFonts w:ascii="Arial" w:cs="Arial" w:eastAsia="Arial" w:hAnsi="Arial"/>
                <w:sz w:val="20"/>
                <w:szCs w:val="20"/>
                <w:color w:val="auto"/>
              </w:rPr>
              <w:t>Base Rate</w:t>
            </w:r>
          </w:p>
        </w:tc>
        <w:tc>
          <w:tcPr>
            <w:tcW w:w="1380" w:type="dxa"/>
            <w:vAlign w:val="bottom"/>
            <w:tcBorders>
              <w:top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color w:val="auto"/>
                <w:w w:val="91"/>
              </w:rPr>
              <w:t>Level</w:t>
            </w:r>
          </w:p>
        </w:tc>
        <w:tc>
          <w:tcPr>
            <w:tcW w:w="1660" w:type="dxa"/>
            <w:vAlign w:val="bottom"/>
            <w:tcBorders>
              <w:right w:val="single" w:sz="8" w:color="auto"/>
            </w:tcBorders>
            <w:gridSpan w:val="3"/>
            <w:vMerge w:val="restart"/>
            <w:shd w:val="clear" w:color="auto" w:fill="F2F2F2"/>
          </w:tcPr>
          <w:p>
            <w:pPr>
              <w:jc w:val="center"/>
              <w:ind w:right="40"/>
              <w:spacing w:after="0"/>
              <w:rPr>
                <w:sz w:val="20"/>
                <w:szCs w:val="20"/>
                <w:color w:val="auto"/>
              </w:rPr>
            </w:pPr>
            <w:r>
              <w:rPr>
                <w:rFonts w:ascii="Arial" w:cs="Arial" w:eastAsia="Arial" w:hAnsi="Arial"/>
                <w:sz w:val="20"/>
                <w:szCs w:val="20"/>
                <w:color w:val="auto"/>
                <w:w w:val="89"/>
              </w:rPr>
              <w:t>Consolidated Total</w:t>
            </w:r>
          </w:p>
        </w:tc>
        <w:tc>
          <w:tcPr>
            <w:tcW w:w="1880" w:type="dxa"/>
            <w:vAlign w:val="bottom"/>
            <w:tcBorders>
              <w:right w:val="single" w:sz="8" w:color="auto"/>
            </w:tcBorders>
            <w:gridSpan w:val="2"/>
            <w:vMerge w:val="restart"/>
            <w:shd w:val="clear" w:color="auto" w:fill="F2F2F2"/>
          </w:tcPr>
          <w:p>
            <w:pPr>
              <w:jc w:val="center"/>
              <w:spacing w:after="0"/>
              <w:rPr>
                <w:sz w:val="20"/>
                <w:szCs w:val="20"/>
                <w:color w:val="auto"/>
              </w:rPr>
            </w:pPr>
            <w:r>
              <w:rPr>
                <w:rFonts w:ascii="Arial" w:cs="Arial" w:eastAsia="Arial" w:hAnsi="Arial"/>
                <w:sz w:val="20"/>
                <w:szCs w:val="20"/>
                <w:color w:val="auto"/>
                <w:w w:val="93"/>
              </w:rPr>
              <w:t>&amp; Letter of Credit Fee</w:t>
            </w:r>
          </w:p>
        </w:tc>
        <w:tc>
          <w:tcPr>
            <w:tcW w:w="1820" w:type="dxa"/>
            <w:vAlign w:val="bottom"/>
            <w:tcBorders>
              <w:right w:val="single" w:sz="8" w:color="auto"/>
            </w:tcBorders>
            <w:gridSpan w:val="2"/>
            <w:vMerge w:val="continue"/>
            <w:shd w:val="clear" w:color="auto" w:fill="F2F2F2"/>
          </w:tcPr>
          <w:p>
            <w:pPr>
              <w:spacing w:after="0"/>
              <w:rPr>
                <w:sz w:val="11"/>
                <w:szCs w:val="11"/>
                <w:color w:val="auto"/>
              </w:rPr>
            </w:pPr>
          </w:p>
        </w:tc>
        <w:tc>
          <w:tcPr>
            <w:tcW w:w="13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color w:val="auto"/>
                <w:w w:val="91"/>
              </w:rPr>
              <w:t>Commitment</w:t>
            </w:r>
          </w:p>
        </w:tc>
        <w:tc>
          <w:tcPr>
            <w:tcW w:w="0" w:type="dxa"/>
            <w:vAlign w:val="bottom"/>
          </w:tcPr>
          <w:p>
            <w:pPr>
              <w:spacing w:after="0"/>
              <w:rPr>
                <w:sz w:val="1"/>
                <w:szCs w:val="1"/>
                <w:color w:val="auto"/>
              </w:rPr>
            </w:pPr>
          </w:p>
        </w:tc>
      </w:tr>
      <w:tr>
        <w:trPr>
          <w:trHeight w:val="158"/>
        </w:trPr>
        <w:tc>
          <w:tcPr>
            <w:tcW w:w="760" w:type="dxa"/>
            <w:vAlign w:val="bottom"/>
            <w:tcBorders>
              <w:left w:val="single" w:sz="8" w:color="auto"/>
              <w:bottom w:val="single" w:sz="8" w:color="F2F2F2"/>
              <w:right w:val="single" w:sz="8" w:color="auto"/>
            </w:tcBorders>
            <w:vMerge w:val="continue"/>
            <w:shd w:val="clear" w:color="auto" w:fill="F2F2F2"/>
          </w:tcPr>
          <w:p>
            <w:pPr>
              <w:spacing w:after="0"/>
              <w:rPr>
                <w:sz w:val="13"/>
                <w:szCs w:val="13"/>
                <w:color w:val="auto"/>
              </w:rPr>
            </w:pPr>
          </w:p>
        </w:tc>
        <w:tc>
          <w:tcPr>
            <w:tcW w:w="1660" w:type="dxa"/>
            <w:vAlign w:val="bottom"/>
            <w:tcBorders>
              <w:bottom w:val="single" w:sz="8" w:color="F2F2F2"/>
              <w:right w:val="single" w:sz="8" w:color="auto"/>
            </w:tcBorders>
            <w:gridSpan w:val="3"/>
            <w:vMerge w:val="continue"/>
            <w:shd w:val="clear" w:color="auto" w:fill="F2F2F2"/>
          </w:tcPr>
          <w:p>
            <w:pPr>
              <w:spacing w:after="0"/>
              <w:rPr>
                <w:sz w:val="13"/>
                <w:szCs w:val="13"/>
                <w:color w:val="auto"/>
              </w:rPr>
            </w:pPr>
          </w:p>
        </w:tc>
        <w:tc>
          <w:tcPr>
            <w:tcW w:w="1880" w:type="dxa"/>
            <w:vAlign w:val="bottom"/>
            <w:tcBorders>
              <w:bottom w:val="single" w:sz="8" w:color="F2F2F2"/>
              <w:right w:val="single" w:sz="8" w:color="auto"/>
            </w:tcBorders>
            <w:gridSpan w:val="2"/>
            <w:vMerge w:val="continue"/>
            <w:shd w:val="clear" w:color="auto" w:fill="F2F2F2"/>
          </w:tcPr>
          <w:p>
            <w:pPr>
              <w:spacing w:after="0"/>
              <w:rPr>
                <w:sz w:val="13"/>
                <w:szCs w:val="13"/>
                <w:color w:val="auto"/>
              </w:rPr>
            </w:pPr>
          </w:p>
        </w:tc>
        <w:tc>
          <w:tcPr>
            <w:tcW w:w="860" w:type="dxa"/>
            <w:vAlign w:val="bottom"/>
            <w:tcBorders>
              <w:bottom w:val="single" w:sz="8" w:color="F2F2F2"/>
              <w:right w:val="single" w:sz="8" w:color="F2F2F2"/>
            </w:tcBorders>
            <w:shd w:val="clear" w:color="auto" w:fill="F2F2F2"/>
          </w:tcPr>
          <w:p>
            <w:pPr>
              <w:spacing w:after="0"/>
              <w:rPr>
                <w:sz w:val="13"/>
                <w:szCs w:val="13"/>
                <w:color w:val="auto"/>
              </w:rPr>
            </w:pPr>
          </w:p>
        </w:tc>
        <w:tc>
          <w:tcPr>
            <w:tcW w:w="960" w:type="dxa"/>
            <w:vAlign w:val="bottom"/>
            <w:tcBorders>
              <w:bottom w:val="single" w:sz="8" w:color="F2F2F2"/>
              <w:right w:val="single" w:sz="8" w:color="auto"/>
            </w:tcBorders>
            <w:shd w:val="clear" w:color="auto" w:fill="F2F2F2"/>
          </w:tcPr>
          <w:p>
            <w:pPr>
              <w:spacing w:after="0"/>
              <w:rPr>
                <w:sz w:val="13"/>
                <w:szCs w:val="13"/>
                <w:color w:val="auto"/>
              </w:rPr>
            </w:pPr>
          </w:p>
        </w:tc>
        <w:tc>
          <w:tcPr>
            <w:tcW w:w="1380" w:type="dxa"/>
            <w:vAlign w:val="bottom"/>
            <w:tcBorders>
              <w:bottom w:val="single" w:sz="8" w:color="F2F2F2"/>
              <w:right w:val="single" w:sz="8" w:color="auto"/>
            </w:tcBorders>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60" w:type="dxa"/>
            <w:vAlign w:val="bottom"/>
            <w:tcBorders>
              <w:top w:val="single" w:sz="8" w:color="F2F2F2"/>
              <w:left w:val="single" w:sz="8" w:color="auto"/>
              <w:right w:val="single" w:sz="8" w:color="auto"/>
            </w:tcBorders>
            <w:vMerge w:val="continue"/>
            <w:shd w:val="clear" w:color="auto" w:fill="F2F2F2"/>
          </w:tcPr>
          <w:p>
            <w:pPr>
              <w:spacing w:after="0"/>
              <w:rPr>
                <w:sz w:val="17"/>
                <w:szCs w:val="17"/>
                <w:color w:val="auto"/>
              </w:rPr>
            </w:pPr>
          </w:p>
        </w:tc>
        <w:tc>
          <w:tcPr>
            <w:tcW w:w="1660" w:type="dxa"/>
            <w:vAlign w:val="bottom"/>
            <w:tcBorders>
              <w:top w:val="single" w:sz="8" w:color="F2F2F2"/>
              <w:right w:val="single" w:sz="8" w:color="auto"/>
            </w:tcBorders>
            <w:gridSpan w:val="3"/>
            <w:shd w:val="clear" w:color="auto" w:fill="F2F2F2"/>
          </w:tcPr>
          <w:p>
            <w:pPr>
              <w:jc w:val="center"/>
              <w:ind w:right="20"/>
              <w:spacing w:after="0" w:line="173" w:lineRule="exact"/>
              <w:rPr>
                <w:sz w:val="20"/>
                <w:szCs w:val="20"/>
                <w:color w:val="auto"/>
              </w:rPr>
            </w:pPr>
            <w:r>
              <w:rPr>
                <w:rFonts w:ascii="Arial" w:cs="Arial" w:eastAsia="Arial" w:hAnsi="Arial"/>
                <w:sz w:val="20"/>
                <w:szCs w:val="20"/>
                <w:color w:val="auto"/>
                <w:w w:val="90"/>
              </w:rPr>
              <w:t>Net Leverage Ratio</w:t>
            </w:r>
          </w:p>
        </w:tc>
        <w:tc>
          <w:tcPr>
            <w:tcW w:w="860" w:type="dxa"/>
            <w:vAlign w:val="bottom"/>
            <w:tcBorders>
              <w:top w:val="single" w:sz="8" w:color="auto"/>
              <w:right w:val="single" w:sz="8" w:color="auto"/>
            </w:tcBorders>
            <w:shd w:val="clear" w:color="auto" w:fill="C6D9F0"/>
          </w:tcPr>
          <w:p>
            <w:pPr>
              <w:jc w:val="center"/>
              <w:spacing w:after="0" w:line="207" w:lineRule="exact"/>
              <w:rPr>
                <w:sz w:val="20"/>
                <w:szCs w:val="20"/>
                <w:color w:val="auto"/>
              </w:rPr>
            </w:pPr>
            <w:r>
              <w:rPr>
                <w:rFonts w:ascii="Arial" w:cs="Arial" w:eastAsia="Arial" w:hAnsi="Arial"/>
                <w:sz w:val="20"/>
                <w:szCs w:val="20"/>
                <w:color w:val="auto"/>
                <w:w w:val="95"/>
              </w:rPr>
              <w:t>Revolving</w:t>
            </w:r>
          </w:p>
        </w:tc>
        <w:tc>
          <w:tcPr>
            <w:tcW w:w="1020" w:type="dxa"/>
            <w:vAlign w:val="bottom"/>
            <w:tcBorders>
              <w:top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20"/>
                <w:szCs w:val="20"/>
                <w:color w:val="auto"/>
                <w:w w:val="90"/>
              </w:rPr>
              <w:t>Term Loan</w:t>
            </w:r>
          </w:p>
        </w:tc>
        <w:tc>
          <w:tcPr>
            <w:tcW w:w="860" w:type="dxa"/>
            <w:vAlign w:val="bottom"/>
            <w:tcBorders>
              <w:top w:val="single" w:sz="8" w:color="auto"/>
              <w:right w:val="single" w:sz="8" w:color="auto"/>
            </w:tcBorders>
            <w:shd w:val="clear" w:color="auto" w:fill="C6D9F0"/>
          </w:tcPr>
          <w:p>
            <w:pPr>
              <w:jc w:val="center"/>
              <w:spacing w:after="0" w:line="207" w:lineRule="exact"/>
              <w:rPr>
                <w:sz w:val="20"/>
                <w:szCs w:val="20"/>
                <w:color w:val="auto"/>
              </w:rPr>
            </w:pPr>
            <w:r>
              <w:rPr>
                <w:rFonts w:ascii="Arial" w:cs="Arial" w:eastAsia="Arial" w:hAnsi="Arial"/>
                <w:sz w:val="20"/>
                <w:szCs w:val="20"/>
                <w:color w:val="auto"/>
                <w:w w:val="93"/>
              </w:rPr>
              <w:t>Revolving</w:t>
            </w:r>
          </w:p>
        </w:tc>
        <w:tc>
          <w:tcPr>
            <w:tcW w:w="960" w:type="dxa"/>
            <w:vAlign w:val="bottom"/>
            <w:tcBorders>
              <w:top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20"/>
                <w:szCs w:val="20"/>
                <w:color w:val="auto"/>
                <w:w w:val="90"/>
              </w:rPr>
              <w:t>Term Loan</w:t>
            </w:r>
          </w:p>
        </w:tc>
        <w:tc>
          <w:tcPr>
            <w:tcW w:w="1380" w:type="dxa"/>
            <w:vAlign w:val="bottom"/>
            <w:tcBorders>
              <w:top w:val="single" w:sz="8" w:color="F2F2F2"/>
              <w:right w:val="single" w:sz="8" w:color="auto"/>
            </w:tcBorders>
            <w:shd w:val="clear" w:color="auto" w:fill="F2F2F2"/>
          </w:tcPr>
          <w:p>
            <w:pPr>
              <w:jc w:val="center"/>
              <w:spacing w:after="0" w:line="173" w:lineRule="exact"/>
              <w:rPr>
                <w:sz w:val="20"/>
                <w:szCs w:val="20"/>
                <w:color w:val="auto"/>
              </w:rPr>
            </w:pPr>
            <w:r>
              <w:rPr>
                <w:rFonts w:ascii="Arial" w:cs="Arial" w:eastAsia="Arial" w:hAnsi="Arial"/>
                <w:sz w:val="20"/>
                <w:szCs w:val="20"/>
                <w:color w:val="auto"/>
                <w:w w:val="81"/>
              </w:rPr>
              <w:t>Fee</w:t>
            </w:r>
          </w:p>
        </w:tc>
        <w:tc>
          <w:tcPr>
            <w:tcW w:w="0" w:type="dxa"/>
            <w:vAlign w:val="bottom"/>
          </w:tcPr>
          <w:p>
            <w:pPr>
              <w:spacing w:after="0"/>
              <w:rPr>
                <w:sz w:val="1"/>
                <w:szCs w:val="1"/>
                <w:color w:val="auto"/>
              </w:rPr>
            </w:pPr>
          </w:p>
        </w:tc>
      </w:tr>
      <w:tr>
        <w:trPr>
          <w:trHeight w:val="129"/>
        </w:trPr>
        <w:tc>
          <w:tcPr>
            <w:tcW w:w="760" w:type="dxa"/>
            <w:vAlign w:val="bottom"/>
            <w:tcBorders>
              <w:left w:val="single" w:sz="8" w:color="auto"/>
              <w:right w:val="single" w:sz="8" w:color="auto"/>
            </w:tcBorders>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220" w:type="dxa"/>
            <w:vAlign w:val="bottom"/>
            <w:tcBorders>
              <w:right w:val="single" w:sz="8" w:color="auto"/>
            </w:tcBorders>
            <w:shd w:val="clear" w:color="auto" w:fill="F2F2F2"/>
          </w:tcPr>
          <w:p>
            <w:pPr>
              <w:spacing w:after="0"/>
              <w:rPr>
                <w:sz w:val="11"/>
                <w:szCs w:val="11"/>
                <w:color w:val="auto"/>
              </w:rPr>
            </w:pPr>
          </w:p>
        </w:tc>
        <w:tc>
          <w:tcPr>
            <w:tcW w:w="860" w:type="dxa"/>
            <w:vAlign w:val="bottom"/>
            <w:tcBorders>
              <w:right w:val="single" w:sz="8" w:color="auto"/>
            </w:tcBorders>
            <w:vMerge w:val="restart"/>
            <w:shd w:val="clear" w:color="auto" w:fill="C6D9F0"/>
          </w:tcPr>
          <w:p>
            <w:pPr>
              <w:jc w:val="center"/>
              <w:spacing w:after="0"/>
              <w:rPr>
                <w:sz w:val="20"/>
                <w:szCs w:val="20"/>
                <w:color w:val="auto"/>
              </w:rPr>
            </w:pPr>
            <w:r>
              <w:rPr>
                <w:rFonts w:ascii="Arial" w:cs="Arial" w:eastAsia="Arial" w:hAnsi="Arial"/>
                <w:sz w:val="20"/>
                <w:szCs w:val="20"/>
                <w:color w:val="auto"/>
                <w:w w:val="88"/>
              </w:rPr>
              <w:t>Loans</w:t>
            </w:r>
          </w:p>
        </w:tc>
        <w:tc>
          <w:tcPr>
            <w:tcW w:w="1020" w:type="dxa"/>
            <w:vAlign w:val="bottom"/>
            <w:tcBorders>
              <w:right w:val="single" w:sz="8" w:color="auto"/>
            </w:tcBorders>
            <w:vMerge w:val="continue"/>
            <w:shd w:val="clear" w:color="auto" w:fill="C6D9F0"/>
          </w:tcPr>
          <w:p>
            <w:pPr>
              <w:spacing w:after="0"/>
              <w:rPr>
                <w:sz w:val="11"/>
                <w:szCs w:val="11"/>
                <w:color w:val="auto"/>
              </w:rPr>
            </w:pPr>
          </w:p>
        </w:tc>
        <w:tc>
          <w:tcPr>
            <w:tcW w:w="860" w:type="dxa"/>
            <w:vAlign w:val="bottom"/>
            <w:tcBorders>
              <w:right w:val="single" w:sz="8" w:color="auto"/>
            </w:tcBorders>
            <w:vMerge w:val="restart"/>
            <w:shd w:val="clear" w:color="auto" w:fill="C6D9F0"/>
          </w:tcPr>
          <w:p>
            <w:pPr>
              <w:jc w:val="center"/>
              <w:spacing w:after="0"/>
              <w:rPr>
                <w:sz w:val="20"/>
                <w:szCs w:val="20"/>
                <w:color w:val="auto"/>
              </w:rPr>
            </w:pPr>
            <w:r>
              <w:rPr>
                <w:rFonts w:ascii="Arial" w:cs="Arial" w:eastAsia="Arial" w:hAnsi="Arial"/>
                <w:sz w:val="20"/>
                <w:szCs w:val="20"/>
                <w:color w:val="auto"/>
                <w:w w:val="88"/>
              </w:rPr>
              <w:t>Loans</w:t>
            </w:r>
          </w:p>
        </w:tc>
        <w:tc>
          <w:tcPr>
            <w:tcW w:w="960" w:type="dxa"/>
            <w:vAlign w:val="bottom"/>
            <w:tcBorders>
              <w:right w:val="single" w:sz="8" w:color="auto"/>
            </w:tcBorders>
            <w:vMerge w:val="continue"/>
            <w:shd w:val="clear" w:color="auto" w:fill="C6D9F0"/>
          </w:tcPr>
          <w:p>
            <w:pPr>
              <w:spacing w:after="0"/>
              <w:rPr>
                <w:sz w:val="11"/>
                <w:szCs w:val="11"/>
                <w:color w:val="auto"/>
              </w:rPr>
            </w:pPr>
          </w:p>
        </w:tc>
        <w:tc>
          <w:tcPr>
            <w:tcW w:w="1380" w:type="dxa"/>
            <w:vAlign w:val="bottom"/>
            <w:tcBorders>
              <w:right w:val="single" w:sz="8" w:color="auto"/>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340" w:type="dxa"/>
            <w:vAlign w:val="bottom"/>
            <w:tcBorders>
              <w:bottom w:val="single" w:sz="8" w:color="auto"/>
            </w:tcBorders>
            <w:shd w:val="clear" w:color="auto" w:fill="F2F2F2"/>
          </w:tcPr>
          <w:p>
            <w:pPr>
              <w:spacing w:after="0"/>
              <w:rPr>
                <w:sz w:val="10"/>
                <w:szCs w:val="10"/>
                <w:color w:val="auto"/>
              </w:rPr>
            </w:pPr>
          </w:p>
        </w:tc>
        <w:tc>
          <w:tcPr>
            <w:tcW w:w="100" w:type="dxa"/>
            <w:vAlign w:val="bottom"/>
            <w:tcBorders>
              <w:bottom w:val="single" w:sz="8" w:color="auto"/>
            </w:tcBorders>
            <w:shd w:val="clear" w:color="auto" w:fill="F2F2F2"/>
          </w:tcPr>
          <w:p>
            <w:pPr>
              <w:spacing w:after="0"/>
              <w:rPr>
                <w:sz w:val="10"/>
                <w:szCs w:val="10"/>
                <w:color w:val="auto"/>
              </w:rPr>
            </w:pPr>
          </w:p>
        </w:tc>
        <w:tc>
          <w:tcPr>
            <w:tcW w:w="1220" w:type="dxa"/>
            <w:vAlign w:val="bottom"/>
            <w:tcBorders>
              <w:bottom w:val="single" w:sz="8" w:color="auto"/>
              <w:right w:val="single" w:sz="8" w:color="auto"/>
            </w:tcBorders>
            <w:shd w:val="clear" w:color="auto" w:fill="F2F2F2"/>
          </w:tcPr>
          <w:p>
            <w:pPr>
              <w:spacing w:after="0"/>
              <w:rPr>
                <w:sz w:val="10"/>
                <w:szCs w:val="10"/>
                <w:color w:val="auto"/>
              </w:rPr>
            </w:pPr>
          </w:p>
        </w:tc>
        <w:tc>
          <w:tcPr>
            <w:tcW w:w="860" w:type="dxa"/>
            <w:vAlign w:val="bottom"/>
            <w:tcBorders>
              <w:bottom w:val="single" w:sz="8" w:color="auto"/>
              <w:right w:val="single" w:sz="8" w:color="auto"/>
            </w:tcBorders>
            <w:vMerge w:val="continue"/>
            <w:shd w:val="clear" w:color="auto" w:fill="C6D9F0"/>
          </w:tcPr>
          <w:p>
            <w:pPr>
              <w:spacing w:after="0"/>
              <w:rPr>
                <w:sz w:val="10"/>
                <w:szCs w:val="10"/>
                <w:color w:val="auto"/>
              </w:rPr>
            </w:pPr>
          </w:p>
        </w:tc>
        <w:tc>
          <w:tcPr>
            <w:tcW w:w="1020" w:type="dxa"/>
            <w:vAlign w:val="bottom"/>
            <w:tcBorders>
              <w:bottom w:val="single" w:sz="8" w:color="auto"/>
              <w:right w:val="single" w:sz="8" w:color="auto"/>
            </w:tcBorders>
            <w:shd w:val="clear" w:color="auto" w:fill="C6D9F0"/>
          </w:tcPr>
          <w:p>
            <w:pPr>
              <w:spacing w:after="0"/>
              <w:rPr>
                <w:sz w:val="10"/>
                <w:szCs w:val="10"/>
                <w:color w:val="auto"/>
              </w:rPr>
            </w:pPr>
          </w:p>
        </w:tc>
        <w:tc>
          <w:tcPr>
            <w:tcW w:w="860" w:type="dxa"/>
            <w:vAlign w:val="bottom"/>
            <w:tcBorders>
              <w:bottom w:val="single" w:sz="8" w:color="auto"/>
              <w:right w:val="single" w:sz="8" w:color="auto"/>
            </w:tcBorders>
            <w:vMerge w:val="continue"/>
            <w:shd w:val="clear" w:color="auto" w:fill="C6D9F0"/>
          </w:tcPr>
          <w:p>
            <w:pPr>
              <w:spacing w:after="0"/>
              <w:rPr>
                <w:sz w:val="10"/>
                <w:szCs w:val="10"/>
                <w:color w:val="auto"/>
              </w:rPr>
            </w:pPr>
          </w:p>
        </w:tc>
        <w:tc>
          <w:tcPr>
            <w:tcW w:w="960" w:type="dxa"/>
            <w:vAlign w:val="bottom"/>
            <w:tcBorders>
              <w:bottom w:val="single" w:sz="8" w:color="auto"/>
              <w:right w:val="single" w:sz="8" w:color="auto"/>
            </w:tcBorders>
            <w:shd w:val="clear" w:color="auto" w:fill="C6D9F0"/>
          </w:tcPr>
          <w:p>
            <w:pPr>
              <w:spacing w:after="0"/>
              <w:rPr>
                <w:sz w:val="10"/>
                <w:szCs w:val="10"/>
                <w:color w:val="auto"/>
              </w:rPr>
            </w:pPr>
          </w:p>
        </w:tc>
        <w:tc>
          <w:tcPr>
            <w:tcW w:w="1380" w:type="dxa"/>
            <w:vAlign w:val="bottom"/>
            <w:tcBorders>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1</w:t>
            </w:r>
          </w:p>
        </w:tc>
        <w:tc>
          <w:tcPr>
            <w:tcW w:w="1660" w:type="dxa"/>
            <w:vAlign w:val="bottom"/>
            <w:tcBorders>
              <w:right w:val="single" w:sz="8" w:color="auto"/>
            </w:tcBorders>
            <w:gridSpan w:val="3"/>
          </w:tcPr>
          <w:p>
            <w:pPr>
              <w:jc w:val="center"/>
              <w:ind w:right="20"/>
              <w:spacing w:after="0" w:line="183" w:lineRule="exact"/>
              <w:rPr>
                <w:sz w:val="20"/>
                <w:szCs w:val="20"/>
                <w:color w:val="auto"/>
              </w:rPr>
            </w:pPr>
            <w:r>
              <w:rPr>
                <w:rFonts w:ascii="Arial" w:cs="Arial" w:eastAsia="Arial" w:hAnsi="Arial"/>
                <w:sz w:val="20"/>
                <w:szCs w:val="20"/>
                <w:color w:val="auto"/>
                <w:w w:val="85"/>
              </w:rPr>
              <w:t>&gt; 2.50 to 1.0</w:t>
            </w:r>
          </w:p>
        </w:tc>
        <w:tc>
          <w:tcPr>
            <w:tcW w:w="8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2.000%</w:t>
            </w:r>
          </w:p>
        </w:tc>
        <w:tc>
          <w:tcPr>
            <w:tcW w:w="10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2.000%</w:t>
            </w:r>
          </w:p>
        </w:tc>
        <w:tc>
          <w:tcPr>
            <w:tcW w:w="8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1.000%</w:t>
            </w:r>
          </w:p>
        </w:tc>
        <w:tc>
          <w:tcPr>
            <w:tcW w:w="9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1.000%</w:t>
            </w:r>
          </w:p>
        </w:tc>
        <w:tc>
          <w:tcPr>
            <w:tcW w:w="13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0.350%</w:t>
            </w:r>
          </w:p>
        </w:tc>
        <w:tc>
          <w:tcPr>
            <w:tcW w:w="0" w:type="dxa"/>
            <w:vAlign w:val="bottom"/>
          </w:tcPr>
          <w:p>
            <w:pPr>
              <w:spacing w:after="0"/>
              <w:rPr>
                <w:sz w:val="1"/>
                <w:szCs w:val="1"/>
                <w:color w:val="auto"/>
              </w:rPr>
            </w:pPr>
          </w:p>
        </w:tc>
      </w:tr>
      <w:tr>
        <w:trPr>
          <w:trHeight w:val="20"/>
        </w:trPr>
        <w:tc>
          <w:tcPr>
            <w:tcW w:w="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w:t>
            </w:r>
          </w:p>
        </w:tc>
        <w:tc>
          <w:tcPr>
            <w:tcW w:w="1660" w:type="dxa"/>
            <w:vAlign w:val="bottom"/>
            <w:tcBorders>
              <w:right w:val="single" w:sz="8" w:color="auto"/>
            </w:tcBorders>
            <w:gridSpan w:val="3"/>
          </w:tcPr>
          <w:p>
            <w:pPr>
              <w:jc w:val="center"/>
              <w:ind w:right="20"/>
              <w:spacing w:after="0" w:line="220" w:lineRule="exact"/>
              <w:rPr>
                <w:sz w:val="20"/>
                <w:szCs w:val="20"/>
                <w:color w:val="auto"/>
              </w:rPr>
            </w:pPr>
            <w:r>
              <w:rPr>
                <w:rFonts w:ascii="Arial" w:cs="Arial" w:eastAsia="Arial" w:hAnsi="Arial"/>
                <w:sz w:val="20"/>
                <w:szCs w:val="20"/>
                <w:color w:val="auto"/>
                <w:w w:val="88"/>
              </w:rPr>
              <w:t>&lt; 2.50 to 1.0 but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1.750%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1.750%</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0.750%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0.750%</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0.300%</w:t>
            </w:r>
          </w:p>
        </w:tc>
        <w:tc>
          <w:tcPr>
            <w:tcW w:w="0" w:type="dxa"/>
            <w:vAlign w:val="bottom"/>
          </w:tcPr>
          <w:p>
            <w:pPr>
              <w:spacing w:after="0"/>
              <w:rPr>
                <w:sz w:val="1"/>
                <w:szCs w:val="1"/>
                <w:color w:val="auto"/>
              </w:rPr>
            </w:pPr>
          </w:p>
        </w:tc>
      </w:tr>
      <w:tr>
        <w:trPr>
          <w:trHeight w:val="129"/>
        </w:trPr>
        <w:tc>
          <w:tcPr>
            <w:tcW w:w="760" w:type="dxa"/>
            <w:vAlign w:val="bottom"/>
            <w:tcBorders>
              <w:left w:val="single" w:sz="8" w:color="auto"/>
              <w:right w:val="single" w:sz="8" w:color="auto"/>
            </w:tcBorders>
            <w:vMerge w:val="continue"/>
          </w:tcPr>
          <w:p>
            <w:pPr>
              <w:spacing w:after="0"/>
              <w:rPr>
                <w:sz w:val="11"/>
                <w:szCs w:val="11"/>
                <w:color w:val="auto"/>
              </w:rPr>
            </w:pPr>
          </w:p>
        </w:tc>
        <w:tc>
          <w:tcPr>
            <w:tcW w:w="1660" w:type="dxa"/>
            <w:vAlign w:val="bottom"/>
            <w:tcBorders>
              <w:right w:val="single" w:sz="8" w:color="auto"/>
            </w:tcBorders>
            <w:gridSpan w:val="3"/>
            <w:vMerge w:val="restart"/>
          </w:tcPr>
          <w:p>
            <w:pPr>
              <w:jc w:val="center"/>
              <w:ind w:right="20"/>
              <w:spacing w:after="0" w:line="206" w:lineRule="exact"/>
              <w:rPr>
                <w:sz w:val="20"/>
                <w:szCs w:val="20"/>
                <w:color w:val="auto"/>
              </w:rPr>
            </w:pPr>
            <w:r>
              <w:rPr>
                <w:rFonts w:ascii="Arial" w:cs="Arial" w:eastAsia="Arial" w:hAnsi="Arial"/>
                <w:sz w:val="20"/>
                <w:szCs w:val="20"/>
                <w:color w:val="auto"/>
                <w:w w:val="85"/>
              </w:rPr>
              <w:t>&gt; 2.00 to 1.0</w:t>
            </w:r>
          </w:p>
        </w:tc>
        <w:tc>
          <w:tcPr>
            <w:tcW w:w="86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60" w:type="dxa"/>
            <w:vAlign w:val="bottom"/>
            <w:tcBorders>
              <w:left w:val="single" w:sz="8" w:color="auto"/>
              <w:right w:val="single" w:sz="8" w:color="auto"/>
            </w:tcBorders>
          </w:tcPr>
          <w:p>
            <w:pPr>
              <w:spacing w:after="0"/>
              <w:rPr>
                <w:sz w:val="6"/>
                <w:szCs w:val="6"/>
                <w:color w:val="auto"/>
              </w:rPr>
            </w:pPr>
          </w:p>
        </w:tc>
        <w:tc>
          <w:tcPr>
            <w:tcW w:w="1660" w:type="dxa"/>
            <w:vAlign w:val="bottom"/>
            <w:tcBorders>
              <w:right w:val="single" w:sz="8" w:color="auto"/>
            </w:tcBorders>
            <w:gridSpan w:val="3"/>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w:t>
            </w:r>
          </w:p>
        </w:tc>
        <w:tc>
          <w:tcPr>
            <w:tcW w:w="1660" w:type="dxa"/>
            <w:vAlign w:val="bottom"/>
            <w:tcBorders>
              <w:right w:val="single" w:sz="8" w:color="auto"/>
            </w:tcBorders>
            <w:gridSpan w:val="3"/>
          </w:tcPr>
          <w:p>
            <w:pPr>
              <w:jc w:val="center"/>
              <w:ind w:right="20"/>
              <w:spacing w:after="0" w:line="207" w:lineRule="exact"/>
              <w:rPr>
                <w:sz w:val="20"/>
                <w:szCs w:val="20"/>
                <w:color w:val="auto"/>
              </w:rPr>
            </w:pPr>
            <w:r>
              <w:rPr>
                <w:rFonts w:ascii="Arial" w:cs="Arial" w:eastAsia="Arial" w:hAnsi="Arial"/>
                <w:sz w:val="20"/>
                <w:szCs w:val="20"/>
                <w:color w:val="auto"/>
                <w:w w:val="88"/>
              </w:rPr>
              <w:t>&lt; 2.00 to 1.0 but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1.500%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1.500%</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0.500%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0.500%</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129"/>
        </w:trPr>
        <w:tc>
          <w:tcPr>
            <w:tcW w:w="760" w:type="dxa"/>
            <w:vAlign w:val="bottom"/>
            <w:tcBorders>
              <w:left w:val="single" w:sz="8" w:color="auto"/>
              <w:right w:val="single" w:sz="8" w:color="auto"/>
            </w:tcBorders>
            <w:vMerge w:val="continue"/>
          </w:tcPr>
          <w:p>
            <w:pPr>
              <w:spacing w:after="0"/>
              <w:rPr>
                <w:sz w:val="11"/>
                <w:szCs w:val="11"/>
                <w:color w:val="auto"/>
              </w:rPr>
            </w:pPr>
          </w:p>
        </w:tc>
        <w:tc>
          <w:tcPr>
            <w:tcW w:w="1660" w:type="dxa"/>
            <w:vAlign w:val="bottom"/>
            <w:tcBorders>
              <w:right w:val="single" w:sz="8" w:color="auto"/>
            </w:tcBorders>
            <w:gridSpan w:val="3"/>
            <w:vMerge w:val="restart"/>
          </w:tcPr>
          <w:p>
            <w:pPr>
              <w:jc w:val="center"/>
              <w:ind w:right="20"/>
              <w:spacing w:after="0" w:line="206" w:lineRule="exact"/>
              <w:rPr>
                <w:sz w:val="20"/>
                <w:szCs w:val="20"/>
                <w:color w:val="auto"/>
              </w:rPr>
            </w:pPr>
            <w:r>
              <w:rPr>
                <w:rFonts w:ascii="Arial" w:cs="Arial" w:eastAsia="Arial" w:hAnsi="Arial"/>
                <w:sz w:val="20"/>
                <w:szCs w:val="20"/>
                <w:color w:val="auto"/>
                <w:w w:val="85"/>
              </w:rPr>
              <w:t>&gt; 1.00 to 1.0</w:t>
            </w:r>
          </w:p>
        </w:tc>
        <w:tc>
          <w:tcPr>
            <w:tcW w:w="86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60" w:type="dxa"/>
            <w:vAlign w:val="bottom"/>
            <w:tcBorders>
              <w:left w:val="single" w:sz="8" w:color="auto"/>
              <w:right w:val="single" w:sz="8" w:color="auto"/>
            </w:tcBorders>
          </w:tcPr>
          <w:p>
            <w:pPr>
              <w:spacing w:after="0"/>
              <w:rPr>
                <w:sz w:val="6"/>
                <w:szCs w:val="6"/>
                <w:color w:val="auto"/>
              </w:rPr>
            </w:pPr>
          </w:p>
        </w:tc>
        <w:tc>
          <w:tcPr>
            <w:tcW w:w="1660" w:type="dxa"/>
            <w:vAlign w:val="bottom"/>
            <w:tcBorders>
              <w:right w:val="single" w:sz="8" w:color="auto"/>
            </w:tcBorders>
            <w:gridSpan w:val="3"/>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4</w:t>
            </w:r>
          </w:p>
        </w:tc>
        <w:tc>
          <w:tcPr>
            <w:tcW w:w="1660" w:type="dxa"/>
            <w:vAlign w:val="bottom"/>
            <w:tcBorders>
              <w:bottom w:val="single" w:sz="8" w:color="auto"/>
              <w:right w:val="single" w:sz="8" w:color="auto"/>
            </w:tcBorders>
            <w:gridSpan w:val="3"/>
          </w:tcPr>
          <w:p>
            <w:pPr>
              <w:jc w:val="center"/>
              <w:ind w:right="20"/>
              <w:spacing w:after="0" w:line="223" w:lineRule="exact"/>
              <w:rPr>
                <w:sz w:val="20"/>
                <w:szCs w:val="20"/>
                <w:color w:val="auto"/>
              </w:rPr>
            </w:pPr>
            <w:r>
              <w:rPr>
                <w:rFonts w:ascii="Arial" w:cs="Arial" w:eastAsia="Arial" w:hAnsi="Arial"/>
                <w:sz w:val="20"/>
                <w:szCs w:val="20"/>
                <w:color w:val="auto"/>
                <w:w w:val="85"/>
              </w:rPr>
              <w:t>&lt; 1.00 to 1.0</w:t>
            </w:r>
          </w:p>
        </w:tc>
        <w:tc>
          <w:tcPr>
            <w:tcW w:w="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1.250%</w:t>
            </w:r>
          </w:p>
        </w:tc>
        <w:tc>
          <w:tcPr>
            <w:tcW w:w="1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1.250%</w:t>
            </w:r>
          </w:p>
        </w:tc>
        <w:tc>
          <w:tcPr>
            <w:tcW w:w="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0.250%</w:t>
            </w:r>
          </w:p>
        </w:tc>
        <w:tc>
          <w:tcPr>
            <w:tcW w:w="9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0.250%</w:t>
            </w:r>
          </w:p>
        </w:tc>
        <w:tc>
          <w:tcPr>
            <w:tcW w:w="13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0.200%</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Any increase or decrease in the Applicable Rate resulting from a change in the Consolidated Total Net Leverage Ratio shall become effective as of the first Business Day immediately following the date a Compliance Certificate is delivered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6.02(b</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if a Compliance Certificate is not delivered when due in accordance with </w:t>
      </w:r>
      <w:r>
        <w:rPr>
          <w:rFonts w:ascii="Arial" w:cs="Arial" w:eastAsia="Arial" w:hAnsi="Arial"/>
          <w:sz w:val="20"/>
          <w:szCs w:val="20"/>
          <w:u w:val="single" w:color="auto"/>
          <w:color w:val="auto"/>
        </w:rPr>
        <w:t>Section 6.02(b</w:t>
      </w:r>
      <w:r>
        <w:rPr>
          <w:rFonts w:ascii="Arial" w:cs="Arial" w:eastAsia="Arial" w:hAnsi="Arial"/>
          <w:sz w:val="20"/>
          <w:szCs w:val="20"/>
          <w:color w:val="auto"/>
        </w:rPr>
        <w:t>), then, upon the request of the Required Lenders,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19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Notwithstanding anything to the contrary contained in this definition, (i) the determination of the Applicable Rate for any period shall be subject to the provisions of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and (ii) the initial Applicable Rate shall be set at Pricing Level 4 until the first Business Day immediately following the date a Compliance Certificate is delivered to the Administrative Agent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for the fiscal quarter ending September 30, 2021. Any adjustment in the Applicable Rate shall be applicable to all Credit Extensions then existing or subsequently made or issued.</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Applicable Revolving Percentage</w:t>
      </w:r>
      <w:r>
        <w:rPr>
          <w:rFonts w:ascii="Arial" w:cs="Arial" w:eastAsia="Arial" w:hAnsi="Arial"/>
          <w:sz w:val="20"/>
          <w:szCs w:val="20"/>
          <w:color w:val="auto"/>
        </w:rPr>
        <w:t>” means with respect to any Revolving Lender at any time, such Revolving Lender’s Applicable Percentage in respect of the Revolving Facility at such time.</w:t>
      </w:r>
    </w:p>
    <w:p>
      <w:pPr>
        <w:spacing w:after="0" w:line="177"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Appropriate Lender</w:t>
      </w:r>
      <w:r>
        <w:rPr>
          <w:rFonts w:ascii="Arial" w:cs="Arial" w:eastAsia="Arial" w:hAnsi="Arial"/>
          <w:sz w:val="19"/>
          <w:szCs w:val="19"/>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 Revolving Lenders and (c) with respect to the Swingline Sublimit, (i) the Swingline Lender and (ii) if any Swingline Loans are outstanding pursuant to </w:t>
      </w:r>
      <w:r>
        <w:rPr>
          <w:rFonts w:ascii="Arial" w:cs="Arial" w:eastAsia="Arial" w:hAnsi="Arial"/>
          <w:sz w:val="19"/>
          <w:szCs w:val="19"/>
          <w:u w:val="single" w:color="auto"/>
          <w:color w:val="auto"/>
        </w:rPr>
        <w:t>Section 2.04(a</w:t>
      </w:r>
      <w:r>
        <w:rPr>
          <w:rFonts w:ascii="Arial" w:cs="Arial" w:eastAsia="Arial" w:hAnsi="Arial"/>
          <w:sz w:val="19"/>
          <w:szCs w:val="19"/>
          <w:color w:val="auto"/>
        </w:rPr>
        <w:t>), the Revolving Lenders.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Approved Jurisdiction</w:t>
      </w:r>
      <w:r>
        <w:rPr>
          <w:rFonts w:ascii="Arial" w:cs="Arial" w:eastAsia="Arial" w:hAnsi="Arial"/>
          <w:sz w:val="19"/>
          <w:szCs w:val="19"/>
          <w:color w:val="auto"/>
        </w:rPr>
        <w:t xml:space="preserve">” means each of each of Canada, Hong Kong, the United Kingdom, Luxembourg, Germany and the Netherlands, in each case, including any states, provinces or other similar local units therein; provided that, at the time of any Subsidiary from an Approved Jurisdiction being designated as a Designated Foreign Subsidiary Guarantor by the Borrower, (a) neither the Administrative Agent nor any Lender shall be prohibited by Applicable Law or generally applicable internal policy (including as a result of any political risk associated with such Approved Jurisdiction at such time) from having a Person from such jurisdiction becoming a Guarantor and providing a Guarantee of the Obligations, or taking a lien in the assets of such Person (other than Excluded Property) to secure the Obligations, and (b) the Administrative Agent shall have determined, in its reasonable good faith discretion, that (i) at such time, the Applicable Law in such jurisdiction does not materially and adversely effect, (A) the amount and enforceability of a Guaranty to be entered into by a Person organized in such Approved Jurisdiction, or (B) the security interests (and enforceability thereof) to be granted with respect to assets (or various classes of assets) of such Person located in such Approved Jurisdiction, and (ii) there has not been any material and adverse change since the Closing Date in any political risk associated with such jurisdiction; </w:t>
      </w:r>
      <w:r>
        <w:rPr>
          <w:rFonts w:ascii="Arial" w:cs="Arial" w:eastAsia="Arial" w:hAnsi="Arial"/>
          <w:sz w:val="19"/>
          <w:szCs w:val="19"/>
          <w:i w:val="1"/>
          <w:iCs w:val="1"/>
          <w:color w:val="auto"/>
        </w:rPr>
        <w:t>provided, further</w:t>
      </w:r>
      <w:r>
        <w:rPr>
          <w:rFonts w:ascii="Arial" w:cs="Arial" w:eastAsia="Arial" w:hAnsi="Arial"/>
          <w:sz w:val="19"/>
          <w:szCs w:val="19"/>
          <w:color w:val="auto"/>
        </w:rPr>
        <w:t>, that, from time to time after the Closing Date, the Borrower may request (by written notice to the Administrative Agent) that one or more additional jurisdictions be added to the list of Approved Jurisdictions, it being understood that, in such event, such jurisdictions shall be added to (and thereafter form part of) the list of Approved Jurisdictions, so long as, in each case, the respective jurisdiction to be added is a jurisdiction reasonably satisfactory to the Administrative Agent (it being agreed that such determination shall be based upon, without limitation, (x) the amount and enforceability of the Guaranty that may be entered into by such Person organized in such jurisdiction, (y) the security interests (and enforceability thereof) that may be granted with respect to assets (or various classes of assets) located in such jurisdiction and (z) any political risk associated with such jurisdiction).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Arranger</w:t>
      </w:r>
      <w:r>
        <w:rPr>
          <w:rFonts w:ascii="Arial" w:cs="Arial" w:eastAsia="Arial" w:hAnsi="Arial"/>
          <w:sz w:val="20"/>
          <w:szCs w:val="20"/>
          <w:color w:val="auto"/>
        </w:rPr>
        <w:t>” means BofA Securities, Inc., in its capacity as sole lead arranger and sole bookrunner.</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any other form (including an electronic documentation form generated by use of an electronic platform) approved by the Administrative Agent.</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Attributable Indebtedness</w:t>
      </w:r>
      <w:r>
        <w:rPr>
          <w:rFonts w:ascii="Arial" w:cs="Arial" w:eastAsia="Arial" w:hAnsi="Arial"/>
          <w:sz w:val="19"/>
          <w:szCs w:val="19"/>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8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Audited Financial Statements</w:t>
      </w:r>
      <w:r>
        <w:rPr>
          <w:rFonts w:ascii="Arial" w:cs="Arial" w:eastAsia="Arial" w:hAnsi="Arial"/>
          <w:sz w:val="20"/>
          <w:szCs w:val="20"/>
          <w:color w:val="auto"/>
        </w:rPr>
        <w:t>” means the audited Consolidated balance sheet of the Borrower and its Subsidiaries for the fiscal year ended December 31, 2020, and the related Consolidated statements of income or operations, Shareholders’ Equity and cash flows for such fiscal year of the Borrower and its Subsidiaries, including the notes thereto.</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Auto</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Extension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Available Tenor</w:t>
      </w:r>
      <w:r>
        <w:rPr>
          <w:rFonts w:ascii="Arial" w:cs="Arial" w:eastAsia="Arial" w:hAnsi="Arial"/>
          <w:sz w:val="20"/>
          <w:szCs w:val="20"/>
          <w:color w:val="auto"/>
        </w:rPr>
        <w:t>” means, as of any date of determination and with respect to the then-current Benchmark, as applicable, (x) if the then-current Benchmark is a term rate, any tenor for such Benchmark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2" w:name="page83"/>
    <w:bookmarkEnd w:id="82"/>
    <w:p>
      <w:pPr>
        <w:spacing w:after="0" w:line="260" w:lineRule="auto"/>
        <w:rPr>
          <w:sz w:val="20"/>
          <w:szCs w:val="20"/>
          <w:color w:val="auto"/>
        </w:rPr>
      </w:pPr>
      <w:r>
        <w:rPr>
          <w:rFonts w:ascii="Arial" w:cs="Arial" w:eastAsia="Arial" w:hAnsi="Arial"/>
          <w:sz w:val="20"/>
          <w:szCs w:val="20"/>
          <w:color w:val="auto"/>
        </w:rPr>
        <w:t>that is or may be used for determining the length of an Interest Period or (y) otherwise, any payment period for interest calculated with reference to such Benchmark, as applicable, pursuant to this Agreement as of such date.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Availability Period</w:t>
      </w:r>
      <w:r>
        <w:rPr>
          <w:rFonts w:ascii="Arial" w:cs="Arial" w:eastAsia="Arial" w:hAnsi="Arial"/>
          <w:sz w:val="18"/>
          <w:szCs w:val="18"/>
          <w:color w:val="auto"/>
        </w:rPr>
        <w:t>” means in respect of the Revolving Facility, the period from and including the Closing Date to the earliest of</w:t>
      </w:r>
    </w:p>
    <w:p>
      <w:pPr>
        <w:spacing w:after="0" w:line="39"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Maturity Date for the Revolving Facility, (ii) the date of termination of the Revolving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and</w:t>
      </w:r>
    </w:p>
    <w:p>
      <w:pPr>
        <w:spacing w:after="0" w:line="22" w:lineRule="exact"/>
        <w:rPr>
          <w:rFonts w:ascii="Arial" w:cs="Arial" w:eastAsia="Arial" w:hAnsi="Arial"/>
          <w:sz w:val="18"/>
          <w:szCs w:val="18"/>
          <w:color w:val="auto"/>
        </w:rPr>
      </w:pPr>
    </w:p>
    <w:p>
      <w:pPr>
        <w:ind w:right="20" w:firstLine="8"/>
        <w:spacing w:after="0" w:line="244" w:lineRule="auto"/>
        <w:tabs>
          <w:tab w:leader="none" w:pos="346"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the date of termination of the Commitment of each Revolving Lender to make Revolving Loans and of the obligation of the L/C Issuer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Bail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Bail</w:t>
      </w:r>
      <w:r>
        <w:rPr>
          <w:rFonts w:ascii="Arial" w:cs="Arial" w:eastAsia="Arial" w:hAnsi="Arial"/>
          <w:sz w:val="19"/>
          <w:szCs w:val="19"/>
          <w:u w:val="single" w:color="auto"/>
          <w:color w:val="auto"/>
        </w:rPr>
        <w:t>-</w:t>
      </w:r>
      <w:r>
        <w:rPr>
          <w:rFonts w:ascii="Arial" w:cs="Arial" w:eastAsia="Arial" w:hAnsi="Arial"/>
          <w:sz w:val="19"/>
          <w:szCs w:val="19"/>
          <w:i w:val="1"/>
          <w:iCs w:val="1"/>
          <w:u w:val="single" w:color="auto"/>
          <w:color w:val="auto"/>
        </w:rPr>
        <w:t>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Base Rate</w:t>
      </w:r>
      <w:r>
        <w:rPr>
          <w:rFonts w:ascii="Arial" w:cs="Arial" w:eastAsia="Arial" w:hAnsi="Arial"/>
          <w:sz w:val="18"/>
          <w:szCs w:val="18"/>
          <w:color w:val="auto"/>
        </w:rPr>
        <w:t xml:space="preserve">” means for any day a fluctuating rate of interest per annum equal to the highest of (a) the Federal Funds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(b) the rate of interest in effect for such day as publicly announced from time to time by Bank of America as its “prime rate,” and</w:t>
      </w:r>
    </w:p>
    <w:p>
      <w:pPr>
        <w:spacing w:after="0" w:line="1" w:lineRule="exact"/>
        <w:rPr>
          <w:sz w:val="20"/>
          <w:szCs w:val="20"/>
          <w:color w:val="auto"/>
        </w:rPr>
      </w:pPr>
    </w:p>
    <w:p>
      <w:pPr>
        <w:jc w:val="both"/>
        <w:ind w:firstLine="8"/>
        <w:spacing w:after="0" w:line="254" w:lineRule="auto"/>
        <w:tabs>
          <w:tab w:leader="none" w:pos="27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Eurodollar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1.00%, subject to the interest rate floors set forth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hereof, then the Base Rate shall be the greater of </w:t>
      </w:r>
      <w:r>
        <w:rPr>
          <w:rFonts w:ascii="Arial" w:cs="Arial" w:eastAsia="Arial" w:hAnsi="Arial"/>
          <w:sz w:val="19"/>
          <w:szCs w:val="19"/>
          <w:u w:val="single" w:color="auto"/>
          <w:color w:val="auto"/>
        </w:rPr>
        <w:t>clauses (a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above.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Base Rate Loan</w:t>
      </w:r>
      <w:r>
        <w:rPr>
          <w:rFonts w:ascii="Arial" w:cs="Arial" w:eastAsia="Arial" w:hAnsi="Arial"/>
          <w:sz w:val="18"/>
          <w:szCs w:val="18"/>
          <w:color w:val="auto"/>
        </w:rPr>
        <w:t>” means a Revolving Loan, Term Loan or an Incremental Term Loan that bears interest based on the Base Rate.</w:t>
      </w:r>
    </w:p>
    <w:p>
      <w:pPr>
        <w:spacing w:after="0" w:line="239"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Benchmark</w:t>
      </w:r>
      <w:r>
        <w:rPr>
          <w:rFonts w:ascii="Arial" w:cs="Arial" w:eastAsia="Arial" w:hAnsi="Arial"/>
          <w:sz w:val="18"/>
          <w:szCs w:val="18"/>
          <w:color w:val="auto"/>
        </w:rPr>
        <w:t>” means, initially, LIBOR;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if a replacement of the Benchmark has occurred pursuant to Section 3.03(c)</w:t>
      </w:r>
      <w:r>
        <w:rPr>
          <w:rFonts w:ascii="Arial" w:cs="Arial" w:eastAsia="Arial" w:hAnsi="Arial"/>
          <w:sz w:val="18"/>
          <w:szCs w:val="18"/>
          <w:i w:val="1"/>
          <w:iCs w:val="1"/>
          <w:color w:val="auto"/>
        </w:rPr>
        <w:t xml:space="preserve"> </w:t>
      </w:r>
      <w:r>
        <w:rPr>
          <w:rFonts w:ascii="Arial" w:cs="Arial" w:eastAsia="Arial" w:hAnsi="Arial"/>
          <w:sz w:val="18"/>
          <w:szCs w:val="18"/>
          <w:color w:val="auto"/>
        </w:rPr>
        <w:t>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Benchmark Replacement</w:t>
      </w:r>
      <w:r>
        <w:rPr>
          <w:rFonts w:ascii="Arial" w:cs="Arial" w:eastAsia="Arial" w:hAnsi="Arial"/>
          <w:sz w:val="20"/>
          <w:szCs w:val="20"/>
          <w:color w:val="auto"/>
        </w:rPr>
        <w:t>” means:</w:t>
      </w:r>
    </w:p>
    <w:p>
      <w:pPr>
        <w:spacing w:after="0" w:line="216"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For purposes of Section 3.03(c)(i), the first alternative set forth below that can be determined by the Administrative Agent:</w:t>
      </w:r>
    </w:p>
    <w:p>
      <w:pPr>
        <w:spacing w:after="0" w:line="229"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3" w:name="page84"/>
    <w:bookmarkEnd w:id="83"/>
    <w:p>
      <w:pPr>
        <w:ind w:left="2160" w:right="80" w:hanging="438"/>
        <w:spacing w:after="0" w:line="246" w:lineRule="auto"/>
        <w:tabs>
          <w:tab w:leader="none" w:pos="21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or</w:t>
      </w:r>
    </w:p>
    <w:p>
      <w:pPr>
        <w:spacing w:after="0" w:line="191" w:lineRule="exact"/>
        <w:rPr>
          <w:rFonts w:ascii="Arial" w:cs="Arial" w:eastAsia="Arial" w:hAnsi="Arial"/>
          <w:sz w:val="20"/>
          <w:szCs w:val="20"/>
          <w:color w:val="auto"/>
        </w:rPr>
      </w:pPr>
    </w:p>
    <w:p>
      <w:pPr>
        <w:ind w:left="2160" w:hanging="438"/>
        <w:spacing w:after="0"/>
        <w:tabs>
          <w:tab w:leader="none" w:pos="21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sum of: (i) Daily Simple SOFR and (ii) 0.26161% (26.161 basis points);</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if initially LIBOR is replaced with the rate contained in clause (b) above (Daily Simple SOFR plus the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96" w:lineRule="exact"/>
        <w:rPr>
          <w:sz w:val="20"/>
          <w:szCs w:val="20"/>
          <w:color w:val="auto"/>
        </w:rPr>
      </w:pPr>
    </w:p>
    <w:p>
      <w:pPr>
        <w:jc w:val="both"/>
        <w:ind w:left="880" w:hanging="440"/>
        <w:spacing w:after="0" w:line="282"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Section 3.03(c)(ii),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61"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if the Benchmark Replacement as determined pursuant to clause (1) or (2) above would be less than 0%, the</w:t>
      </w:r>
      <w:r>
        <w:rPr>
          <w:rFonts w:ascii="Arial" w:cs="Arial" w:eastAsia="Arial" w:hAnsi="Arial"/>
          <w:sz w:val="20"/>
          <w:szCs w:val="20"/>
          <w:i w:val="1"/>
          <w:iCs w:val="1"/>
          <w:color w:val="auto"/>
        </w:rPr>
        <w:t xml:space="preserve"> </w:t>
      </w:r>
      <w:r>
        <w:rPr>
          <w:rFonts w:ascii="Arial" w:cs="Arial" w:eastAsia="Arial" w:hAnsi="Arial"/>
          <w:sz w:val="20"/>
          <w:szCs w:val="20"/>
          <w:color w:val="auto"/>
        </w:rPr>
        <w:t>Benchmark Replacement will be deemed to be 0% for the purposes of this Agreement and the other Loan Documents.</w:t>
      </w:r>
    </w:p>
    <w:p>
      <w:pPr>
        <w:spacing w:after="0" w:line="177" w:lineRule="exact"/>
        <w:rPr>
          <w:sz w:val="20"/>
          <w:szCs w:val="20"/>
          <w:color w:val="auto"/>
        </w:rPr>
      </w:pPr>
    </w:p>
    <w:p>
      <w:pPr>
        <w:jc w:val="both"/>
        <w:ind w:left="1740" w:firstLine="731"/>
        <w:spacing w:after="0" w:line="291" w:lineRule="auto"/>
        <w:rPr>
          <w:sz w:val="20"/>
          <w:szCs w:val="20"/>
          <w:color w:val="auto"/>
        </w:rPr>
      </w:pPr>
      <w:r>
        <w:rPr>
          <w:rFonts w:ascii="Arial" w:cs="Arial" w:eastAsia="Arial" w:hAnsi="Arial"/>
          <w:sz w:val="18"/>
          <w:szCs w:val="18"/>
          <w:color w:val="auto"/>
        </w:rPr>
        <w:t xml:space="preserve">Any Benchmark Replacement shall be applied in a manner consistent with market practice;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15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74"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Benchmark Transition Event</w:t>
      </w:r>
      <w:r>
        <w:rPr>
          <w:rFonts w:ascii="Arial" w:cs="Arial" w:eastAsia="Arial" w:hAnsi="Arial"/>
          <w:sz w:val="18"/>
          <w:szCs w:val="18"/>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84" w:name="page85"/>
    <w:bookmarkEnd w:id="84"/>
    <w:p>
      <w:pPr>
        <w:jc w:val="both"/>
        <w:spacing w:after="0" w:line="250" w:lineRule="auto"/>
        <w:rPr>
          <w:sz w:val="20"/>
          <w:szCs w:val="20"/>
          <w:color w:val="auto"/>
        </w:rPr>
      </w:pPr>
      <w:r>
        <w:rPr>
          <w:rFonts w:ascii="Arial" w:cs="Arial" w:eastAsia="Arial" w:hAnsi="Arial"/>
          <w:sz w:val="20"/>
          <w:szCs w:val="20"/>
          <w:color w:val="auto"/>
        </w:rPr>
        <w:t>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6.02(p</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Borrowing</w:t>
      </w:r>
      <w:r>
        <w:rPr>
          <w:rFonts w:ascii="Arial" w:cs="Arial" w:eastAsia="Arial" w:hAnsi="Arial"/>
          <w:sz w:val="20"/>
          <w:szCs w:val="20"/>
          <w:color w:val="auto"/>
        </w:rPr>
        <w:t>” means a Revolving Borrowing, a Swingline Borrowing, a Term Borrowing or an Incremental Term Borrowing, as the context may require.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Capital Expenditures</w:t>
      </w:r>
      <w:r>
        <w:rPr>
          <w:rFonts w:ascii="Arial" w:cs="Arial" w:eastAsia="Arial" w:hAnsi="Arial"/>
          <w:sz w:val="18"/>
          <w:szCs w:val="18"/>
          <w:color w:val="auto"/>
        </w:rPr>
        <w:t xml:space="preserve">” means, with respect to any Person for any period, any expenditure in respect of the purchase or other acquisition of any fixed or capital asset, but excluding (a) normal replacements and maintenance which are properly charged to current operations, (b) expenditures made in connection with the reinvestment of Disposition proceeds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or in connection with the replacement, substitution or restoration of property in connection with an Involuntary Disposition, (c) expenditures made to fund the purchase price for assets acquired in Permitted Acquisitions, and (d) leasehold improvement expenditures that are actually paid for by unaffiliated third party landlords in the ordinary course of business and which neither the Borrower nor any Subsidiary has provided or is required to provide or incur any consideration or obligation to such third party landlord. For purposes of this definition, the purchase price of equipment or other fixed assets that are purchased simultaneously with the trade-in of existing assets or with insurance proceeds shall be included in Capital Expenditures only to the extent of the gross amount by which such purchase price exceeds the credit granted by the seller of such assets for the assets being traded in at such time or the amount of such insurance proceeds, as the case may be.</w:t>
      </w:r>
    </w:p>
    <w:p>
      <w:pPr>
        <w:spacing w:after="0" w:line="17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Capitalized Lease</w:t>
      </w:r>
      <w:r>
        <w:rPr>
          <w:rFonts w:ascii="Arial" w:cs="Arial" w:eastAsia="Arial" w:hAnsi="Arial"/>
          <w:sz w:val="20"/>
          <w:szCs w:val="20"/>
          <w:color w:val="auto"/>
        </w:rPr>
        <w:t>” means any lease that has been or is required to be, in accordance with GAAP, recorded, classified and accounted for as a capitalized lease or financing lease.</w:t>
      </w:r>
    </w:p>
    <w:p>
      <w:pPr>
        <w:spacing w:after="0" w:line="177"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L/C Issuer or Swingline Lender (as applicable) or the Lenders, as Collateral for L/C Obligations, the Obligations in respect of Swingline Loans, or obligations of the Revolving Lenders to fund participations in respect of L/C Obligations or Swingline Loans (as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5" w:name="page86"/>
    <w:bookmarkEnd w:id="85"/>
    <w:p>
      <w:pPr>
        <w:jc w:val="both"/>
        <w:spacing w:after="0" w:line="244" w:lineRule="auto"/>
        <w:rPr>
          <w:sz w:val="20"/>
          <w:szCs w:val="20"/>
          <w:color w:val="auto"/>
        </w:rPr>
      </w:pPr>
      <w:r>
        <w:rPr>
          <w:rFonts w:ascii="Arial" w:cs="Arial" w:eastAsia="Arial" w:hAnsi="Arial"/>
          <w:sz w:val="20"/>
          <w:szCs w:val="20"/>
          <w:color w:val="auto"/>
        </w:rPr>
        <w:t>context may require), (a) cash or deposit account balances, (b) backstop letters of credit entered into on terms, from issuers and in amounts reasonably satisfactory to the Administrative Agent and the applicable L/C Issuer, and/or (c) if the Administrative Agent and the applicable L/C Issuer or Swingline Lender shall agree, in their reasonable discretion, other credit support, in each case, in Dollars and pursuant to documentation in form and substance reasonably satisfactory to the Administrative Agent and the L/C Issuer or the Swingline Lender (as applicable).</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Cash Equivalents</w:t>
      </w:r>
      <w:r>
        <w:rPr>
          <w:rFonts w:ascii="Arial" w:cs="Arial" w:eastAsia="Arial" w:hAnsi="Arial"/>
          <w:sz w:val="19"/>
          <w:szCs w:val="19"/>
          <w:color w:val="auto"/>
        </w:rPr>
        <w:t>” means any of the following types of Investments, to the extent owned by the Borrower or any of its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Subsidiaries free and clear of all Liens (other than Permitted Liens):</w:t>
      </w:r>
    </w:p>
    <w:p>
      <w:pPr>
        <w:spacing w:after="0" w:line="200" w:lineRule="exact"/>
        <w:rPr>
          <w:sz w:val="20"/>
          <w:szCs w:val="20"/>
          <w:color w:val="auto"/>
        </w:rPr>
      </w:pPr>
    </w:p>
    <w:p>
      <w:pPr>
        <w:jc w:val="both"/>
        <w:ind w:left="880" w:firstLine="789"/>
        <w:spacing w:after="0" w:line="269" w:lineRule="auto"/>
        <w:tabs>
          <w:tab w:leader="none" w:pos="2545"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readily marketable obligations issued or directly and fully guaranteed or insured by the United States or any agency or instrumentality thereof having maturities of not more than three hundred sixty days (360) days from the date of issuance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full faith and credit of the United States is pledged in support thereof;</w:t>
      </w:r>
    </w:p>
    <w:p>
      <w:pPr>
        <w:spacing w:after="0" w:line="169" w:lineRule="exact"/>
        <w:rPr>
          <w:rFonts w:ascii="Arial" w:cs="Arial" w:eastAsia="Arial" w:hAnsi="Arial"/>
          <w:sz w:val="19"/>
          <w:szCs w:val="19"/>
          <w:color w:val="auto"/>
        </w:rPr>
      </w:pPr>
    </w:p>
    <w:p>
      <w:pPr>
        <w:ind w:left="2540" w:hanging="871"/>
        <w:spacing w:after="0"/>
        <w:tabs>
          <w:tab w:leader="none" w:pos="2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w:t>
      </w:r>
    </w:p>
    <w:p>
      <w:pPr>
        <w:spacing w:after="0" w:line="38" w:lineRule="exact"/>
        <w:rPr>
          <w:rFonts w:ascii="Arial" w:cs="Arial" w:eastAsia="Arial" w:hAnsi="Arial"/>
          <w:sz w:val="18"/>
          <w:szCs w:val="18"/>
          <w:color w:val="auto"/>
        </w:rPr>
      </w:pPr>
    </w:p>
    <w:p>
      <w:pPr>
        <w:jc w:val="both"/>
        <w:ind w:left="880" w:hanging="8"/>
        <w:spacing w:after="0" w:line="256" w:lineRule="auto"/>
        <w:tabs>
          <w:tab w:leader="none" w:pos="1127"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Arial" w:cs="Arial" w:eastAsia="Arial" w:hAnsi="Arial"/>
          <w:sz w:val="19"/>
          <w:szCs w:val="19"/>
          <w:u w:val="single" w:color="auto"/>
          <w:color w:val="auto"/>
        </w:rPr>
        <w:t>clause (c</w:t>
      </w:r>
      <w:r>
        <w:rPr>
          <w:rFonts w:ascii="Arial" w:cs="Arial" w:eastAsia="Arial" w:hAnsi="Arial"/>
          <w:sz w:val="19"/>
          <w:szCs w:val="19"/>
          <w:color w:val="auto"/>
        </w:rPr>
        <w:t>) of this definition and (iii) has combined capital and surplus of at least $1,000,000,000, in each case with maturities of not more than ninety (90) days from the date of issuance thereof;</w:t>
      </w:r>
    </w:p>
    <w:p>
      <w:pPr>
        <w:spacing w:after="0" w:line="182" w:lineRule="exact"/>
        <w:rPr>
          <w:rFonts w:ascii="Arial" w:cs="Arial" w:eastAsia="Arial" w:hAnsi="Arial"/>
          <w:sz w:val="19"/>
          <w:szCs w:val="19"/>
          <w:color w:val="auto"/>
        </w:rPr>
      </w:pPr>
    </w:p>
    <w:p>
      <w:pPr>
        <w:jc w:val="both"/>
        <w:ind w:left="880" w:firstLine="789"/>
        <w:spacing w:after="0" w:line="269" w:lineRule="auto"/>
        <w:tabs>
          <w:tab w:leader="none" w:pos="2545" w:val="left"/>
        </w:tabs>
        <w:numPr>
          <w:ilvl w:val="1"/>
          <w:numId w:val="40"/>
        </w:numPr>
        <w:rPr>
          <w:rFonts w:ascii="Arial" w:cs="Arial" w:eastAsia="Arial" w:hAnsi="Arial"/>
          <w:sz w:val="19"/>
          <w:szCs w:val="19"/>
          <w:color w:val="auto"/>
        </w:rPr>
      </w:pPr>
      <w:r>
        <w:rPr>
          <w:rFonts w:ascii="Arial" w:cs="Arial" w:eastAsia="Arial" w:hAnsi="Arial"/>
          <w:sz w:val="19"/>
          <w:szCs w:val="19"/>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issuance thereof;</w:t>
      </w:r>
    </w:p>
    <w:p>
      <w:pPr>
        <w:spacing w:after="0" w:line="169" w:lineRule="exact"/>
        <w:rPr>
          <w:rFonts w:ascii="Arial" w:cs="Arial" w:eastAsia="Arial" w:hAnsi="Arial"/>
          <w:sz w:val="19"/>
          <w:szCs w:val="19"/>
          <w:color w:val="auto"/>
        </w:rPr>
      </w:pPr>
    </w:p>
    <w:p>
      <w:pPr>
        <w:jc w:val="both"/>
        <w:ind w:left="880" w:firstLine="789"/>
        <w:spacing w:after="0" w:line="282" w:lineRule="auto"/>
        <w:tabs>
          <w:tab w:leader="none" w:pos="25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at least 90% of the assets of which are invested in Investments of the character, quality and maturity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w:t>
      </w:r>
      <w:r>
        <w:rPr>
          <w:rFonts w:ascii="Arial" w:cs="Arial" w:eastAsia="Arial" w:hAnsi="Arial"/>
          <w:sz w:val="18"/>
          <w:szCs w:val="18"/>
          <w:u w:val="single" w:color="auto"/>
          <w:color w:val="auto"/>
        </w:rPr>
        <w:t>b</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of this definition; and</w:t>
      </w:r>
    </w:p>
    <w:p>
      <w:pPr>
        <w:spacing w:after="0" w:line="161" w:lineRule="exact"/>
        <w:rPr>
          <w:rFonts w:ascii="Arial" w:cs="Arial" w:eastAsia="Arial" w:hAnsi="Arial"/>
          <w:sz w:val="18"/>
          <w:szCs w:val="18"/>
          <w:color w:val="auto"/>
        </w:rPr>
      </w:pPr>
    </w:p>
    <w:p>
      <w:pPr>
        <w:jc w:val="both"/>
        <w:ind w:left="880" w:firstLine="789"/>
        <w:spacing w:after="0" w:line="246" w:lineRule="auto"/>
        <w:tabs>
          <w:tab w:leader="none" w:pos="2545" w:val="left"/>
        </w:tabs>
        <w:numPr>
          <w:ilvl w:val="1"/>
          <w:numId w:val="40"/>
        </w:numPr>
        <w:rPr>
          <w:rFonts w:ascii="Arial" w:cs="Arial" w:eastAsia="Arial" w:hAnsi="Arial"/>
          <w:sz w:val="20"/>
          <w:szCs w:val="20"/>
          <w:color w:val="auto"/>
        </w:rPr>
      </w:pPr>
      <w:r>
        <w:rPr>
          <w:rFonts w:ascii="Arial" w:cs="Arial" w:eastAsia="Arial" w:hAnsi="Arial"/>
          <w:sz w:val="20"/>
          <w:szCs w:val="20"/>
          <w:color w:val="auto"/>
        </w:rPr>
        <w:t>instruments equivalent to those referred to in clauses (a) through (d)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9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Cash Management Agreement</w:t>
      </w:r>
      <w:r>
        <w:rPr>
          <w:rFonts w:ascii="Arial" w:cs="Arial" w:eastAsia="Arial" w:hAnsi="Arial"/>
          <w:sz w:val="19"/>
          <w:szCs w:val="19"/>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6" w:name="page87"/>
    <w:bookmarkEnd w:id="86"/>
    <w:p>
      <w:pPr>
        <w:jc w:val="both"/>
        <w:ind w:firstLine="86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Cash Management Bank</w:t>
      </w:r>
      <w:r>
        <w:rPr>
          <w:rFonts w:ascii="Arial" w:cs="Arial" w:eastAsia="Arial" w:hAnsi="Arial"/>
          <w:sz w:val="20"/>
          <w:szCs w:val="20"/>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9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CFC</w:t>
      </w:r>
      <w:r>
        <w:rPr>
          <w:rFonts w:ascii="Arial" w:cs="Arial" w:eastAsia="Arial" w:hAnsi="Arial"/>
          <w:sz w:val="20"/>
          <w:szCs w:val="20"/>
          <w:color w:val="auto"/>
        </w:rPr>
        <w:t>” means a Person that is a controlled foreign corporation under Section 957 of the Code in which the Borrower or any Loan Party is a United States shareholder within the meaning of Section 951(b) of the Code.</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Change in Law</w:t>
      </w:r>
      <w:r>
        <w:rPr>
          <w:rFonts w:ascii="Arial" w:cs="Arial" w:eastAsia="Arial" w:hAnsi="Arial"/>
          <w:sz w:val="19"/>
          <w:szCs w:val="19"/>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Change of Control</w:t>
      </w:r>
      <w:r>
        <w:rPr>
          <w:rFonts w:ascii="Arial" w:cs="Arial" w:eastAsia="Arial" w:hAnsi="Arial"/>
          <w:sz w:val="20"/>
          <w:szCs w:val="20"/>
          <w:color w:val="auto"/>
        </w:rPr>
        <w:t>” means an event or series of events by which:</w:t>
      </w:r>
    </w:p>
    <w:p>
      <w:pPr>
        <w:spacing w:after="0" w:line="216" w:lineRule="exact"/>
        <w:rPr>
          <w:sz w:val="20"/>
          <w:szCs w:val="20"/>
          <w:color w:val="auto"/>
        </w:rPr>
      </w:pPr>
    </w:p>
    <w:p>
      <w:pPr>
        <w:jc w:val="both"/>
        <w:ind w:left="880" w:firstLine="789"/>
        <w:spacing w:after="0" w:line="255" w:lineRule="auto"/>
        <w:tabs>
          <w:tab w:leader="none" w:pos="2545"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Equity Investors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9"/>
          <w:szCs w:val="19"/>
          <w:u w:val="single" w:color="auto"/>
          <w:color w:val="auto"/>
        </w:rPr>
        <w:t>option right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Person shall not be deemed to have beneficial ownership of securities subject to a stock purchase agreement, merger agreement or similar agreement until the consummation of the transactions contemplated by such agreement unless such Person has the right to vote or direct the voting of such securities), directly or indirectly, of thirty-five percent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84" w:lineRule="exact"/>
        <w:rPr>
          <w:rFonts w:ascii="Arial" w:cs="Arial" w:eastAsia="Arial" w:hAnsi="Arial"/>
          <w:sz w:val="19"/>
          <w:szCs w:val="19"/>
          <w:color w:val="auto"/>
        </w:rPr>
      </w:pPr>
    </w:p>
    <w:p>
      <w:pPr>
        <w:jc w:val="both"/>
        <w:ind w:left="880" w:firstLine="789"/>
        <w:spacing w:after="0" w:line="282" w:lineRule="auto"/>
        <w:tabs>
          <w:tab w:leader="none" w:pos="25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during any period of twelve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nominated, appointed or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above constituting at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7" w:name="page88"/>
    <w:bookmarkEnd w:id="87"/>
    <w:p>
      <w:pPr>
        <w:jc w:val="both"/>
        <w:ind w:left="880"/>
        <w:spacing w:after="0" w:line="246" w:lineRule="auto"/>
        <w:rPr>
          <w:sz w:val="20"/>
          <w:szCs w:val="20"/>
          <w:color w:val="auto"/>
        </w:rPr>
      </w:pPr>
      <w:r>
        <w:rPr>
          <w:rFonts w:ascii="Arial" w:cs="Arial" w:eastAsia="Arial" w:hAnsi="Arial"/>
          <w:sz w:val="20"/>
          <w:szCs w:val="20"/>
          <w:color w:val="auto"/>
        </w:rPr>
        <w:t xml:space="preserve">time of such election or nomination at least a majority of that board or equivalent governing body or (iii) whose election or nomination to that board or other equivalent governing body was nominated, appointed or approved by individuals referred to in </w:t>
      </w:r>
      <w:r>
        <w:rPr>
          <w:rFonts w:ascii="Arial" w:cs="Arial" w:eastAsia="Arial" w:hAnsi="Arial"/>
          <w:sz w:val="20"/>
          <w:szCs w:val="20"/>
          <w:u w:val="single" w:color="auto"/>
          <w:color w:val="auto"/>
        </w:rPr>
        <w:t>clauses (i</w:t>
      </w:r>
      <w:r>
        <w:rPr>
          <w:rFonts w:ascii="Arial" w:cs="Arial" w:eastAsia="Arial" w:hAnsi="Arial"/>
          <w:sz w:val="20"/>
          <w:szCs w:val="20"/>
          <w:color w:val="auto"/>
        </w:rPr>
        <w:t>) and (</w:t>
      </w:r>
      <w:r>
        <w:rPr>
          <w:rFonts w:ascii="Arial" w:cs="Arial" w:eastAsia="Arial" w:hAnsi="Arial"/>
          <w:sz w:val="20"/>
          <w:szCs w:val="20"/>
          <w:u w:val="single" w:color="auto"/>
          <w:color w:val="auto"/>
        </w:rPr>
        <w:t>ii</w:t>
      </w:r>
      <w:r>
        <w:rPr>
          <w:rFonts w:ascii="Arial" w:cs="Arial" w:eastAsia="Arial" w:hAnsi="Arial"/>
          <w:sz w:val="20"/>
          <w:szCs w:val="20"/>
          <w:color w:val="auto"/>
        </w:rPr>
        <w:t>) above constituting at the time of such election or nomination at least a majority of that board or equivalent governing body.</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Class</w:t>
      </w:r>
      <w:r>
        <w:rPr>
          <w:rFonts w:ascii="Arial" w:cs="Arial" w:eastAsia="Arial" w:hAnsi="Arial"/>
          <w:sz w:val="20"/>
          <w:szCs w:val="20"/>
          <w:color w:val="auto"/>
        </w:rPr>
        <w:t>”, when used in reference to any Loan or Borrowing, refers to whether such Loan, or the Loans comprising such Borrowing, are Revolving Loans or Term Loans and, when used in reference to any Commitment, refers to whether such Commitment is a Revolving Commitment or Term Commitment.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Closing Date</w:t>
      </w:r>
      <w:r>
        <w:rPr>
          <w:rFonts w:ascii="Arial" w:cs="Arial" w:eastAsia="Arial" w:hAnsi="Arial"/>
          <w:sz w:val="20"/>
          <w:szCs w:val="20"/>
          <w:color w:val="auto"/>
        </w:rPr>
        <w:t>” means the date hereof.</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Collateral</w:t>
      </w:r>
      <w:r>
        <w:rPr>
          <w:rFonts w:ascii="Arial" w:cs="Arial" w:eastAsia="Arial" w:hAnsi="Arial"/>
          <w:sz w:val="20"/>
          <w:szCs w:val="20"/>
          <w:color w:val="auto"/>
        </w:rPr>
        <w:t>” means all of the “Collateral” and “Mortgaged Property” referred to in the Collateral Documents and all of the other property that is or is intended under the terms of the Collateral Documents to be subject to Liens in favor of the Administrative Agent for the benefit of the Secured Parties.</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Collateral Documents</w:t>
      </w:r>
      <w:r>
        <w:rPr>
          <w:rFonts w:ascii="Arial" w:cs="Arial" w:eastAsia="Arial" w:hAnsi="Arial"/>
          <w:sz w:val="20"/>
          <w:szCs w:val="20"/>
          <w:color w:val="auto"/>
        </w:rPr>
        <w:t xml:space="preserve">” means, collectively, the Security Agreement, the Mortgages (if any), any related Mortgaged Property Support Documents, each Joinder Agreement, each of the collateral assignments, security agreements, pledge agreements, account control agreements or other similar agreements delivered to the Administrative Agent pursuant to </w:t>
      </w:r>
      <w:r>
        <w:rPr>
          <w:rFonts w:ascii="Arial" w:cs="Arial" w:eastAsia="Arial" w:hAnsi="Arial"/>
          <w:sz w:val="20"/>
          <w:szCs w:val="20"/>
          <w:u w:val="single" w:color="auto"/>
          <w:color w:val="auto"/>
        </w:rPr>
        <w:t>Section 6.13</w:t>
      </w:r>
      <w:r>
        <w:rPr>
          <w:rFonts w:ascii="Arial" w:cs="Arial" w:eastAsia="Arial" w:hAnsi="Arial"/>
          <w:sz w:val="20"/>
          <w:szCs w:val="20"/>
          <w:color w:val="auto"/>
        </w:rPr>
        <w:t>, and each of the other agreements, instruments or documents that creates or purports to create a Lien securing the Secured Obligations in favor of the Administrative Agent for the benefit of the Secured Parties.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Commitment</w:t>
      </w:r>
      <w:r>
        <w:rPr>
          <w:rFonts w:ascii="Arial" w:cs="Arial" w:eastAsia="Arial" w:hAnsi="Arial"/>
          <w:sz w:val="18"/>
          <w:szCs w:val="18"/>
          <w:color w:val="auto"/>
        </w:rPr>
        <w:t>” means a Term Commitment, Revolving Commitment or an Incremental Term Commitment, as the context may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require.</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Competitor</w:t>
      </w:r>
      <w:r>
        <w:rPr>
          <w:rFonts w:ascii="Arial" w:cs="Arial" w:eastAsia="Arial" w:hAnsi="Arial"/>
          <w:sz w:val="20"/>
          <w:szCs w:val="20"/>
          <w:color w:val="auto"/>
        </w:rPr>
        <w:t>” means any competitor of the Borrower or any of its Subsidiaries that is in the same or a similar line of business as the Borrower or any of its Subsidiaries.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Consolidated</w:t>
      </w:r>
      <w:r>
        <w:rPr>
          <w:rFonts w:ascii="Arial" w:cs="Arial" w:eastAsia="Arial" w:hAnsi="Arial"/>
          <w:sz w:val="18"/>
          <w:szCs w:val="18"/>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3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Consolidated EBITDA</w:t>
      </w:r>
      <w:r>
        <w:rPr>
          <w:rFonts w:ascii="Arial" w:cs="Arial" w:eastAsia="Arial" w:hAnsi="Arial"/>
          <w:sz w:val="20"/>
          <w:szCs w:val="20"/>
          <w:color w:val="auto"/>
        </w:rPr>
        <w:t xml:space="preserve">” means, for any period, for the Borrower on a Consolidated basis, an amount equal to Consolidated Net 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 the following (without duplication) to the extent (other than the case of clause (iv) below) deducted in calculating such Consolidated Net Income, all as determined in accordance with GAAP:</w:t>
      </w:r>
    </w:p>
    <w:p>
      <w:pPr>
        <w:spacing w:after="0" w:line="186" w:lineRule="exact"/>
        <w:rPr>
          <w:sz w:val="20"/>
          <w:szCs w:val="20"/>
          <w:color w:val="auto"/>
        </w:rPr>
      </w:pPr>
    </w:p>
    <w:p>
      <w:pPr>
        <w:ind w:left="1660"/>
        <w:spacing w:after="0"/>
        <w:tabs>
          <w:tab w:leader="none" w:pos="378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Consolidated Interest Charges for such period;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8" w:name="page89"/>
    <w:bookmarkEnd w:id="88"/>
    <w:p>
      <w:pPr>
        <w:jc w:val="right"/>
        <w:ind w:right="1220"/>
        <w:spacing w:after="0"/>
        <w:rPr>
          <w:sz w:val="20"/>
          <w:szCs w:val="20"/>
          <w:color w:val="auto"/>
        </w:rPr>
      </w:pPr>
      <w:r>
        <w:rPr>
          <w:rFonts w:ascii="Arial" w:cs="Arial" w:eastAsia="Arial" w:hAnsi="Arial"/>
          <w:sz w:val="20"/>
          <w:szCs w:val="20"/>
          <w:color w:val="auto"/>
        </w:rPr>
        <w:t>(ii)</w:t>
      </w:r>
    </w:p>
    <w:p>
      <w:pPr>
        <w:spacing w:after="0" w:line="1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such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provision for federal, state, local and foreign income taxes payable by the Borrower for</w:t>
      </w:r>
    </w:p>
    <w:p>
      <w:pPr>
        <w:spacing w:after="0" w:line="422" w:lineRule="exact"/>
        <w:rPr>
          <w:sz w:val="20"/>
          <w:szCs w:val="20"/>
          <w:color w:val="auto"/>
        </w:rPr>
      </w:pPr>
    </w:p>
    <w:p>
      <w:pPr>
        <w:sectPr>
          <w:pgSz w:w="11900" w:h="16838" w:orient="portrait"/>
          <w:cols w:equalWidth="0" w:num="2">
            <w:col w:w="2260" w:space="720"/>
            <w:col w:w="7380"/>
          </w:cols>
          <w:pgMar w:left="1200" w:top="582" w:right="339" w:bottom="1440" w:gutter="0" w:footer="0" w:header="0"/>
        </w:sectPr>
      </w:pPr>
    </w:p>
    <w:p>
      <w:pPr>
        <w:spacing w:after="0" w:line="4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for such period;</w:t>
      </w:r>
    </w:p>
    <w:p>
      <w:pPr>
        <w:spacing w:after="0" w:line="245" w:lineRule="exact"/>
        <w:rPr>
          <w:sz w:val="20"/>
          <w:szCs w:val="20"/>
          <w:color w:val="auto"/>
        </w:rPr>
      </w:pPr>
    </w:p>
    <w:p>
      <w:pPr>
        <w:sectPr>
          <w:pgSz w:w="11900" w:h="16838" w:orient="portrait"/>
          <w:cols w:equalWidth="0" w:num="2">
            <w:col w:w="2300" w:space="720"/>
            <w:col w:w="7340"/>
          </w:cols>
          <w:pgMar w:left="1200" w:top="582" w:right="339" w:bottom="1440" w:gutter="0" w:footer="0" w:header="0"/>
          <w:type w:val="continuous"/>
        </w:sectPr>
      </w:pPr>
    </w:p>
    <w:p>
      <w:pPr>
        <w:spacing w:after="0" w:line="16" w:lineRule="exact"/>
        <w:rPr>
          <w:sz w:val="20"/>
          <w:szCs w:val="20"/>
          <w:color w:val="auto"/>
        </w:rPr>
      </w:pPr>
    </w:p>
    <w:p>
      <w:pPr>
        <w:ind w:left="780"/>
        <w:spacing w:after="0"/>
        <w:tabs>
          <w:tab w:leader="none" w:pos="30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the amount of net “run rate” cost savings, operating expense reductions and synergies for</w:t>
      </w:r>
    </w:p>
    <w:p>
      <w:pPr>
        <w:sectPr>
          <w:pgSz w:w="11900" w:h="16838" w:orient="portrait"/>
          <w:cols w:equalWidth="0" w:num="1">
            <w:col w:w="10360"/>
          </w:cols>
          <w:pgMar w:left="1200" w:top="582" w:right="339" w:bottom="1440" w:gutter="0" w:footer="0" w:header="0"/>
          <w:type w:val="continuous"/>
        </w:sectPr>
      </w:pP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such period projected by the Borrower in good faith to be realized as a result of actions which have been taken, which are committed to be taken or which the Borrower expects to be taken in connection with Acquisitions, divestitures, other specified transactions, restructurings, cost savings initiatives and other initiatives or otherwise, in each case, after the Closing Date, net of the amount of actual benefits realized during such period from such 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 duly completed certificate signed by a Responsible Officer of the Borrower shall be delivered to the Administrative Agent together with the Compliance Certificate required to be delivered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certifying that such cost savings, operating expense reductions and synergies (x) are reasonably anticipated to be realized within twelve (12) months (or if in connection with an Acquisition with a Cost of Acquisition in excess of $150,000,000, eighteen (18) months) after the consummation of the action which is expected to result in such cost savings, operating expense reductions or synergies and (y) are factually supportable as determined in good faith by the Borrower, (B) no cost savings, operating expense reductions or synergies shall be added pursuant to this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to the extent duplicative of any expenses or charges otherwise added to, or included in, Consolidated Net Income, whether through a pro forma adjustment or otherwise, for such period, and (C) projected amounts (that are not yet realized) may no longer be added in calculating Consolidated EBITDA pursuant to this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to the extent occurring more than twelve (12) months (or if in connection with an Acquisition with a Cost of Acquisition in excess of $150,000,000, eighteen (18) months) after the specified action taken in order to realize such projected cost savings, operating expense reductions or synergies;</w:t>
      </w:r>
    </w:p>
    <w:p>
      <w:pPr>
        <w:sectPr>
          <w:pgSz w:w="11900" w:h="16838" w:orient="portrait"/>
          <w:cols w:equalWidth="0" w:num="1">
            <w:col w:w="10360"/>
          </w:cols>
          <w:pgMar w:left="1200" w:top="582" w:right="339" w:bottom="1440" w:gutter="0" w:footer="0" w:header="0"/>
          <w:type w:val="continuous"/>
        </w:sectPr>
      </w:pPr>
    </w:p>
    <w:p>
      <w:pPr>
        <w:spacing w:after="0" w:line="18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all unusual or non-recurring losses, costs, charges and expenses for such period;</w:t>
      </w:r>
    </w:p>
    <w:p>
      <w:pPr>
        <w:spacing w:after="0" w:line="245" w:lineRule="exact"/>
        <w:rPr>
          <w:sz w:val="20"/>
          <w:szCs w:val="20"/>
          <w:color w:val="auto"/>
        </w:rPr>
      </w:pPr>
    </w:p>
    <w:p>
      <w:pPr>
        <w:sectPr>
          <w:pgSz w:w="11900" w:h="16838" w:orient="portrait"/>
          <w:cols w:equalWidth="0" w:num="2">
            <w:col w:w="2240" w:space="720"/>
            <w:col w:w="7400"/>
          </w:cols>
          <w:pgMar w:left="1200" w:top="582" w:right="339" w:bottom="1440" w:gutter="0" w:footer="0" w:header="0"/>
          <w:type w:val="continuous"/>
        </w:sectPr>
      </w:pPr>
    </w:p>
    <w:p>
      <w:pPr>
        <w:spacing w:after="0" w:line="16" w:lineRule="exact"/>
        <w:rPr>
          <w:sz w:val="20"/>
          <w:szCs w:val="20"/>
          <w:color w:val="auto"/>
        </w:rPr>
      </w:pPr>
    </w:p>
    <w:p>
      <w:pPr>
        <w:ind w:left="780"/>
        <w:spacing w:after="0"/>
        <w:tabs>
          <w:tab w:leader="none" w:pos="300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restructuring charges, severance, relocation costs, integration and facilities opening costs,</w:t>
      </w:r>
    </w:p>
    <w:p>
      <w:pPr>
        <w:sectPr>
          <w:pgSz w:w="11900" w:h="16838" w:orient="portrait"/>
          <w:cols w:equalWidth="0" w:num="1">
            <w:col w:w="10360"/>
          </w:cols>
          <w:pgMar w:left="1200" w:top="582" w:right="339" w:bottom="1440" w:gutter="0" w:footer="0" w:header="0"/>
          <w:type w:val="continuous"/>
        </w:sectPr>
      </w:pP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and other business optimization expenses, product launch costs, research and development costs for new products, marketing expenses for new products, signing costs, retention or completion bonuses, transition costs, costs related to closure/consolidation of facilities and curtailments or modifications to pension and post-retirement employee benefit plans (including any settlement of pension liabilities), in each case, for such period;</w:t>
      </w:r>
    </w:p>
    <w:p>
      <w:pPr>
        <w:spacing w:after="0" w:line="197" w:lineRule="exact"/>
        <w:rPr>
          <w:sz w:val="20"/>
          <w:szCs w:val="20"/>
          <w:color w:val="auto"/>
        </w:rPr>
      </w:pPr>
    </w:p>
    <w:p>
      <w:pPr>
        <w:jc w:val="both"/>
        <w:ind w:firstLine="797"/>
        <w:spacing w:after="0" w:line="255" w:lineRule="auto"/>
        <w:rPr>
          <w:sz w:val="20"/>
          <w:szCs w:val="20"/>
          <w:color w:val="auto"/>
        </w:rPr>
      </w:pPr>
      <w:r>
        <w:rPr>
          <w:rFonts w:ascii="Arial" w:cs="Arial" w:eastAsia="Arial" w:hAnsi="Arial"/>
          <w:sz w:val="19"/>
          <w:szCs w:val="19"/>
          <w:color w:val="auto"/>
        </w:rPr>
        <w:t xml:space="preserve">(vii) (A) fees, costs and expenses incurred for such period in connection with obtaining the Facilities and the negotiation, execution and delivery of the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fees, costs and expenses are incurred prior to, or within six (6) months of, the Closing Date, and (B)(x) fees, costs and expenses for such period incurred in connection with any Investment, any issuance of Indebtedness or Equity Interests, any Disposition or any Involuntary Disposition, in each case, whether or not consummated, (y) fees, costs and expenses for such period incurred in connection with any amendments to, or consents or waivers under, documentation governing transactions described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(including the Loan Documents and any documentation governing any Indebtedness permitted hereunder) and (z) fees, costs and expenses to the extent indemnified by a third party (for the avoidance of doubt, other than the Borrower), so long as such amounts are actually reimbursed to the Borrower in cash within one (1) year after the related amount is first added to Consolidated EBITDA pursuant to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(vii)(B)(z)</w:t>
      </w:r>
      <w:r>
        <w:rPr>
          <w:rFonts w:ascii="Arial" w:cs="Arial" w:eastAsia="Arial" w:hAnsi="Arial"/>
          <w:sz w:val="19"/>
          <w:szCs w:val="19"/>
          <w:color w:val="auto"/>
        </w:rPr>
        <w:t xml:space="preserve"> (and if not so reimbursed within one year, such amount shall be deducted from Consolidated EBITDA during the next Measurement Period);</w:t>
      </w:r>
    </w:p>
    <w:p>
      <w:pPr>
        <w:spacing w:after="0" w:line="18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82" w:right="339" w:bottom="1440" w:gutter="0" w:footer="0" w:header="0"/>
          <w:type w:val="continuous"/>
        </w:sectPr>
      </w:pPr>
    </w:p>
    <w:bookmarkStart w:id="89" w:name="page90"/>
    <w:bookmarkEnd w:id="89"/>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(viii)</w:t>
            </w:r>
          </w:p>
        </w:tc>
        <w:tc>
          <w:tcPr>
            <w:tcW w:w="8760" w:type="dxa"/>
            <w:vAlign w:val="bottom"/>
          </w:tcPr>
          <w:p>
            <w:pPr>
              <w:jc w:val="right"/>
              <w:spacing w:after="0"/>
              <w:rPr>
                <w:sz w:val="20"/>
                <w:szCs w:val="20"/>
                <w:color w:val="auto"/>
              </w:rPr>
            </w:pPr>
            <w:r>
              <w:rPr>
                <w:rFonts w:ascii="Arial" w:cs="Arial" w:eastAsia="Arial" w:hAnsi="Arial"/>
                <w:sz w:val="20"/>
                <w:szCs w:val="20"/>
                <w:color w:val="auto"/>
              </w:rPr>
              <w:t>proceeds from business interruption insurance received in such period in an amount</w:t>
            </w:r>
          </w:p>
        </w:tc>
      </w:tr>
      <w:tr>
        <w:trPr>
          <w:trHeight w:val="230"/>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2"/>
              </w:rPr>
              <w:t>representing the earnings for such period that such proceeds are intended to replace (to the extent not reflected as revenue or</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0"/>
              </w:rPr>
              <w:t>income in Consolidated Net Income and to the extent that the related loss was deducted in the determination of Consolidated Net</w:t>
            </w:r>
          </w:p>
        </w:tc>
      </w:tr>
      <w:tr>
        <w:trPr>
          <w:trHeight w:val="250"/>
        </w:trPr>
        <w:tc>
          <w:tcPr>
            <w:tcW w:w="50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Arial" w:cs="Arial" w:eastAsia="Arial" w:hAnsi="Arial"/>
                <w:sz w:val="20"/>
                <w:szCs w:val="20"/>
                <w:color w:val="auto"/>
              </w:rPr>
              <w:t>Income);</w:t>
            </w:r>
          </w:p>
        </w:tc>
        <w:tc>
          <w:tcPr>
            <w:tcW w:w="8760" w:type="dxa"/>
            <w:vAlign w:val="bottom"/>
          </w:tcPr>
          <w:p>
            <w:pPr>
              <w:spacing w:after="0"/>
              <w:rPr>
                <w:sz w:val="21"/>
                <w:szCs w:val="21"/>
                <w:color w:val="auto"/>
              </w:rPr>
            </w:pPr>
          </w:p>
        </w:tc>
      </w:tr>
      <w:tr>
        <w:trPr>
          <w:trHeight w:val="446"/>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(ix)</w:t>
            </w:r>
          </w:p>
        </w:tc>
        <w:tc>
          <w:tcPr>
            <w:tcW w:w="8760" w:type="dxa"/>
            <w:vAlign w:val="bottom"/>
          </w:tcPr>
          <w:p>
            <w:pPr>
              <w:jc w:val="right"/>
              <w:ind w:right="2341"/>
              <w:spacing w:after="0"/>
              <w:rPr>
                <w:sz w:val="20"/>
                <w:szCs w:val="20"/>
                <w:color w:val="auto"/>
              </w:rPr>
            </w:pPr>
            <w:r>
              <w:rPr>
                <w:rFonts w:ascii="Arial" w:cs="Arial" w:eastAsia="Arial" w:hAnsi="Arial"/>
                <w:sz w:val="20"/>
                <w:szCs w:val="20"/>
                <w:color w:val="auto"/>
              </w:rPr>
              <w:t>non-cash stock based compensation expenses for such period;</w:t>
            </w:r>
          </w:p>
        </w:tc>
      </w:tr>
      <w:tr>
        <w:trPr>
          <w:trHeight w:val="42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(x)</w:t>
            </w:r>
          </w:p>
        </w:tc>
        <w:tc>
          <w:tcPr>
            <w:tcW w:w="8760" w:type="dxa"/>
            <w:vAlign w:val="bottom"/>
          </w:tcPr>
          <w:p>
            <w:pPr>
              <w:jc w:val="right"/>
              <w:spacing w:after="0"/>
              <w:rPr>
                <w:sz w:val="20"/>
                <w:szCs w:val="20"/>
                <w:color w:val="auto"/>
              </w:rPr>
            </w:pPr>
            <w:r>
              <w:rPr>
                <w:rFonts w:ascii="Arial" w:cs="Arial" w:eastAsia="Arial" w:hAnsi="Arial"/>
                <w:sz w:val="20"/>
                <w:szCs w:val="20"/>
                <w:color w:val="auto"/>
              </w:rPr>
              <w:t>the amount of any earn-out obligations that become due and payable and are paid or accrue</w:t>
            </w:r>
          </w:p>
        </w:tc>
      </w:tr>
      <w:tr>
        <w:trPr>
          <w:trHeight w:val="250"/>
        </w:trPr>
        <w:tc>
          <w:tcPr>
            <w:tcW w:w="50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Arial" w:cs="Arial" w:eastAsia="Arial" w:hAnsi="Arial"/>
                <w:sz w:val="20"/>
                <w:szCs w:val="20"/>
                <w:color w:val="auto"/>
                <w:w w:val="92"/>
              </w:rPr>
              <w:t>during such period;</w:t>
            </w:r>
          </w:p>
        </w:tc>
        <w:tc>
          <w:tcPr>
            <w:tcW w:w="8760" w:type="dxa"/>
            <w:vAlign w:val="bottom"/>
          </w:tcPr>
          <w:p>
            <w:pPr>
              <w:spacing w:after="0"/>
              <w:rPr>
                <w:sz w:val="21"/>
                <w:szCs w:val="21"/>
                <w:color w:val="auto"/>
              </w:rPr>
            </w:pPr>
          </w:p>
        </w:tc>
      </w:tr>
      <w:tr>
        <w:trPr>
          <w:trHeight w:val="42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(xi)</w:t>
            </w:r>
          </w:p>
        </w:tc>
        <w:tc>
          <w:tcPr>
            <w:tcW w:w="8760" w:type="dxa"/>
            <w:vAlign w:val="bottom"/>
          </w:tcPr>
          <w:p>
            <w:pPr>
              <w:jc w:val="right"/>
              <w:spacing w:after="0"/>
              <w:rPr>
                <w:sz w:val="20"/>
                <w:szCs w:val="20"/>
                <w:color w:val="auto"/>
              </w:rPr>
            </w:pPr>
            <w:r>
              <w:rPr>
                <w:rFonts w:ascii="Arial" w:cs="Arial" w:eastAsia="Arial" w:hAnsi="Arial"/>
                <w:sz w:val="20"/>
                <w:szCs w:val="20"/>
                <w:color w:val="auto"/>
              </w:rPr>
              <w:t>realized foreign exchange losses resulting from the impact of foreign currency changes and</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5"/>
              </w:rPr>
              <w:t>related tax effects determined in accordance with GAAP on the valuation of assets or liabilities on the balance sheet of the</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4"/>
              </w:rPr>
              <w:t>Borrower and its Subsidiaries, and any exchange, translation or performance losses relating to any foreign currency hedging</w:t>
            </w:r>
          </w:p>
        </w:tc>
      </w:tr>
      <w:tr>
        <w:trPr>
          <w:trHeight w:val="250"/>
        </w:trPr>
        <w:tc>
          <w:tcPr>
            <w:tcW w:w="500" w:type="dxa"/>
            <w:vAlign w:val="bottom"/>
          </w:tcPr>
          <w:p>
            <w:pPr>
              <w:spacing w:after="0"/>
              <w:rPr>
                <w:sz w:val="21"/>
                <w:szCs w:val="21"/>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rPr>
              <w:t>transactions for such period;</w:t>
            </w:r>
          </w:p>
        </w:tc>
      </w:tr>
      <w:tr>
        <w:trPr>
          <w:trHeight w:val="42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(xii)</w:t>
            </w:r>
          </w:p>
        </w:tc>
        <w:tc>
          <w:tcPr>
            <w:tcW w:w="8760" w:type="dxa"/>
            <w:vAlign w:val="bottom"/>
          </w:tcPr>
          <w:p>
            <w:pPr>
              <w:jc w:val="right"/>
              <w:spacing w:after="0"/>
              <w:rPr>
                <w:sz w:val="20"/>
                <w:szCs w:val="20"/>
                <w:color w:val="auto"/>
              </w:rPr>
            </w:pPr>
            <w:r>
              <w:rPr>
                <w:rFonts w:ascii="Arial" w:cs="Arial" w:eastAsia="Arial" w:hAnsi="Arial"/>
                <w:sz w:val="20"/>
                <w:szCs w:val="20"/>
                <w:color w:val="auto"/>
              </w:rPr>
              <w:t>any losses during such period resulting from the Disposition of any asset of the Borrower</w:t>
            </w:r>
          </w:p>
        </w:tc>
      </w:tr>
      <w:tr>
        <w:trPr>
          <w:trHeight w:val="230"/>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3"/>
              </w:rPr>
              <w:t>outside of the ordinary course of business, including, without limitation, any net loss from discontinued operations and any net</w:t>
            </w:r>
          </w:p>
        </w:tc>
      </w:tr>
      <w:tr>
        <w:trPr>
          <w:trHeight w:val="250"/>
        </w:trPr>
        <w:tc>
          <w:tcPr>
            <w:tcW w:w="500" w:type="dxa"/>
            <w:vAlign w:val="bottom"/>
          </w:tcPr>
          <w:p>
            <w:pPr>
              <w:spacing w:after="0"/>
              <w:rPr>
                <w:sz w:val="21"/>
                <w:szCs w:val="21"/>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rPr>
              <w:t>loss on the disposal of discontinued operations; and</w:t>
            </w:r>
          </w:p>
        </w:tc>
      </w:tr>
      <w:tr>
        <w:trPr>
          <w:trHeight w:val="42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(xiii)</w:t>
            </w:r>
          </w:p>
        </w:tc>
        <w:tc>
          <w:tcPr>
            <w:tcW w:w="8760" w:type="dxa"/>
            <w:vAlign w:val="bottom"/>
          </w:tcPr>
          <w:p>
            <w:pPr>
              <w:jc w:val="right"/>
              <w:spacing w:after="0"/>
              <w:rPr>
                <w:sz w:val="20"/>
                <w:szCs w:val="20"/>
                <w:color w:val="auto"/>
              </w:rPr>
            </w:pPr>
            <w:r>
              <w:rPr>
                <w:rFonts w:ascii="Arial" w:cs="Arial" w:eastAsia="Arial" w:hAnsi="Arial"/>
                <w:sz w:val="20"/>
                <w:szCs w:val="20"/>
                <w:color w:val="auto"/>
              </w:rPr>
              <w:t>any other non-cash charges, expenses or losses for such period (excluding write-downs of</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88"/>
              </w:rPr>
              <w:t>accounts receivable and any other non-cash charges, expenses or losses to the extent representing accruals of or reserves for cash</w:t>
            </w:r>
          </w:p>
        </w:tc>
      </w:tr>
      <w:tr>
        <w:trPr>
          <w:trHeight w:val="250"/>
        </w:trPr>
        <w:tc>
          <w:tcPr>
            <w:tcW w:w="500" w:type="dxa"/>
            <w:vAlign w:val="bottom"/>
          </w:tcPr>
          <w:p>
            <w:pPr>
              <w:spacing w:after="0"/>
              <w:rPr>
                <w:sz w:val="21"/>
                <w:szCs w:val="21"/>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rPr>
              <w:t>expenses in any future period or an amortization of a prepaid cash expense);</w:t>
            </w:r>
          </w:p>
        </w:tc>
      </w:tr>
      <w:tr>
        <w:trPr>
          <w:trHeight w:val="401"/>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minus</w:t>
            </w:r>
          </w:p>
        </w:tc>
        <w:tc>
          <w:tcPr>
            <w:tcW w:w="320" w:type="dxa"/>
            <w:vAlign w:val="bottom"/>
          </w:tcPr>
          <w:p>
            <w:pPr>
              <w:spacing w:after="0"/>
              <w:rPr>
                <w:sz w:val="24"/>
                <w:szCs w:val="24"/>
                <w:color w:val="auto"/>
              </w:rPr>
            </w:pPr>
          </w:p>
        </w:tc>
        <w:tc>
          <w:tcPr>
            <w:tcW w:w="8760" w:type="dxa"/>
            <w:vAlign w:val="bottom"/>
          </w:tcPr>
          <w:p>
            <w:pPr>
              <w:spacing w:after="0"/>
              <w:rPr>
                <w:sz w:val="24"/>
                <w:szCs w:val="24"/>
                <w:color w:val="auto"/>
              </w:rPr>
            </w:pPr>
          </w:p>
        </w:tc>
      </w:tr>
      <w:tr>
        <w:trPr>
          <w:trHeight w:val="449"/>
        </w:trPr>
        <w:tc>
          <w:tcPr>
            <w:tcW w:w="500" w:type="dxa"/>
            <w:vAlign w:val="bottom"/>
          </w:tcPr>
          <w:p>
            <w:pPr>
              <w:spacing w:after="0"/>
              <w:rPr>
                <w:sz w:val="20"/>
                <w:szCs w:val="20"/>
                <w:color w:val="auto"/>
              </w:rPr>
            </w:pPr>
            <w:r>
              <w:rPr>
                <w:rFonts w:ascii="Arial" w:cs="Arial" w:eastAsia="Arial" w:hAnsi="Arial"/>
                <w:sz w:val="20"/>
                <w:szCs w:val="20"/>
                <w:color w:val="auto"/>
              </w:rPr>
              <w:t>(b)</w:t>
            </w:r>
          </w:p>
        </w:tc>
        <w:tc>
          <w:tcPr>
            <w:tcW w:w="10660" w:type="dxa"/>
            <w:vAlign w:val="bottom"/>
            <w:gridSpan w:val="4"/>
          </w:tcPr>
          <w:p>
            <w:pPr>
              <w:ind w:left="1080"/>
              <w:spacing w:after="0"/>
              <w:rPr>
                <w:sz w:val="20"/>
                <w:szCs w:val="20"/>
                <w:color w:val="auto"/>
              </w:rPr>
            </w:pPr>
            <w:r>
              <w:rPr>
                <w:rFonts w:ascii="Arial" w:cs="Arial" w:eastAsia="Arial" w:hAnsi="Arial"/>
                <w:sz w:val="20"/>
                <w:szCs w:val="20"/>
                <w:color w:val="auto"/>
              </w:rPr>
              <w:t>the following (without duplication) to the extent included in calculating such Consolidated Net Income, all as</w:t>
            </w:r>
          </w:p>
        </w:tc>
      </w:tr>
      <w:tr>
        <w:trPr>
          <w:trHeight w:val="250"/>
        </w:trPr>
        <w:tc>
          <w:tcPr>
            <w:tcW w:w="500" w:type="dxa"/>
            <w:vAlign w:val="bottom"/>
          </w:tcPr>
          <w:p>
            <w:pPr>
              <w:spacing w:after="0"/>
              <w:rPr>
                <w:sz w:val="21"/>
                <w:szCs w:val="21"/>
                <w:color w:val="auto"/>
              </w:rPr>
            </w:pPr>
          </w:p>
        </w:tc>
        <w:tc>
          <w:tcPr>
            <w:tcW w:w="10660" w:type="dxa"/>
            <w:vAlign w:val="bottom"/>
            <w:gridSpan w:val="4"/>
          </w:tcPr>
          <w:p>
            <w:pPr>
              <w:ind w:left="280"/>
              <w:spacing w:after="0"/>
              <w:rPr>
                <w:sz w:val="20"/>
                <w:szCs w:val="20"/>
                <w:color w:val="auto"/>
              </w:rPr>
            </w:pPr>
            <w:r>
              <w:rPr>
                <w:rFonts w:ascii="Arial" w:cs="Arial" w:eastAsia="Arial" w:hAnsi="Arial"/>
                <w:sz w:val="20"/>
                <w:szCs w:val="20"/>
                <w:color w:val="auto"/>
              </w:rPr>
              <w:t>determined in accordance with GAAP:</w:t>
            </w:r>
          </w:p>
        </w:tc>
      </w:tr>
      <w:tr>
        <w:trPr>
          <w:trHeight w:val="44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(i)</w:t>
            </w:r>
          </w:p>
        </w:tc>
        <w:tc>
          <w:tcPr>
            <w:tcW w:w="8760" w:type="dxa"/>
            <w:vAlign w:val="bottom"/>
          </w:tcPr>
          <w:p>
            <w:pPr>
              <w:jc w:val="right"/>
              <w:ind w:right="5021"/>
              <w:spacing w:after="0"/>
              <w:rPr>
                <w:sz w:val="20"/>
                <w:szCs w:val="20"/>
                <w:color w:val="auto"/>
              </w:rPr>
            </w:pPr>
            <w:r>
              <w:rPr>
                <w:rFonts w:ascii="Arial" w:cs="Arial" w:eastAsia="Arial" w:hAnsi="Arial"/>
                <w:sz w:val="20"/>
                <w:szCs w:val="20"/>
                <w:color w:val="auto"/>
                <w:w w:val="90"/>
              </w:rPr>
              <w:t>all non-cash income or gains for such period;</w:t>
            </w:r>
          </w:p>
        </w:tc>
      </w:tr>
      <w:tr>
        <w:trPr>
          <w:trHeight w:val="42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(ii)</w:t>
            </w:r>
          </w:p>
        </w:tc>
        <w:tc>
          <w:tcPr>
            <w:tcW w:w="8760" w:type="dxa"/>
            <w:vAlign w:val="bottom"/>
          </w:tcPr>
          <w:p>
            <w:pPr>
              <w:jc w:val="right"/>
              <w:spacing w:after="0"/>
              <w:rPr>
                <w:sz w:val="20"/>
                <w:szCs w:val="20"/>
                <w:color w:val="auto"/>
              </w:rPr>
            </w:pPr>
            <w:r>
              <w:rPr>
                <w:rFonts w:ascii="Arial" w:cs="Arial" w:eastAsia="Arial" w:hAnsi="Arial"/>
                <w:sz w:val="20"/>
                <w:szCs w:val="20"/>
                <w:color w:val="auto"/>
                <w:w w:val="97"/>
              </w:rPr>
              <w:t>any gains during such period resulting from the Disposition of any asset of the Borrower outside of the</w:t>
            </w:r>
          </w:p>
        </w:tc>
      </w:tr>
      <w:tr>
        <w:trPr>
          <w:trHeight w:val="230"/>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5"/>
              </w:rPr>
              <w:t>ordinary course of business, including, without limitation, any net income or gain from discontinued operations and any net</w:t>
            </w:r>
          </w:p>
        </w:tc>
      </w:tr>
      <w:tr>
        <w:trPr>
          <w:trHeight w:val="250"/>
        </w:trPr>
        <w:tc>
          <w:tcPr>
            <w:tcW w:w="500" w:type="dxa"/>
            <w:vAlign w:val="bottom"/>
          </w:tcPr>
          <w:p>
            <w:pPr>
              <w:spacing w:after="0"/>
              <w:rPr>
                <w:sz w:val="21"/>
                <w:szCs w:val="21"/>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rPr>
              <w:t>income or gain on the disposal of discontinued operations;</w:t>
            </w:r>
          </w:p>
        </w:tc>
      </w:tr>
      <w:tr>
        <w:trPr>
          <w:trHeight w:val="42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(iii)</w:t>
            </w:r>
          </w:p>
        </w:tc>
        <w:tc>
          <w:tcPr>
            <w:tcW w:w="8760" w:type="dxa"/>
            <w:vAlign w:val="bottom"/>
          </w:tcPr>
          <w:p>
            <w:pPr>
              <w:jc w:val="right"/>
              <w:spacing w:after="0"/>
              <w:rPr>
                <w:sz w:val="20"/>
                <w:szCs w:val="20"/>
                <w:color w:val="auto"/>
              </w:rPr>
            </w:pPr>
            <w:r>
              <w:rPr>
                <w:rFonts w:ascii="Arial" w:cs="Arial" w:eastAsia="Arial" w:hAnsi="Arial"/>
                <w:sz w:val="20"/>
                <w:szCs w:val="20"/>
                <w:color w:val="auto"/>
                <w:w w:val="91"/>
              </w:rPr>
              <w:t>realized foreign exchange income or gains resulting from the impact of foreign currency changes and related</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0"/>
              </w:rPr>
              <w:t>tax effects determined in accordance with GAAP on the valuation of assets or liabilities on the balance sheet of the Borrower and</w:t>
            </w:r>
          </w:p>
        </w:tc>
      </w:tr>
      <w:tr>
        <w:trPr>
          <w:trHeight w:val="230"/>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w w:val="97"/>
              </w:rPr>
              <w:t>its Subsidiaries, and any exchange, translation or performance income or gains relating to any foreign currency hedging</w:t>
            </w:r>
          </w:p>
        </w:tc>
      </w:tr>
      <w:tr>
        <w:trPr>
          <w:trHeight w:val="250"/>
        </w:trPr>
        <w:tc>
          <w:tcPr>
            <w:tcW w:w="500" w:type="dxa"/>
            <w:vAlign w:val="bottom"/>
          </w:tcPr>
          <w:p>
            <w:pPr>
              <w:spacing w:after="0"/>
              <w:rPr>
                <w:sz w:val="21"/>
                <w:szCs w:val="21"/>
                <w:color w:val="auto"/>
              </w:rPr>
            </w:pPr>
          </w:p>
        </w:tc>
        <w:tc>
          <w:tcPr>
            <w:tcW w:w="10660" w:type="dxa"/>
            <w:vAlign w:val="bottom"/>
            <w:gridSpan w:val="4"/>
          </w:tcPr>
          <w:p>
            <w:pPr>
              <w:ind w:left="300"/>
              <w:spacing w:after="0"/>
              <w:rPr>
                <w:sz w:val="20"/>
                <w:szCs w:val="20"/>
                <w:color w:val="auto"/>
              </w:rPr>
            </w:pPr>
            <w:r>
              <w:rPr>
                <w:rFonts w:ascii="Arial" w:cs="Arial" w:eastAsia="Arial" w:hAnsi="Arial"/>
                <w:sz w:val="20"/>
                <w:szCs w:val="20"/>
                <w:color w:val="auto"/>
              </w:rPr>
              <w:t>transactions for such period; and</w:t>
            </w:r>
          </w:p>
        </w:tc>
      </w:tr>
      <w:tr>
        <w:trPr>
          <w:trHeight w:val="44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20"/>
                <w:szCs w:val="20"/>
                <w:color w:val="auto"/>
              </w:rPr>
              <w:t>(iii)</w:t>
            </w:r>
          </w:p>
        </w:tc>
        <w:tc>
          <w:tcPr>
            <w:tcW w:w="8760" w:type="dxa"/>
            <w:vAlign w:val="bottom"/>
          </w:tcPr>
          <w:p>
            <w:pPr>
              <w:jc w:val="right"/>
              <w:ind w:right="1681"/>
              <w:spacing w:after="0"/>
              <w:rPr>
                <w:sz w:val="20"/>
                <w:szCs w:val="20"/>
                <w:color w:val="auto"/>
              </w:rPr>
            </w:pPr>
            <w:r>
              <w:rPr>
                <w:rFonts w:ascii="Arial" w:cs="Arial" w:eastAsia="Arial" w:hAnsi="Arial"/>
                <w:sz w:val="20"/>
                <w:szCs w:val="20"/>
                <w:color w:val="auto"/>
                <w:w w:val="91"/>
              </w:rPr>
              <w:t>federal, state, local and foreign income tax credits of the Borrower during such period;</w:t>
            </w:r>
          </w:p>
        </w:tc>
      </w:tr>
    </w:tbl>
    <w:p>
      <w:pPr>
        <w:spacing w:after="0" w:line="19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Notwithstanding the foregoing, it is understood and agreed that the aggregate amount added back pursuant to </w:t>
      </w:r>
      <w:r>
        <w:rPr>
          <w:rFonts w:ascii="Arial" w:cs="Arial" w:eastAsia="Arial" w:hAnsi="Arial"/>
          <w:sz w:val="20"/>
          <w:szCs w:val="20"/>
          <w:u w:val="single" w:color="auto"/>
          <w:color w:val="auto"/>
        </w:rPr>
        <w:t>clauses (a)(iv)</w:t>
      </w:r>
      <w:r>
        <w:rPr>
          <w:rFonts w:ascii="Arial" w:cs="Arial" w:eastAsia="Arial" w:hAnsi="Arial"/>
          <w:sz w:val="20"/>
          <w:szCs w:val="20"/>
          <w:color w:val="auto"/>
        </w:rPr>
        <w:t xml:space="preserve">, </w:t>
      </w:r>
      <w:r>
        <w:rPr>
          <w:rFonts w:ascii="Arial" w:cs="Arial" w:eastAsia="Arial" w:hAnsi="Arial"/>
          <w:sz w:val="20"/>
          <w:szCs w:val="20"/>
          <w:u w:val="single" w:color="auto"/>
          <w:color w:val="auto"/>
        </w:rPr>
        <w:t>(a)(v)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(a)(vi)</w:t>
      </w:r>
      <w:r>
        <w:rPr>
          <w:rFonts w:ascii="Arial" w:cs="Arial" w:eastAsia="Arial" w:hAnsi="Arial"/>
          <w:sz w:val="20"/>
          <w:szCs w:val="20"/>
          <w:color w:val="auto"/>
        </w:rPr>
        <w:t xml:space="preserve"> for any period shall not exceed twenty percent (20%) of Consolidated EBITDA for such period prior to giving effect to all such add-backs for such period.</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Consolidated Funded Indebtedness</w:t>
      </w:r>
      <w:r>
        <w:rPr>
          <w:rFonts w:ascii="Arial" w:cs="Arial" w:eastAsia="Arial" w:hAnsi="Arial"/>
          <w:sz w:val="20"/>
          <w:szCs w:val="20"/>
          <w:color w:val="auto"/>
        </w:rPr>
        <w:t xml:space="preserve">” means, as of any date of determination, for the Borrower and its Subsidiaries on a Consolidated basis, the </w:t>
      </w:r>
      <w:r>
        <w:rPr>
          <w:rFonts w:ascii="Arial" w:cs="Arial" w:eastAsia="Arial" w:hAnsi="Arial"/>
          <w:sz w:val="20"/>
          <w:szCs w:val="20"/>
          <w:i w:val="1"/>
          <w:iCs w:val="1"/>
          <w:color w:val="auto"/>
        </w:rPr>
        <w:t>sum of</w:t>
      </w:r>
      <w:r>
        <w:rPr>
          <w:rFonts w:ascii="Arial" w:cs="Arial" w:eastAsia="Arial" w:hAnsi="Arial"/>
          <w:sz w:val="20"/>
          <w:szCs w:val="20"/>
          <w:color w:val="auto"/>
        </w:rPr>
        <w:t>: (a) the outstanding principal amount of all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0" w:name="page91"/>
    <w:bookmarkEnd w:id="90"/>
    <w:p>
      <w:pPr>
        <w:jc w:val="both"/>
        <w:spacing w:after="0" w:line="267" w:lineRule="auto"/>
        <w:rPr>
          <w:sz w:val="20"/>
          <w:szCs w:val="20"/>
          <w:color w:val="auto"/>
        </w:rPr>
      </w:pPr>
      <w:r>
        <w:rPr>
          <w:rFonts w:ascii="Arial" w:cs="Arial" w:eastAsia="Arial" w:hAnsi="Arial"/>
          <w:sz w:val="18"/>
          <w:szCs w:val="18"/>
          <w:color w:val="auto"/>
        </w:rPr>
        <w:t xml:space="preserve">whether current or long-term, for borrowed money (including Obligations hereunder) and all obligations evidenced by bonds, debentures, notes, loan agreements or other similar instruments; (b) all purchase money Indebtedness; (c) all obligations in respect of unreimbursed drawings under letters of credit (including standby and commercial), bankers’ acceptances, bank guaranties, surety bonds and similar instruments; (d) all obligations in respect of the deferred purchase price of property or services (other than (i) trade accounts and other accounts payable in the ordinary course of business, (ii) deferred compensation accruals for payroll and accrued expenses in the ordinary course of business, and (iii) Earn Out Obligations to the extent not then due and payable and unpaid);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dividends; (g) without duplication, all Guarantees with respect to outstanding Indebtedness of the types specified in </w:t>
      </w:r>
      <w:r>
        <w:rPr>
          <w:rFonts w:ascii="Arial" w:cs="Arial" w:eastAsia="Arial" w:hAnsi="Arial"/>
          <w:sz w:val="18"/>
          <w:szCs w:val="18"/>
          <w:u w:val="single" w:color="auto"/>
          <w:color w:val="auto"/>
        </w:rPr>
        <w:t>clauses (a</w:t>
      </w:r>
      <w:r>
        <w:rPr>
          <w:rFonts w:ascii="Arial" w:cs="Arial" w:eastAsia="Arial" w:hAnsi="Arial"/>
          <w:sz w:val="18"/>
          <w:szCs w:val="18"/>
          <w:color w:val="auto"/>
        </w:rPr>
        <w:t>) through (</w:t>
      </w:r>
      <w:r>
        <w:rPr>
          <w:rFonts w:ascii="Arial" w:cs="Arial" w:eastAsia="Arial" w:hAnsi="Arial"/>
          <w:sz w:val="18"/>
          <w:szCs w:val="18"/>
          <w:u w:val="single" w:color="auto"/>
          <w:color w:val="auto"/>
        </w:rPr>
        <w:t>f</w:t>
      </w:r>
      <w:r>
        <w:rPr>
          <w:rFonts w:ascii="Arial" w:cs="Arial" w:eastAsia="Arial" w:hAnsi="Arial"/>
          <w:sz w:val="18"/>
          <w:szCs w:val="18"/>
          <w:color w:val="auto"/>
        </w:rPr>
        <w:t>) above of Persons other than the Borrower or any Subsidiary; and</w:t>
      </w:r>
    </w:p>
    <w:p>
      <w:pPr>
        <w:spacing w:after="0" w:line="8" w:lineRule="exact"/>
        <w:rPr>
          <w:sz w:val="20"/>
          <w:szCs w:val="20"/>
          <w:color w:val="auto"/>
        </w:rPr>
      </w:pPr>
    </w:p>
    <w:p>
      <w:pPr>
        <w:jc w:val="both"/>
        <w:ind w:firstLine="8"/>
        <w:spacing w:after="0" w:line="260" w:lineRule="auto"/>
        <w:tabs>
          <w:tab w:leader="none" w:pos="28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all Indebtedness of the types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through (</w:t>
      </w:r>
      <w:r>
        <w:rPr>
          <w:rFonts w:ascii="Arial" w:cs="Arial" w:eastAsia="Arial" w:hAnsi="Arial"/>
          <w:sz w:val="19"/>
          <w:szCs w:val="19"/>
          <w:u w:val="single" w:color="auto"/>
          <w:color w:val="auto"/>
        </w:rPr>
        <w:t>g</w:t>
      </w:r>
      <w:r>
        <w:rPr>
          <w:rFonts w:ascii="Arial" w:cs="Arial" w:eastAsia="Arial" w:hAnsi="Arial"/>
          <w:sz w:val="19"/>
          <w:szCs w:val="19"/>
          <w:color w:val="auto"/>
        </w:rPr>
        <w:t>) above of any partnership or joint venture (other than a joint venture that is itself a corporation or limited liability company or other limited liability legal entity) in which the Borrower or a Subsidiary is a general partner or joint venturer, unless such Indebtedness is expressly made non-recourse to the Borrower or such Subsidiary.</w:t>
      </w:r>
    </w:p>
    <w:p>
      <w:pPr>
        <w:spacing w:after="0" w:line="178" w:lineRule="exact"/>
        <w:rPr>
          <w:sz w:val="20"/>
          <w:szCs w:val="20"/>
          <w:color w:val="auto"/>
        </w:rPr>
      </w:pPr>
    </w:p>
    <w:p>
      <w:pPr>
        <w:jc w:val="both"/>
        <w:ind w:firstLine="864"/>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Consolidated Interest Charges</w:t>
      </w:r>
      <w:r>
        <w:rPr>
          <w:rFonts w:ascii="Arial" w:cs="Arial" w:eastAsia="Arial" w:hAnsi="Arial"/>
          <w:sz w:val="16"/>
          <w:szCs w:val="16"/>
          <w:color w:val="auto"/>
        </w:rPr>
        <w:t xml:space="preserve">” means, for any Measurement Period, the </w:t>
      </w:r>
      <w:r>
        <w:rPr>
          <w:rFonts w:ascii="Arial" w:cs="Arial" w:eastAsia="Arial" w:hAnsi="Arial"/>
          <w:sz w:val="16"/>
          <w:szCs w:val="16"/>
          <w:i w:val="1"/>
          <w:iCs w:val="1"/>
          <w:color w:val="auto"/>
        </w:rPr>
        <w:t>sum of</w:t>
      </w:r>
      <w:r>
        <w:rPr>
          <w:rFonts w:ascii="Arial" w:cs="Arial" w:eastAsia="Arial" w:hAnsi="Arial"/>
          <w:sz w:val="16"/>
          <w:szCs w:val="16"/>
          <w:color w:val="auto"/>
        </w:rPr>
        <w:t xml:space="preserve"> (a) all interest, premium payments, debt discounts,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3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Consolidated Interest Coverage Ratio</w:t>
      </w:r>
      <w:r>
        <w:rPr>
          <w:rFonts w:ascii="Arial" w:cs="Arial" w:eastAsia="Arial" w:hAnsi="Arial"/>
          <w:sz w:val="20"/>
          <w:szCs w:val="20"/>
          <w:color w:val="auto"/>
        </w:rPr>
        <w:t xml:space="preserve">” means, as of any date of determination, the ratio of (a) Consolidated EBITDA for the Measurement Period most recently completed on or prior to such date, </w:t>
      </w:r>
      <w:r>
        <w:rPr>
          <w:rFonts w:ascii="Arial" w:cs="Arial" w:eastAsia="Arial" w:hAnsi="Arial"/>
          <w:sz w:val="20"/>
          <w:szCs w:val="20"/>
          <w:u w:val="single" w:color="auto"/>
          <w:color w:val="auto"/>
        </w:rPr>
        <w:t>to</w:t>
      </w:r>
      <w:r>
        <w:rPr>
          <w:rFonts w:ascii="Arial" w:cs="Arial" w:eastAsia="Arial" w:hAnsi="Arial"/>
          <w:sz w:val="20"/>
          <w:szCs w:val="20"/>
          <w:color w:val="auto"/>
        </w:rPr>
        <w:t xml:space="preserve"> (b) Consolidated Interest Charges paid in cash for the Measurement Period most recently completed on or prior to such date.</w:t>
      </w:r>
    </w:p>
    <w:p>
      <w:pPr>
        <w:spacing w:after="0" w:line="18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Consolidated Net Income</w:t>
      </w:r>
      <w:r>
        <w:rPr>
          <w:rFonts w:ascii="Arial" w:cs="Arial" w:eastAsia="Arial" w:hAnsi="Arial"/>
          <w:sz w:val="18"/>
          <w:szCs w:val="18"/>
          <w:color w:val="auto"/>
        </w:rPr>
        <w:t xml:space="preserve">” means, at any date of determination, the net income (or loss) of the Borrower and its Subsidiaries on a Consolidated basis for the most recently completed Measurement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of this proviso).</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Consolidated Total Assets</w:t>
      </w:r>
      <w:r>
        <w:rPr>
          <w:rFonts w:ascii="Arial" w:cs="Arial" w:eastAsia="Arial" w:hAnsi="Arial"/>
          <w:sz w:val="20"/>
          <w:szCs w:val="20"/>
          <w:color w:val="auto"/>
        </w:rPr>
        <w:t>” means the total assets of the Borrower and its Subsidiaries on a Consolidated basis.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1" w:name="page92"/>
    <w:bookmarkEnd w:id="91"/>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Consolidated Total Net Leverage Ratio</w:t>
      </w:r>
      <w:r>
        <w:rPr>
          <w:rFonts w:ascii="Arial" w:cs="Arial" w:eastAsia="Arial" w:hAnsi="Arial"/>
          <w:sz w:val="20"/>
          <w:szCs w:val="20"/>
          <w:color w:val="auto"/>
        </w:rPr>
        <w:t xml:space="preserve">” means, as of any date of determination, the ratio of (a) (i) Consolidated Funded Indebtedness as of such date </w:t>
      </w:r>
      <w:r>
        <w:rPr>
          <w:rFonts w:ascii="Arial" w:cs="Arial" w:eastAsia="Arial" w:hAnsi="Arial"/>
          <w:sz w:val="20"/>
          <w:szCs w:val="20"/>
          <w:i w:val="1"/>
          <w:iCs w:val="1"/>
          <w:color w:val="auto"/>
        </w:rPr>
        <w:t>minus</w:t>
      </w:r>
      <w:r>
        <w:rPr>
          <w:rFonts w:ascii="Arial" w:cs="Arial" w:eastAsia="Arial" w:hAnsi="Arial"/>
          <w:sz w:val="20"/>
          <w:szCs w:val="20"/>
          <w:color w:val="auto"/>
        </w:rPr>
        <w:t xml:space="preserve"> (ii) Unrestricted Cash as of such date </w:t>
      </w:r>
      <w:r>
        <w:rPr>
          <w:rFonts w:ascii="Arial" w:cs="Arial" w:eastAsia="Arial" w:hAnsi="Arial"/>
          <w:sz w:val="20"/>
          <w:szCs w:val="20"/>
          <w:i w:val="1"/>
          <w:iCs w:val="1"/>
          <w:u w:val="single" w:color="auto"/>
          <w:color w:val="auto"/>
        </w:rPr>
        <w:t>to</w:t>
      </w:r>
      <w:r>
        <w:rPr>
          <w:rFonts w:ascii="Arial" w:cs="Arial" w:eastAsia="Arial" w:hAnsi="Arial"/>
          <w:sz w:val="20"/>
          <w:szCs w:val="20"/>
          <w:color w:val="auto"/>
        </w:rPr>
        <w:t xml:space="preserve"> (b) Consolidated EBITDA of the Borrower and its Subsidiaries on a consolidated basis for the most recently completed Measurement Period.</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i w:val="1"/>
          <w:iCs w:val="1"/>
          <w:u w:val="single" w:color="auto"/>
          <w:color w:val="auto"/>
        </w:rPr>
        <w:t>Controlling</w:t>
      </w:r>
      <w:r>
        <w:rPr>
          <w:rFonts w:ascii="Arial" w:cs="Arial" w:eastAsia="Arial" w:hAnsi="Arial"/>
          <w:sz w:val="20"/>
          <w:szCs w:val="20"/>
          <w:color w:val="auto"/>
        </w:rPr>
        <w:t>” and “</w:t>
      </w:r>
      <w:r>
        <w:rPr>
          <w:rFonts w:ascii="Arial" w:cs="Arial" w:eastAsia="Arial" w:hAnsi="Arial"/>
          <w:sz w:val="20"/>
          <w:szCs w:val="20"/>
          <w:i w:val="1"/>
          <w:iCs w:val="1"/>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Controlled Investment Affiliate</w:t>
      </w:r>
      <w:r>
        <w:rPr>
          <w:rFonts w:ascii="Arial" w:cs="Arial" w:eastAsia="Arial" w:hAnsi="Arial"/>
          <w:sz w:val="20"/>
          <w:szCs w:val="20"/>
          <w:color w:val="auto"/>
        </w:rPr>
        <w:t>” means, as applied to any Person, any other Person which directly or indirectly is in Control of, is Controlled by, or is under common Control with, such Person and is organized by such Person (or any Person Controlling, Controlled by or under common Control with such Person) primarily for making equity or debt investments in the Borrower or other portfolio companies of such Person.</w:t>
      </w:r>
    </w:p>
    <w:p>
      <w:pPr>
        <w:spacing w:after="0" w:line="191"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Convertible Indebtedness</w:t>
      </w:r>
      <w:r>
        <w:rPr>
          <w:rFonts w:ascii="Arial" w:cs="Arial" w:eastAsia="Arial" w:hAnsi="Arial"/>
          <w:sz w:val="18"/>
          <w:szCs w:val="18"/>
          <w:color w:val="auto"/>
        </w:rPr>
        <w:t>” means Indebtedness the terms of which entitle the holder thereof to convert or exchange all or a portion of such Indebtedness into (x) cash, (y) Qualified Equity Interests of the Borrower or (z) a combination thereof (with the amount of such cash or such combination determined by reference to the market price of the Qualified Equity Interests of the Borrower).</w:t>
      </w:r>
    </w:p>
    <w:p>
      <w:pPr>
        <w:spacing w:after="0" w:line="15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Cost of Acquisition</w:t>
      </w:r>
      <w:r>
        <w:rPr>
          <w:rFonts w:ascii="Arial" w:cs="Arial" w:eastAsia="Arial" w:hAnsi="Arial"/>
          <w:sz w:val="19"/>
          <w:szCs w:val="19"/>
          <w:color w:val="auto"/>
        </w:rPr>
        <w:t xml:space="preserve">” for any Acquisition means the purchase consideration for such Acquisition, whether paid in cash or by exchange of Equity Interests (other than Equity Interests of the Borrower) or of properties or otherwise and whether payable at or prior to the consummation of such Acquisition or deferred for payment at any future time, whether or not any such future payment is subject to the occurrence of any contingency, and shall include any and all payments representing the purchase price and any assumptions of Indebtedness, deferred purchase price, Earn Out Obligations and other agreements to make any payment the amount of which is, or the terms of payment of which are, in any respect subject to or contingent upon the revenues, income, cash flow or profits (or the like) of any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value of any Equity Interests of the Borrower transferred as consideration in connection with any such Acquisition shall not be included in the Cost of Acquisition. For purposes of determining the aggregate consideration paid for any Acquisition, the amount of any Earn Out Obligations shall be deemed to be the maximum amount of the earn out payments in respect thereof as specified in the documents relating to such Acquisition or readily determinable therefrom, or, if not stated or determinable, the maximum reasonably anticipated amount as determined by the Borrower in good faith.</w:t>
      </w:r>
    </w:p>
    <w:p>
      <w:pPr>
        <w:spacing w:after="0" w:line="18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Covered Entity</w:t>
      </w:r>
      <w:r>
        <w:rPr>
          <w:rFonts w:ascii="Arial" w:cs="Arial" w:eastAsia="Arial" w:hAnsi="Arial"/>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Daily Simple SOFR</w:t>
      </w:r>
      <w:r>
        <w:rPr>
          <w:rFonts w:ascii="Arial" w:cs="Arial" w:eastAsia="Arial" w:hAnsi="Arial"/>
          <w:sz w:val="20"/>
          <w:szCs w:val="20"/>
          <w:color w:val="auto"/>
        </w:rPr>
        <w:t>” with respect to any applicable determination date means the secured overnight financing rate (“</w:t>
      </w:r>
      <w:r>
        <w:rPr>
          <w:rFonts w:ascii="Arial" w:cs="Arial" w:eastAsia="Arial" w:hAnsi="Arial"/>
          <w:sz w:val="20"/>
          <w:szCs w:val="20"/>
          <w:i w:val="1"/>
          <w:iCs w:val="1"/>
          <w:u w:val="single" w:color="auto"/>
          <w:color w:val="auto"/>
        </w:rPr>
        <w:t>SOFR</w:t>
      </w:r>
      <w:r>
        <w:rPr>
          <w:rFonts w:ascii="Arial" w:cs="Arial" w:eastAsia="Arial" w:hAnsi="Arial"/>
          <w:sz w:val="20"/>
          <w:szCs w:val="20"/>
          <w:color w:val="auto"/>
        </w:rPr>
        <w:t>”) published on such date by the Federal Reserve Bank of New York, as the administrator of the benchmark (or a successor administrator) on the Federal Reserve Bank of New York’s website (or any successor source).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2" w:name="page93"/>
    <w:bookmarkEnd w:id="92"/>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Debt Issuance</w:t>
      </w:r>
      <w:r>
        <w:rPr>
          <w:rFonts w:ascii="Arial" w:cs="Arial" w:eastAsia="Arial" w:hAnsi="Arial"/>
          <w:sz w:val="20"/>
          <w:szCs w:val="20"/>
          <w:color w:val="auto"/>
        </w:rPr>
        <w:t xml:space="preserve">” means the issuance by any Loan Party or any Subsidiary of any Indebtedness other than Indebtedness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Default Rate</w:t>
      </w:r>
      <w:r>
        <w:rPr>
          <w:rFonts w:ascii="Arial" w:cs="Arial" w:eastAsia="Arial" w:hAnsi="Arial"/>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Rate for Revolving Loans that are Base Rate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two percent (2%), in each case, to the fullest extent permitted by Applicable Law.</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upon receipt of such written confirmation by the Administrative Agent and the Borrower), or (d) has, or has a direct or indirect parent company that has,</w:t>
      </w:r>
    </w:p>
    <w:p>
      <w:pPr>
        <w:spacing w:after="0" w:line="5" w:lineRule="exact"/>
        <w:rPr>
          <w:sz w:val="20"/>
          <w:szCs w:val="20"/>
          <w:color w:val="auto"/>
        </w:rPr>
      </w:pPr>
    </w:p>
    <w:p>
      <w:pPr>
        <w:jc w:val="both"/>
        <w:ind w:firstLine="8"/>
        <w:spacing w:after="0" w:line="269" w:lineRule="auto"/>
        <w:tabs>
          <w:tab w:leader="none" w:pos="2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through (</w:t>
      </w:r>
      <w:r>
        <w:rPr>
          <w:rFonts w:ascii="Arial" w:cs="Arial" w:eastAsia="Arial" w:hAnsi="Arial"/>
          <w:sz w:val="18"/>
          <w:szCs w:val="18"/>
          <w:u w:val="single" w:color="auto"/>
          <w:color w:val="auto"/>
        </w:rPr>
        <w:t>d</w:t>
      </w:r>
      <w:r>
        <w:rPr>
          <w:rFonts w:ascii="Arial" w:cs="Arial" w:eastAsia="Arial" w:hAnsi="Arial"/>
          <w:sz w:val="18"/>
          <w:szCs w:val="18"/>
          <w:color w:val="auto"/>
        </w:rPr>
        <w:t>) above, and the effective date of such status, shall be conclusive and binding absent manifest error, and such Lender shall be deemed to be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20"/>
          <w:szCs w:val="20"/>
          <w:color w:val="auto"/>
        </w:rPr>
        <w:t xml:space="preserve">Defaulting Lender (subject to </w:t>
      </w:r>
      <w:r>
        <w:rPr>
          <w:rFonts w:ascii="Arial" w:cs="Arial" w:eastAsia="Arial" w:hAnsi="Arial"/>
          <w:sz w:val="20"/>
          <w:szCs w:val="20"/>
          <w:u w:val="single" w:color="auto"/>
          <w:color w:val="auto"/>
        </w:rPr>
        <w:t>Section 2.15(b</w:t>
      </w:r>
      <w:r>
        <w:rPr>
          <w:rFonts w:ascii="Arial" w:cs="Arial" w:eastAsia="Arial" w:hAnsi="Arial"/>
          <w:sz w:val="20"/>
          <w:szCs w:val="20"/>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18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Designated Foreign Subsidiary Guarantor</w:t>
      </w:r>
      <w:r>
        <w:rPr>
          <w:rFonts w:ascii="Arial" w:cs="Arial" w:eastAsia="Arial" w:hAnsi="Arial"/>
          <w:sz w:val="18"/>
          <w:szCs w:val="18"/>
          <w:color w:val="auto"/>
        </w:rPr>
        <w:t xml:space="preserve">” means any Foreign Subsidiary that has been designated as such by the Borrower in writing to the Administrative Agent to be joined to this Agreement as a Guarantor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 Designated Foreign Subsidiary Guarantor must be domiciled in an Approved Jurisdiction, and (ii) at the time of the designation of a Foreign Subsidiary as a Designated Foreign Subsidiary Guarantor (and as a condition to the effectiveness of such designation), the Administrative Agent shall have determined, in its reasonable discretion, that no circumstances exist with respect to the proposed Foreign Subsidiary and the proposed Guaranty by such Foreign Subsidiary, including its involvement in specific prior or proposed transactions, or the application of Applicable Law in such Approved Jurisdiction to such Foreign Subsidiary (including, financial assistance restrictions, capital maintenance requirements, consideration requirements and other similar Laws) that would have a material and adverse effect on (i) the enforceability and maximum principal amount of the Guaranty of such Foreign Subsidiary, or (ii) the security interests (and enforceability thereof) to be granted with respect to assets (or classes of assets) of such Foreign Subsidiary.</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3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Designated Non-Cash Consideration</w:t>
      </w:r>
      <w:r>
        <w:rPr>
          <w:rFonts w:ascii="Arial" w:cs="Arial" w:eastAsia="Arial" w:hAnsi="Arial"/>
          <w:sz w:val="20"/>
          <w:szCs w:val="20"/>
          <w:color w:val="auto"/>
        </w:rPr>
        <w:t xml:space="preserve">” means the estimated fair market value (as determined by the Borrower in good faith) of non-cash consideration received by the Borrower or any Subsidiary in connection with a Disposition made pursuant to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that is designated as “Designated Non-Cash Consideration” on the date received pursuant to a certificate of a Responsible Officer of the Borrower setting forth the basis of such estimated fair market value.</w:t>
      </w:r>
    </w:p>
    <w:p>
      <w:pPr>
        <w:spacing w:after="0" w:line="19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Disposition</w:t>
      </w:r>
      <w:r>
        <w:rPr>
          <w:rFonts w:ascii="Arial" w:cs="Arial" w:eastAsia="Arial" w:hAnsi="Arial"/>
          <w:sz w:val="18"/>
          <w:szCs w:val="18"/>
          <w:color w:val="auto"/>
        </w:rPr>
        <w:t>” or “</w:t>
      </w:r>
      <w:r>
        <w:rPr>
          <w:rFonts w:ascii="Arial" w:cs="Arial" w:eastAsia="Arial" w:hAnsi="Arial"/>
          <w:sz w:val="18"/>
          <w:szCs w:val="18"/>
          <w:i w:val="1"/>
          <w:iCs w:val="1"/>
          <w:u w:val="single" w:color="auto"/>
          <w:color w:val="auto"/>
        </w:rPr>
        <w:t>Dispose</w:t>
      </w:r>
      <w:r>
        <w:rPr>
          <w:rFonts w:ascii="Arial" w:cs="Arial" w:eastAsia="Arial" w:hAnsi="Arial"/>
          <w:sz w:val="18"/>
          <w:szCs w:val="18"/>
          <w:color w:val="auto"/>
        </w:rPr>
        <w:t xml:space="preserve">” means the sale, transfer, license, lease or other disposition (including (x) any Sale and Leaseback Transaction and (y) any issuance by any Subsidiary of its Equity Interests (but excluding, for the avoidance of doubt, any issuance by the Borrower of its Equity Interests)) of any property by any Loan Party or any Subsidiary (or the granting of any option or other right to do any of the foregoing), excluding (a) sales, transfers, licenses, leases or other dispositions of inventory in the ordinary course of business by the Borrower, (b) sales, transfers, licenses, leases or other dispositions of used, worn out, obsolete or surplus property by the Borrower in the ordinary course of business and the lapse or abandonment or other disposition of Intellectual Property that is, in the reasonable judgment of the Borrower, immaterial or no longer economically practicable to maintain or useful in the conduct of the business of the Borrower and its Subsidiaries taken as a whole, (c) sales, transfers, licenses, leases or other dispositions of property to any Loan Party, (d) the granting, existence or creation of a Lien (but not the sale or other disposition of the property subject to such Lien)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(e) sales of property to the extent that (i) such property is exchanged for credit against the purchase price of similar replacement property or (ii) the proceeds of such sale are promptly applied to the purchase price of such replacement property, (f) any Involuntary Disposition, (g) to the extent constituting Dispositions, Investments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fundamental changes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Restricted Payments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and Involuntary Dispositions, in each case, except by reference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this definition (or any clause hereof or thereof), (h) the licensing, on a non-exclusive basis, of Intellectual Property, (i) the sale or discount, in each case without recourse, of accounts receivable arising in the ordinary course of business, but only in connection with the compromise or collection thereof, (j) leases or subleases of real property entered into in the ordinary course of business, (k) the surrender or waiver of contractual rights or the settlement, release or surrender of contract or tort claims, in each case, in the ordinary course of business or in the commercially reasonable judgment of the Borrower or the applicable Subsidiary, (l) dispositions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4" w:name="page95"/>
    <w:bookmarkEnd w:id="94"/>
    <w:p>
      <w:pPr>
        <w:jc w:val="both"/>
        <w:spacing w:after="0" w:line="244" w:lineRule="auto"/>
        <w:rPr>
          <w:sz w:val="20"/>
          <w:szCs w:val="20"/>
          <w:color w:val="auto"/>
        </w:rPr>
      </w:pPr>
      <w:r>
        <w:rPr>
          <w:rFonts w:ascii="Arial" w:cs="Arial" w:eastAsia="Arial" w:hAnsi="Arial"/>
          <w:sz w:val="20"/>
          <w:szCs w:val="20"/>
          <w:color w:val="auto"/>
        </w:rPr>
        <w:t>of cash and Cash Equivalents in the ordinary course of business, (m) the sale, transfer, issuance or other disposition of a de minimis number of shares of the Equity Interests of a Foreign Subsidiary in order to qualify members of the governing body of such Subsidiary if required by applicable Law, (n) dispositions of Investments in joint ventures to the extent required by, or made pursuant to customary buy/sell arrangements between, the joint venture parties set forth in joint venture arrangements and similar binding arrangements and (o) the unwinding of any Swap Contract pursuant to its terms.</w:t>
      </w:r>
    </w:p>
    <w:p>
      <w:pPr>
        <w:spacing w:after="0" w:line="19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Disqualified Equity Interest</w:t>
      </w:r>
      <w:r>
        <w:rPr>
          <w:rFonts w:ascii="Arial" w:cs="Arial" w:eastAsia="Arial" w:hAnsi="Arial"/>
          <w:sz w:val="18"/>
          <w:szCs w:val="18"/>
          <w:color w:val="auto"/>
        </w:rPr>
        <w:t>”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by the holder thereof, pursuant to a sinking fund obligation or otherwise, or is redeemable at the option of the holder thereof, in whole or in part, prior to the one hundred eighty-first (181</w:t>
      </w:r>
      <w:r>
        <w:rPr>
          <w:rFonts w:ascii="Arial" w:cs="Arial" w:eastAsia="Arial" w:hAnsi="Arial"/>
          <w:sz w:val="14"/>
          <w:szCs w:val="14"/>
          <w:color w:val="auto"/>
        </w:rPr>
        <w:t>st</w:t>
      </w:r>
      <w:r>
        <w:rPr>
          <w:rFonts w:ascii="Arial" w:cs="Arial" w:eastAsia="Arial" w:hAnsi="Arial"/>
          <w:sz w:val="18"/>
          <w:szCs w:val="18"/>
          <w:color w:val="auto"/>
        </w:rPr>
        <w:t>) day after the Latest Maturity Date, (b) requires the payment of any cash dividends at any time prior to the one hundred eighty-first (181</w:t>
      </w:r>
      <w:r>
        <w:rPr>
          <w:rFonts w:ascii="Arial" w:cs="Arial" w:eastAsia="Arial" w:hAnsi="Arial"/>
          <w:sz w:val="14"/>
          <w:szCs w:val="14"/>
          <w:color w:val="auto"/>
        </w:rPr>
        <w:t>st</w:t>
      </w:r>
      <w:r>
        <w:rPr>
          <w:rFonts w:ascii="Arial" w:cs="Arial" w:eastAsia="Arial" w:hAnsi="Arial"/>
          <w:sz w:val="18"/>
          <w:szCs w:val="18"/>
          <w:color w:val="auto"/>
        </w:rPr>
        <w:t xml:space="preserve">) day after the Latest Maturity Date, (c) contains any repurchase obligation which may come into effect prior to payment in full of all Obligations (other than contingent indemnification and expense reimbursement obligations), or (d) is convertible into or exchangeable (unless at the sole option of the issuer thereof) for (i) debt securities or (ii) Equity Interests described in </w:t>
      </w:r>
      <w:r>
        <w:rPr>
          <w:rFonts w:ascii="Arial" w:cs="Arial" w:eastAsia="Arial" w:hAnsi="Arial"/>
          <w:sz w:val="18"/>
          <w:szCs w:val="18"/>
          <w:u w:val="single" w:color="auto"/>
          <w:color w:val="auto"/>
        </w:rPr>
        <w:t>clause (a)</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u w:val="single" w:color="auto"/>
          <w:color w:val="auto"/>
          <w:highlight w:val="white"/>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in each case at any time prior to the one hundred eighty-first (181</w:t>
      </w:r>
      <w:r>
        <w:rPr>
          <w:rFonts w:ascii="Arial" w:cs="Arial" w:eastAsia="Arial" w:hAnsi="Arial"/>
          <w:sz w:val="14"/>
          <w:szCs w:val="14"/>
          <w:color w:val="auto"/>
        </w:rPr>
        <w:t>st</w:t>
      </w:r>
      <w:r>
        <w:rPr>
          <w:rFonts w:ascii="Arial" w:cs="Arial" w:eastAsia="Arial" w:hAnsi="Arial"/>
          <w:sz w:val="18"/>
          <w:szCs w:val="18"/>
          <w:color w:val="auto"/>
        </w:rPr>
        <w:t xml:space="preserve">) day after the Latest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any Equity Interest that would not constitute a Disqualified Equity Interest but for provisions thereof giving holders thereof (or the holders of any security into or for which such Equity Interest is convertible, exchangeable or exercisable) the right to require the issuer thereof to redeem or repurchase such Equity Interest upon the occurrence of a change in control or an asset sale occurring prior to the one hundred eighty-first (181</w:t>
      </w:r>
      <w:r>
        <w:rPr>
          <w:rFonts w:ascii="Arial" w:cs="Arial" w:eastAsia="Arial" w:hAnsi="Arial"/>
          <w:sz w:val="14"/>
          <w:szCs w:val="14"/>
          <w:color w:val="auto"/>
        </w:rPr>
        <w:t>st</w:t>
      </w:r>
      <w:r>
        <w:rPr>
          <w:rFonts w:ascii="Arial" w:cs="Arial" w:eastAsia="Arial" w:hAnsi="Arial"/>
          <w:sz w:val="18"/>
          <w:szCs w:val="18"/>
          <w:color w:val="auto"/>
        </w:rPr>
        <w:t>) day after the Latest Maturity Date shall not constitute a Disqualified Equity Interest if such Equity Interest provides that the issuer thereof will not redeem or repurchase such Equity Interest pursuant to such provisions prior to the Facility Termination Date.</w:t>
      </w:r>
    </w:p>
    <w:p>
      <w:pPr>
        <w:spacing w:after="0" w:line="18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Disqualified Institution</w:t>
      </w:r>
      <w:r>
        <w:rPr>
          <w:rFonts w:ascii="Arial" w:cs="Arial" w:eastAsia="Arial" w:hAnsi="Arial"/>
          <w:sz w:val="18"/>
          <w:szCs w:val="18"/>
          <w:color w:val="auto"/>
        </w:rPr>
        <w:t xml:space="preserve">” means, on any date, (a) any Competitor that has been identified by legal name in writing by the Borrower and delivered to the Administrative Agent at least two (2) Business Days prior to such date, (b) any Person that has been identified by legal name in writing by the Borrower and delivered to the Administrative Agent prior to the Closing Date, and (c)(i) any Affiliate of any Competitor or other Person identified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that is reasonably identifiable (based solely on the basis of the legal name of such Affiliate) as an Affiliate of any such Competitor or Person, or (ii) any Affiliate of any Competitor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or any Person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that, in each case, is identified by legal name in writing by the Borrower and delivered to the Administrative Agent at least two (2) Business Days prior to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apply to (A) retroactively disqualify any Person that has previously acquired an assignment or participation in the Loans and/or Commitments to the extent that such Person was not a Disqualified Institution at the time of the applicable assignment or participation, (B) exclude any bona fide fixed income investor or debt fund that is primarily and generally engaged in, or advises funds or other investment vehicles that are engaged in, making, purchasing, holding or otherwise investing in commercial loans, notes, bonds and similar extensions of credit or securities in the ordinary course of its business and whose managers are not involved with the equity investment decisions of any other entity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7" w:lineRule="exact"/>
        <w:rPr>
          <w:sz w:val="20"/>
          <w:szCs w:val="20"/>
          <w:color w:val="auto"/>
        </w:rPr>
      </w:pPr>
    </w:p>
    <w:p>
      <w:pPr>
        <w:ind w:right="20" w:firstLine="8"/>
        <w:spacing w:after="0" w:line="244" w:lineRule="auto"/>
        <w:tabs>
          <w:tab w:leader="none" w:pos="280" w:val="left"/>
        </w:tabs>
        <w:numPr>
          <w:ilvl w:val="0"/>
          <w:numId w:val="44"/>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 or (C) exclude any Person that the Borrower designates in writing delivered to the Administrative Agent as no longer being a “Disqualified Institution.”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Dollar</w:t>
      </w:r>
      <w:r>
        <w:rPr>
          <w:rFonts w:ascii="Arial" w:cs="Arial" w:eastAsia="Arial" w:hAnsi="Arial"/>
          <w:sz w:val="20"/>
          <w:szCs w:val="20"/>
          <w:color w:val="auto"/>
        </w:rPr>
        <w:t>” and “</w:t>
      </w:r>
      <w:r>
        <w:rPr>
          <w:rFonts w:ascii="Arial" w:cs="Arial" w:eastAsia="Arial" w:hAnsi="Arial"/>
          <w:sz w:val="20"/>
          <w:szCs w:val="20"/>
          <w:i w:val="1"/>
          <w:iCs w:val="1"/>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Domestic Subsidiary</w:t>
      </w:r>
      <w:r>
        <w:rPr>
          <w:rFonts w:ascii="Arial" w:cs="Arial" w:eastAsia="Arial" w:hAnsi="Arial"/>
          <w:sz w:val="20"/>
          <w:szCs w:val="20"/>
          <w:color w:val="auto"/>
        </w:rPr>
        <w:t>” means any Subsidiary that is organized under the laws of the United States, any state or commonwealth thereof or the District of Columbia.</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DQ List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11.06(g)(iv</w:t>
      </w:r>
      <w:r>
        <w:rPr>
          <w:rFonts w:ascii="Arial" w:cs="Arial" w:eastAsia="Arial" w:hAnsi="Arial"/>
          <w:sz w:val="20"/>
          <w:szCs w:val="20"/>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5" w:name="page96"/>
    <w:bookmarkEnd w:id="95"/>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Early Opt-in Effective Date</w:t>
      </w:r>
      <w:r>
        <w:rPr>
          <w:rFonts w:ascii="Arial" w:cs="Arial" w:eastAsia="Arial" w:hAnsi="Arial"/>
          <w:sz w:val="20"/>
          <w:szCs w:val="20"/>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Early Opt-in Election</w:t>
      </w:r>
      <w:r>
        <w:rPr>
          <w:rFonts w:ascii="Arial" w:cs="Arial" w:eastAsia="Arial" w:hAnsi="Arial"/>
          <w:sz w:val="20"/>
          <w:szCs w:val="20"/>
          <w:color w:val="auto"/>
        </w:rPr>
        <w:t>” means the occurrence of:</w:t>
      </w:r>
    </w:p>
    <w:p>
      <w:pPr>
        <w:spacing w:after="0" w:line="216" w:lineRule="exact"/>
        <w:rPr>
          <w:sz w:val="20"/>
          <w:szCs w:val="20"/>
          <w:color w:val="auto"/>
        </w:rPr>
      </w:pPr>
    </w:p>
    <w:p>
      <w:pPr>
        <w:jc w:val="both"/>
        <w:ind w:left="880" w:firstLine="789"/>
        <w:spacing w:after="0" w:line="246" w:lineRule="auto"/>
        <w:tabs>
          <w:tab w:leader="none" w:pos="2545"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w:t>
      </w:r>
      <w:r>
        <w:rPr>
          <w:rFonts w:ascii="Arial" w:cs="Arial" w:eastAsia="Arial" w:hAnsi="Arial"/>
          <w:sz w:val="20"/>
          <w:szCs w:val="20"/>
          <w:u w:val="single" w:color="auto"/>
          <w:color w:val="auto"/>
        </w:rPr>
        <w:t>Section 3.03(c</w:t>
      </w:r>
      <w:r>
        <w:rPr>
          <w:rFonts w:ascii="Arial" w:cs="Arial" w:eastAsia="Arial" w:hAnsi="Arial"/>
          <w:sz w:val="20"/>
          <w:szCs w:val="20"/>
          <w:color w:val="auto"/>
        </w:rPr>
        <w:t>), are being executed or amended (as applicable) to incorporate or adopt a new benchmark interest rate to replace LIBOR, and</w:t>
      </w:r>
    </w:p>
    <w:p>
      <w:pPr>
        <w:spacing w:after="0" w:line="191" w:lineRule="exact"/>
        <w:rPr>
          <w:rFonts w:ascii="Arial" w:cs="Arial" w:eastAsia="Arial" w:hAnsi="Arial"/>
          <w:sz w:val="20"/>
          <w:szCs w:val="20"/>
          <w:color w:val="auto"/>
        </w:rPr>
      </w:pPr>
    </w:p>
    <w:p>
      <w:pPr>
        <w:ind w:left="880" w:firstLine="789"/>
        <w:spacing w:after="0" w:line="287" w:lineRule="auto"/>
        <w:tabs>
          <w:tab w:leader="none" w:pos="255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joint election by the Administrative Agent and the Borrower to replace LIBOR with a Benchmark Replacement and the provision by the Administrative Agent of written notice of such election to the Lenders.</w:t>
      </w:r>
    </w:p>
    <w:p>
      <w:pPr>
        <w:spacing w:after="0" w:line="15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Earn Out Obligations</w:t>
      </w:r>
      <w:r>
        <w:rPr>
          <w:rFonts w:ascii="Arial" w:cs="Arial" w:eastAsia="Arial" w:hAnsi="Arial"/>
          <w:sz w:val="19"/>
          <w:szCs w:val="19"/>
          <w:color w:val="auto"/>
        </w:rPr>
        <w:t>” means, with respect to an Acquisition, all obligations of the Borrower or any Subsidiary to make earn out or other contingency payments (including working capital and similar purchase price adjustments, but excluding non-competition and consulting agreements and indemnity obligations) pursuant to the documentation relating to such Acquisition.</w:t>
      </w:r>
    </w:p>
    <w:p>
      <w:pPr>
        <w:spacing w:after="0" w:line="17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or (</w:t>
      </w:r>
      <w:r>
        <w:rPr>
          <w:rFonts w:ascii="Arial" w:cs="Arial" w:eastAsia="Arial" w:hAnsi="Arial"/>
          <w:sz w:val="18"/>
          <w:szCs w:val="18"/>
          <w:u w:val="single" w:color="auto"/>
          <w:color w:val="auto"/>
        </w:rPr>
        <w:t>b</w:t>
      </w:r>
      <w:r>
        <w:rPr>
          <w:rFonts w:ascii="Arial" w:cs="Arial" w:eastAsia="Arial" w:hAnsi="Arial"/>
          <w:sz w:val="18"/>
          <w:szCs w:val="18"/>
          <w:color w:val="auto"/>
        </w:rPr>
        <w:t>) of this definition and is subject to consolidated supervision with its parent.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864"/>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Eligible Assignee</w:t>
      </w:r>
      <w:r>
        <w:rPr>
          <w:rFonts w:ascii="Arial" w:cs="Arial" w:eastAsia="Arial" w:hAnsi="Arial"/>
          <w:sz w:val="16"/>
          <w:szCs w:val="16"/>
          <w:color w:val="auto"/>
        </w:rPr>
        <w:t xml:space="preserve">” means any Person that meets the requirements to be an assignee under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(subject to such consents, if any, as may be required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For the avoidance of doubt, any Disqualified Institution is subject to </w:t>
      </w:r>
      <w:r>
        <w:rPr>
          <w:rFonts w:ascii="Arial" w:cs="Arial" w:eastAsia="Arial" w:hAnsi="Arial"/>
          <w:sz w:val="16"/>
          <w:szCs w:val="16"/>
          <w:u w:val="single" w:color="auto"/>
          <w:color w:val="auto"/>
        </w:rPr>
        <w:t>Section 11.06(g)</w:t>
      </w:r>
      <w:r>
        <w:rPr>
          <w:rFonts w:ascii="Arial" w:cs="Arial" w:eastAsia="Arial" w:hAnsi="Arial"/>
          <w:sz w:val="16"/>
          <w:szCs w:val="16"/>
          <w:color w:val="auto"/>
        </w:rPr>
        <w:t>.</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Engagement Letter</w:t>
      </w:r>
      <w:r>
        <w:rPr>
          <w:rFonts w:ascii="Arial" w:cs="Arial" w:eastAsia="Arial" w:hAnsi="Arial"/>
          <w:sz w:val="18"/>
          <w:szCs w:val="18"/>
          <w:color w:val="auto"/>
        </w:rPr>
        <w:t>” means the letter agreement, dated July 30, 2021, between the Borrower, the Administrative Agent and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Arranger.</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Environment</w:t>
      </w:r>
      <w:r>
        <w:rPr>
          <w:rFonts w:ascii="Arial" w:cs="Arial" w:eastAsia="Arial" w:hAnsi="Arial"/>
          <w:sz w:val="20"/>
          <w:szCs w:val="20"/>
          <w:color w:val="auto"/>
        </w:rPr>
        <w:t>” means ambient air, indoor air, surface water, groundwater, drinking water, soil, surface and subsurface strata, and natural resources such as wetland, flora and fauna.</w:t>
      </w:r>
    </w:p>
    <w:p>
      <w:pPr>
        <w:spacing w:after="0" w:line="177"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Environmental Laws</w:t>
      </w:r>
      <w:r>
        <w:rPr>
          <w:rFonts w:ascii="Arial" w:cs="Arial" w:eastAsia="Arial" w:hAnsi="Arial"/>
          <w:sz w:val="18"/>
          <w:szCs w:val="18"/>
          <w:color w:val="auto"/>
        </w:rPr>
        <w:t>” means any and all federal, state, local, and foreign statutes, laws, regulations, standards,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6" w:name="page97"/>
    <w:bookmarkEnd w:id="96"/>
    <w:p>
      <w:pPr>
        <w:jc w:val="both"/>
        <w:spacing w:after="0" w:line="260" w:lineRule="auto"/>
        <w:rPr>
          <w:sz w:val="20"/>
          <w:szCs w:val="20"/>
          <w:color w:val="auto"/>
        </w:rPr>
      </w:pPr>
      <w:r>
        <w:rPr>
          <w:rFonts w:ascii="Arial" w:cs="Arial" w:eastAsia="Arial" w:hAnsi="Arial"/>
          <w:sz w:val="20"/>
          <w:szCs w:val="20"/>
          <w:color w:val="auto"/>
        </w:rPr>
        <w:t>transport, storage, treatment, or release or threatened release of Hazardous Materials, air emissions and discharges to waste or public systems, in each case, in any manner applicable to the Borrower or any of its Subsidiaries or any Facility.</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arising from (a) any actual or alleged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9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Environmental Permit</w:t>
      </w:r>
      <w:r>
        <w:rPr>
          <w:rFonts w:ascii="Arial" w:cs="Arial" w:eastAsia="Arial" w:hAnsi="Arial"/>
          <w:sz w:val="20"/>
          <w:szCs w:val="20"/>
          <w:color w:val="auto"/>
        </w:rPr>
        <w:t>” means any permit, certification, registration, approval, identification number, license or other authorization required under any Environmental Law.</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Equity Interests</w:t>
      </w:r>
      <w:r>
        <w:rPr>
          <w:rFonts w:ascii="Arial" w:cs="Arial" w:eastAsia="Arial" w:hAnsi="Arial"/>
          <w:sz w:val="19"/>
          <w:szCs w:val="19"/>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“Equity Interests” shall not include any Permitted Convertible Indebtedness permitted hereunder (except to the extent such Indebtedness is converted or exchanged into Qualified Equity Interests of the Borrower in accordance with the terms thereof).</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ERISA</w:t>
      </w:r>
      <w:r>
        <w:rPr>
          <w:rFonts w:ascii="Arial" w:cs="Arial" w:eastAsia="Arial" w:hAnsi="Arial"/>
          <w:sz w:val="20"/>
          <w:szCs w:val="20"/>
          <w:color w:val="auto"/>
        </w:rPr>
        <w:t>” means the Employee Retirement Income Security Act of 1974, as amended.</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ERISA Event</w:t>
      </w:r>
      <w:r>
        <w:rPr>
          <w:rFonts w:ascii="Arial" w:cs="Arial" w:eastAsia="Arial" w:hAnsi="Arial"/>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1" w:lineRule="exact"/>
        <w:rPr>
          <w:sz w:val="20"/>
          <w:szCs w:val="20"/>
          <w:color w:val="auto"/>
        </w:rPr>
      </w:pPr>
    </w:p>
    <w:p>
      <w:pPr>
        <w:jc w:val="both"/>
        <w:ind w:firstLine="8"/>
        <w:spacing w:after="0"/>
        <w:tabs>
          <w:tab w:leader="none" w:pos="271"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complete or partial withdrawal by the Borrower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(within the meaning of Section 430 of the Code or Section 303 of ERISA) or a Multiemployer Plan is in endangered or critical status (within the meaning of Section 432 of the Code or Section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7" w:name="page98"/>
    <w:bookmarkEnd w:id="97"/>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EU Bail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Eurodollar Rate</w:t>
      </w:r>
      <w:r>
        <w:rPr>
          <w:rFonts w:ascii="Arial" w:cs="Arial" w:eastAsia="Arial" w:hAnsi="Arial"/>
          <w:sz w:val="20"/>
          <w:szCs w:val="20"/>
          <w:color w:val="auto"/>
        </w:rPr>
        <w:t>” means:</w:t>
      </w:r>
    </w:p>
    <w:p>
      <w:pPr>
        <w:spacing w:after="0" w:line="216" w:lineRule="exact"/>
        <w:rPr>
          <w:sz w:val="20"/>
          <w:szCs w:val="20"/>
          <w:color w:val="auto"/>
        </w:rPr>
      </w:pPr>
    </w:p>
    <w:p>
      <w:pPr>
        <w:jc w:val="both"/>
        <w:ind w:left="880" w:firstLine="789"/>
        <w:spacing w:after="0" w:line="257" w:lineRule="auto"/>
        <w:tabs>
          <w:tab w:leader="none" w:pos="2545"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9"/>
          <w:szCs w:val="19"/>
          <w:i w:val="1"/>
          <w:iCs w:val="1"/>
          <w:u w:val="single" w:color="auto"/>
          <w:color w:val="auto"/>
        </w:rPr>
        <w:t>LIBOR</w:t>
      </w:r>
      <w:r>
        <w:rPr>
          <w:rFonts w:ascii="Arial" w:cs="Arial" w:eastAsia="Arial" w:hAnsi="Arial"/>
          <w:sz w:val="19"/>
          <w:szCs w:val="19"/>
          <w:color w:val="auto"/>
        </w:rPr>
        <w: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9"/>
          <w:szCs w:val="19"/>
          <w:i w:val="1"/>
          <w:iCs w:val="1"/>
          <w:u w:val="single" w:color="auto"/>
          <w:color w:val="auto"/>
        </w:rPr>
        <w:t>LIBOR Rate</w:t>
      </w:r>
      <w:r>
        <w:rPr>
          <w:rFonts w:ascii="Arial" w:cs="Arial" w:eastAsia="Arial" w:hAnsi="Arial"/>
          <w:sz w:val="19"/>
          <w:szCs w:val="19"/>
          <w:color w:val="auto"/>
        </w:rPr>
        <w:t>”) at or about 11:00 a.m., London time, two (2) Business Days prior to the commencement of such Interest Period, for Dollar deposits (for delivery on the first day of such Interest Period) with a term equivalent to such Interest Period; and</w:t>
      </w:r>
    </w:p>
    <w:p>
      <w:pPr>
        <w:spacing w:after="0" w:line="184" w:lineRule="exact"/>
        <w:rPr>
          <w:rFonts w:ascii="Arial" w:cs="Arial" w:eastAsia="Arial" w:hAnsi="Arial"/>
          <w:sz w:val="19"/>
          <w:szCs w:val="19"/>
          <w:color w:val="auto"/>
        </w:rPr>
      </w:pPr>
    </w:p>
    <w:p>
      <w:pPr>
        <w:jc w:val="both"/>
        <w:ind w:left="880" w:firstLine="789"/>
        <w:spacing w:after="0" w:line="250" w:lineRule="auto"/>
        <w:tabs>
          <w:tab w:leader="none" w:pos="2556" w:val="left"/>
        </w:tabs>
        <w:numPr>
          <w:ilvl w:val="0"/>
          <w:numId w:val="47"/>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LIBOR Rate, at or about 11:00 a.m., London time, two (2) London Banking Days prior to such date for Dollar deposits with a term of one (1) month commencing that day;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Eurodollar Rate shall be less than zero, such rate shall be deemed zero for purposes of this Agreement.</w:t>
      </w:r>
    </w:p>
    <w:p>
      <w:pPr>
        <w:spacing w:after="0" w:line="23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Eurodollar Rate Loan</w:t>
      </w:r>
      <w:r>
        <w:rPr>
          <w:rFonts w:ascii="Arial" w:cs="Arial" w:eastAsia="Arial" w:hAnsi="Arial"/>
          <w:sz w:val="20"/>
          <w:szCs w:val="20"/>
          <w:color w:val="auto"/>
        </w:rPr>
        <w:t xml:space="preserve">” means a Revolving Loan, a Term Loan or an Incremental Term Loan that bears interest at a rate based on </w:t>
      </w:r>
      <w:r>
        <w:rPr>
          <w:rFonts w:ascii="Arial" w:cs="Arial" w:eastAsia="Arial" w:hAnsi="Arial"/>
          <w:sz w:val="20"/>
          <w:szCs w:val="20"/>
          <w:u w:val="single" w:color="auto"/>
          <w:color w:val="auto"/>
        </w:rPr>
        <w:t>clause (a</w:t>
      </w:r>
      <w:r>
        <w:rPr>
          <w:rFonts w:ascii="Arial" w:cs="Arial" w:eastAsia="Arial" w:hAnsi="Arial"/>
          <w:sz w:val="20"/>
          <w:szCs w:val="20"/>
          <w:color w:val="auto"/>
        </w:rPr>
        <w:t>) of the definition of “Eurodollar Rate”.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Excluded Property</w:t>
      </w:r>
      <w:r>
        <w:rPr>
          <w:rFonts w:ascii="Arial" w:cs="Arial" w:eastAsia="Arial" w:hAnsi="Arial"/>
          <w:sz w:val="18"/>
          <w:szCs w:val="18"/>
          <w:color w:val="auto"/>
        </w:rPr>
        <w:t xml:space="preserve">” means, with respect to any Loan Party, (a) (i) any leasehold interest in real property and (ii) any owned real property (x) located outside of the United States or (y) with a fair market value (as determined by the purchase price thereof or otherwise by the good faith business judgment of the Borrower) of less than $5,000,000, (b) other than with respect to assets of a Designated Foreign Subsidiary Guarantor, any personal property (including, without limitation, motor vehicles) in respect of which perfection of a Lien is not either (i) governed by the Uniform Commercial Code or (ii) effected by appropriate evidence of the Lien being filed in either the United States Copyright Office or the United States Patent and Trademark Office, (c) the Equity Interests of any Foreign Subsidiary or FSHCO to the extent not required to be pledged to secure the Secured Obligations pursuant to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(d) any property which, subject to the terms of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7.01(h)</w:t>
      </w:r>
      <w:r>
        <w:rPr>
          <w:rFonts w:ascii="Arial" w:cs="Arial" w:eastAsia="Arial" w:hAnsi="Arial"/>
          <w:sz w:val="18"/>
          <w:szCs w:val="18"/>
          <w:color w:val="auto"/>
        </w:rPr>
        <w:t xml:space="preserve"> pursuant to documents that prohibit such Loan Party from granting any other Liens in such property, (e) any assets as to which the Administrative Agent and the Borrower agree in writing that the costs or other consequences (including any adverse tax consequences) of obtaining a security interest or perfection thereof are excessive in view of the benefits to be obtained by the Secured Parties therefrom, (f) any “intent-to-use” application for registration of a Trademark (as defined in the Security Agreement) of such Loan Party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(g) any Equity Interest owned (i) in any Person that is not a Subsidiary or (ii) in any Subsidiary that is not a Material Wholly Owned Subsidiary, (h) the cash collateral pledged in respect of the letter of credit identified on Schedule 7.02, the account into which such cash collateral is deposited and all assets deposited in or credited thereto, and (i) assets to the extent which the granting of security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8" w:name="page99"/>
    <w:bookmarkEnd w:id="98"/>
    <w:p>
      <w:pPr>
        <w:jc w:val="both"/>
        <w:spacing w:after="0" w:line="254" w:lineRule="auto"/>
        <w:rPr>
          <w:sz w:val="20"/>
          <w:szCs w:val="20"/>
          <w:color w:val="auto"/>
        </w:rPr>
      </w:pPr>
      <w:r>
        <w:rPr>
          <w:rFonts w:ascii="Arial" w:cs="Arial" w:eastAsia="Arial" w:hAnsi="Arial"/>
          <w:sz w:val="19"/>
          <w:szCs w:val="19"/>
          <w:color w:val="auto"/>
        </w:rPr>
        <w:t xml:space="preserve">interests in such assets would be prohibited by or would breach or (in the case of Contractual Obligations, permits, licenses and the like) cause the termination or revocation of any Contractual Obligation permitted under the terms of this Agreement (not entered into in contemplation thereof and with respect to assets that are subject to such Contractual Obligations), applicable Law or regulation (other than to the extent that any such Law, rule, regulation, term, prohibition or condition would be rendered ineffective pursuant to the UCC (or any successor provision or provisions) of any relevant jurisdiction or any other 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or would require governmental or third party (other than the Borrower or any Subsidiary) consent, approval, license or authorization or create a right of termination in favor of any Person (other than the Borrower or any Subsidiary) party to any such Contractual Obligation (after giving effect to the applicable anti-assignment provisions of the UCC or other applicable Law and other than proceeds and receivables thereof, the assignment of which is expressly deemed effective under the UCC or other applicable Law notwithstanding such prohibition);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 termination of any such Law, rule, regulation, term, prohibition, condition or provision the Collateral shall include, and such Person shall be deemed to have granted a security interest under the Collateral Documents in, all such assets, and rights and interests therein, as if such Law, rule, regulation, term, prohibition, condition or provision had never been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Excluded Property shall not include any proceeds of any such assets described in clauses (a) through (i) above, except to the extent such proceeds constitute Excluded Property.</w:t>
      </w:r>
    </w:p>
    <w:p>
      <w:pPr>
        <w:spacing w:after="0" w:line="188"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Excluded Subsidiary</w:t>
      </w:r>
      <w:r>
        <w:rPr>
          <w:rFonts w:ascii="Arial" w:cs="Arial" w:eastAsia="Arial" w:hAnsi="Arial"/>
          <w:sz w:val="18"/>
          <w:szCs w:val="18"/>
          <w:color w:val="auto"/>
        </w:rPr>
        <w:t xml:space="preserve">” means (a) any Immaterial Subsidiary (unless the Borrower elects otherwise with respect thereto), (b) any Subsidiary that is not a Wholly Owned Subsidiary, (c) any Foreign Subsidiary (other than a Designated Foreign Subsidiary Guarantor), (d) any FSHCO, (e) any Subsidiary that is prohibited or restricted by applicable Law or by a binding Contractual Obligation from providing a Guaranty (provided that such Contractual Obligation is permitted hereunder and is in existence on the Closing Date or at the time such Subsidiary is acquired and is not entered into by the Borrower or any Subsidiary for the purpose of qualifying as an “Excluded Subsidiary” under this Agreement) or if such Guaranty would require governmental (including regulatory) or third party (other than a Loan Party or an Affiliate of a Loan Party) consent, approval, license or authorization, (f) any Subsidiary that is a special purpose vehicle, (g) any Subsidiary that is a not-for-profit organization, (h) any Subsidiary that is a captive insurance company and (i) any other Subsidiary with respect to which, in the reasonable judgment of the Administrative Agent (confirmed in writing by notice to the Borrower), the cost or other consequences (including any adverse tax consequences) of providing the Guaranty are excessive in in view of the benefits to be obtained by the Secured Parties therefrom;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is understood and agreed that, notwithstanding the above, if a Subsidiary executes the Guaranty as a “Guarantor” then it shall not constitute an “Excluded Subsidiary” (unless released from its obligations under the Guaranty as a “Guarantor” in accordance with the terms hereof). Notwithstanding anything herein to the contrary, if any Guarantor becomes a non-Wholly Owned Subsidiary, such Guarantor shall only be permitted to be released from its Guaranty so long as: (x) such Subsidiary becomes a non-Wholly Owned Subsidiary pursuant to a transaction in which the other Person obtaining an Equity Interest in such Subsidiary is not an Affiliate of the Borrower (other than as a result of the obtaining of such Equity Interest), (y) such transaction is for a bona fide business purpose and not for the primary purpose of avoiding the Guaranty and (z) upon giving effect to the transaction in which such Subsidiary becomes a non-Wholly Owned Subsidiary, the Investment of the Loan Parties in such Subsidiary are permitted pursuant to </w:t>
      </w:r>
      <w:r>
        <w:rPr>
          <w:rFonts w:ascii="Arial" w:cs="Arial" w:eastAsia="Arial" w:hAnsi="Arial"/>
          <w:sz w:val="18"/>
          <w:szCs w:val="18"/>
          <w:u w:val="single" w:color="auto"/>
          <w:color w:val="auto"/>
        </w:rPr>
        <w:t>Section 7.03(b)(ii)</w:t>
      </w:r>
      <w:r>
        <w:rPr>
          <w:rFonts w:ascii="Arial" w:cs="Arial" w:eastAsia="Arial" w:hAnsi="Arial"/>
          <w:sz w:val="18"/>
          <w:szCs w:val="18"/>
          <w:color w:val="auto"/>
        </w:rPr>
        <w:t xml:space="preserve"> as if such Investments were being made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as at that time; provided that no such release shall occur if (and while) such Subsidiary continues to be a guarantor in respect of any Junior Financing of any Loan Party or any Subsidiary.</w:t>
      </w:r>
    </w:p>
    <w:p>
      <w:pPr>
        <w:spacing w:after="0" w:line="183"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Excluded Swap Obligation</w:t>
      </w:r>
      <w:r>
        <w:rPr>
          <w:rFonts w:ascii="Arial" w:cs="Arial" w:eastAsia="Arial" w:hAnsi="Arial"/>
          <w:sz w:val="20"/>
          <w:szCs w:val="20"/>
          <w:color w:val="auto"/>
        </w:rPr>
        <w:t>” means, with respect to any Guarantor, any Swap Obligation if, and to the extent that, all or a portion of the Guaranty of such Guarantor of, or the grant by such Guarantor of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9" w:name="page100"/>
    <w:bookmarkEnd w:id="99"/>
    <w:p>
      <w:pPr>
        <w:jc w:val="both"/>
        <w:spacing w:after="0" w:line="273" w:lineRule="auto"/>
        <w:rPr>
          <w:sz w:val="20"/>
          <w:szCs w:val="20"/>
          <w:color w:val="auto"/>
        </w:rPr>
      </w:pPr>
      <w:r>
        <w:rPr>
          <w:rFonts w:ascii="Arial" w:cs="Arial" w:eastAsia="Arial" w:hAnsi="Arial"/>
          <w:sz w:val="18"/>
          <w:szCs w:val="18"/>
          <w:color w:val="auto"/>
        </w:rPr>
        <w:t xml:space="preserve">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6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w:t>
      </w:r>
    </w:p>
    <w:p>
      <w:pPr>
        <w:spacing w:after="0" w:line="3" w:lineRule="exact"/>
        <w:rPr>
          <w:sz w:val="20"/>
          <w:szCs w:val="20"/>
          <w:color w:val="auto"/>
        </w:rPr>
      </w:pPr>
    </w:p>
    <w:p>
      <w:pPr>
        <w:jc w:val="both"/>
        <w:ind w:firstLine="8"/>
        <w:spacing w:after="0" w:line="266" w:lineRule="auto"/>
        <w:tabs>
          <w:tab w:leader="none" w:pos="3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jc w:val="both"/>
        <w:ind w:firstLine="8"/>
        <w:spacing w:after="0" w:line="256" w:lineRule="auto"/>
        <w:tabs>
          <w:tab w:leader="none" w:pos="261"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such Lender acquires such interest in the Loan or Commitment (other than pursuant to an assignment request by the Borrower under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Sections 3.01(b</w:t>
      </w:r>
      <w:r>
        <w:rPr>
          <w:rFonts w:ascii="Arial" w:cs="Arial" w:eastAsia="Arial" w:hAnsi="Arial"/>
          <w:sz w:val="19"/>
          <w:szCs w:val="19"/>
          <w:color w:val="auto"/>
        </w:rPr>
        <w:t>)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3.01(f</w:t>
      </w:r>
      <w:r>
        <w:rPr>
          <w:rFonts w:ascii="Arial" w:cs="Arial" w:eastAsia="Arial" w:hAnsi="Arial"/>
          <w:sz w:val="19"/>
          <w:szCs w:val="19"/>
          <w:color w:val="auto"/>
        </w:rPr>
        <w:t>) and (d) any U.S. federal withholding Taxes imposed pursuant to FATCA.</w:t>
      </w:r>
    </w:p>
    <w:p>
      <w:pPr>
        <w:spacing w:after="0" w:line="18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Existing Credit Agreement</w:t>
      </w:r>
      <w:r>
        <w:rPr>
          <w:rFonts w:ascii="Arial" w:cs="Arial" w:eastAsia="Arial" w:hAnsi="Arial"/>
          <w:sz w:val="18"/>
          <w:szCs w:val="18"/>
          <w:color w:val="auto"/>
        </w:rPr>
        <w:t>” means that certain First Lien Credit and Guaranty Agreement (as amended, restated, supplemented or modified from time to time) dated as of August 28, 2017, among the Borrower, the other Credit Parties party thereto (as defined therein), the Lenders party thereto (as defined therein) and Macquarie Capital Funding LLC, as administrative agent and collateral agent.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Facility</w:t>
      </w:r>
      <w:r>
        <w:rPr>
          <w:rFonts w:ascii="Arial" w:cs="Arial" w:eastAsia="Arial" w:hAnsi="Arial"/>
          <w:sz w:val="19"/>
          <w:szCs w:val="19"/>
          <w:color w:val="auto"/>
        </w:rPr>
        <w:t>” means the Term Facility, the Revolving Facility or any Incremental Term Facility, as the context may require.</w:t>
      </w:r>
    </w:p>
    <w:p>
      <w:pPr>
        <w:spacing w:after="0" w:line="22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Facility Termination Date</w:t>
      </w:r>
      <w:r>
        <w:rPr>
          <w:rFonts w:ascii="Arial" w:cs="Arial" w:eastAsia="Arial" w:hAnsi="Arial"/>
          <w:sz w:val="19"/>
          <w:szCs w:val="19"/>
          <w:color w:val="auto"/>
        </w:rPr>
        <w:t>” means the date as of which all of the following shall have occurred: (a) the Aggregate Commitments have terminated, (b) all Obligations have been paid in full (other than contingent indemnification and expense reimbursement obligations), and (c) all Letters of Credit have terminated or expired (other than Letters of Credit as to which other arrangements with respect thereto reasonably satisfactory to the Administrative Agent and the L/C Issuer shall have been made).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0" w:name="page101"/>
    <w:bookmarkEnd w:id="100"/>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Federal Funds Rate</w:t>
      </w:r>
      <w:r>
        <w:rPr>
          <w:rFonts w:ascii="Arial" w:cs="Arial" w:eastAsia="Arial" w:hAnsi="Arial"/>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94"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Flood Hazard Property</w:t>
      </w:r>
      <w:r>
        <w:rPr>
          <w:rFonts w:ascii="Arial" w:cs="Arial" w:eastAsia="Arial" w:hAnsi="Arial"/>
          <w:sz w:val="20"/>
          <w:szCs w:val="20"/>
          <w:color w:val="auto"/>
        </w:rPr>
        <w:t>” means any Mortgaged Property that is in an area designated by the Federal Emergency Management Agency as having special flood or mudslide hazards.</w:t>
      </w:r>
    </w:p>
    <w:p>
      <w:pPr>
        <w:spacing w:after="0" w:line="17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Flood Insurance Laws</w:t>
      </w:r>
      <w:r>
        <w:rPr>
          <w:rFonts w:ascii="Arial" w:cs="Arial" w:eastAsia="Arial" w:hAnsi="Arial"/>
          <w:sz w:val="19"/>
          <w:szCs w:val="19"/>
          <w:color w:val="auto"/>
        </w:rPr>
        <w:t>” means,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 Waters Flood Insurance Reform Act of 2012 as now or hereafter in effect or any successor statute thereto.</w:t>
      </w:r>
    </w:p>
    <w:p>
      <w:pPr>
        <w:spacing w:after="0" w:line="17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Foreign Acquisition</w:t>
      </w:r>
      <w:r>
        <w:rPr>
          <w:rFonts w:ascii="Arial" w:cs="Arial" w:eastAsia="Arial" w:hAnsi="Arial"/>
          <w:sz w:val="18"/>
          <w:szCs w:val="18"/>
          <w:color w:val="auto"/>
        </w:rPr>
        <w:t xml:space="preserve">” means any Acquisition by any Loan Party (a) of the Equity Interests of any Person not organized under the laws of the United States, any state thereof or the District of Columbia (other than a Person who (i) is a Guarantor or (ii) is a Designated Foreign Subsidiary Guarantor and executes a Joinder Agreement (or such other documentation as may be reasonably requested by the Administrative Agent for such Foreign Subsidiary to become a Guarantor) substantially contemporaneously with the closing of such Acquisition and thereafter complies with the terms of </w:t>
      </w:r>
      <w:r>
        <w:rPr>
          <w:rFonts w:ascii="Arial" w:cs="Arial" w:eastAsia="Arial" w:hAnsi="Arial"/>
          <w:sz w:val="18"/>
          <w:szCs w:val="18"/>
          <w:u w:val="single" w:color="auto"/>
          <w:color w:val="auto"/>
        </w:rPr>
        <w:t>Sections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within the timeframes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Designated Foreign Subsidiary Guarantor, the Administrative Agent shall have made the determinations described in clause</w:t>
      </w:r>
    </w:p>
    <w:p>
      <w:pPr>
        <w:spacing w:after="0" w:line="1" w:lineRule="exact"/>
        <w:rPr>
          <w:sz w:val="20"/>
          <w:szCs w:val="20"/>
          <w:color w:val="auto"/>
        </w:rPr>
      </w:pPr>
    </w:p>
    <w:p>
      <w:pPr>
        <w:jc w:val="both"/>
        <w:ind w:firstLine="8"/>
        <w:spacing w:after="0" w:line="241" w:lineRule="auto"/>
        <w:tabs>
          <w:tab w:leader="none" w:pos="299" w:val="left"/>
        </w:tabs>
        <w:numPr>
          <w:ilvl w:val="0"/>
          <w:numId w:val="50"/>
        </w:numPr>
        <w:rPr>
          <w:rFonts w:ascii="Arial" w:cs="Arial" w:eastAsia="Arial" w:hAnsi="Arial"/>
          <w:sz w:val="20"/>
          <w:szCs w:val="20"/>
          <w:color w:val="auto"/>
        </w:rPr>
      </w:pPr>
      <w:r>
        <w:rPr>
          <w:rFonts w:ascii="Arial" w:cs="Arial" w:eastAsia="Arial" w:hAnsi="Arial"/>
          <w:sz w:val="20"/>
          <w:szCs w:val="20"/>
          <w:color w:val="auto"/>
        </w:rPr>
        <w:t>of the definition of “Designated Foreign Subsidiary Guarantor” and in clause (b) of the definition of “Approved Jurisdiction” permitting such Foreign Subsidiary to become a Designated Foreign Subsidiary Guarantor) or (b) in respect of assets that will not be held by a Loan Party after giving effect to such Acquisition.</w:t>
      </w:r>
    </w:p>
    <w:p>
      <w:pPr>
        <w:spacing w:after="0" w:line="19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Fronting Exposure</w:t>
      </w:r>
      <w:r>
        <w:rPr>
          <w:rFonts w:ascii="Arial" w:cs="Arial" w:eastAsia="Arial" w:hAnsi="Arial"/>
          <w:sz w:val="20"/>
          <w:szCs w:val="20"/>
          <w:color w:val="auto"/>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FSHCO</w:t>
      </w:r>
      <w:r>
        <w:rPr>
          <w:rFonts w:ascii="Arial" w:cs="Arial" w:eastAsia="Arial" w:hAnsi="Arial"/>
          <w:sz w:val="18"/>
          <w:szCs w:val="18"/>
          <w:color w:val="auto"/>
        </w:rPr>
        <w:t>” means any Subsidiary substantially all of the assets of which constitute the Equity Interests of CFCs or other FSHCOs.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1" w:name="page102"/>
    <w:bookmarkEnd w:id="101"/>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Funding Indemnity Letter</w:t>
      </w:r>
      <w:r>
        <w:rPr>
          <w:rFonts w:ascii="Arial" w:cs="Arial" w:eastAsia="Arial" w:hAnsi="Arial"/>
          <w:sz w:val="18"/>
          <w:szCs w:val="18"/>
          <w:color w:val="auto"/>
        </w:rPr>
        <w:t>” means a funding indemnity letter, in form and substance satisfactory to the Administrative Agent.</w:t>
      </w:r>
    </w:p>
    <w:p>
      <w:pPr>
        <w:spacing w:after="0" w:line="23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GAAP</w:t>
      </w:r>
      <w:r>
        <w:rPr>
          <w:rFonts w:ascii="Arial" w:cs="Arial" w:eastAsia="Arial" w:hAnsi="Arial"/>
          <w:sz w:val="19"/>
          <w:szCs w:val="19"/>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18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Governmental Authority</w:t>
      </w:r>
      <w:r>
        <w:rPr>
          <w:rFonts w:ascii="Arial" w:cs="Arial" w:eastAsia="Arial" w:hAnsi="Arial"/>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7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Guarantee</w:t>
      </w:r>
      <w:r>
        <w:rPr>
          <w:rFonts w:ascii="Arial" w:cs="Arial" w:eastAsia="Arial" w:hAnsi="Arial"/>
          <w:sz w:val="18"/>
          <w:szCs w:val="18"/>
          <w:color w:val="auto"/>
        </w:rPr>
        <w:t xml:space="preserve">” means, as to any Person, (a) any obligation, contingent or otherwise, of such Person guaranteeing or having the economic effect of guaranteeing any Indebtedness of the kind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through (</w:t>
      </w:r>
      <w:r>
        <w:rPr>
          <w:rFonts w:ascii="Arial" w:cs="Arial" w:eastAsia="Arial" w:hAnsi="Arial"/>
          <w:sz w:val="18"/>
          <w:szCs w:val="18"/>
          <w:u w:val="single" w:color="auto"/>
          <w:color w:val="auto"/>
        </w:rPr>
        <w:t>g</w:t>
      </w:r>
      <w:r>
        <w:rPr>
          <w:rFonts w:ascii="Arial" w:cs="Arial" w:eastAsia="Arial" w:hAnsi="Arial"/>
          <w:sz w:val="18"/>
          <w:szCs w:val="18"/>
          <w:color w:val="auto"/>
        </w:rPr>
        <w:t>) of the definition thereof or other obligation payable or performable by another Person (the “</w:t>
      </w:r>
      <w:r>
        <w:rPr>
          <w:rFonts w:ascii="Arial" w:cs="Arial" w:eastAsia="Arial" w:hAnsi="Arial"/>
          <w:sz w:val="18"/>
          <w:szCs w:val="18"/>
          <w:i w:val="1"/>
          <w:iCs w:val="1"/>
          <w:u w:val="single" w:color="auto"/>
          <w:color w:val="auto"/>
        </w:rPr>
        <w:t>primary obligor</w:t>
      </w:r>
      <w:r>
        <w:rPr>
          <w:rFonts w:ascii="Arial" w:cs="Arial" w:eastAsia="Arial" w:hAnsi="Arial"/>
          <w:sz w:val="18"/>
          <w:szCs w:val="18"/>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(x) in the case of a Guarantee described in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(y) in the case of a Guarantee described in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the lesser of (1)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(2) the fair market value (as determined by the Borrower in good faith) of the assets encumbered thereby. Notwithstanding anything to the contrary, the term Guarantee shall not include endorsements for collection or deposit in the ordinary course of business. The term “</w:t>
      </w:r>
      <w:r>
        <w:rPr>
          <w:rFonts w:ascii="Arial" w:cs="Arial" w:eastAsia="Arial" w:hAnsi="Arial"/>
          <w:sz w:val="18"/>
          <w:szCs w:val="18"/>
          <w:i w:val="1"/>
          <w:iCs w:val="1"/>
          <w:u w:val="single" w:color="auto"/>
          <w:color w:val="auto"/>
        </w:rPr>
        <w:t>Guarantee</w:t>
      </w:r>
      <w:r>
        <w:rPr>
          <w:rFonts w:ascii="Arial" w:cs="Arial" w:eastAsia="Arial" w:hAnsi="Arial"/>
          <w:sz w:val="18"/>
          <w:szCs w:val="18"/>
          <w:color w:val="auto"/>
        </w:rPr>
        <w:t>” as a verb has a corresponding meaning.</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Guaranteed Obligations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2" w:name="page103"/>
    <w:bookmarkEnd w:id="102"/>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Guarantors</w:t>
      </w:r>
      <w:r>
        <w:rPr>
          <w:rFonts w:ascii="Arial" w:cs="Arial" w:eastAsia="Arial" w:hAnsi="Arial"/>
          <w:sz w:val="20"/>
          <w:szCs w:val="20"/>
          <w:color w:val="auto"/>
        </w:rPr>
        <w:t xml:space="preserve">” means, collectively, (a) the Subsidiaries of the Borrower as are or may from time to time become parties to this Agreement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and (b) with respect to Additional Secured Obligations owing by any Loan Party or any of its Subsidiaries and any Swap Obligation of a Specified Loan Party (determined before giving effect to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10.11</w:t>
      </w:r>
      <w:r>
        <w:rPr>
          <w:rFonts w:ascii="Arial" w:cs="Arial" w:eastAsia="Arial" w:hAnsi="Arial"/>
          <w:sz w:val="20"/>
          <w:szCs w:val="20"/>
          <w:color w:val="auto"/>
        </w:rPr>
        <w:t>) under the Guaranty, the Borrower.</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Guaranty</w:t>
      </w:r>
      <w:r>
        <w:rPr>
          <w:rFonts w:ascii="Arial" w:cs="Arial" w:eastAsia="Arial" w:hAnsi="Arial"/>
          <w:sz w:val="20"/>
          <w:szCs w:val="20"/>
          <w:color w:val="auto"/>
        </w:rPr>
        <w:t xml:space="preserve">” means, collectively, the Guarantee made by the Guarantors under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 favor of the Secured Parties, together with each other guaranty delivered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 based on its dangerous or deleterious properties.</w:t>
      </w:r>
    </w:p>
    <w:p>
      <w:pPr>
        <w:spacing w:after="0" w:line="19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Hedge Bank</w:t>
      </w:r>
      <w:r>
        <w:rPr>
          <w:rFonts w:ascii="Arial" w:cs="Arial" w:eastAsia="Arial" w:hAnsi="Arial"/>
          <w:sz w:val="19"/>
          <w:szCs w:val="19"/>
          <w:color w:val="auto"/>
        </w:rPr>
        <w:t xml:space="preserve">” means any Person in its capacity as a party to a Swap Contract that, (a) at the time it enters into a Swap Contract not prohibited under </w:t>
      </w:r>
      <w:r>
        <w:rPr>
          <w:rFonts w:ascii="Arial" w:cs="Arial" w:eastAsia="Arial" w:hAnsi="Arial"/>
          <w:sz w:val="19"/>
          <w:szCs w:val="19"/>
          <w:u w:val="single" w:color="auto"/>
          <w:color w:val="auto"/>
        </w:rPr>
        <w:t>Articles 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is a Lender or an Affiliate of a Lender, or (b) at the time it (or its Affiliate) becomes a Lender, is a party to a Swap Contract not prohibited under </w:t>
      </w:r>
      <w:r>
        <w:rPr>
          <w:rFonts w:ascii="Arial" w:cs="Arial" w:eastAsia="Arial" w:hAnsi="Arial"/>
          <w:sz w:val="19"/>
          <w:szCs w:val="19"/>
          <w:u w:val="single" w:color="auto"/>
          <w:color w:val="auto"/>
        </w:rPr>
        <w:t>Articles 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in each case, in its capacity as a party to such Swap Contract (even if such Person ceases to be a Lender or such Person’s Affiliate ceased to be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8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Immaterial Subsidiary</w:t>
      </w:r>
      <w:r>
        <w:rPr>
          <w:rFonts w:ascii="Arial" w:cs="Arial" w:eastAsia="Arial" w:hAnsi="Arial"/>
          <w:sz w:val="19"/>
          <w:szCs w:val="19"/>
          <w:color w:val="auto"/>
        </w:rPr>
        <w:t xml:space="preserve">” means, as of any date, any Subsidiary designated as such by the Borrower in writing to the Administrative Agent that, together with its Subsidiaries: (a) as of the last day of the Measurement Period most recently ended for which financial statements have been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did not have, together with the total assets as of such date of all other Immaterial Subsidiaries (together with their respective Subsidiaries) in the aggregate, total assets in excess of five percent (5%) of Consolidated Total Assets or (b) for the Measurement Period most recently ended for which financial statements have been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did not have, together with the Consolidated EBITDA for such Measurement Period attributable to all Immaterial Subsidiaries (together with their respective Subsidiaries) in the aggregate, Consolidated EBITDA attributable to such Subsidiary in excess of five percent (5%) of Consolidated EBITDA for such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-885825</wp:posOffset>
            </wp:positionV>
            <wp:extent cx="32575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Revolving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2.02(g)(i)</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Incremental Term Borrowing</w:t>
      </w:r>
      <w:r>
        <w:rPr>
          <w:rFonts w:ascii="Arial" w:cs="Arial" w:eastAsia="Arial" w:hAnsi="Arial"/>
          <w:sz w:val="19"/>
          <w:szCs w:val="19"/>
          <w:color w:val="auto"/>
        </w:rPr>
        <w:t xml:space="preserve">” means, with respect to any Incremental Term Facility, a borrowing under such Incremental Term Facility consisting of simultaneous Incremental Term Loans of the same Type and, in the case of Eurodollar Rate Loans, having the same Interest Period made by the Incremental Term Lenders under such Incremental Term Facility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17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Term Commitment</w:t>
      </w:r>
      <w:r>
        <w:rPr>
          <w:rFonts w:ascii="Arial" w:cs="Arial" w:eastAsia="Arial" w:hAnsi="Arial"/>
          <w:sz w:val="20"/>
          <w:szCs w:val="20"/>
          <w:color w:val="auto"/>
        </w:rPr>
        <w:t>” means, as to any Incremental Term Facility, as to each Incremental Term Lender under such Incremental Term Facility, its obligation to make an Incremental Term Loan under such Incremental Term Facility.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3" w:name="page104"/>
    <w:bookmarkEnd w:id="103"/>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Term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Term Facility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2.02(g)(ii)(D)</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Term Facility Maturity Date</w:t>
      </w:r>
      <w:r>
        <w:rPr>
          <w:rFonts w:ascii="Arial" w:cs="Arial" w:eastAsia="Arial" w:hAnsi="Arial"/>
          <w:sz w:val="20"/>
          <w:szCs w:val="20"/>
          <w:color w:val="auto"/>
        </w:rPr>
        <w:t xml:space="preserve">” means, with respect to any Incremental Term Facility, the maturity date of such Incremental Term Facility set forth in the Incremental Term Facility Agreement executed and delivered pursuant to </w:t>
      </w:r>
      <w:r>
        <w:rPr>
          <w:rFonts w:ascii="Arial" w:cs="Arial" w:eastAsia="Arial" w:hAnsi="Arial"/>
          <w:sz w:val="20"/>
          <w:szCs w:val="20"/>
          <w:u w:val="single" w:color="auto"/>
          <w:color w:val="auto"/>
        </w:rPr>
        <w:t>Section 2.02(g)(ii)</w:t>
      </w:r>
      <w:r>
        <w:rPr>
          <w:rFonts w:ascii="Arial" w:cs="Arial" w:eastAsia="Arial" w:hAnsi="Arial"/>
          <w:sz w:val="20"/>
          <w:szCs w:val="20"/>
          <w:color w:val="auto"/>
        </w:rPr>
        <w:t xml:space="preserve"> in connection with such Incremental Term Facility.</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Term Lender</w:t>
      </w:r>
      <w:r>
        <w:rPr>
          <w:rFonts w:ascii="Arial" w:cs="Arial" w:eastAsia="Arial" w:hAnsi="Arial"/>
          <w:sz w:val="20"/>
          <w:szCs w:val="20"/>
          <w:color w:val="auto"/>
        </w:rPr>
        <w:t>” means, with respect to any Incremental Term Facility at any time, any Person that holds an Incremental Term Loan under such Incremental Term Facility at such time.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Term Loan</w:t>
      </w:r>
      <w:r>
        <w:rPr>
          <w:rFonts w:ascii="Arial" w:cs="Arial" w:eastAsia="Arial" w:hAnsi="Arial"/>
          <w:sz w:val="20"/>
          <w:szCs w:val="20"/>
          <w:color w:val="auto"/>
        </w:rPr>
        <w:t>” means, with respect to any Incremental Term Facility, an advance made by an Incremental Term Lender under such Incremental Term Facility.</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Incremental Term Note</w:t>
      </w:r>
      <w:r>
        <w:rPr>
          <w:rFonts w:ascii="Arial" w:cs="Arial" w:eastAsia="Arial" w:hAnsi="Arial"/>
          <w:sz w:val="20"/>
          <w:szCs w:val="20"/>
          <w:color w:val="auto"/>
        </w:rPr>
        <w:t xml:space="preserve">” means a promissory note made by the Borrower in favor of a Term Lender evidencing Term Loans made by such Term Lender,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ind w:left="880" w:firstLine="789"/>
        <w:spacing w:after="0" w:line="260" w:lineRule="auto"/>
        <w:tabs>
          <w:tab w:leader="none" w:pos="25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bankers’ acceptances, bank guaranties and similar instruments;</w:t>
      </w:r>
    </w:p>
    <w:p>
      <w:pPr>
        <w:spacing w:after="0" w:line="176" w:lineRule="exact"/>
        <w:rPr>
          <w:rFonts w:ascii="Arial" w:cs="Arial" w:eastAsia="Arial" w:hAnsi="Arial"/>
          <w:sz w:val="20"/>
          <w:szCs w:val="20"/>
          <w:color w:val="auto"/>
        </w:rPr>
      </w:pPr>
    </w:p>
    <w:p>
      <w:pPr>
        <w:ind w:left="2540" w:hanging="871"/>
        <w:spacing w:after="0"/>
        <w:tabs>
          <w:tab w:leader="none" w:pos="25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5" w:lineRule="exact"/>
        <w:rPr>
          <w:rFonts w:ascii="Arial" w:cs="Arial" w:eastAsia="Arial" w:hAnsi="Arial"/>
          <w:sz w:val="20"/>
          <w:szCs w:val="20"/>
          <w:color w:val="auto"/>
        </w:rPr>
      </w:pPr>
    </w:p>
    <w:p>
      <w:pPr>
        <w:jc w:val="both"/>
        <w:ind w:left="880" w:firstLine="789"/>
        <w:spacing w:after="0" w:line="243" w:lineRule="auto"/>
        <w:tabs>
          <w:tab w:leader="none" w:pos="2556"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(i) trade accounts and other accounts payable in the ordinary course of business and not past due for more than sixty (60) days after the date on which such trade account was created and (ii) deferred compensation accruals for payroll and accrued expenses in the ordinary course of business), including any Earn Out Obligations (with the amount of any Earn Out Obligations incurred in connection with any transaction being deemed to be the amount stated as a liability on the balance sheet of such Person in accordance with GAAP);</w:t>
      </w:r>
    </w:p>
    <w:p>
      <w:pPr>
        <w:spacing w:after="0" w:line="195" w:lineRule="exact"/>
        <w:rPr>
          <w:rFonts w:ascii="Arial" w:cs="Arial" w:eastAsia="Arial" w:hAnsi="Arial"/>
          <w:sz w:val="20"/>
          <w:szCs w:val="20"/>
          <w:color w:val="auto"/>
        </w:rPr>
      </w:pPr>
    </w:p>
    <w:p>
      <w:pPr>
        <w:jc w:val="both"/>
        <w:ind w:left="880" w:firstLine="789"/>
        <w:spacing w:after="0" w:line="263" w:lineRule="auto"/>
        <w:tabs>
          <w:tab w:leader="none" w:pos="2545"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(other than customary reservations or retentions of title under agreements with suppliers entered into in the ordinary course of business);</w:t>
      </w:r>
    </w:p>
    <w:p>
      <w:pPr>
        <w:spacing w:after="0" w:line="176" w:lineRule="exact"/>
        <w:rPr>
          <w:rFonts w:ascii="Arial" w:cs="Arial" w:eastAsia="Arial" w:hAnsi="Arial"/>
          <w:sz w:val="19"/>
          <w:szCs w:val="19"/>
          <w:color w:val="auto"/>
        </w:rPr>
      </w:pPr>
    </w:p>
    <w:p>
      <w:pPr>
        <w:ind w:left="2520" w:hanging="851"/>
        <w:spacing w:after="0"/>
        <w:tabs>
          <w:tab w:leader="none" w:pos="25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all Attributable Indebtedness in respect of Capitalized Leases and Synthetic Lease Obligations of such</w:t>
      </w:r>
    </w:p>
    <w:p>
      <w:pPr>
        <w:spacing w:after="0" w:line="27"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0"/>
          <w:szCs w:val="20"/>
          <w:color w:val="auto"/>
        </w:rPr>
        <w:t>Person;</w:t>
      </w:r>
    </w:p>
    <w:p>
      <w:pPr>
        <w:spacing w:after="0" w:line="199" w:lineRule="exact"/>
        <w:rPr>
          <w:rFonts w:ascii="Arial" w:cs="Arial" w:eastAsia="Arial" w:hAnsi="Arial"/>
          <w:sz w:val="19"/>
          <w:szCs w:val="19"/>
          <w:color w:val="auto"/>
        </w:rPr>
      </w:pPr>
    </w:p>
    <w:p>
      <w:pPr>
        <w:jc w:val="both"/>
        <w:ind w:left="880" w:firstLine="789"/>
        <w:spacing w:after="0" w:line="328" w:lineRule="auto"/>
        <w:tabs>
          <w:tab w:leader="none" w:pos="255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obligations of such Person to purchase, redeem, retire, defease or otherwise make any payment prior to the date that is one hundred eighty-one (181) days after the Latest Maturity Date then in effect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4" w:name="page105"/>
    <w:bookmarkEnd w:id="104"/>
    <w:p>
      <w:pPr>
        <w:ind w:left="2540" w:hanging="871"/>
        <w:spacing w:after="0"/>
        <w:tabs>
          <w:tab w:leader="none" w:pos="25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15" w:lineRule="exact"/>
        <w:rPr>
          <w:rFonts w:ascii="Arial" w:cs="Arial" w:eastAsia="Arial" w:hAnsi="Arial"/>
          <w:sz w:val="20"/>
          <w:szCs w:val="20"/>
          <w:color w:val="auto"/>
        </w:rPr>
      </w:pPr>
    </w:p>
    <w:p>
      <w:pPr>
        <w:jc w:val="both"/>
        <w:ind w:firstLine="8"/>
        <w:spacing w:after="0" w:line="257" w:lineRule="auto"/>
        <w:tabs>
          <w:tab w:leader="none" w:pos="118"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however, that notwithstanding anything to the contrary, (x) amounts owing under any Permitted Convertible Indebtedness shall</w:t>
      </w:r>
      <w:r>
        <w:rPr>
          <w:rFonts w:ascii="Arial" w:cs="Arial" w:eastAsia="Arial" w:hAnsi="Arial"/>
          <w:sz w:val="19"/>
          <w:szCs w:val="19"/>
          <w:i w:val="1"/>
          <w:iCs w:val="1"/>
          <w:color w:val="auto"/>
        </w:rPr>
        <w:t xml:space="preserve"> </w:t>
      </w:r>
      <w:r>
        <w:rPr>
          <w:rFonts w:ascii="Arial" w:cs="Arial" w:eastAsia="Arial" w:hAnsi="Arial"/>
          <w:sz w:val="19"/>
          <w:szCs w:val="19"/>
          <w:color w:val="auto"/>
        </w:rPr>
        <w:t>not be considered Indebtedness to the extent cash collateralized on terms at the time of such pledge, to the extent material to the interests of the Lenders, reasonably satisfactory to the Administrative Agent (it being understood that such pledge shall be in part for the benefit of the Lenders and shall not be released prior to payment in full of all amounts owing under the applicable Permitted Convertible Indebtedness without the consent of the Required Lenders other than to pay amounts owing under such Permitted Convertible Indebtedness to the extent such payments are permitted under this Agreement and any applicable subordination terms), and (y) obligations arising under notes or similar instruments issued in connection with customary commercial arrangements in China shall not be considered Indebtedness to the extent considered accounts payable of such Person in accordance with GAAP.</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or other limited liability legal entity)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and (ii) the fair market value (as determined by the Borrower in good faith) of the property encumbered thereby.</w:t>
      </w:r>
    </w:p>
    <w:p>
      <w:pPr>
        <w:spacing w:after="0" w:line="16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Indemnified Taxes</w:t>
      </w:r>
      <w:r>
        <w:rPr>
          <w:rFonts w:ascii="Arial" w:cs="Arial" w:eastAsia="Arial" w:hAnsi="Arial"/>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Other Taxes.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11.04(b</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11.07(a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Intellectual Property</w:t>
      </w:r>
      <w:r>
        <w:rPr>
          <w:rFonts w:ascii="Arial" w:cs="Arial" w:eastAsia="Arial" w:hAnsi="Arial"/>
          <w:sz w:val="20"/>
          <w:szCs w:val="20"/>
          <w:color w:val="auto"/>
        </w:rPr>
        <w:t>” has the meaning set forth in the Security Agreement.</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Interest Payment Date</w:t>
      </w:r>
      <w:r>
        <w:rPr>
          <w:rFonts w:ascii="Arial" w:cs="Arial" w:eastAsia="Arial" w:hAnsi="Arial"/>
          <w:sz w:val="20"/>
          <w:szCs w:val="20"/>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any Interest Period for a Eurodollar Rate Loan exceeds three (3) months, the respective dates that fall every three (3) months after the beginning of such Interest Period shall also be Interest Payment Dates; and (b) as to any Base Rate Loan or Swingline Loan, the last Business Day of each March, June, September and December and the Maturity Date of the Facility under which such Loan was made (with Swingline Loans being deemed made under the Revolving Facility for purposes of this definition).</w:t>
      </w:r>
    </w:p>
    <w:p>
      <w:pPr>
        <w:spacing w:after="0" w:line="19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Interest Period</w:t>
      </w:r>
      <w:r>
        <w:rPr>
          <w:rFonts w:ascii="Arial" w:cs="Arial" w:eastAsia="Arial" w:hAnsi="Arial"/>
          <w:sz w:val="20"/>
          <w:szCs w:val="20"/>
          <w:color w:val="auto"/>
        </w:rPr>
        <w:t xml:space="preserve">” means, as to each Eurodollar Rate Loan, the period commencing on the date such Eurodollar Rate Loan is disbursed or converted to or continued as a Eurodollar Rate Loan and ending on the date one (1), three (3) or six (6) months thereafter (in each case, subject to availability), as selected by the Borrower in its Loan Notice;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86" w:lineRule="exact"/>
        <w:rPr>
          <w:sz w:val="20"/>
          <w:szCs w:val="20"/>
          <w:color w:val="auto"/>
        </w:rPr>
      </w:pPr>
    </w:p>
    <w:p>
      <w:pPr>
        <w:jc w:val="both"/>
        <w:ind w:left="880" w:firstLine="789"/>
        <w:spacing w:after="0" w:line="250" w:lineRule="auto"/>
        <w:tabs>
          <w:tab w:leader="none" w:pos="2545"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5" w:name="page106"/>
    <w:bookmarkEnd w:id="105"/>
    <w:p>
      <w:pPr>
        <w:jc w:val="both"/>
        <w:ind w:left="880" w:firstLine="789"/>
        <w:spacing w:after="0" w:line="250" w:lineRule="auto"/>
        <w:tabs>
          <w:tab w:leader="none" w:pos="2556"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Arial" w:cs="Arial" w:eastAsia="Arial" w:hAnsi="Arial"/>
          <w:sz w:val="20"/>
          <w:szCs w:val="20"/>
          <w:color w:val="auto"/>
        </w:rPr>
      </w:pPr>
    </w:p>
    <w:p>
      <w:pPr>
        <w:ind w:left="2540" w:hanging="871"/>
        <w:spacing w:after="0"/>
        <w:tabs>
          <w:tab w:leader="none" w:pos="2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23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Investment</w:t>
      </w:r>
      <w:r>
        <w:rPr>
          <w:rFonts w:ascii="Arial" w:cs="Arial" w:eastAsia="Arial" w:hAnsi="Arial"/>
          <w:sz w:val="19"/>
          <w:szCs w:val="19"/>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original cost of such Investment (without adjustment for subsequent increases or decreases in the value of such Investment), reduced by any dividend, distribution, interest payment, return of capital, repayment or other amount received in cash by the Borrower or a Subsidiary in respect of such Investment.</w:t>
      </w:r>
    </w:p>
    <w:p>
      <w:pPr>
        <w:spacing w:after="0" w:line="184"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Involuntary Disposition</w:t>
      </w:r>
      <w:r>
        <w:rPr>
          <w:rFonts w:ascii="Arial" w:cs="Arial" w:eastAsia="Arial" w:hAnsi="Arial"/>
          <w:sz w:val="20"/>
          <w:szCs w:val="20"/>
          <w:color w:val="auto"/>
        </w:rPr>
        <w:t>” means any loss of, damage to or destruction of, or any condemnation or other taking for public use of, any property of any Loan Party or any Subsidiary.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executed and delivered in accordance with the provisions of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Junior Financing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7.13</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Laws</w:t>
      </w:r>
      <w:r>
        <w:rPr>
          <w:rFonts w:ascii="Arial" w:cs="Arial" w:eastAsia="Arial" w:hAnsi="Arial"/>
          <w:sz w:val="19"/>
          <w:szCs w:val="19"/>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C Advance</w:t>
      </w:r>
      <w:r>
        <w:rPr>
          <w:rFonts w:ascii="Arial" w:cs="Arial" w:eastAsia="Arial" w:hAnsi="Arial"/>
          <w:sz w:val="20"/>
          <w:szCs w:val="20"/>
          <w:color w:val="auto"/>
        </w:rPr>
        <w:t>” means, with respect to each Revolving Lender, such Lender’s funding of its participation in any L/C Borrowing in accordance with its Applicable Revolving Percentage.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Borrowing.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6" w:name="page107"/>
    <w:bookmarkEnd w:id="106"/>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C Commitment</w:t>
      </w:r>
      <w:r>
        <w:rPr>
          <w:rFonts w:ascii="Arial" w:cs="Arial" w:eastAsia="Arial" w:hAnsi="Arial"/>
          <w:sz w:val="20"/>
          <w:szCs w:val="20"/>
          <w:color w:val="auto"/>
        </w:rPr>
        <w:t xml:space="preserve">” means, with respect to the L/C Issuer, the commitment of the L/C Issuer to issue Letters of Credit hereunder. The initial amount of the L/C Issuer’s Letter of Credit Commitment is set forth on </w:t>
      </w:r>
      <w:r>
        <w:rPr>
          <w:rFonts w:ascii="Arial" w:cs="Arial" w:eastAsia="Arial" w:hAnsi="Arial"/>
          <w:sz w:val="20"/>
          <w:szCs w:val="20"/>
          <w:u w:val="single" w:color="auto"/>
          <w:color w:val="auto"/>
        </w:rPr>
        <w:t>Schedule 2.03</w:t>
      </w:r>
      <w:r>
        <w:rPr>
          <w:rFonts w:ascii="Arial" w:cs="Arial" w:eastAsia="Arial" w:hAnsi="Arial"/>
          <w:sz w:val="20"/>
          <w:szCs w:val="20"/>
          <w:color w:val="auto"/>
        </w:rPr>
        <w:t xml:space="preserve"> . The Letter of Credit Commitment of the L/C Issuer may be modified from time to time by agreement between the L/C Issuer and the Borrower, and notified to the Administrative Agent.</w:t>
      </w:r>
    </w:p>
    <w:p>
      <w:pPr>
        <w:spacing w:after="0" w:line="191"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C Issuer</w:t>
      </w:r>
      <w:r>
        <w:rPr>
          <w:rFonts w:ascii="Arial" w:cs="Arial" w:eastAsia="Arial" w:hAnsi="Arial"/>
          <w:sz w:val="20"/>
          <w:szCs w:val="20"/>
          <w:color w:val="auto"/>
        </w:rPr>
        <w:t>” means Bank of America in its capacity as issuer of Letters of Credit hereunder, or any successor issuer of Letters of Credit hereunder.</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C Obligations</w:t>
      </w:r>
      <w:r>
        <w:rPr>
          <w:rFonts w:ascii="Arial" w:cs="Arial" w:eastAsia="Arial" w:hAnsi="Arial"/>
          <w:sz w:val="20"/>
          <w:szCs w:val="20"/>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6" w:lineRule="exact"/>
        <w:rPr>
          <w:sz w:val="20"/>
          <w:szCs w:val="20"/>
          <w:color w:val="auto"/>
        </w:rPr>
      </w:pPr>
    </w:p>
    <w:p>
      <w:pPr>
        <w:jc w:val="both"/>
        <w:ind w:right="20"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Latest Maturity Date</w:t>
      </w:r>
      <w:r>
        <w:rPr>
          <w:rFonts w:ascii="Arial" w:cs="Arial" w:eastAsia="Arial" w:hAnsi="Arial"/>
          <w:sz w:val="19"/>
          <w:szCs w:val="19"/>
          <w:color w:val="auto"/>
        </w:rPr>
        <w:t>” means, as of any date of determination, the latest of the Maturity Date with respect to the Revolving Facility, the Maturity Date with respect to the Term Facility and the then-latest Incremental Term Facility Maturity Date.</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Lender</w:t>
      </w:r>
      <w:r>
        <w:rPr>
          <w:rFonts w:ascii="Arial" w:cs="Arial" w:eastAsia="Arial" w:hAnsi="Arial"/>
          <w:sz w:val="20"/>
          <w:szCs w:val="20"/>
          <w:color w:val="auto"/>
        </w:rPr>
        <w:t>” means each of the Persons identified as a “Lender” on the signature pages hereto, each other Person that becomes a “Lender” in accordance with this Agreement (including each Incremental Term Lender) and, their successors and assigns and, unless the context requires otherwise, includes the Swingline Lender.</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Lending Office</w:t>
      </w:r>
      <w:r>
        <w:rPr>
          <w:rFonts w:ascii="Arial" w:cs="Arial" w:eastAsia="Arial" w:hAnsi="Arial"/>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Letter of Credit</w:t>
      </w:r>
      <w:r>
        <w:rPr>
          <w:rFonts w:ascii="Arial" w:cs="Arial" w:eastAsia="Arial" w:hAnsi="Arial"/>
          <w:sz w:val="20"/>
          <w:szCs w:val="20"/>
          <w:color w:val="auto"/>
        </w:rPr>
        <w:t>” means any standby letter of credit issued hereunder.</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L/C Issuer.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2.03(l)</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Letter of Credit Sublimit</w:t>
      </w:r>
      <w:r>
        <w:rPr>
          <w:rFonts w:ascii="Arial" w:cs="Arial" w:eastAsia="Arial" w:hAnsi="Arial"/>
          <w:sz w:val="20"/>
          <w:szCs w:val="20"/>
          <w:color w:val="auto"/>
        </w:rPr>
        <w:t>” means, as of any date of determination, an amount equal to the lesser of (a) $15,000,000 and (b) the Revolving Facility. The Letter of Credit Sublimit is part of, and not in addition to, the Revolving Facility.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Leverage Increase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7.11(b)</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LIBOR</w:t>
      </w:r>
      <w:r>
        <w:rPr>
          <w:rFonts w:ascii="Arial" w:cs="Arial" w:eastAsia="Arial" w:hAnsi="Arial"/>
          <w:sz w:val="20"/>
          <w:szCs w:val="20"/>
          <w:color w:val="auto"/>
        </w:rPr>
        <w:t>” has the meaning specified in the definition of Eurodollar Rate.</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Lien</w:t>
      </w:r>
      <w:r>
        <w:rPr>
          <w:rFonts w:ascii="Arial" w:cs="Arial" w:eastAsia="Arial" w:hAnsi="Arial"/>
          <w:sz w:val="20"/>
          <w:szCs w:val="20"/>
          <w:color w:val="auto"/>
        </w:rPr>
        <w:t>” means any mortgage, pledge, hypothecation, assignment, deposit arrangement, encumbrance, lien (statutory or otherwise), charge, or preference, priority or other security interest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0"/>
          <w:szCs w:val="20"/>
          <w:color w:val="auto"/>
        </w:rPr>
        <w:t>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Limited Condition Acquisition</w:t>
      </w:r>
      <w:r>
        <w:rPr>
          <w:rFonts w:ascii="Arial" w:cs="Arial" w:eastAsia="Arial" w:hAnsi="Arial"/>
          <w:sz w:val="20"/>
          <w:szCs w:val="20"/>
          <w:color w:val="auto"/>
        </w:rPr>
        <w:t>” means any contractually committed Acquisition the consummation of which by the Borrower or any Subsidiary is not conditioned on the availability of, or on obtaining, third party financing.</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Loan</w:t>
      </w:r>
      <w:r>
        <w:rPr>
          <w:rFonts w:ascii="Arial" w:cs="Arial" w:eastAsia="Arial" w:hAnsi="Arial"/>
          <w:sz w:val="20"/>
          <w:szCs w:val="20"/>
          <w:color w:val="auto"/>
        </w:rPr>
        <w:t xml:space="preserve">” means an extension of credit by a Lender to the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Term Loan, a Revolving Loan, an Incremental Term Loan or a Swingline Loan.</w:t>
      </w:r>
    </w:p>
    <w:p>
      <w:pPr>
        <w:spacing w:after="0" w:line="17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Loan Documents</w:t>
      </w:r>
      <w:r>
        <w:rPr>
          <w:rFonts w:ascii="Arial" w:cs="Arial" w:eastAsia="Arial" w:hAnsi="Arial"/>
          <w:sz w:val="18"/>
          <w:szCs w:val="18"/>
          <w:color w:val="auto"/>
        </w:rPr>
        <w:t xml:space="preserve">” means, collectively, this Agreement, the Notes, the Guaranty, the Collateral Documents, the Engagement Letter, each Issuer Document, each Incremental Term Facility Amendment, each Joinder Agreement,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any subordination agreement entered into by the Administrative Agent and a Loan Party in respect of Permitted Subordinated Debt and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11.01</w:t>
      </w:r>
      <w:r>
        <w:rPr>
          <w:rFonts w:ascii="Arial" w:cs="Arial" w:eastAsia="Arial" w:hAnsi="Arial"/>
          <w:sz w:val="18"/>
          <w:szCs w:val="18"/>
          <w:color w:val="auto"/>
        </w:rPr>
        <w:t>, “Loan Documents” shall mean this Agreement, the Guaranty and the Collateral Documents.</w:t>
      </w:r>
    </w:p>
    <w:p>
      <w:pPr>
        <w:spacing w:after="0" w:line="16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Loan Notice</w:t>
      </w:r>
      <w:r>
        <w:rPr>
          <w:rFonts w:ascii="Arial" w:cs="Arial" w:eastAsia="Arial" w:hAnsi="Arial"/>
          <w:sz w:val="19"/>
          <w:szCs w:val="19"/>
          <w:color w:val="auto"/>
        </w:rPr>
        <w:t xml:space="preserve">” means a notice of (a) a Borrowing, (b) a conversion of Loans from one Type to the other, or (c) a continuation of Eurodollar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Loan Parties</w:t>
      </w:r>
      <w:r>
        <w:rPr>
          <w:rFonts w:ascii="Arial" w:cs="Arial" w:eastAsia="Arial" w:hAnsi="Arial"/>
          <w:sz w:val="20"/>
          <w:szCs w:val="20"/>
          <w:color w:val="auto"/>
        </w:rPr>
        <w:t>” means, collectively, the Borrower and each Guarantor.</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Master Agreement</w:t>
      </w:r>
      <w:r>
        <w:rPr>
          <w:rFonts w:ascii="Arial" w:cs="Arial" w:eastAsia="Arial" w:hAnsi="Arial"/>
          <w:sz w:val="20"/>
          <w:szCs w:val="20"/>
          <w:color w:val="auto"/>
        </w:rPr>
        <w:t>” has the meaning set forth in the definition of “Swap Contract.”</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Material Adverse Effect</w:t>
      </w:r>
      <w:r>
        <w:rPr>
          <w:rFonts w:ascii="Arial" w:cs="Arial" w:eastAsia="Arial" w:hAnsi="Arial"/>
          <w:sz w:val="20"/>
          <w:szCs w:val="20"/>
          <w:color w:val="auto"/>
        </w:rPr>
        <w:t>” means (a) a material adverse change in, or a material adverse effect upon, the operations, business, properties or financial condition of the Borrower and its Subsidiaries taken as a whole; or (b) a material adverse effect on (i) the ability of the Loan Parties, taken as a whole, to perform their Obligations, (ii) the legality, validity, binding effect or enforceability against any Loan Party of any material Loan Document to which it is a party or (iii) the rights, remedies and benefits available to, or conferred upon, the Administrative Agent or any Lender under the Loan Documents, taken as a whole (other than to the extent a result of the action or inaction of the Administrative Agent or any Lender).</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Material Subsidiary</w:t>
      </w:r>
      <w:r>
        <w:rPr>
          <w:rFonts w:ascii="Arial" w:cs="Arial" w:eastAsia="Arial" w:hAnsi="Arial"/>
          <w:sz w:val="20"/>
          <w:szCs w:val="20"/>
          <w:color w:val="auto"/>
        </w:rPr>
        <w:t>” means each Subsidiary that is not an Immaterial Subsidiary.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Material Wholly Owned Domestic Subsidiary</w:t>
      </w:r>
      <w:r>
        <w:rPr>
          <w:rFonts w:ascii="Arial" w:cs="Arial" w:eastAsia="Arial" w:hAnsi="Arial"/>
          <w:sz w:val="18"/>
          <w:szCs w:val="18"/>
          <w:color w:val="auto"/>
        </w:rPr>
        <w:t>” means each Material Wholly Owned Subsidiary that is a Domestic Subsidiary.</w:t>
      </w: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Material Wholly Owned Foreign Subsidiary</w:t>
      </w:r>
      <w:r>
        <w:rPr>
          <w:rFonts w:ascii="Arial" w:cs="Arial" w:eastAsia="Arial" w:hAnsi="Arial"/>
          <w:sz w:val="20"/>
          <w:szCs w:val="20"/>
          <w:color w:val="auto"/>
        </w:rPr>
        <w:t>” means each Material Wholly Owned Subsidiary that is a Foreign Subsidiary.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8" w:name="page109"/>
    <w:bookmarkEnd w:id="108"/>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Wholly Owned Subsidiary</w:t>
      </w:r>
      <w:r>
        <w:rPr>
          <w:rFonts w:ascii="Arial" w:cs="Arial" w:eastAsia="Arial" w:hAnsi="Arial"/>
          <w:sz w:val="20"/>
          <w:szCs w:val="20"/>
          <w:color w:val="auto"/>
        </w:rPr>
        <w:t>” means each Wholly Owned Subsidiary that is a Material Subsidiary.</w:t>
      </w:r>
    </w:p>
    <w:p>
      <w:pPr>
        <w:spacing w:after="0" w:line="21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Maturity Date</w:t>
      </w:r>
      <w:r>
        <w:rPr>
          <w:rFonts w:ascii="Arial" w:cs="Arial" w:eastAsia="Arial" w:hAnsi="Arial"/>
          <w:sz w:val="18"/>
          <w:szCs w:val="18"/>
          <w:color w:val="auto"/>
        </w:rPr>
        <w:t xml:space="preserve">” means (a) with respect to the Revolving Facility, September 3, 2026, (b) with respect to the Term Facility, September 3, 2026 and (c) with respect to the Incremental Term Facility, the applicable Incremental Term Facility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5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Measurement Period</w:t>
      </w:r>
      <w:r>
        <w:rPr>
          <w:rFonts w:ascii="Arial" w:cs="Arial" w:eastAsia="Arial" w:hAnsi="Arial"/>
          <w:sz w:val="20"/>
          <w:szCs w:val="20"/>
          <w:color w:val="auto"/>
        </w:rPr>
        <w:t xml:space="preserve">” means, at any date of determination, the most recently completed four (4) fiscal quarters of the Borrower for which the Borrower was required to deliver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6.01(b)</w:t>
      </w:r>
      <w:r>
        <w:rPr>
          <w:rFonts w:ascii="Arial" w:cs="Arial" w:eastAsia="Arial" w:hAnsi="Arial"/>
          <w:sz w:val="20"/>
          <w:szCs w:val="20"/>
          <w:color w:val="auto"/>
        </w:rPr>
        <w:t xml:space="preserve"> (or if prior to the date of delivery of the first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6.01(b)</w:t>
      </w:r>
      <w:r>
        <w:rPr>
          <w:rFonts w:ascii="Arial" w:cs="Arial" w:eastAsia="Arial" w:hAnsi="Arial"/>
          <w:sz w:val="20"/>
          <w:szCs w:val="20"/>
          <w:color w:val="auto"/>
        </w:rPr>
        <w:t>, the most recently ended fiscal quarter of the Borrower for which financial statements are available).</w:t>
      </w:r>
    </w:p>
    <w:p>
      <w:pPr>
        <w:spacing w:after="0" w:line="191"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Minimum Collateral Amount</w:t>
      </w:r>
      <w:r>
        <w:rPr>
          <w:rFonts w:ascii="Arial" w:cs="Arial" w:eastAsia="Arial" w:hAnsi="Arial"/>
          <w:sz w:val="18"/>
          <w:szCs w:val="18"/>
          <w:color w:val="auto"/>
        </w:rPr>
        <w:t>” means, at any time, (a) with respect to Cash Collateral consisting of cash or deposit account balances, an amount equal to 103% of the Fronting Exposure of the L/C Issuer with respect to Letters of Credit issued and outstanding at such time and (b) otherwise, an amount determined by the Administrative Agent and the L/C Issuer in their sole discretion.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Moody</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Mortgage</w:t>
      </w:r>
      <w:r>
        <w:rPr>
          <w:rFonts w:ascii="Arial" w:cs="Arial" w:eastAsia="Arial" w:hAnsi="Arial"/>
          <w:sz w:val="20"/>
          <w:szCs w:val="20"/>
          <w:color w:val="auto"/>
        </w:rPr>
        <w:t>” or “</w:t>
      </w:r>
      <w:r>
        <w:rPr>
          <w:rFonts w:ascii="Arial" w:cs="Arial" w:eastAsia="Arial" w:hAnsi="Arial"/>
          <w:sz w:val="20"/>
          <w:szCs w:val="20"/>
          <w:i w:val="1"/>
          <w:iCs w:val="1"/>
          <w:u w:val="single" w:color="auto"/>
          <w:color w:val="auto"/>
        </w:rPr>
        <w:t>Mortgages</w:t>
      </w:r>
      <w:r>
        <w:rPr>
          <w:rFonts w:ascii="Arial" w:cs="Arial" w:eastAsia="Arial" w:hAnsi="Arial"/>
          <w:sz w:val="20"/>
          <w:szCs w:val="20"/>
          <w:color w:val="auto"/>
        </w:rPr>
        <w:t>” means, individually and collectively, as the context requires, each of the fee or leasehold mortgages, deeds of trust, deeds and other similar security documents executed by a Loan Party that purport to grant a Lien to the Administrative Agent (or a trustee for the benefit of the Administrative Agent) for the benefit of the Secured Parties in any Mortgaged Properties, in form and substance satisfactory to the Administrative Agent.</w:t>
      </w:r>
    </w:p>
    <w:p>
      <w:pPr>
        <w:spacing w:after="0" w:line="191"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Mortgaged Property</w:t>
      </w:r>
      <w:r>
        <w:rPr>
          <w:rFonts w:ascii="Arial" w:cs="Arial" w:eastAsia="Arial" w:hAnsi="Arial"/>
          <w:sz w:val="19"/>
          <w:szCs w:val="19"/>
          <w:color w:val="auto"/>
        </w:rPr>
        <w:t>” means any real property (other than any Excluded Property) of a Loan Party owned in fee simple by any Loan Party that is or is required to be encumbered by a Mortgage in accordance with the terms of this Agreement.</w:t>
      </w:r>
    </w:p>
    <w:p>
      <w:pPr>
        <w:spacing w:after="0" w:line="15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Mortgaged Property Support Documents</w:t>
      </w:r>
      <w:r>
        <w:rPr>
          <w:rFonts w:ascii="Arial" w:cs="Arial" w:eastAsia="Arial" w:hAnsi="Arial"/>
          <w:sz w:val="20"/>
          <w:szCs w:val="20"/>
          <w:color w:val="auto"/>
        </w:rPr>
        <w:t xml:space="preserve">” means, with respect to any real property subject to a Mortgage, the deliveries and documents described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Net Cash Proceeds</w:t>
      </w:r>
      <w:r>
        <w:rPr>
          <w:rFonts w:ascii="Arial" w:cs="Arial" w:eastAsia="Arial" w:hAnsi="Arial"/>
          <w:sz w:val="18"/>
          <w:szCs w:val="18"/>
          <w:color w:val="auto"/>
        </w:rPr>
        <w:t>” means (i) in connection with any Disposition or Involuntary Disposition, the aggregate cash or Cash Equivalents proceeds received by any Loan Party or any Subsidiary in respect thereof, net of (a) customary costs and expenses incurred in connection therewith (including, without limitation, legal, brokerage, advisor, accounting and investment banking fees and sales commissions and other professional fees and disbursements, survey costs, title insurance premiums and related search and recording charges), (b) taxes paid or payable (or estimated in good faith by the Borrower to become payable) as a result thereof or in connection with the repatriation of any cash payments received (or subsequently received) by any Foreign Subsidiary in connection therewith, (c) in the case of any Disposition or any Involuntary Disposition, the amount necessary to retire any Indebtedness, including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9" w:name="page110"/>
    <w:bookmarkEnd w:id="109"/>
    <w:p>
      <w:pPr>
        <w:jc w:val="both"/>
        <w:spacing w:after="0" w:line="231" w:lineRule="exact"/>
        <w:rPr>
          <w:sz w:val="20"/>
          <w:szCs w:val="20"/>
          <w:color w:val="auto"/>
        </w:rPr>
      </w:pPr>
      <w:r>
        <w:rPr>
          <w:rFonts w:ascii="Arial" w:cs="Arial" w:eastAsia="Arial" w:hAnsi="Arial"/>
          <w:sz w:val="18"/>
          <w:szCs w:val="18"/>
          <w:color w:val="auto"/>
        </w:rPr>
        <w:t>premium or penalty thereon, secured by a Permitted Lien (ranking senior to any Lien of the Administrative Agent) on the related property, (d) a reasonable reserve established in accordance with GAAP against any adjustment to the sale price or any liabilities (other than any taxes deducted pursuant to clause (b) above) (x) related to any of the applicable assets and (y) retained by the Borrower or applicable Subsidiary, including, without limitation, pension and other post-employment benefit liabilities related to environmental matters or for any indemnification payments (fixed or contingent) attributable to seller’s indemnities and representations and warranties to purchaser in respect of such Disposition or Involuntary Disposition undertaken by the Borrower or any of the Subsidiaries in connection with such Disposition or Involuntary Disposition; provided, upon release of any such reserve, the amount released shall be considered Net Cash Proceeds, (e) in the case of any Disposition or Involuntary Disposition by a non-Wholly Owned Subsidiary, the pro rata portion of the Net Cash Proceeds thereof (calculated without regard to this clause (e)) attributable to minority interests and not available for distribution to or for the account of the Borrower or a Wholly Owned Subsidiary as a result thereof, and (f) in the case of any Involuntary Disposition, amounts required to be turned over to landlords (or their mortgagees) pursuant to the terms of any lease to which the Borrower or any of its Subsidiaries is party; it being understood that “Net Cash Proceeds” shall include, without limitation, any cash or Cash Equivalents received upon the sale or other disposition of any non</w:t>
      </w:r>
      <w:r>
        <w:rPr>
          <w:rFonts w:ascii="MS PGothic" w:cs="MS PGothic" w:eastAsia="MS PGothic" w:hAnsi="MS PGothic"/>
          <w:sz w:val="18"/>
          <w:szCs w:val="18"/>
          <w:color w:val="auto"/>
        </w:rPr>
        <w:t>‑</w:t>
      </w:r>
      <w:r>
        <w:rPr>
          <w:rFonts w:ascii="Arial" w:cs="Arial" w:eastAsia="Arial" w:hAnsi="Arial"/>
          <w:sz w:val="18"/>
          <w:szCs w:val="18"/>
          <w:color w:val="auto"/>
        </w:rPr>
        <w:t>cash consideration received by any Loan Party or any Subsidiary in any Disposition or Involuntary Disposition, and</w:t>
      </w:r>
    </w:p>
    <w:p>
      <w:pPr>
        <w:spacing w:after="0" w:line="6" w:lineRule="exact"/>
        <w:rPr>
          <w:sz w:val="20"/>
          <w:szCs w:val="20"/>
          <w:color w:val="auto"/>
        </w:rPr>
      </w:pPr>
    </w:p>
    <w:p>
      <w:pPr>
        <w:jc w:val="both"/>
        <w:ind w:firstLine="8"/>
        <w:spacing w:after="0"/>
        <w:tabs>
          <w:tab w:leader="none" w:pos="304"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connection with any Debt Issuance, the cash or Cash Equivalents proceeds received by any Loan Party or any Subsidiary therefrom, net of attorneys’ fees, investment banking fees, accountants’ fees, underwriting discounts and commissions, other customary fees and expenses actually incurred in connection therewith, and, in the case of any Indebtedness that constitutes Permitted Convertible Indebtedness, the net cost of any Permitted Call Spread Transaction executed substantially concurrently with the pricing of such Permitted Convertible Indebtedness.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New Revolving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Non</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Consenting Lender</w:t>
      </w:r>
      <w:r>
        <w:rPr>
          <w:rFonts w:ascii="Arial" w:cs="Arial" w:eastAsia="Arial" w:hAnsi="Arial"/>
          <w:sz w:val="20"/>
          <w:szCs w:val="20"/>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and (b) has been approved by the Required Lenders.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Non</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Non</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Extension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Not Otherwise Applied</w:t>
      </w:r>
      <w:r>
        <w:rPr>
          <w:rFonts w:ascii="Arial" w:cs="Arial" w:eastAsia="Arial" w:hAnsi="Arial"/>
          <w:sz w:val="20"/>
          <w:szCs w:val="20"/>
          <w:color w:val="auto"/>
        </w:rPr>
        <w:t>” means, with reference to any amount of any capital contribution to the Borrower, any amount of proceeds from issuances of Qualified Equity Interests of the Borrower or any Subsidiary or the proceeds from any “key-man” life insurance policy, in each case, that are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Note</w:t>
      </w:r>
      <w:r>
        <w:rPr>
          <w:rFonts w:ascii="Arial" w:cs="Arial" w:eastAsia="Arial" w:hAnsi="Arial"/>
          <w:sz w:val="20"/>
          <w:szCs w:val="20"/>
          <w:color w:val="auto"/>
        </w:rPr>
        <w:t>” means a Term Note, a Revolving Note or an Incremental Term Note, as the context may require.</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Notice of Loan Prepayment</w:t>
      </w:r>
      <w:r>
        <w:rPr>
          <w:rFonts w:ascii="Arial" w:cs="Arial" w:eastAsia="Arial" w:hAnsi="Arial"/>
          <w:sz w:val="20"/>
          <w:szCs w:val="20"/>
          <w:color w:val="auto"/>
        </w:rPr>
        <w:t xml:space="preserve">” means a notice of prepayment with respect to a Loan, which shall be substantially in the form of </w:t>
      </w:r>
      <w:r>
        <w:rPr>
          <w:rFonts w:ascii="Arial" w:cs="Arial" w:eastAsia="Arial" w:hAnsi="Arial"/>
          <w:sz w:val="20"/>
          <w:szCs w:val="20"/>
          <w:u w:val="single" w:color="auto"/>
          <w:color w:val="auto"/>
        </w:rPr>
        <w:t>Exhibit R</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0" w:name="page111"/>
    <w:bookmarkEnd w:id="110"/>
    <w:p>
      <w:pPr>
        <w:jc w:val="both"/>
        <w:ind w:firstLine="86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Obligations</w:t>
      </w:r>
      <w:r>
        <w:rPr>
          <w:rFonts w:ascii="Arial" w:cs="Arial" w:eastAsia="Arial" w:hAnsi="Arial"/>
          <w:sz w:val="19"/>
          <w:szCs w:val="19"/>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accordance with the terms of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hereof or as provided in any other Loan Document,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without limiting the foregoing, the Obligations of a Guarantor shall exclude any Excluded Swap Obligations with respect to such Guarantor.</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OID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2.02(g)(ii)</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Organization Documents</w:t>
      </w:r>
      <w:r>
        <w:rPr>
          <w:rFonts w:ascii="Arial" w:cs="Arial" w:eastAsia="Arial" w:hAnsi="Arial"/>
          <w:sz w:val="18"/>
          <w:szCs w:val="18"/>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6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7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Outstanding Amount</w:t>
      </w:r>
      <w:r>
        <w:rPr>
          <w:rFonts w:ascii="Arial" w:cs="Arial" w:eastAsia="Arial" w:hAnsi="Arial"/>
          <w:sz w:val="20"/>
          <w:szCs w:val="20"/>
          <w:color w:val="auto"/>
        </w:rPr>
        <w:t>” means (a) with respect to Term Loans, Revolving Loans, Incremental Term Loans and Swingline Loans on any date, the aggregate outstanding principal amount thereof after giving effect to any Borrowings and prepayments or repayments of Term Loans, Revolving Loans and Swingline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1" w:name="page112"/>
    <w:bookmarkEnd w:id="111"/>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Patriot 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11.19</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Pension Funding Rules</w:t>
      </w:r>
      <w:r>
        <w:rPr>
          <w:rFonts w:ascii="Arial" w:cs="Arial" w:eastAsia="Arial" w:hAnsi="Arial"/>
          <w:sz w:val="20"/>
          <w:szCs w:val="20"/>
          <w:color w:val="auto"/>
        </w:rPr>
        <w:t>” means the rules of the Code and ERISA regarding minimum funding standards with respect to Pension Plans and set forth in Sections 412, 430, 431, and 436 of the Code and Sections 302, 303, and 304 of ERISA.</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Pension Plan</w:t>
      </w:r>
      <w:r>
        <w:rPr>
          <w:rFonts w:ascii="Arial" w:cs="Arial" w:eastAsia="Arial" w:hAnsi="Arial"/>
          <w:sz w:val="20"/>
          <w:szCs w:val="20"/>
          <w:color w:val="auto"/>
        </w:rPr>
        <w:t>” means any employee pension benefit plan within the meaning of Section 3(2) of ERISA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9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Permitted Acquisition</w:t>
      </w:r>
      <w:r>
        <w:rPr>
          <w:rFonts w:ascii="Arial" w:cs="Arial" w:eastAsia="Arial" w:hAnsi="Arial"/>
          <w:sz w:val="20"/>
          <w:szCs w:val="20"/>
          <w:color w:val="auto"/>
        </w:rPr>
        <w:t>” means an Acquisition (or the acquisition of additional Equity Interests of a non-Wholly Owned Subsidiary) by any Loan Party or any Subsidiary (the Person or division, line of business or other business unit of the Person to be acquired in such Acquisition shall be referred to herein as the “</w:t>
      </w:r>
      <w:r>
        <w:rPr>
          <w:rFonts w:ascii="Arial" w:cs="Arial" w:eastAsia="Arial" w:hAnsi="Arial"/>
          <w:sz w:val="20"/>
          <w:szCs w:val="20"/>
          <w:i w:val="1"/>
          <w:iCs w:val="1"/>
          <w:u w:val="single" w:color="auto"/>
          <w:color w:val="auto"/>
        </w:rPr>
        <w:t>Target</w:t>
      </w:r>
      <w:r>
        <w:rPr>
          <w:rFonts w:ascii="Arial" w:cs="Arial" w:eastAsia="Arial" w:hAnsi="Arial"/>
          <w:sz w:val="20"/>
          <w:szCs w:val="20"/>
          <w:color w:val="auto"/>
        </w:rPr>
        <w:t xml:space="preserve">”) of a Target, in each case that is a type of business (or assets used in a type of business) in which the Borrower and its Subsidiaries are not prohibited from engaging pursuant to </w:t>
      </w:r>
      <w:r>
        <w:rPr>
          <w:rFonts w:ascii="Arial" w:cs="Arial" w:eastAsia="Arial" w:hAnsi="Arial"/>
          <w:sz w:val="20"/>
          <w:szCs w:val="20"/>
          <w:u w:val="single" w:color="auto"/>
          <w:color w:val="auto"/>
        </w:rPr>
        <w:t>Section 7.07</w:t>
      </w:r>
      <w:r>
        <w:rPr>
          <w:rFonts w:ascii="Arial" w:cs="Arial" w:eastAsia="Arial" w:hAnsi="Arial"/>
          <w:sz w:val="20"/>
          <w:szCs w:val="20"/>
          <w:color w:val="auto"/>
        </w:rPr>
        <w:t xml:space="preserve"> (including the formation and funding of Subsidiaries in connection therewith) in each case provided that:</w:t>
      </w:r>
    </w:p>
    <w:p>
      <w:pPr>
        <w:spacing w:after="0" w:line="194" w:lineRule="exact"/>
        <w:rPr>
          <w:sz w:val="20"/>
          <w:szCs w:val="20"/>
          <w:color w:val="auto"/>
        </w:rPr>
      </w:pPr>
    </w:p>
    <w:p>
      <w:pPr>
        <w:jc w:val="both"/>
        <w:ind w:left="880" w:firstLine="789"/>
        <w:spacing w:after="0" w:line="244" w:lineRule="auto"/>
        <w:tabs>
          <w:tab w:leader="none" w:pos="2545" w:val="left"/>
        </w:tabs>
        <w:numPr>
          <w:ilvl w:val="0"/>
          <w:numId w:val="56"/>
        </w:numPr>
        <w:rPr>
          <w:rFonts w:ascii="Arial" w:cs="Arial" w:eastAsia="Arial" w:hAnsi="Arial"/>
          <w:sz w:val="20"/>
          <w:szCs w:val="20"/>
          <w:color w:val="auto"/>
        </w:rPr>
      </w:pPr>
      <w:r>
        <w:rPr>
          <w:rFonts w:ascii="Arial" w:cs="Arial" w:eastAsia="Arial" w:hAnsi="Arial"/>
          <w:sz w:val="20"/>
          <w:szCs w:val="20"/>
          <w:color w:val="auto"/>
        </w:rPr>
        <w:t>(i) in the case of a Limited Condition Acquisition, (1) no Default shall exist as of the date the definitive acquisition agreement for such Limited Condition Acquisition is entered into and (2) immediately prior to, and after giving effect to such Limited Condition Acquisition, no Specified Event of Default shall have occurred and be continuing or would result therefrom and (ii) in the case of any other Acquisition, no Default shall then exist or would exist immediately after giving effect thereto;</w:t>
      </w:r>
    </w:p>
    <w:p>
      <w:pPr>
        <w:spacing w:after="0" w:line="194" w:lineRule="exact"/>
        <w:rPr>
          <w:rFonts w:ascii="Arial" w:cs="Arial" w:eastAsia="Arial" w:hAnsi="Arial"/>
          <w:sz w:val="20"/>
          <w:szCs w:val="20"/>
          <w:color w:val="auto"/>
        </w:rPr>
      </w:pPr>
    </w:p>
    <w:p>
      <w:pPr>
        <w:ind w:left="880" w:firstLine="789"/>
        <w:spacing w:after="0" w:line="316" w:lineRule="auto"/>
        <w:tabs>
          <w:tab w:leader="none" w:pos="25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1.02(f)</w:t>
      </w:r>
      <w:r>
        <w:rPr>
          <w:rFonts w:ascii="Arial" w:cs="Arial" w:eastAsia="Arial" w:hAnsi="Arial"/>
          <w:sz w:val="18"/>
          <w:szCs w:val="18"/>
          <w:color w:val="auto"/>
        </w:rPr>
        <w:t xml:space="preserve">, upon giving effect to such Acquisition on a Pro Forma Basis, the Loan Parties would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then most recent Measurement Period;</w:t>
      </w:r>
    </w:p>
    <w:p>
      <w:pPr>
        <w:spacing w:after="0" w:line="129" w:lineRule="exact"/>
        <w:rPr>
          <w:rFonts w:ascii="Arial" w:cs="Arial" w:eastAsia="Arial" w:hAnsi="Arial"/>
          <w:sz w:val="18"/>
          <w:szCs w:val="18"/>
          <w:color w:val="auto"/>
        </w:rPr>
      </w:pPr>
    </w:p>
    <w:p>
      <w:pPr>
        <w:ind w:left="880" w:right="20" w:firstLine="789"/>
        <w:spacing w:after="0" w:line="260" w:lineRule="auto"/>
        <w:tabs>
          <w:tab w:leader="none" w:pos="2545" w:val="left"/>
        </w:tabs>
        <w:numPr>
          <w:ilvl w:val="0"/>
          <w:numId w:val="56"/>
        </w:numPr>
        <w:rPr>
          <w:rFonts w:ascii="Arial" w:cs="Arial" w:eastAsia="Arial" w:hAnsi="Arial"/>
          <w:sz w:val="20"/>
          <w:szCs w:val="20"/>
          <w:color w:val="auto"/>
        </w:rPr>
      </w:pPr>
      <w:r>
        <w:rPr>
          <w:rFonts w:ascii="Arial" w:cs="Arial" w:eastAsia="Arial" w:hAnsi="Arial"/>
          <w:sz w:val="20"/>
          <w:szCs w:val="20"/>
          <w:color w:val="auto"/>
        </w:rPr>
        <w:t>such Acquisition shall not be a “hostile” Acquisition and shall have been approved by the board of directors (or equivalent) and/or shareholders (or equivalent) of the applicable Loan Party and the Target; and</w:t>
      </w:r>
    </w:p>
    <w:p>
      <w:pPr>
        <w:spacing w:after="0" w:line="176" w:lineRule="exact"/>
        <w:rPr>
          <w:rFonts w:ascii="Arial" w:cs="Arial" w:eastAsia="Arial" w:hAnsi="Arial"/>
          <w:sz w:val="20"/>
          <w:szCs w:val="20"/>
          <w:color w:val="auto"/>
        </w:rPr>
      </w:pPr>
    </w:p>
    <w:p>
      <w:pPr>
        <w:jc w:val="both"/>
        <w:ind w:left="880" w:firstLine="789"/>
        <w:spacing w:after="0" w:line="243" w:lineRule="auto"/>
        <w:tabs>
          <w:tab w:leader="none" w:pos="2556"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the aggregate Cost of Acquisition paid by the Loan Parties for all Foreign Acquisitions consummated during any fiscal year shall not exceed $25,000,000 (with fifty percent (50%) of the unused amounts in any fiscal year being carried over to the immediately succeeding fiscal year (but to no further succeeding fiscal year after the immediately succeeding fiscal year);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Cost of Acquisition with respect to Acquisitions consummated in any fiscal year shall be applied first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aggregate amount permitted for such fiscal year, until utilized in full, and then to any amount carried over from the prior fiscal year).</w:t>
      </w:r>
    </w:p>
    <w:p>
      <w:pPr>
        <w:spacing w:after="0" w:line="19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Permitted Bond Hedge Transaction</w:t>
      </w:r>
      <w:r>
        <w:rPr>
          <w:rFonts w:ascii="Arial" w:cs="Arial" w:eastAsia="Arial" w:hAnsi="Arial"/>
          <w:sz w:val="19"/>
          <w:szCs w:val="19"/>
          <w:color w:val="auto"/>
        </w:rPr>
        <w:t>” means any bond hedge, capped call or similar option transaction purchased by Borrower and entered into in connection with the issuance of Permitted Convertible Indebtedness for the purpose or having the effect of increasing the effective conversion price of such Permitted Convertible Indebtedness and referencing the same Qualified Equity Interests of the Borrower into which the Permitted Convertible Indebtedness converts; provided that the purchase price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0"/>
          <w:szCs w:val="20"/>
          <w:color w:val="auto"/>
        </w:rPr>
        <w:t>such Permitted Bond Hedge Transaction, less the proceeds received by the Borrower from the sale of any related Permitted Warrant Transaction, does not exceed the net proceeds received by Borrower from the issuance of such Permitted Convertible Indebtedness in connection with such Permitted Bond Hedge Transaction.</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Permitted Call Spread Transaction</w:t>
      </w:r>
      <w:r>
        <w:rPr>
          <w:rFonts w:ascii="Arial" w:cs="Arial" w:eastAsia="Arial" w:hAnsi="Arial"/>
          <w:sz w:val="20"/>
          <w:szCs w:val="20"/>
          <w:color w:val="auto"/>
        </w:rPr>
        <w:t>” means any Permitted Bond Hedge Transaction together with, if applicable, any Permitted Warrant Transaction.</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Permitted Convertible Indebtedness</w:t>
      </w:r>
      <w:r>
        <w:rPr>
          <w:rFonts w:ascii="Arial" w:cs="Arial" w:eastAsia="Arial" w:hAnsi="Arial"/>
          <w:sz w:val="20"/>
          <w:szCs w:val="20"/>
          <w:color w:val="auto"/>
        </w:rPr>
        <w:t>” means any unsecured Convertible Indebtedness of the Borrower constituting Permitted Subordinated Debt.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Permitted Equity Investors</w:t>
      </w:r>
      <w:r>
        <w:rPr>
          <w:rFonts w:ascii="Arial" w:cs="Arial" w:eastAsia="Arial" w:hAnsi="Arial"/>
          <w:sz w:val="20"/>
          <w:szCs w:val="20"/>
          <w:color w:val="auto"/>
        </w:rPr>
        <w:t>” means EagleTree Capital, LP and its Controlled Investment Affiliates.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Permitted Liens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Permitted Refinancing</w:t>
      </w:r>
      <w:r>
        <w:rPr>
          <w:rFonts w:ascii="Arial" w:cs="Arial" w:eastAsia="Arial" w:hAnsi="Arial"/>
          <w:sz w:val="18"/>
          <w:szCs w:val="18"/>
          <w:color w:val="auto"/>
        </w:rPr>
        <w:t xml:space="preserve">” means, with respect to any Indebtedness of any Person, any modification, refinancing, refunding, replacement, renewal or extension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the principal amount thereof does not exceed the sum of (i) the outstanding principal amount of the Indebtedness so modified, refinanced, refunded, replaced, renewed or extended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prepayment premiums paid, and reasonable and customary fees and expenses incurred, in connection with such modification, refinancing, refunding, replacement, renewal or extension, (b) such modification, refinancing, refunding, replacement, renewal or extension has (i) a final maturity date equal to or later than the final maturity date of the Indebtedness being modified, refinanced, refunded, replaced, renewed or extended, and (ii) subject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Permitted Subordinated Debt, a Weighted Average Life to Maturity equal to or longer than the Weighted Average Life to Maturity of the Indebtedness being modified, refinanced, refunded, replaced, renewed or extended, (c) the direct and contingent obligors of such Indebtedness shall not be changed, as a result of or in connection with such modification, refinancing, refunding, replacement, renewal or extension, (d) the terms (excluding pricing, fees, rate floors, discounts, premiums and optional prepayment or redemption terms) of such Indebtedness shall not be changed in any manner that (as determined by the Borrower in good faith) is materially adverse, taken as a whole, to the Borrower and its Subsidiaries as a result of or in connection with such modification, refinancing, refunding, replacement, renewal or extension, (e) if the Indebtedness being modified, refinanced, refunded, replaced, renewed or extended is a Junior Financing, such modification, refinancing, refunding, replacement, renewal or extension is subordinated to the Secured Obligations on terms at least as favorable to the Lenders (as determined by the Borrower in good faith in consultation with the Administrative Agent) as those contained in the documentation governing the Junior Financing being so modified, refinanced, refunded, renewed or extended, (f) if the Indebtedness being modified, refinanced, refunded, replaced, renewed or extended is unsecured, such modification, refinancing, refunding, replacement, renewal or extension shall be unsecured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limitation contained in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be applicable to the extent that any Liens that would otherwise be prohibited by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are permitted pursuant to any other subclause of </w:t>
      </w:r>
      <w:r>
        <w:rPr>
          <w:rFonts w:ascii="Arial" w:cs="Arial" w:eastAsia="Arial" w:hAnsi="Arial"/>
          <w:sz w:val="18"/>
          <w:szCs w:val="18"/>
          <w:u w:val="single" w:color="auto"/>
          <w:color w:val="auto"/>
        </w:rPr>
        <w:t>Section 7.01</w:t>
      </w:r>
      <w:r>
        <w:rPr>
          <w:rFonts w:ascii="Arial" w:cs="Arial" w:eastAsia="Arial" w:hAnsi="Arial"/>
          <w:sz w:val="18"/>
          <w:szCs w:val="18"/>
          <w:color w:val="auto"/>
        </w:rPr>
        <w:t>), and (g) (i) in the case of any such modification, refinancing, refunding, replacement, renewal or extension entered into in connection with a Limited Condition Acquisition, (1) no Event of Default shall have occurred and be continuing as of the date the definitive acquisition agreement for such Limited Condition Acquisition is entered into and (2) no Specified Event of Default shall have occurred and be continuing at the time of such modification, refinancing, refunding, replacement, renewal or extension and (ii) in the case of any modification, refinancing, refunding, replacement, renewal or extension not in connection with a Limited Condition Acquisition, no Default shall have occurred and be continuing at the time of such modification, refinancing, refunding, replacement, renewal or extension.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3" w:name="page114"/>
    <w:bookmarkEnd w:id="113"/>
    <w:p>
      <w:pPr>
        <w:jc w:val="both"/>
        <w:ind w:firstLine="86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Permitted Sale and Leaseback Transaction</w:t>
      </w:r>
      <w:r>
        <w:rPr>
          <w:rFonts w:ascii="Arial" w:cs="Arial" w:eastAsia="Arial" w:hAnsi="Arial"/>
          <w:sz w:val="19"/>
          <w:szCs w:val="19"/>
          <w:color w:val="auto"/>
        </w:rPr>
        <w:t xml:space="preserve">” means any Sale and Leaseback Transaction consummated by a Loan Party with respect to any fee owned real property of such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 the real property sold shall be sold for fair market value (as determined by the Borrower in good faith) to a Person that is not an Affiliate of the Borrower or any Subsidiary, (b) the Borrower shall have delivered a certificate of a Responsible Officer of the Borrower certifying that: (i) after giving effect to such Sale and Leaseback Transaction on a Pro Forma Basis, the Loan Parties would be in compliance with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of the most recent Measurement Period and (ii) no Event of Default shall have occurred and be continuing or would arise upon consummation of such transaction as a result thereof and (c) the Net Cash Proceeds received from the sale of such property shall have been applied in accordance with, and to the extent required by, </w:t>
      </w:r>
      <w:r>
        <w:rPr>
          <w:rFonts w:ascii="Arial" w:cs="Arial" w:eastAsia="Arial" w:hAnsi="Arial"/>
          <w:sz w:val="19"/>
          <w:szCs w:val="19"/>
          <w:u w:val="single" w:color="auto"/>
          <w:color w:val="auto"/>
        </w:rPr>
        <w:t>Section 2.05(b)(i)</w:t>
      </w:r>
      <w:r>
        <w:rPr>
          <w:rFonts w:ascii="Arial" w:cs="Arial" w:eastAsia="Arial" w:hAnsi="Arial"/>
          <w:sz w:val="19"/>
          <w:szCs w:val="19"/>
          <w:color w:val="auto"/>
        </w:rPr>
        <w:t>.</w:t>
      </w:r>
    </w:p>
    <w:p>
      <w:pPr>
        <w:spacing w:after="0" w:line="18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Permitted Subordinated Debt</w:t>
      </w:r>
      <w:r>
        <w:rPr>
          <w:rFonts w:ascii="Arial" w:cs="Arial" w:eastAsia="Arial" w:hAnsi="Arial"/>
          <w:sz w:val="19"/>
          <w:szCs w:val="19"/>
          <w:color w:val="auto"/>
        </w:rPr>
        <w:t xml:space="preserve">” means unsecured Indebtedness (which may include, for the avoidance of doubt, Convertible Indebtedness) of the Borrower (and any Permitted Refinancing thereof) in an aggregate principal amount at any one time outstanding not to exceed $200,000,000;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(a) such Indebtedness (and any Permitted Refinancing thereof) is subordinated to the Secured Obligations on terms and pursuant to documentation reasonably satisfactory to the Administrative Agent, (b) no Default exists at the time of, or will exist immediately after giving effect to, the incurrence of such Indebtedness (or such Permitted Refinancing, as the case may be), (c) no Subsidiary shall Guarantee any such Indebtedness if such Subsidiary is not a Guarantor, (d) such Indebtedness (and any Permitted Refinancing thereof) shall not mature, and no scheduled or mandatory principal payments, prepayments, cash settlements, repurchases, redemptions or sinking fund or like payments of such Indebtedness (except those that are customarily included with respect to Indebtedness of such nature), shall be required at any time on or prior to the date that is ninety-one (91) days after the Latest Maturity Date, (e) such Indebtedness (or any Permitted Refinancing thereof) shall not include terms and conditions (excluding pricing, premiums and optional prepayment or optional redemption provisions) that are, when taken as a whole, in the good faith judgment of the Borrower, materially more restrictive on the Borrower and its Subsidiaries than the terms and conditions of this Agreement (it being understood that the inclusion of a customary delisting prong of the fundamental change definition in any Permitted Convertible Indebtedness shall not be deemed to be materially more restrictive) unless the Loan Parties shall have entered into an amendment to this Agreement with the Administrative Agent (which, notwithstanding anything to the contrary set forth herein, shall not require the consent of any other Lender) to add such more restrictive terms to this Agreement and (f) the Borrower shall have delivered to the Administrative Agent a certificate of a Responsible Officer of the Borrower (in form and substance reasonably satisfactory to the Administrative Agent) certifying as to the satisfaction of the foregoing.</w:t>
      </w:r>
    </w:p>
    <w:p>
      <w:pPr>
        <w:spacing w:after="0" w:line="18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Permitted Transfer</w:t>
      </w:r>
      <w:r>
        <w:rPr>
          <w:rFonts w:ascii="Arial" w:cs="Arial" w:eastAsia="Arial" w:hAnsi="Arial"/>
          <w:sz w:val="19"/>
          <w:szCs w:val="19"/>
          <w:color w:val="auto"/>
        </w:rPr>
        <w:t xml:space="preserve">” means (a) any Disposition by the Borrower or any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 at the time of such Disposition, no Event of Default shall exist or would result from such Disposition, (ii) such Disposition shall be for fair market value (as determined by the Borrower in good faith), (iii) the aggregate amount of all Permitted Transfers made in any fiscal year shall not exceed $15,000,000 (with fifty percent (50%) of the unused amounts in any fiscal year being carried over to the immediately succeeding fiscal year (but to no further succeeding fiscal year after the immediately succeeding fiscal year); provided that the aggregate amount of Permitted Transfers in any fiscal year shall be applied first to the aggregate amount for such fiscal year, until utilized in full, and then to any amount carried over from the prior fiscal year) and (iv) the purchase price with respect thereto shall be paid to the Borrower or such Subsidiary, as applicable, for not less than seventy-five percent (75%) cash and Cash Equivalent consideration;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clause (iv)</w:t>
      </w:r>
      <w:r>
        <w:rPr>
          <w:rFonts w:ascii="Arial" w:cs="Arial" w:eastAsia="Arial" w:hAnsi="Arial"/>
          <w:sz w:val="19"/>
          <w:szCs w:val="19"/>
          <w:color w:val="auto"/>
        </w:rPr>
        <w:t>, the following shall be deemed to be cash: (A) any liabilities (as shown on the Borrower’s most recent balance sheet provided hereunder) of the Borrower or such Subsidiary (other than liabilities that are by their terms subordinated to the Secured Obligations) that are assumed by the transferee with respect to the applicable Disposition and for which the Borrower and its Subsidiaries shall have been validly released by all applicable creditors in writing, (B) any securities, notes or other obligations received by the Borrower or such Subsidiary from such transferee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4" w:name="page115"/>
    <w:bookmarkEnd w:id="114"/>
    <w:p>
      <w:pPr>
        <w:jc w:val="both"/>
        <w:spacing w:after="0" w:line="269" w:lineRule="auto"/>
        <w:rPr>
          <w:sz w:val="20"/>
          <w:szCs w:val="20"/>
          <w:color w:val="auto"/>
        </w:rPr>
      </w:pPr>
      <w:r>
        <w:rPr>
          <w:rFonts w:ascii="Arial" w:cs="Arial" w:eastAsia="Arial" w:hAnsi="Arial"/>
          <w:sz w:val="18"/>
          <w:szCs w:val="18"/>
          <w:color w:val="auto"/>
        </w:rPr>
        <w:t>are converted by the Borrower or such Subsidiary into cash or Cash Equivalents (to the extent of the cash or Cash Equivalents received in the conversion) within one hundred eighty (180) days following the closing of the applicable Disposition; and (C) any Designated Non-Cash Consideration in respect of such Disposition having an aggregate fair market value (as determined in good faith by the Borrower), taken together with the Designated Non-Cash Consideration in respect of all other Dispositions, not in excess of $5,000,000 (with the fair market value of each item of Designated Non-Cash Consideration being measured as of the time received (and without giving effect to subsequent changes in value)), (b) Dispositions of non-core assets acquired in connection with Permitted Acquisitions or similar Investments so long as</w:t>
      </w:r>
    </w:p>
    <w:p>
      <w:pPr>
        <w:spacing w:after="0" w:line="1" w:lineRule="exact"/>
        <w:rPr>
          <w:sz w:val="20"/>
          <w:szCs w:val="20"/>
          <w:color w:val="auto"/>
        </w:rPr>
      </w:pPr>
    </w:p>
    <w:p>
      <w:pPr>
        <w:jc w:val="both"/>
        <w:ind w:firstLine="8"/>
        <w:spacing w:after="0" w:line="254" w:lineRule="auto"/>
        <w:tabs>
          <w:tab w:leader="none" w:pos="258"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the aggregate fair market value (as determined in good faith by the Borrower) of the asset(s) subject to such Disposition (or series of related Dispositions) shall not exceed ten percent (10%) of the purchase price of the applicable acquired entity, assets or business, (ii) each such Disposition is an arm’s-length transaction, and (iii) the Net Cash Proceeds received by the Borrower or the applicable Subsidiary in connection with any such Disposition (or series of related Dispositions) shall be in an amount at least equal to the fair market value of the asset(s) subject to such Disposition (as determined in good faith by the Borrower), (c) Permitted Sale and Leaseback Transactions and (d) other Dispositions, so long as the Net Cash Proceeds received by the Borrower and its Subsidiaries in connection therewith, when aggregated with the Net Cash Proceeds of all other Dispositions made by the Borrower or any Subsidiary in reliance on this </w:t>
      </w:r>
      <w:r>
        <w:rPr>
          <w:rFonts w:ascii="Arial" w:cs="Arial" w:eastAsia="Arial" w:hAnsi="Arial"/>
          <w:sz w:val="19"/>
          <w:szCs w:val="19"/>
          <w:u w:val="single" w:color="auto"/>
          <w:color w:val="auto"/>
        </w:rPr>
        <w:t>clause (d)</w:t>
      </w:r>
      <w:r>
        <w:rPr>
          <w:rFonts w:ascii="Arial" w:cs="Arial" w:eastAsia="Arial" w:hAnsi="Arial"/>
          <w:sz w:val="19"/>
          <w:szCs w:val="19"/>
          <w:color w:val="auto"/>
        </w:rPr>
        <w:t>, in any fiscal year do not exceed $5,000,000.</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Permitted Warrant Transaction</w:t>
      </w:r>
      <w:r>
        <w:rPr>
          <w:rFonts w:ascii="Arial" w:cs="Arial" w:eastAsia="Arial" w:hAnsi="Arial"/>
          <w:sz w:val="20"/>
          <w:szCs w:val="20"/>
          <w:color w:val="auto"/>
        </w:rPr>
        <w:t>” means any warrant issued by the Borrower concurrently with the purchase, by the Borrower, of a Permitted Bond Hedge Transaction for the purpose of offsetting the cost of such Permitted Bond Hedge Transaction and referencing the same Qualified Equity Interest into which the Permitted Convertible Indebtedness converts.</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6.02(p)</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Pledged Equity</w:t>
      </w:r>
      <w:r>
        <w:rPr>
          <w:rFonts w:ascii="Arial" w:cs="Arial" w:eastAsia="Arial" w:hAnsi="Arial"/>
          <w:sz w:val="20"/>
          <w:szCs w:val="20"/>
          <w:color w:val="auto"/>
        </w:rPr>
        <w:t>” has the meaning specified in the Security Agreement.</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Pro Forma Basis</w:t>
      </w:r>
      <w:r>
        <w:rPr>
          <w:rFonts w:ascii="Arial" w:cs="Arial" w:eastAsia="Arial" w:hAnsi="Arial"/>
          <w:sz w:val="20"/>
          <w:szCs w:val="20"/>
          <w:color w:val="auto"/>
        </w:rPr>
        <w:t>” and “</w:t>
      </w:r>
      <w:r>
        <w:rPr>
          <w:rFonts w:ascii="Arial" w:cs="Arial" w:eastAsia="Arial" w:hAnsi="Arial"/>
          <w:sz w:val="20"/>
          <w:szCs w:val="20"/>
          <w:i w:val="1"/>
          <w:iCs w:val="1"/>
          <w:u w:val="single" w:color="auto"/>
          <w:color w:val="auto"/>
        </w:rPr>
        <w:t>Pro Forma Effect</w:t>
      </w:r>
      <w:r>
        <w:rPr>
          <w:rFonts w:ascii="Arial" w:cs="Arial" w:eastAsia="Arial" w:hAnsi="Arial"/>
          <w:sz w:val="20"/>
          <w:szCs w:val="20"/>
          <w:color w:val="auto"/>
        </w:rPr>
        <w:t xml:space="preserve">” means, for any Specified Transaction, whether actual or proposed, for purposes of determining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or any other applicable test or requirement, each such Specified Transaction or proposed Specified Transaction shall be deemed to have occurred on and as of the first day of the relevant Measurement Period, and the following pro forma adjustments shall be made:</w:t>
      </w:r>
    </w:p>
    <w:p>
      <w:pPr>
        <w:spacing w:after="0" w:line="191" w:lineRule="exact"/>
        <w:rPr>
          <w:sz w:val="20"/>
          <w:szCs w:val="20"/>
          <w:color w:val="auto"/>
        </w:rPr>
      </w:pPr>
    </w:p>
    <w:p>
      <w:pPr>
        <w:jc w:val="both"/>
        <w:ind w:left="880" w:firstLine="789"/>
        <w:spacing w:after="0" w:line="250" w:lineRule="auto"/>
        <w:tabs>
          <w:tab w:leader="none" w:pos="2545"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5" w:name="page116"/>
    <w:bookmarkEnd w:id="115"/>
    <w:p>
      <w:pPr>
        <w:jc w:val="both"/>
        <w:ind w:left="880" w:firstLine="789"/>
        <w:spacing w:after="0" w:line="250" w:lineRule="auto"/>
        <w:tabs>
          <w:tab w:leader="none" w:pos="2545" w:val="left"/>
        </w:tabs>
        <w:numPr>
          <w:ilvl w:val="1"/>
          <w:numId w:val="59"/>
        </w:numPr>
        <w:rPr>
          <w:rFonts w:ascii="Arial" w:cs="Arial" w:eastAsia="Arial" w:hAnsi="Arial"/>
          <w:sz w:val="20"/>
          <w:szCs w:val="20"/>
          <w:color w:val="auto"/>
        </w:rPr>
      </w:pPr>
      <w:r>
        <w:rPr>
          <w:rFonts w:ascii="Arial" w:cs="Arial" w:eastAsia="Arial" w:hAnsi="Arial"/>
          <w:sz w:val="20"/>
          <w:szCs w:val="20"/>
          <w:color w:val="auto"/>
        </w:rPr>
        <w:t>interest accrued during the relevant Measurement Period on, and the principal of, any Indebtedness repaid or to be repaid or refinanced in such transaction shall be excluded from the results of the Borrower and its Subsidiaries for such Measurement Period; and</w:t>
      </w:r>
    </w:p>
    <w:p>
      <w:pPr>
        <w:spacing w:after="0" w:line="185" w:lineRule="exact"/>
        <w:rPr>
          <w:rFonts w:ascii="Arial" w:cs="Arial" w:eastAsia="Arial" w:hAnsi="Arial"/>
          <w:sz w:val="20"/>
          <w:szCs w:val="20"/>
          <w:color w:val="auto"/>
        </w:rPr>
      </w:pPr>
    </w:p>
    <w:p>
      <w:pPr>
        <w:jc w:val="both"/>
        <w:ind w:left="880" w:firstLine="789"/>
        <w:spacing w:after="0" w:line="244" w:lineRule="auto"/>
        <w:tabs>
          <w:tab w:leader="none" w:pos="2556" w:val="left"/>
        </w:tabs>
        <w:numPr>
          <w:ilvl w:val="1"/>
          <w:numId w:val="59"/>
        </w:numPr>
        <w:rPr>
          <w:rFonts w:ascii="Arial" w:cs="Arial" w:eastAsia="Arial" w:hAnsi="Arial"/>
          <w:sz w:val="20"/>
          <w:szCs w:val="20"/>
          <w:color w:val="auto"/>
        </w:rPr>
      </w:pPr>
      <w:r>
        <w:rPr>
          <w:rFonts w:ascii="Arial" w:cs="Arial" w:eastAsia="Arial" w:hAnsi="Arial"/>
          <w:sz w:val="20"/>
          <w:szCs w:val="20"/>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spacing w:after="0" w:line="194" w:lineRule="exact"/>
        <w:rPr>
          <w:rFonts w:ascii="Arial" w:cs="Arial" w:eastAsia="Arial" w:hAnsi="Arial"/>
          <w:sz w:val="20"/>
          <w:szCs w:val="20"/>
          <w:color w:val="auto"/>
        </w:rPr>
      </w:pPr>
    </w:p>
    <w:p>
      <w:pPr>
        <w:jc w:val="both"/>
        <w:ind w:firstLine="8"/>
        <w:spacing w:after="0" w:line="276" w:lineRule="auto"/>
        <w:tabs>
          <w:tab w:leader="none" w:pos="11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Pro Forma Basis and Pro Forma Effect in respect of any Specified Transaction shall be calculated in a reasonable and factually supportable manner and certified by a Responsible Officer of the Borrower, it being understood that the Borrower may estimate in good faith GAAP results if the financial statements with respect to a Target are not maintained in accordance with GAAP, and the Borrower may make such further adjustments in good faith as reasonably necessary in connection with the consolidation of such financial statements with those of the Loan Parties and their Subsidiaries, and (B) any such calculation shall be subject to the applicable limitations set forth in (and shall be without duplication of any adjustments made pursuant to) the definition of “Consolidated EBITDA”.</w:t>
      </w:r>
    </w:p>
    <w:p>
      <w:pPr>
        <w:spacing w:after="0" w:line="16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6.02(p)</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QFC Credit Support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Other Rate Early Opt-in</w:t>
      </w:r>
      <w:r>
        <w:rPr>
          <w:rFonts w:ascii="Arial" w:cs="Arial" w:eastAsia="Arial" w:hAnsi="Arial"/>
          <w:sz w:val="20"/>
          <w:szCs w:val="20"/>
          <w:color w:val="auto"/>
        </w:rPr>
        <w:t xml:space="preserve">” means the Administrative Agent and the Borrower have elected to replace LIBOR with a Benchmark Replacement other than a SOFR-based rate pursuant to (a) an Early Opt-in Election and (b) </w:t>
      </w:r>
      <w:r>
        <w:rPr>
          <w:rFonts w:ascii="Arial" w:cs="Arial" w:eastAsia="Arial" w:hAnsi="Arial"/>
          <w:sz w:val="20"/>
          <w:szCs w:val="20"/>
          <w:u w:val="single" w:color="auto"/>
          <w:color w:val="auto"/>
        </w:rPr>
        <w:t>Section 3.03(c)(ii)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paragraph (2)</w:t>
      </w:r>
      <w:r>
        <w:rPr>
          <w:rFonts w:ascii="Arial" w:cs="Arial" w:eastAsia="Arial" w:hAnsi="Arial"/>
          <w:sz w:val="20"/>
          <w:szCs w:val="20"/>
          <w:color w:val="auto"/>
        </w:rPr>
        <w:t xml:space="preserve"> of the definition of “Benchmark Replacement”.</w:t>
      </w:r>
    </w:p>
    <w:p>
      <w:pPr>
        <w:spacing w:after="0" w:line="18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Qualified Acquisition</w:t>
      </w:r>
      <w:r>
        <w:rPr>
          <w:rFonts w:ascii="Arial" w:cs="Arial" w:eastAsia="Arial" w:hAnsi="Arial"/>
          <w:sz w:val="20"/>
          <w:szCs w:val="20"/>
          <w:color w:val="auto"/>
        </w:rPr>
        <w:t xml:space="preserve">” means any acquisition (or series of related acquisitions consummated in any six (6)-month period) for which (a) the aggregate consideration therefor (excluding the amount of any consideration in the form of Qualified Equity Interests of the Borrower) is in excess of $100,000,000, and (b) a Responsible Officer of the Borrower shall have delivered to the Administrative Agent a certificate (i) certifying that such acquisition (or such series of related acquisitions) meet the criteria set forth in </w:t>
      </w:r>
      <w:r>
        <w:rPr>
          <w:rFonts w:ascii="Arial" w:cs="Arial" w:eastAsia="Arial" w:hAnsi="Arial"/>
          <w:sz w:val="20"/>
          <w:szCs w:val="20"/>
          <w:u w:val="single" w:color="auto"/>
          <w:color w:val="auto"/>
        </w:rPr>
        <w:t>Section 7.11(b)</w:t>
      </w:r>
      <w:r>
        <w:rPr>
          <w:rFonts w:ascii="Arial" w:cs="Arial" w:eastAsia="Arial" w:hAnsi="Arial"/>
          <w:sz w:val="20"/>
          <w:szCs w:val="20"/>
          <w:color w:val="auto"/>
        </w:rPr>
        <w:t>, and (ii) notifying the Administrative Agent that the Borrower has elected to treat such acquisition (or such series of related acquisitions) as a Qualified Acquisition.</w:t>
      </w:r>
    </w:p>
    <w:p>
      <w:pPr>
        <w:spacing w:after="0" w:line="19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Qualified ECP Guarantor</w:t>
      </w:r>
      <w:r>
        <w:rPr>
          <w:rFonts w:ascii="Arial" w:cs="Arial" w:eastAsia="Arial" w:hAnsi="Arial"/>
          <w:sz w:val="20"/>
          <w:szCs w:val="20"/>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Qualified Equity Interest</w:t>
      </w:r>
      <w:r>
        <w:rPr>
          <w:rFonts w:ascii="Arial" w:cs="Arial" w:eastAsia="Arial" w:hAnsi="Arial"/>
          <w:sz w:val="19"/>
          <w:szCs w:val="19"/>
          <w:color w:val="auto"/>
        </w:rPr>
        <w:t>” of any Person means any Equity Interest of such Person that is not a Disqualified Equity Interest.</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Recipient</w:t>
      </w:r>
      <w:r>
        <w:rPr>
          <w:rFonts w:ascii="Arial" w:cs="Arial" w:eastAsia="Arial" w:hAnsi="Arial"/>
          <w:sz w:val="20"/>
          <w:szCs w:val="20"/>
          <w:color w:val="auto"/>
        </w:rPr>
        <w:t>” means the Administrative Agent, any Lender or the L/C Issuer.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6" w:name="page117"/>
    <w:bookmarkEnd w:id="116"/>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Refinance Convertible Notes</w:t>
      </w:r>
      <w:r>
        <w:rPr>
          <w:rFonts w:ascii="Arial" w:cs="Arial" w:eastAsia="Arial" w:hAnsi="Arial"/>
          <w:sz w:val="19"/>
          <w:szCs w:val="19"/>
          <w:color w:val="auto"/>
        </w:rPr>
        <w:t>” means a different series of Permitted Convertible Indebtedness issues as part of a Permitted Refinancing of Permitted Convertible Indebtedness (it being understood that, following the closing of any Refinance Convertible Notes, such notes shall be treated as and subject to the terms hereof with respect to Permitted Convertible Indebtedness).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Regulation U</w:t>
      </w:r>
      <w:r>
        <w:rPr>
          <w:rFonts w:ascii="Arial" w:cs="Arial" w:eastAsia="Arial" w:hAnsi="Arial"/>
          <w:sz w:val="20"/>
          <w:szCs w:val="20"/>
          <w:color w:val="auto"/>
        </w:rPr>
        <w:t>” means Regulation U of the FRB, as in effect from time to time and all official rulings and interpretations thereunder or thereof.</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8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 (30) day notice period has been waived.</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Request for Credit Extension</w:t>
      </w:r>
      <w:r>
        <w:rPr>
          <w:rFonts w:ascii="Arial" w:cs="Arial" w:eastAsia="Arial" w:hAnsi="Arial"/>
          <w:sz w:val="20"/>
          <w:szCs w:val="20"/>
          <w:color w:val="auto"/>
        </w:rPr>
        <w:t>” means (a) with respect to a Borrowing, conversion or continuation of Term Loans, Incremental Term Loans or Revolving Loans, a Loan Notice, (b) with respect to an L/C Credit Extension, a Letter of Credit Application, and (c) with respect to a Swingline Loan, a Swingline Loan Notice.</w:t>
      </w:r>
    </w:p>
    <w:p>
      <w:pPr>
        <w:spacing w:after="0" w:line="18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Required Lenders</w:t>
      </w:r>
      <w:r>
        <w:rPr>
          <w:rFonts w:ascii="Arial" w:cs="Arial" w:eastAsia="Arial" w:hAnsi="Arial"/>
          <w:sz w:val="19"/>
          <w:szCs w:val="19"/>
          <w:color w:val="auto"/>
        </w:rPr>
        <w:t xml:space="preserve">” means, (a) at any time there is one (1) Lender, such Lender, and (b) at any time there is more than one (1) Lender, at least two (2) Lenders having Total Credit Exposures representing more than fifty percent (50%) of the Total Credit Exposures of all Lenders; provided that, in the case of this clause (ii), the Total Credit Exposure of any Defaulting Lender shall be disregarded in determining Required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Resignation Effective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9.06(a</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Resolution Authority</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EEA Resolution Authority or, with respect to any UK Financial Institution, a UK Resolution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Authority.</w:t>
      </w:r>
    </w:p>
    <w:p>
      <w:pPr>
        <w:spacing w:after="0" w:line="20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Responsible Officer</w:t>
      </w:r>
      <w:r>
        <w:rPr>
          <w:rFonts w:ascii="Arial" w:cs="Arial" w:eastAsia="Arial" w:hAnsi="Arial"/>
          <w:sz w:val="18"/>
          <w:szCs w:val="18"/>
          <w:color w:val="auto"/>
        </w:rPr>
        <w:t xml:space="preserve">” means the chief executive officer, president, chief financial officer, treasurer, assistant treasurer, controller, vice president of finance, or other similar officer or Person performing similar functions of a Loan Party, solely for purposes of the delivery of incumbency certificates pursuant to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the general counsel, secretary or any assistant secretary of a Loan Party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7" w:name="page118"/>
    <w:bookmarkEnd w:id="117"/>
    <w:p>
      <w:pPr>
        <w:jc w:val="both"/>
        <w:spacing w:after="0" w:line="250" w:lineRule="auto"/>
        <w:rPr>
          <w:sz w:val="20"/>
          <w:szCs w:val="20"/>
          <w:color w:val="auto"/>
        </w:rPr>
      </w:pPr>
      <w:r>
        <w:rPr>
          <w:rFonts w:ascii="Arial" w:cs="Arial" w:eastAsia="Arial" w:hAnsi="Arial"/>
          <w:sz w:val="20"/>
          <w:szCs w:val="20"/>
          <w:color w:val="auto"/>
        </w:rPr>
        <w:t>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spacing w:after="0" w:line="18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Payment</w:t>
      </w:r>
      <w:r>
        <w:rPr>
          <w:rFonts w:ascii="Arial" w:cs="Arial" w:eastAsia="Arial" w:hAnsi="Arial"/>
          <w:sz w:val="18"/>
          <w:szCs w:val="18"/>
          <w:color w:val="auto"/>
        </w:rPr>
        <w:t>” means (a) any dividend or other distribution, direct or indirect,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(d) any payment made in cash under a Permitted Warrant Transaction as a result of the election of “cash settlement” (or substantially equivalent term) as the “settlement method” (or substantially equivalent term) thereunder by Borrower or any Subsidiary (including in connection with the exercise and/or early unwind or settlement thereof), and (e) any payment made in cash to the holders of Convertible Bond Indebtedness (excluding any required payment of interest and any payment of cash in lieu of a fractional share due upon conversion thereof) unless, and to the extent that, a corresponding amount is received in cash (whether through a direct cash payment or a settlement in shares of Equity Interests that are immediately sold for cash) substantially contemporaneously with such cash payment, from (i) the substantially concurrent issuance of shares of Qualified Equity Interests of the Borrower, (ii) the issuance of Refinance Convertible Notes, and (iii) the related exercise or early unwind or termination of the related Permitted Bond Hedge Transactions and Permitted Warrant Transactions, if any, entered into in connection with such Convertible Bond Indebtedness.</w:t>
      </w:r>
    </w:p>
    <w:p>
      <w:pPr>
        <w:spacing w:after="0" w:line="181"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Revolving Borrowing</w:t>
      </w:r>
      <w:r>
        <w:rPr>
          <w:rFonts w:ascii="Arial" w:cs="Arial" w:eastAsia="Arial" w:hAnsi="Arial"/>
          <w:sz w:val="19"/>
          <w:szCs w:val="19"/>
          <w:color w:val="auto"/>
        </w:rPr>
        <w:t xml:space="preserve">” means a borrowing consisting of simultaneous Revolving Loans of the same Type and, in the case of Eurodollar Rate Loans, having the same Interest Period made by each of the Revolving Lenders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15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Revolving Commitment</w:t>
      </w:r>
      <w:r>
        <w:rPr>
          <w:rFonts w:ascii="Arial" w:cs="Arial" w:eastAsia="Arial" w:hAnsi="Arial"/>
          <w:sz w:val="19"/>
          <w:szCs w:val="19"/>
          <w:color w:val="auto"/>
        </w:rPr>
        <w:t xml:space="preserve">” means, as to each Revolving Lender, its obligation to (a) make Revolving Loans to the Borrower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Closing Date shall be $100,000,000.</w:t>
      </w:r>
    </w:p>
    <w:p>
      <w:pPr>
        <w:spacing w:after="0" w:line="17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Revolving Exposure</w:t>
      </w:r>
      <w:r>
        <w:rPr>
          <w:rFonts w:ascii="Arial" w:cs="Arial" w:eastAsia="Arial" w:hAnsi="Arial"/>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Revolving Facility</w:t>
      </w:r>
      <w:r>
        <w:rPr>
          <w:rFonts w:ascii="Arial" w:cs="Arial" w:eastAsia="Arial" w:hAnsi="Arial"/>
          <w:sz w:val="18"/>
          <w:szCs w:val="18"/>
          <w:color w:val="auto"/>
        </w:rPr>
        <w:t>” means, at any time, the aggregate amount of the Revolving Lenders’ Revolving Commitments at such time.</w:t>
      </w:r>
    </w:p>
    <w:p>
      <w:pPr>
        <w:spacing w:after="0" w:line="23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Revolving Lender</w:t>
      </w:r>
      <w:r>
        <w:rPr>
          <w:rFonts w:ascii="Arial" w:cs="Arial" w:eastAsia="Arial" w:hAnsi="Arial"/>
          <w:sz w:val="20"/>
          <w:szCs w:val="20"/>
          <w:color w:val="auto"/>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8" w:name="page119"/>
    <w:bookmarkEnd w:id="118"/>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Revolving Note</w:t>
      </w:r>
      <w:r>
        <w:rPr>
          <w:rFonts w:ascii="Arial" w:cs="Arial" w:eastAsia="Arial" w:hAnsi="Arial"/>
          <w:sz w:val="19"/>
          <w:szCs w:val="19"/>
          <w:color w:val="auto"/>
        </w:rPr>
        <w:t xml:space="preserve">” means a promissory note made by the Borrower in favor of a Revolving Lender evidencing Revolving Loans or Swingline Loans, as the case may be, made by such Revolving Lender,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S&amp;P</w:t>
      </w:r>
      <w:r>
        <w:rPr>
          <w:rFonts w:ascii="Arial" w:cs="Arial" w:eastAsia="Arial" w:hAnsi="Arial"/>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Sale and Leaseback Transaction</w:t>
      </w:r>
      <w:r>
        <w:rPr>
          <w:rFonts w:ascii="Arial" w:cs="Arial" w:eastAsia="Arial" w:hAnsi="Arial"/>
          <w:sz w:val="20"/>
          <w:szCs w:val="20"/>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91"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Sanction</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s</w:t>
      </w:r>
      <w:r>
        <w:rPr>
          <w:rFonts w:ascii="Arial" w:cs="Arial" w:eastAsia="Arial" w:hAnsi="Arial"/>
          <w:sz w:val="18"/>
          <w:szCs w:val="18"/>
          <w:u w:val="single" w:color="auto"/>
          <w:color w:val="auto"/>
        </w:rPr>
        <w:t>)</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8"/>
          <w:szCs w:val="18"/>
          <w:i w:val="1"/>
          <w:iCs w:val="1"/>
          <w:u w:val="single" w:color="auto"/>
          <w:color w:val="auto"/>
        </w:rPr>
        <w:t>HMT</w:t>
      </w:r>
      <w:r>
        <w:rPr>
          <w:rFonts w:ascii="Arial" w:cs="Arial" w:eastAsia="Arial" w:hAnsi="Arial"/>
          <w:sz w:val="18"/>
          <w:szCs w:val="18"/>
          <w:color w:val="auto"/>
        </w:rPr>
        <w:t>”) or other relevant sanctions authority.</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SEC</w:t>
      </w:r>
      <w:r>
        <w:rPr>
          <w:rFonts w:ascii="Arial" w:cs="Arial" w:eastAsia="Arial" w:hAnsi="Arial"/>
          <w:sz w:val="19"/>
          <w:szCs w:val="19"/>
          <w:color w:val="auto"/>
        </w:rPr>
        <w:t>” means the Securities and Exchange Commission, or any Governmental Authority succeeding to any of its principal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Secured Cash Management Agreement</w:t>
      </w:r>
      <w:r>
        <w:rPr>
          <w:rFonts w:ascii="Arial" w:cs="Arial" w:eastAsia="Arial" w:hAnsi="Arial"/>
          <w:sz w:val="20"/>
          <w:szCs w:val="20"/>
          <w:color w:val="auto"/>
        </w:rPr>
        <w:t>” means any Cash Management Agreement between any Loan Party and/or its Subsidiaries and any Cash Management Bank.</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Secured Hedge Agreement</w:t>
      </w:r>
      <w:r>
        <w:rPr>
          <w:rFonts w:ascii="Arial" w:cs="Arial" w:eastAsia="Arial" w:hAnsi="Arial"/>
          <w:sz w:val="20"/>
          <w:szCs w:val="20"/>
          <w:color w:val="auto"/>
        </w:rPr>
        <w:t xml:space="preserve">” means any interest rate, currency, foreign exchange, or commodity Swap Contract required by or not prohibited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between any Loan Party and/or its Subsidiaries and any Hedge Bank.</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Secured Obligations</w:t>
      </w:r>
      <w:r>
        <w:rPr>
          <w:rFonts w:ascii="Arial" w:cs="Arial" w:eastAsia="Arial" w:hAnsi="Arial"/>
          <w:sz w:val="20"/>
          <w:szCs w:val="20"/>
          <w:color w:val="auto"/>
        </w:rPr>
        <w:t>” means all Obligations and all Additional Secured Obligations.</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Secured Parties</w:t>
      </w:r>
      <w:r>
        <w:rPr>
          <w:rFonts w:ascii="Arial" w:cs="Arial" w:eastAsia="Arial" w:hAnsi="Arial"/>
          <w:sz w:val="20"/>
          <w:szCs w:val="20"/>
          <w:color w:val="auto"/>
        </w:rPr>
        <w:t xml:space="preserve">” means, collectively, the Administrative Agent, the Lenders, the L/C Issuer, the Hedge Banks, the Cash Management Banks, the Indemnitees and each co-agent or sub-agent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Secured Party Designation Notice</w:t>
      </w:r>
      <w:r>
        <w:rPr>
          <w:rFonts w:ascii="Arial" w:cs="Arial" w:eastAsia="Arial" w:hAnsi="Arial"/>
          <w:sz w:val="19"/>
          <w:szCs w:val="19"/>
          <w:color w:val="auto"/>
        </w:rPr>
        <w:t>” means a notice from any Lender or an Affiliate of a Lender substantially in the form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H</w:t>
      </w:r>
      <w:r>
        <w:rPr>
          <w:rFonts w:ascii="Arial" w:cs="Arial" w:eastAsia="Arial" w:hAnsi="Arial"/>
          <w:sz w:val="20"/>
          <w:szCs w:val="20"/>
          <w:color w:val="auto"/>
        </w:rPr>
        <w: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Securities Act</w:t>
      </w:r>
      <w:r>
        <w:rPr>
          <w:rFonts w:ascii="Arial" w:cs="Arial" w:eastAsia="Arial" w:hAnsi="Arial"/>
          <w:sz w:val="18"/>
          <w:szCs w:val="18"/>
          <w:color w:val="auto"/>
        </w:rPr>
        <w:t>” means the Securities Act of 1933, including all amendments thereto and regulations promulgated thereunder.</w:t>
      </w:r>
    </w:p>
    <w:p>
      <w:pPr>
        <w:spacing w:after="0" w:line="239"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Security Agreement</w:t>
      </w:r>
      <w:r>
        <w:rPr>
          <w:rFonts w:ascii="Arial" w:cs="Arial" w:eastAsia="Arial" w:hAnsi="Arial"/>
          <w:sz w:val="20"/>
          <w:szCs w:val="20"/>
          <w:color w:val="auto"/>
        </w:rPr>
        <w:t>” means the security and pledge agreement, dated as of the Closing Date, executed in favor of the Administrative Agent by each of the Loan Parties.</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Shareholders</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Equity</w:t>
      </w:r>
      <w:r>
        <w:rPr>
          <w:rFonts w:ascii="Arial" w:cs="Arial" w:eastAsia="Arial" w:hAnsi="Arial"/>
          <w:sz w:val="20"/>
          <w:szCs w:val="20"/>
          <w:color w:val="auto"/>
        </w:rPr>
        <w:t>” means, as of any date of determination, consolidated shareholders’ equity of the Borrower and its Subsidiaries as of such date, determined in accordance with GAAP.</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SOFR Early Opt-in</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means the Administrative Agent and the Borrower have elected to replace LIBOR pursuant to (1) an Early Opt-in Election and (2) </w:t>
      </w:r>
      <w:r>
        <w:rPr>
          <w:rFonts w:ascii="Arial" w:cs="Arial" w:eastAsia="Arial" w:hAnsi="Arial"/>
          <w:sz w:val="20"/>
          <w:szCs w:val="20"/>
          <w:u w:val="single" w:color="auto"/>
          <w:color w:val="auto"/>
        </w:rPr>
        <w:t>Section 3.03(c)(i)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paragraph (1)</w:t>
      </w:r>
      <w:r>
        <w:rPr>
          <w:rFonts w:ascii="Arial" w:cs="Arial" w:eastAsia="Arial" w:hAnsi="Arial"/>
          <w:sz w:val="20"/>
          <w:szCs w:val="20"/>
          <w:color w:val="auto"/>
        </w:rPr>
        <w:t xml:space="preserve"> of the definition of “Benchmark Replacement”.</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Solvent</w:t>
      </w:r>
      <w:r>
        <w:rPr>
          <w:rFonts w:ascii="Arial" w:cs="Arial" w:eastAsia="Arial" w:hAnsi="Arial"/>
          <w:sz w:val="20"/>
          <w:szCs w:val="20"/>
          <w:color w:val="auto"/>
        </w:rPr>
        <w:t>” and “</w:t>
      </w:r>
      <w:r>
        <w:rPr>
          <w:rFonts w:ascii="Arial" w:cs="Arial" w:eastAsia="Arial" w:hAnsi="Arial"/>
          <w:sz w:val="20"/>
          <w:szCs w:val="20"/>
          <w:i w:val="1"/>
          <w:iCs w:val="1"/>
          <w:u w:val="single" w:color="auto"/>
          <w:color w:val="auto"/>
        </w:rPr>
        <w:t>Solvency</w:t>
      </w:r>
      <w:r>
        <w:rPr>
          <w:rFonts w:ascii="Arial" w:cs="Arial" w:eastAsia="Arial" w:hAnsi="Arial"/>
          <w:sz w:val="20"/>
          <w:szCs w:val="20"/>
          <w:color w:val="auto"/>
        </w:rPr>
        <w:t>” mean, with respect to any Person on any date of determination, that on such date (a) the fair value of the property of such Person is greater than the total amount of liabilities,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19"/>
          <w:szCs w:val="19"/>
          <w:color w:val="auto"/>
        </w:rPr>
        <w:t>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Specified Acquisition</w:t>
      </w:r>
      <w:r>
        <w:rPr>
          <w:rFonts w:ascii="Arial" w:cs="Arial" w:eastAsia="Arial" w:hAnsi="Arial"/>
          <w:sz w:val="20"/>
          <w:szCs w:val="20"/>
          <w:color w:val="auto"/>
        </w:rPr>
        <w:t>” means the acquisition titled “Project Domino” notified to the Administrative Agent prior to the Closing Date (including the formation and funding of Subsidiaries in effectuation thereof).</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Specified Event of Default</w:t>
      </w:r>
      <w:r>
        <w:rPr>
          <w:rFonts w:ascii="Arial" w:cs="Arial" w:eastAsia="Arial" w:hAnsi="Arial"/>
          <w:sz w:val="19"/>
          <w:szCs w:val="19"/>
          <w:color w:val="auto"/>
        </w:rPr>
        <w:t xml:space="preserve">” means any Event of Default pursuant to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8.01(g)</w:t>
      </w:r>
      <w:r>
        <w:rPr>
          <w:rFonts w:ascii="Arial" w:cs="Arial" w:eastAsia="Arial" w:hAnsi="Arial"/>
          <w:sz w:val="19"/>
          <w:szCs w:val="19"/>
          <w:color w:val="auto"/>
        </w:rPr>
        <w:t>.</w:t>
      </w:r>
    </w:p>
    <w:p>
      <w:pPr>
        <w:spacing w:after="0" w:line="22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Specified Loan Party</w:t>
      </w:r>
      <w:r>
        <w:rPr>
          <w:rFonts w:ascii="Arial" w:cs="Arial" w:eastAsia="Arial" w:hAnsi="Arial"/>
          <w:sz w:val="20"/>
          <w:szCs w:val="20"/>
          <w:color w:val="auto"/>
        </w:rPr>
        <w:t xml:space="preserve">” means any Loan Party that is not then an “eligible contract participant” under the Commodity Exchange Act (determined prior to giving effect to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Specified Transaction</w:t>
      </w:r>
      <w:r>
        <w:rPr>
          <w:rFonts w:ascii="Arial" w:cs="Arial" w:eastAsia="Arial" w:hAnsi="Arial"/>
          <w:sz w:val="18"/>
          <w:szCs w:val="18"/>
          <w:color w:val="auto"/>
        </w:rPr>
        <w:t>” means (a) any Acquisition, any sale, transfer or other disposition of all or substantially all of a line of business or that results in a Person ceasing to be a Subsidiary and any Investment that results in a Person becoming a Subsidiary, (b) any incurrence or repayment of Indebtedness, or (c) any other event or transaction that by the terms of the Loan Documents requires compliance with a test or covenant on a Pro Forma Basis or calculation as to Pro Forma Effect with respect to a test or covenant.</w:t>
      </w:r>
    </w:p>
    <w:p>
      <w:pPr>
        <w:spacing w:after="0" w:line="1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Supported QFC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i w:val="1"/>
          <w:iCs w:val="1"/>
          <w:u w:val="single" w:color="auto"/>
          <w:color w:val="auto"/>
        </w:rPr>
        <w:t>Master</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including any such obligations or liabilities under any Master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0" w:name="page121"/>
    <w:bookmarkEnd w:id="120"/>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Swap Obligations</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Swap Termination Value</w:t>
      </w:r>
      <w:r>
        <w:rPr>
          <w:rFonts w:ascii="Arial" w:cs="Arial" w:eastAsia="Arial" w:hAnsi="Arial"/>
          <w:sz w:val="19"/>
          <w:szCs w:val="19"/>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any unpaid amounts thereunder, and (b) 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Swingline Borrowing</w:t>
      </w:r>
      <w:r>
        <w:rPr>
          <w:rFonts w:ascii="Arial" w:cs="Arial" w:eastAsia="Arial" w:hAnsi="Arial"/>
          <w:sz w:val="20"/>
          <w:szCs w:val="20"/>
          <w:color w:val="auto"/>
        </w:rPr>
        <w:t xml:space="preserve">” means a borrowing of a Swingline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Swingline Commitment</w:t>
      </w:r>
      <w:r>
        <w:rPr>
          <w:rFonts w:ascii="Arial" w:cs="Arial" w:eastAsia="Arial" w:hAnsi="Arial"/>
          <w:sz w:val="20"/>
          <w:szCs w:val="20"/>
          <w:color w:val="auto"/>
        </w:rPr>
        <w:t xml:space="preserve">” means, as to any Lender (a) the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Swingline Lender</w:t>
      </w:r>
      <w:r>
        <w:rPr>
          <w:rFonts w:ascii="Arial" w:cs="Arial" w:eastAsia="Arial" w:hAnsi="Arial"/>
          <w:sz w:val="18"/>
          <w:szCs w:val="18"/>
          <w:color w:val="auto"/>
        </w:rPr>
        <w:t>” means Bank of America in its capacity as provider of Swingline Loans, or any successor swingline lender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hereunder.</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Swingline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Swingline Loan Notice</w:t>
      </w:r>
      <w:r>
        <w:rPr>
          <w:rFonts w:ascii="Arial" w:cs="Arial" w:eastAsia="Arial" w:hAnsi="Arial"/>
          <w:sz w:val="20"/>
          <w:szCs w:val="20"/>
          <w:color w:val="auto"/>
        </w:rPr>
        <w:t xml:space="preserve">” means a notice of a Swingline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Swingline Sublimit</w:t>
      </w:r>
      <w:r>
        <w:rPr>
          <w:rFonts w:ascii="Arial" w:cs="Arial" w:eastAsia="Arial" w:hAnsi="Arial"/>
          <w:sz w:val="20"/>
          <w:szCs w:val="20"/>
          <w:color w:val="auto"/>
        </w:rPr>
        <w:t>” means an amount equal to the lesser of (a) $10,000,000 and (b) the Revolving Facility. The Swingline Sublimit is part of, and not in addition to, the Revolving Facility.</w:t>
      </w:r>
    </w:p>
    <w:p>
      <w:pPr>
        <w:spacing w:after="0" w:line="17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Target</w:t>
      </w:r>
      <w:r>
        <w:rPr>
          <w:rFonts w:ascii="Arial" w:cs="Arial" w:eastAsia="Arial" w:hAnsi="Arial"/>
          <w:sz w:val="20"/>
          <w:szCs w:val="20"/>
          <w:color w:val="auto"/>
        </w:rPr>
        <w:t>” has the meaning set forth in the definition of “Permitted Acquisition.”</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Term Borrowing</w:t>
      </w:r>
      <w:r>
        <w:rPr>
          <w:rFonts w:ascii="Arial" w:cs="Arial" w:eastAsia="Arial" w:hAnsi="Arial"/>
          <w:sz w:val="20"/>
          <w:szCs w:val="20"/>
          <w:color w:val="auto"/>
        </w:rPr>
        <w:t xml:space="preserve">” means a borrowing consisting of simultaneous Term Loans of the same Type and, in the case of Eurodollar Rate Loans, having the same Interest Period made by each of the Term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1" w:name="page122"/>
    <w:bookmarkEnd w:id="121"/>
    <w:p>
      <w:pPr>
        <w:jc w:val="both"/>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Term Commitment</w:t>
      </w:r>
      <w:r>
        <w:rPr>
          <w:rFonts w:ascii="Arial" w:cs="Arial" w:eastAsia="Arial" w:hAnsi="Arial"/>
          <w:sz w:val="18"/>
          <w:szCs w:val="18"/>
          <w:color w:val="auto"/>
        </w:rPr>
        <w:t xml:space="preserve">” means, as to each Term Lender, its obligation to make Term Loans to the Borrower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2.01(a</w:t>
      </w:r>
      <w:r>
        <w:rPr>
          <w:rFonts w:ascii="Arial" w:cs="Arial" w:eastAsia="Arial" w:hAnsi="Arial"/>
          <w:sz w:val="18"/>
          <w:szCs w:val="18"/>
          <w:color w:val="auto"/>
        </w:rPr>
        <w:t xml:space="preserve">) in an aggregate principal amount at any one time outstanding not to exceed the amount set forth opposite such Term Lender’s name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under the caption “Term Commitment” or opposite such caption in the Assignment and Assumption pursuant to which such Term Lender becomes a party hereto, as applicable, as such amount may be adjusted from time to time in accordance with this Agreement. The Term Commitment of all of the Term Lenders on the Closing Date shall be $250,000,000.</w:t>
      </w:r>
    </w:p>
    <w:p>
      <w:pPr>
        <w:spacing w:after="0" w:line="16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Term Facility</w:t>
      </w:r>
      <w:r>
        <w:rPr>
          <w:rFonts w:ascii="Arial" w:cs="Arial" w:eastAsia="Arial" w:hAnsi="Arial"/>
          <w:sz w:val="19"/>
          <w:szCs w:val="19"/>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2"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Term Lender</w:t>
      </w:r>
      <w:r>
        <w:rPr>
          <w:rFonts w:ascii="Arial" w:cs="Arial" w:eastAsia="Arial" w:hAnsi="Arial"/>
          <w:sz w:val="20"/>
          <w:szCs w:val="20"/>
          <w:color w:val="auto"/>
        </w:rPr>
        <w:t>” means (a) at any time on or prior to the Closing Date, any Lender that has a Term Commitment at such time and (b) at any time after the Closing Date, any Lender that holds Term Loans at such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Term Loan</w:t>
      </w:r>
      <w:r>
        <w:rPr>
          <w:rFonts w:ascii="Arial" w:cs="Arial" w:eastAsia="Arial" w:hAnsi="Arial"/>
          <w:sz w:val="20"/>
          <w:szCs w:val="20"/>
          <w:color w:val="auto"/>
        </w:rPr>
        <w:t>” means an advance made by any Term Lender under the Term Facility.</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Term Note</w:t>
      </w:r>
      <w:r>
        <w:rPr>
          <w:rFonts w:ascii="Arial" w:cs="Arial" w:eastAsia="Arial" w:hAnsi="Arial"/>
          <w:sz w:val="20"/>
          <w:szCs w:val="20"/>
          <w:color w:val="auto"/>
        </w:rPr>
        <w:t xml:space="preserve">” means a promissory note made by the Borrower in favor of a Term Lender evidencing Term Loans made by such Term Lender, substantially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Term SOFR</w:t>
      </w:r>
      <w:r>
        <w:rPr>
          <w:rFonts w:ascii="Arial" w:cs="Arial" w:eastAsia="Arial" w:hAnsi="Arial"/>
          <w:sz w:val="18"/>
          <w:szCs w:val="18"/>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Threshold Amount</w:t>
      </w:r>
      <w:r>
        <w:rPr>
          <w:rFonts w:ascii="Arial" w:cs="Arial" w:eastAsia="Arial" w:hAnsi="Arial"/>
          <w:sz w:val="20"/>
          <w:szCs w:val="20"/>
          <w:color w:val="auto"/>
        </w:rPr>
        <w:t>” means $25,000,000.</w:t>
      </w:r>
    </w:p>
    <w:p>
      <w:pPr>
        <w:spacing w:after="0" w:line="216"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Total Credit Exposure</w:t>
      </w:r>
      <w:r>
        <w:rPr>
          <w:rFonts w:ascii="Arial" w:cs="Arial" w:eastAsia="Arial" w:hAnsi="Arial"/>
          <w:sz w:val="18"/>
          <w:szCs w:val="18"/>
          <w:color w:val="auto"/>
        </w:rPr>
        <w:t>” means, as to any Lender at any time, without duplication, the unused Commitments, Revolving Exposure, Outstanding Amount of all Term Loans and Outstanding Amount of all Incremental Term Loans of such Lender at such time.</w:t>
      </w:r>
    </w:p>
    <w:p>
      <w:pPr>
        <w:spacing w:after="0" w:line="130"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Total Revolving Exposure</w:t>
      </w:r>
      <w:r>
        <w:rPr>
          <w:rFonts w:ascii="Arial" w:cs="Arial" w:eastAsia="Arial" w:hAnsi="Arial"/>
          <w:sz w:val="20"/>
          <w:szCs w:val="20"/>
          <w:color w:val="auto"/>
        </w:rPr>
        <w:t>” means, as to any Revolving Lender at any time, the unused Commitments and Revolving Exposure of such Revolving Lender at such time.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Total Revolving Outstandings</w:t>
      </w:r>
      <w:r>
        <w:rPr>
          <w:rFonts w:ascii="Arial" w:cs="Arial" w:eastAsia="Arial" w:hAnsi="Arial"/>
          <w:sz w:val="20"/>
          <w:szCs w:val="20"/>
          <w:color w:val="auto"/>
        </w:rPr>
        <w:t>” means the aggregate Outstanding Amount of all Revolving Loans, Swingline Loans and L/C Obligations.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Trade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11.06(g)(i</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Type</w:t>
      </w:r>
      <w:r>
        <w:rPr>
          <w:rFonts w:ascii="Arial" w:cs="Arial" w:eastAsia="Arial" w:hAnsi="Arial"/>
          <w:sz w:val="20"/>
          <w:szCs w:val="20"/>
          <w:color w:val="auto"/>
        </w:rPr>
        <w:t>” means, with respect to a Loan, its character as a Base Rate Loan or a Eurodollar Rate Loan.</w:t>
      </w:r>
    </w:p>
    <w:p>
      <w:pPr>
        <w:spacing w:after="0" w:line="21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i w:val="1"/>
          <w:iCs w:val="1"/>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2" w:name="page123"/>
    <w:bookmarkEnd w:id="122"/>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UCP</w:t>
      </w:r>
      <w:r>
        <w:rPr>
          <w:rFonts w:ascii="Arial" w:cs="Arial" w:eastAsia="Arial" w:hAnsi="Arial"/>
          <w:sz w:val="18"/>
          <w:szCs w:val="18"/>
          <w:color w:val="auto"/>
        </w:rPr>
        <w:t>” means the Uniform Customs and Practice for Documentary Credits, International Chamber of Commerce Publication No.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600 (or such later version thereof as may be in effect at the applicable time).</w:t>
      </w:r>
    </w:p>
    <w:p>
      <w:pPr>
        <w:spacing w:after="0" w:line="20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UK Financial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BRRD Undertaking (as such term is defined under the PRA Rulebook (as amended form</w:t>
      </w:r>
      <w:r>
        <w:rPr>
          <w:rFonts w:ascii="Arial" w:cs="Arial" w:eastAsia="Arial" w:hAnsi="Arial"/>
          <w:sz w:val="19"/>
          <w:szCs w:val="19"/>
          <w:i w:val="1"/>
          <w:iCs w:val="1"/>
          <w:color w:val="auto"/>
        </w:rPr>
        <w:t xml:space="preserve"> </w:t>
      </w:r>
      <w:r>
        <w:rPr>
          <w:rFonts w:ascii="Arial" w:cs="Arial" w:eastAsia="Arial" w:hAnsi="Arial"/>
          <w:sz w:val="19"/>
          <w:szCs w:val="19"/>
          <w:color w:val="auto"/>
        </w:rPr>
        <w:t>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UK Resolution Authority</w:t>
      </w:r>
      <w:r>
        <w:rPr>
          <w:rFonts w:ascii="Arial" w:cs="Arial" w:eastAsia="Arial" w:hAnsi="Arial"/>
          <w:sz w:val="20"/>
          <w:szCs w:val="20"/>
          <w:i w:val="1"/>
          <w:iCs w:val="1"/>
          <w:color w:val="auto"/>
        </w:rPr>
        <w:t xml:space="preserve">” </w:t>
      </w:r>
      <w:r>
        <w:rPr>
          <w:rFonts w:ascii="Arial" w:cs="Arial" w:eastAsia="Arial" w:hAnsi="Arial"/>
          <w:sz w:val="20"/>
          <w:szCs w:val="20"/>
          <w:color w:val="auto"/>
        </w:rPr>
        <w:t>means the Bank of England or any other public administrative authority having responsibility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resolution of any UK Financial Institution.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United States</w:t>
      </w:r>
      <w:r>
        <w:rPr>
          <w:rFonts w:ascii="Arial" w:cs="Arial" w:eastAsia="Arial" w:hAnsi="Arial"/>
          <w:sz w:val="20"/>
          <w:szCs w:val="20"/>
          <w:color w:val="auto"/>
        </w:rPr>
        <w:t>” and “</w:t>
      </w:r>
      <w:r>
        <w:rPr>
          <w:rFonts w:ascii="Arial" w:cs="Arial" w:eastAsia="Arial" w:hAnsi="Arial"/>
          <w:sz w:val="20"/>
          <w:szCs w:val="20"/>
          <w:i w:val="1"/>
          <w:iCs w:val="1"/>
          <w:u w:val="single" w:color="auto"/>
          <w:color w:val="auto"/>
        </w:rPr>
        <w:t>U</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S</w:t>
      </w:r>
      <w:r>
        <w:rPr>
          <w:rFonts w:ascii="Arial" w:cs="Arial" w:eastAsia="Arial" w:hAnsi="Arial"/>
          <w:sz w:val="20"/>
          <w:szCs w:val="20"/>
          <w:u w:val="single" w:color="auto"/>
          <w:color w:val="auto"/>
        </w:rPr>
        <w:t>.</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2.03(f</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Unrestricted Cash</w:t>
      </w:r>
      <w:r>
        <w:rPr>
          <w:rFonts w:ascii="Arial" w:cs="Arial" w:eastAsia="Arial" w:hAnsi="Arial"/>
          <w:sz w:val="19"/>
          <w:szCs w:val="19"/>
          <w:color w:val="auto"/>
        </w:rPr>
        <w:t xml:space="preserve">” means the aggregate amount of unrestricted cash and Cash Equivalents of the Loan Parties maintained in domestic accounts, not to exceed (other than, solely for purposes of calculating the Consolidated Total Net Leverage Ratio solely for purposes of determining the Applicable Rate for a period not to exceed twelve (12) months from the incurrence thereof, any such cash representing Net Cash Proceeds from the incurrence of Permitted Convertible Indebtedness to the extent such Permitted Convertible Indebtedness remains outstanding) $75,000,000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cash or Cash Equivalents representing the proceeds of Indebtedness (i) incurred for the sole purpose to finance the consideration (and the payment of fees and expenses in connection therewith) for a not yet consummated Permitted Acquisition that are segregated or held in escrow pending the consummation of such Permitted Acquisition within five (5) Business Days of such incurrence (as determined in good faith by the Borrower) or (y) incurred for the sole purpose of refinancing Indebtedness permitted hereunder (and the payment of fees and expenses in connection therewith) that are segregated or held in escrow pending such refinancing within five (5) Business Days of such incurrence (as determined in good faith by the Borrower), in each case, shall not be disqualified from being considered Unrestricted Cash solely due to Liens or restrictions arising from such escrow arrangement or restricted usage.</w:t>
      </w:r>
    </w:p>
    <w:p>
      <w:pPr>
        <w:spacing w:after="0" w:line="18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U</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S</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Loan Party</w:t>
      </w:r>
      <w:r>
        <w:rPr>
          <w:rFonts w:ascii="Arial" w:cs="Arial" w:eastAsia="Arial" w:hAnsi="Arial"/>
          <w:sz w:val="20"/>
          <w:szCs w:val="20"/>
          <w:color w:val="auto"/>
        </w:rPr>
        <w:t>” means any Loan Party that is organized under the laws of the United States, any state or commonwealth thereof or the District of Columbia.</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U</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S</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U.S. Special Resolution Regimes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U</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S</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3.01(f)(ii)(B)(3</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Voting Stock</w:t>
      </w:r>
      <w:r>
        <w:rPr>
          <w:rFonts w:ascii="Arial" w:cs="Arial" w:eastAsia="Arial" w:hAnsi="Arial"/>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8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Weighted Average Life to Maturity</w:t>
      </w:r>
      <w:r>
        <w:rPr>
          <w:rFonts w:ascii="Arial" w:cs="Arial" w:eastAsia="Arial" w:hAnsi="Arial"/>
          <w:sz w:val="18"/>
          <w:szCs w:val="18"/>
          <w:color w:val="auto"/>
        </w:rPr>
        <w:t>”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3" w:name="page124"/>
    <w:bookmarkEnd w:id="123"/>
    <w:p>
      <w:pPr>
        <w:jc w:val="both"/>
        <w:ind w:right="20"/>
        <w:spacing w:after="0" w:line="260" w:lineRule="auto"/>
        <w:rPr>
          <w:sz w:val="20"/>
          <w:szCs w:val="20"/>
          <w:color w:val="auto"/>
        </w:rPr>
      </w:pPr>
      <w:r>
        <w:rPr>
          <w:rFonts w:ascii="Arial" w:cs="Arial" w:eastAsia="Arial" w:hAnsi="Arial"/>
          <w:sz w:val="20"/>
          <w:szCs w:val="20"/>
          <w:color w:val="auto"/>
        </w:rPr>
        <w:t xml:space="preserve">of years (calculated to the nearest one twelfth) that will elapse between such date of determination and the making of such payment </w:t>
      </w:r>
      <w:r>
        <w:rPr>
          <w:rFonts w:ascii="Arial" w:cs="Arial" w:eastAsia="Arial" w:hAnsi="Arial"/>
          <w:sz w:val="20"/>
          <w:szCs w:val="20"/>
          <w:u w:val="single" w:color="auto"/>
          <w:color w:val="auto"/>
        </w:rPr>
        <w:t>by</w:t>
      </w:r>
      <w:r>
        <w:rPr>
          <w:rFonts w:ascii="Arial" w:cs="Arial" w:eastAsia="Arial" w:hAnsi="Arial"/>
          <w:sz w:val="20"/>
          <w:szCs w:val="20"/>
          <w:color w:val="auto"/>
        </w:rPr>
        <w:t xml:space="preserve"> (b) the then outstanding principal amount of such Indebtedness as of such date of determination.</w:t>
      </w:r>
    </w:p>
    <w:p>
      <w:pPr>
        <w:spacing w:after="0" w:line="17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Wholly Owned Subsidiary</w:t>
      </w:r>
      <w:r>
        <w:rPr>
          <w:rFonts w:ascii="Arial" w:cs="Arial" w:eastAsia="Arial" w:hAnsi="Arial"/>
          <w:sz w:val="18"/>
          <w:szCs w:val="18"/>
          <w:color w:val="auto"/>
        </w:rPr>
        <w:t>” means, as to any Person, (a) any corporation one hundred percent (100%) of whose Equity Interests is at the time owned by such Person and/or one or more Wholly Owned Subsidiaries of such Person and (b) any partnership, association, joint venture, limited liability company or other entity in which such Person and/or one or more Wholly Owned Subsidiaries of such Person have a one hundred percent (100%) equity interest at such time, in each case, other than directors’ qualifying shares or Equity Interests that are required to be held by another person in order to satisfy a foreign requirement of Law prescribing an equity owner resident in the local jurisdiction. Unless otherwise specified, all references herein to a “Wholly Owned Subsidiary” or to “Wholly Owned Subsidiaries” shall refer to a Wholly Owned Subsidiary or Wholly Owned Subsidiaries of the Borrower.</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Withholding Agent</w:t>
      </w:r>
      <w:r>
        <w:rPr>
          <w:rFonts w:ascii="Arial" w:cs="Arial" w:eastAsia="Arial" w:hAnsi="Arial"/>
          <w:sz w:val="20"/>
          <w:szCs w:val="20"/>
          <w:color w:val="auto"/>
        </w:rPr>
        <w:t>” means any Loan Party and the Administrative Agent.</w:t>
      </w:r>
    </w:p>
    <w:p>
      <w:pPr>
        <w:spacing w:after="0" w:line="216" w:lineRule="exact"/>
        <w:rPr>
          <w:sz w:val="20"/>
          <w:szCs w:val="20"/>
          <w:color w:val="auto"/>
        </w:rPr>
      </w:pPr>
    </w:p>
    <w:p>
      <w:pPr>
        <w:jc w:val="both"/>
        <w:ind w:firstLine="864"/>
        <w:spacing w:after="0" w:line="232"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Write</w:t>
      </w:r>
      <w:r>
        <w:rPr>
          <w:rFonts w:ascii="Arial" w:cs="Arial" w:eastAsia="Arial" w:hAnsi="Arial"/>
          <w:sz w:val="19"/>
          <w:szCs w:val="19"/>
          <w:u w:val="single" w:color="auto"/>
          <w:color w:val="auto"/>
        </w:rPr>
        <w:t>-</w:t>
      </w:r>
      <w:r>
        <w:rPr>
          <w:rFonts w:ascii="Arial" w:cs="Arial" w:eastAsia="Arial" w:hAnsi="Arial"/>
          <w:sz w:val="19"/>
          <w:szCs w:val="19"/>
          <w:i w:val="1"/>
          <w:iCs w:val="1"/>
          <w:u w:val="single" w:color="auto"/>
          <w:color w:val="auto"/>
        </w:rPr>
        <w:t>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w:t>
      </w:r>
      <w:r>
        <w:rPr>
          <w:rFonts w:ascii="MS PGothic" w:cs="MS PGothic" w:eastAsia="MS PGothic" w:hAnsi="MS PGothic"/>
          <w:sz w:val="19"/>
          <w:szCs w:val="19"/>
          <w:color w:val="auto"/>
        </w:rPr>
        <w:t>‑</w:t>
      </w:r>
      <w:r>
        <w:rPr>
          <w:rFonts w:ascii="Arial" w:cs="Arial" w:eastAsia="Arial" w:hAnsi="Arial"/>
          <w:sz w:val="19"/>
          <w:szCs w:val="19"/>
          <w:color w:val="auto"/>
        </w:rPr>
        <w:t>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8"/>
          <w:szCs w:val="18"/>
          <w:b w:val="1"/>
          <w:bCs w:val="1"/>
          <w:u w:val="single" w:color="auto"/>
          <w:color w:val="auto"/>
        </w:rPr>
        <w:t>Other Interpretive Provisions</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With reference to this Agreement and each other Loan Document, unless otherwise specified herein or in such other Loan Document:</w:t>
      </w:r>
    </w:p>
    <w:p>
      <w:pPr>
        <w:spacing w:after="0" w:line="177" w:lineRule="exact"/>
        <w:rPr>
          <w:sz w:val="20"/>
          <w:szCs w:val="20"/>
          <w:color w:val="auto"/>
        </w:rPr>
      </w:pPr>
    </w:p>
    <w:p>
      <w:pPr>
        <w:jc w:val="both"/>
        <w:ind w:left="880" w:firstLine="789"/>
        <w:spacing w:after="0" w:line="254" w:lineRule="auto"/>
        <w:tabs>
          <w:tab w:leader="none" w:pos="2545"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4" w:name="page125"/>
    <w:bookmarkEnd w:id="124"/>
    <w:p>
      <w:pPr>
        <w:jc w:val="both"/>
        <w:spacing w:after="0" w:line="291" w:lineRule="auto"/>
        <w:rPr>
          <w:sz w:val="20"/>
          <w:szCs w:val="20"/>
          <w:color w:val="auto"/>
        </w:rPr>
      </w:pPr>
      <w:r>
        <w:rPr>
          <w:rFonts w:ascii="Arial" w:cs="Arial" w:eastAsia="Arial" w:hAnsi="Arial"/>
          <w:sz w:val="18"/>
          <w:szCs w:val="18"/>
          <w:color w:val="auto"/>
        </w:rPr>
        <w:t>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52" w:lineRule="exact"/>
        <w:rPr>
          <w:sz w:val="20"/>
          <w:szCs w:val="20"/>
          <w:color w:val="auto"/>
        </w:rPr>
      </w:pPr>
    </w:p>
    <w:p>
      <w:pPr>
        <w:jc w:val="both"/>
        <w:ind w:firstLine="789"/>
        <w:spacing w:after="0" w:line="316" w:lineRule="auto"/>
        <w:tabs>
          <w:tab w:leader="none" w:pos="16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29" w:lineRule="exact"/>
        <w:rPr>
          <w:rFonts w:ascii="Arial" w:cs="Arial" w:eastAsia="Arial" w:hAnsi="Arial"/>
          <w:sz w:val="18"/>
          <w:szCs w:val="18"/>
          <w:color w:val="auto"/>
        </w:rPr>
      </w:pPr>
    </w:p>
    <w:p>
      <w:pPr>
        <w:ind w:firstLine="789"/>
        <w:spacing w:after="0" w:line="260" w:lineRule="auto"/>
        <w:tabs>
          <w:tab w:leader="none" w:pos="1665"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jc w:val="both"/>
        <w:ind w:firstLine="789"/>
        <w:spacing w:after="0" w:line="276" w:lineRule="auto"/>
        <w:tabs>
          <w:tab w:leader="none" w:pos="16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64" w:lineRule="exact"/>
        <w:rPr>
          <w:rFonts w:ascii="Arial" w:cs="Arial" w:eastAsia="Arial" w:hAnsi="Arial"/>
          <w:sz w:val="18"/>
          <w:szCs w:val="18"/>
          <w:color w:val="auto"/>
        </w:rPr>
      </w:pPr>
    </w:p>
    <w:p>
      <w:pPr>
        <w:jc w:val="both"/>
        <w:ind w:firstLine="789"/>
        <w:spacing w:after="0" w:line="255" w:lineRule="auto"/>
        <w:tabs>
          <w:tab w:leader="none" w:pos="1665"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purposes of determining compliance at any time with Section 7.01, 7.02, 7.03, 7.04, 7.05, 7.06, 7.08, or 7.13, if any Lien, Indebtedness, Investment, fundamental change, Disposition, Restricted Payment, affiliate transaction, or prepayment, as applicable, meets the criteria of more than one of the categories of transactions or items permitted pursuant to any clause of such Section 7.01 (other than Section 7.01(a)), 7.02 (other than Section 7.02(a)), 7.03, 7.04, 7.05, 7.06, 7.08, or 7.13, respectively, the Borrower, in its sole discretion, may upon the incurrence or occurrence, as applicable, of such Lien, Indebtedness, Investment, fundamental change, Disposition, Restricted Payment, affiliate transaction, or prepayment, classify and divide any such transaction or item (or portion thereof) and will be entitled to include the amount and type of any such transaction or item (or portion thereof) in any one or more of the above categories as it so elects at such time, and such transaction or item (or portion thereof) will be treated for all purposes hereunder after such occurrence or incurrence, as applicable, as being incurred or existing pursuant to only such category or categories.</w:t>
      </w:r>
    </w:p>
    <w:p>
      <w:pPr>
        <w:spacing w:after="0" w:line="189" w:lineRule="exact"/>
        <w:rPr>
          <w:rFonts w:ascii="Arial" w:cs="Arial" w:eastAsia="Arial" w:hAnsi="Arial"/>
          <w:sz w:val="19"/>
          <w:szCs w:val="19"/>
          <w:color w:val="auto"/>
        </w:rPr>
      </w:pPr>
    </w:p>
    <w:p>
      <w:pPr>
        <w:jc w:val="both"/>
        <w:ind w:firstLine="789"/>
        <w:spacing w:after="0" w:line="255" w:lineRule="auto"/>
        <w:tabs>
          <w:tab w:leader="none" w:pos="1643"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any other Loan Document to the contrary, if any Indebtedness (other than with respect to the incurrence of Revolving Loans, Swingline Loans or any L/C Credit Extension) is incurred, acquired, or assumed in connection with a Limited Condition Acquisition, then compliance with any applicable ratio, test or other basket hereunder on a Pro Forma Basis may be determined, at the option of the Borrower, either (x) as of the time of entry into the applicable acquisition agreement or (y) at the time of incurrence, acquisition or assumption, as applicable, of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if the Borrower elects to have such determination occur at the time of entry into such applicable acquisition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Indebtedness to be incurred (and any associated Lien) shall be deemed incurred at the time of such determination and outstanding thereafter for purposes of determining compliance on a Pro Forma Basis with any applicable ratio, test or other basket tested after such time of entry, which ratio, test or other basket shall be calculated both (I) on a Pro Forma Basis assuming such Limited Condition Acquisition and other transactions in connection therewith (including any incurrence of Indebtedness and the use of proceeds thereof) have been consummated and (II) on a Pro Forma Basis assuming such Limited Condition Acquisition and the other transactions in connection</w:t>
      </w:r>
    </w:p>
    <w:p>
      <w:pPr>
        <w:spacing w:after="0" w:line="18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25" w:name="page126"/>
    <w:bookmarkEnd w:id="125"/>
    <w:p>
      <w:pPr>
        <w:jc w:val="both"/>
        <w:ind w:left="8"/>
        <w:spacing w:after="0" w:line="244" w:lineRule="auto"/>
        <w:rPr>
          <w:sz w:val="20"/>
          <w:szCs w:val="20"/>
          <w:color w:val="auto"/>
        </w:rPr>
      </w:pPr>
      <w:r>
        <w:rPr>
          <w:rFonts w:ascii="Arial" w:cs="Arial" w:eastAsia="Arial" w:hAnsi="Arial"/>
          <w:sz w:val="20"/>
          <w:szCs w:val="20"/>
          <w:color w:val="auto"/>
        </w:rPr>
        <w:t>therewith (including any incurrence of Indebtedness and the use of proceeds thereof) have not been consummated (and Indebtedness not incurred) until such time as either (i) such acquisition agreement is terminated without actually consummating such Limited Condition Acquisition, or (ii) such Limited Condition Acquisition is consummated. For the avoidance of doubt no pro forma adjustments for Limited Condition Acquisitions pursuant to this Section 1.02(f) will apply for purposes of determining compliance with Section 7.11 hereof.</w:t>
      </w:r>
    </w:p>
    <w:p>
      <w:pPr>
        <w:spacing w:after="0" w:line="188"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u w:val="single" w:color="auto"/>
          <w:color w:val="auto"/>
        </w:rPr>
        <w:t>Accounting Terms.</w:t>
      </w:r>
    </w:p>
    <w:p>
      <w:pPr>
        <w:spacing w:after="0" w:line="222" w:lineRule="exact"/>
        <w:rPr>
          <w:sz w:val="20"/>
          <w:szCs w:val="20"/>
          <w:color w:val="auto"/>
        </w:rPr>
      </w:pPr>
    </w:p>
    <w:p>
      <w:pPr>
        <w:jc w:val="both"/>
        <w:ind w:left="8" w:firstLine="789"/>
        <w:spacing w:after="0" w:line="268" w:lineRule="auto"/>
        <w:tabs>
          <w:tab w:leader="none" w:pos="167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and FASB ASC 470–20 on financial liabilities shall be disregarded and (ii)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 In addition, in the case of any Permitted Convertible Indebtedness for which the embedded conversion obligation must be settled by paying solely cash, so long as substantially concurrently with the offering of such Permitted Convertible Indebtedness, the Borrower enters into a cash-settled Permitted Bond Hedge Transaction relating to such Permitted Convertible Indebtedness, notwithstanding any other provision contained herein, for so long as such Permitted Bond Hedge Transaction (or a portion thereof) corresponding to the maximum cash-settled amount owed under such Permitted Convertible Indebtedness remains in effect, all computations of amounts and ratios referred to herein shall be made as if the amount of Indebtedness represented by such Permitted Convertible Indebtedness were equal to the face principal amount thereof without regard to any mark-to-market derivative accounting for such Indebtedness.</w:t>
      </w:r>
    </w:p>
    <w:p>
      <w:pPr>
        <w:spacing w:after="0" w:line="181" w:lineRule="exact"/>
        <w:rPr>
          <w:rFonts w:ascii="Arial" w:cs="Arial" w:eastAsia="Arial" w:hAnsi="Arial"/>
          <w:sz w:val="18"/>
          <w:szCs w:val="18"/>
          <w:color w:val="auto"/>
        </w:rPr>
      </w:pPr>
    </w:p>
    <w:p>
      <w:pPr>
        <w:jc w:val="both"/>
        <w:ind w:left="8" w:firstLine="789"/>
        <w:spacing w:after="0" w:line="270" w:lineRule="auto"/>
        <w:tabs>
          <w:tab w:leader="none" w:pos="168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until so amended,</w:t>
      </w:r>
    </w:p>
    <w:p>
      <w:pPr>
        <w:spacing w:after="0" w:line="2" w:lineRule="exact"/>
        <w:rPr>
          <w:rFonts w:ascii="Arial" w:cs="Arial" w:eastAsia="Arial" w:hAnsi="Arial"/>
          <w:sz w:val="18"/>
          <w:szCs w:val="18"/>
          <w:color w:val="auto"/>
        </w:rPr>
      </w:pPr>
    </w:p>
    <w:p>
      <w:pPr>
        <w:jc w:val="both"/>
        <w:ind w:left="8" w:hanging="8"/>
        <w:spacing w:after="0" w:line="241" w:lineRule="auto"/>
        <w:tabs>
          <w:tab w:leader="none" w:pos="264" w:val="left"/>
        </w:tabs>
        <w:numPr>
          <w:ilvl w:val="0"/>
          <w:numId w:val="63"/>
        </w:numPr>
        <w:rPr>
          <w:rFonts w:ascii="Arial" w:cs="Arial" w:eastAsia="Arial" w:hAnsi="Arial"/>
          <w:sz w:val="20"/>
          <w:szCs w:val="20"/>
          <w:color w:val="auto"/>
        </w:rPr>
      </w:pPr>
      <w:r>
        <w:rPr>
          <w:rFonts w:ascii="Arial" w:cs="Arial" w:eastAsia="Arial" w:hAnsi="Arial"/>
          <w:sz w:val="20"/>
          <w:szCs w:val="20"/>
          <w:color w:val="auto"/>
        </w:rPr>
        <w:t>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7"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126" w:name="page127"/>
    <w:bookmarkEnd w:id="126"/>
    <w:p>
      <w:pPr>
        <w:jc w:val="both"/>
        <w:ind w:left="880" w:firstLine="789"/>
        <w:spacing w:after="0" w:line="282" w:lineRule="auto"/>
        <w:tabs>
          <w:tab w:leader="none" w:pos="254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61" w:lineRule="exact"/>
        <w:rPr>
          <w:rFonts w:ascii="Arial" w:cs="Arial" w:eastAsia="Arial" w:hAnsi="Arial"/>
          <w:sz w:val="18"/>
          <w:szCs w:val="18"/>
          <w:color w:val="auto"/>
        </w:rPr>
      </w:pPr>
    </w:p>
    <w:p>
      <w:pPr>
        <w:jc w:val="both"/>
        <w:ind w:left="880" w:firstLine="789"/>
        <w:spacing w:after="0" w:line="269" w:lineRule="auto"/>
        <w:tabs>
          <w:tab w:leader="none" w:pos="255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Pro Forma Calculations</w:t>
      </w:r>
      <w:r>
        <w:rPr>
          <w:rFonts w:ascii="Arial" w:cs="Arial" w:eastAsia="Arial" w:hAnsi="Arial"/>
          <w:sz w:val="18"/>
          <w:szCs w:val="18"/>
          <w:color w:val="auto"/>
        </w:rPr>
        <w:t xml:space="preserve">. Notwithstanding anything to the contrary contained herein, all calculations of Consolidated EBITDA, the Consolidated Total Net Leverage Ratio (including for purposes of determining the Applicable Rate), and the Consolidated Interest Coverage Ratio shall be made on a Pro Forma Basis with respect to all Specified Transactions occurring during the applicable Measurement Period to which such calculation relates, and/or subsequent to the end of such Measurement Period but not later than the date of such calculation; provided, that, notwithstanding the foregoing, when calculating Consolidated EBITDA, the Consolidated Total Net Leverage Ratio, and/or the Consolidated Interest Coverage Ratio for purposes of determining (i) compliance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and/or (ii) the Applicable Rate, any Specified Transaction and any related adjustment contemplated in the definition of “Pro Forma Basis” that occurred subsequent to the end of the applicable Measurement Period shall not be given Pro Forma Effect. For purposes of determining compliance with any provision of this Agreement which requires compliance on a Pro Forma Basis with any financial covenant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(A) in the case of any such compliance required after delivery of financial statements for the fiscal quarter of the Borrowing ending September 30, 2021, such compliance on a Pro Forma Basis shall be determined by reference to minimum Consolidated EBITDA, the maximum Consolidated Total Net Leverage Ratio, and/or the minimum Consolidated Interest Coverage Ratio, as applicable, permitted for the fiscal quarter most recently then ended for which financial statements have been delivered (or were required to have been delivered) in accordance with Section 6.01(a) or (b), or (B) in the case of any such compliance required prior to the delivery referred to in clause (A) above, such compliance on a Pro Forma Basis shall be determined by reference to minimum Consolidated EBITDA, the maximum Consolidated Total Net Leverage Ratio, and/or the minimum Consolidated Interest Coverage Ratio, as applicable, permitted for the fiscal quarter of the Borrower ending September 30, 2021.</w:t>
      </w:r>
    </w:p>
    <w:p>
      <w:pPr>
        <w:spacing w:after="0" w:line="171" w:lineRule="exact"/>
        <w:rPr>
          <w:rFonts w:ascii="Arial" w:cs="Arial" w:eastAsia="Arial" w:hAnsi="Arial"/>
          <w:sz w:val="18"/>
          <w:szCs w:val="18"/>
          <w:color w:val="auto"/>
        </w:rPr>
      </w:pPr>
    </w:p>
    <w:p>
      <w:pPr>
        <w:jc w:val="both"/>
        <w:ind w:left="880" w:firstLine="789"/>
        <w:spacing w:after="0" w:line="243" w:lineRule="auto"/>
        <w:tabs>
          <w:tab w:leader="none" w:pos="2545"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Cash Netting</w:t>
      </w:r>
      <w:r>
        <w:rPr>
          <w:rFonts w:ascii="Arial" w:cs="Arial" w:eastAsia="Arial" w:hAnsi="Arial"/>
          <w:sz w:val="20"/>
          <w:szCs w:val="20"/>
          <w:color w:val="auto"/>
        </w:rPr>
        <w:t>. Notwithstanding anything in this Agreement or any Loan Document to the contrary if the Borrower or any Subsidiary incurs Indebtedness under a ratio-based basket, such ratio-based basket (together with any other ratio-based basket utilized in connection therewith, including in respect of other Indebtedness, Liens, Dispositions, Investments or Restricted Payments) will be calculated excluding the cash proceeds of such Indebtedness for netting purposes (i.e., such cash proceeds shall not reduce the numerator of the Consolidated Total Net Leverage Ratio pursuant to clause (a)(ii) of the definition of such term).</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8"/>
          <w:szCs w:val="18"/>
          <w:b w:val="1"/>
          <w:bCs w:val="1"/>
          <w:u w:val="single" w:color="auto"/>
          <w:color w:val="auto"/>
        </w:rPr>
        <w:t>Rounding.</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r>
        <w:rPr>
          <w:rFonts w:ascii="Arial" w:cs="Arial" w:eastAsia="Arial" w:hAnsi="Arial"/>
          <w:sz w:val="15"/>
          <w:szCs w:val="15"/>
          <w:color w:val="auto"/>
        </w:rPr>
        <w:t>.</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u w:val="single" w:color="auto"/>
          <w:color w:val="auto"/>
        </w:rPr>
        <w:t>Times of Day.</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Eastern time (daylight or standard, as applicable).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7" w:name="page128"/>
    <w:bookmarkEnd w:id="127"/>
    <w:p>
      <w:pPr>
        <w:ind w:left="880"/>
        <w:spacing w:after="0"/>
        <w:tabs>
          <w:tab w:leader="none" w:pos="184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8"/>
          <w:szCs w:val="18"/>
          <w:b w:val="1"/>
          <w:bCs w:val="1"/>
          <w:u w:val="single" w:color="auto"/>
          <w:color w:val="auto"/>
        </w:rPr>
        <w:t>Letter of Credit Amounts.</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8"/>
          <w:szCs w:val="18"/>
          <w:b w:val="1"/>
          <w:bCs w:val="1"/>
          <w:u w:val="single" w:color="auto"/>
          <w:color w:val="auto"/>
        </w:rPr>
        <w:t>UCC Terms.</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1.08</w:t>
      </w:r>
      <w:r>
        <w:rPr>
          <w:sz w:val="20"/>
          <w:szCs w:val="20"/>
          <w:color w:val="auto"/>
        </w:rPr>
        <w:tab/>
      </w:r>
      <w:r>
        <w:rPr>
          <w:rFonts w:ascii="Arial" w:cs="Arial" w:eastAsia="Arial" w:hAnsi="Arial"/>
          <w:sz w:val="16"/>
          <w:szCs w:val="16"/>
          <w:b w:val="1"/>
          <w:bCs w:val="1"/>
          <w:u w:val="single" w:color="auto"/>
          <w:color w:val="auto"/>
        </w:rPr>
        <w:t>Rates.</w:t>
      </w:r>
    </w:p>
    <w:p>
      <w:pPr>
        <w:spacing w:after="0" w:line="22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 (including any Benchmark Replacement) or the effect of any of the foregoing, or of any Benchmark Replacement Conforming Changes.</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COMMITMENTS AND CREDIT EXTENSIONS</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6"/>
          <w:szCs w:val="16"/>
          <w:b w:val="1"/>
          <w:bCs w:val="1"/>
          <w:u w:val="single" w:color="auto"/>
          <w:color w:val="auto"/>
        </w:rPr>
        <w:t>Loans.</w:t>
      </w:r>
    </w:p>
    <w:p>
      <w:pPr>
        <w:spacing w:after="0" w:line="222" w:lineRule="exact"/>
        <w:rPr>
          <w:sz w:val="20"/>
          <w:szCs w:val="20"/>
          <w:color w:val="auto"/>
        </w:rPr>
      </w:pPr>
    </w:p>
    <w:p>
      <w:pPr>
        <w:jc w:val="both"/>
        <w:ind w:left="880" w:firstLine="789"/>
        <w:spacing w:after="0" w:line="242" w:lineRule="auto"/>
        <w:tabs>
          <w:tab w:leader="none" w:pos="2545"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Subject to the terms and conditions set forth herein, each Term Lender severally agrees to make a single loan to the Borrower, in Dollars, on the Closing Date in an amount not to exceed such Term Lender’s Applicable Percentage of the Term Facility. The Term Borrowing shall consist of Term Loans made simultaneously by the Term Lenders in accordance with their respective Applicable Percentage of the Term Facility. Term Borrowings repaid or prepaid may not be reborrowed. Term Loans may be Base Rate Loans or Eurodollar Rate Loans, as further provided 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any Term Borrowing made on the Closing Date or any of the three (3) Business Days following the Closing Date shall be made as Base Rate Loans unless the Borrower delivers a Funding Indemnity Letter not less than three (3) Business Days prior to the date of such Term Borrowing.</w:t>
      </w:r>
    </w:p>
    <w:p>
      <w:pPr>
        <w:spacing w:after="0" w:line="196" w:lineRule="exact"/>
        <w:rPr>
          <w:rFonts w:ascii="Arial" w:cs="Arial" w:eastAsia="Arial" w:hAnsi="Arial"/>
          <w:sz w:val="20"/>
          <w:szCs w:val="20"/>
          <w:color w:val="auto"/>
        </w:rPr>
      </w:pPr>
    </w:p>
    <w:p>
      <w:pPr>
        <w:jc w:val="both"/>
        <w:ind w:left="880" w:firstLine="789"/>
        <w:spacing w:after="0" w:line="256" w:lineRule="auto"/>
        <w:tabs>
          <w:tab w:leader="none" w:pos="255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Revolving Borrowings</w:t>
      </w:r>
      <w:r>
        <w:rPr>
          <w:rFonts w:ascii="Arial" w:cs="Arial" w:eastAsia="Arial" w:hAnsi="Arial"/>
          <w:sz w:val="19"/>
          <w:szCs w:val="19"/>
          <w:color w:val="auto"/>
        </w:rPr>
        <w:t>. Subject to the terms and conditions set forth herein, each Revolving Lender severally agrees to make loans (each such loan, a “</w:t>
      </w:r>
      <w:r>
        <w:rPr>
          <w:rFonts w:ascii="Arial" w:cs="Arial" w:eastAsia="Arial" w:hAnsi="Arial"/>
          <w:sz w:val="19"/>
          <w:szCs w:val="19"/>
          <w:i w:val="1"/>
          <w:iCs w:val="1"/>
          <w:u w:val="single" w:color="auto"/>
          <w:color w:val="auto"/>
        </w:rPr>
        <w:t>Revolving Loan</w:t>
      </w:r>
      <w:r>
        <w:rPr>
          <w:rFonts w:ascii="Arial" w:cs="Arial" w:eastAsia="Arial" w:hAnsi="Arial"/>
          <w:sz w:val="19"/>
          <w:szCs w:val="19"/>
          <w:color w:val="auto"/>
        </w:rPr>
        <w:t xml:space="preserve">”) to the Borrower, in Dollars, from time to time, on any Business Day during the Availability Period, in an aggregate amount not to exceed at any time outstanding the amount of such Lender’s Revolving Commitment; </w:t>
      </w:r>
      <w:r>
        <w:rPr>
          <w:rFonts w:ascii="Arial" w:cs="Arial" w:eastAsia="Arial" w:hAnsi="Arial"/>
          <w:sz w:val="19"/>
          <w:szCs w:val="19"/>
          <w:i w:val="1"/>
          <w:iCs w:val="1"/>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after giving effect to any Revolving Borrowing, (i) the Total Revolving Outstandings shall not exceed the Revolving Facility,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Revolving Loans may be Base Rate Loans or Eurodollar Rate Loans, as further provided herein;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any Revolving Borrowings made on the Closing Date or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8" w:name="page129"/>
    <w:bookmarkEnd w:id="128"/>
    <w:p>
      <w:pPr>
        <w:ind w:right="20"/>
        <w:spacing w:after="0" w:line="287" w:lineRule="auto"/>
        <w:rPr>
          <w:sz w:val="20"/>
          <w:szCs w:val="20"/>
          <w:color w:val="auto"/>
        </w:rPr>
      </w:pPr>
      <w:r>
        <w:rPr>
          <w:rFonts w:ascii="Arial" w:cs="Arial" w:eastAsia="Arial" w:hAnsi="Arial"/>
          <w:sz w:val="19"/>
          <w:szCs w:val="19"/>
          <w:color w:val="auto"/>
        </w:rPr>
        <w:t>of the three (3) Business Days following the Closing Date shall be made as Base Rate Loans unless the Borrower delivers a Funding Indemnity Letter not less than three (3) Business Days prior to the date of such Revolving Borrowing.</w:t>
      </w:r>
    </w:p>
    <w:p>
      <w:pPr>
        <w:spacing w:after="0" w:line="152" w:lineRule="exact"/>
        <w:rPr>
          <w:sz w:val="20"/>
          <w:szCs w:val="20"/>
          <w:color w:val="auto"/>
        </w:rPr>
      </w:pPr>
    </w:p>
    <w:p>
      <w:pPr>
        <w:jc w:val="both"/>
        <w:ind w:firstLine="789"/>
        <w:spacing w:after="0" w:line="271" w:lineRule="auto"/>
        <w:tabs>
          <w:tab w:leader="none" w:pos="166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on the effective date of any Incremental Term Facility Agreement for any Incremental Term Facility, each Incremental Term Lender under such Incremental Term Facility severally agrees to make an Incremental Term Loan to the Borrower in Dollars and in the amount of such Incremental Term Lender’s Incremental Term Commitment for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after giving effect to such Incremental Term Loans, the Outstanding Amount of such Incremental Term Loans under such Incremental Term Facility shall not exceed the aggregate amount of the Incremental Term Commitments for such Incremental Term Facility. Each Incremental Term Borrowing under an Incremental Term Facility shall consist of Incremental Term Loans made simultaneously by the Incremental Term Lenders under such Incremental Term Facility in accordance with their respective Incremental Term Commitments for such Incremental Term Facility. Incremental Term Borrowings prepaid or repaid may not be reborrowed. Incremental Term Loans may be Base Rate Loans or Eurodollar Rate Loans, as further provided herein.</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6"/>
          <w:szCs w:val="16"/>
          <w:b w:val="1"/>
          <w:bCs w:val="1"/>
          <w:u w:val="single" w:color="auto"/>
          <w:color w:val="auto"/>
        </w:rPr>
        <w:t>Borrowings, Conversions and Continuations of Loans.</w:t>
      </w:r>
    </w:p>
    <w:p>
      <w:pPr>
        <w:spacing w:after="0" w:line="222" w:lineRule="exact"/>
        <w:rPr>
          <w:sz w:val="20"/>
          <w:szCs w:val="20"/>
          <w:color w:val="auto"/>
        </w:rPr>
      </w:pPr>
    </w:p>
    <w:p>
      <w:pPr>
        <w:jc w:val="both"/>
        <w:ind w:firstLine="789"/>
        <w:spacing w:after="0" w:line="268" w:lineRule="auto"/>
        <w:tabs>
          <w:tab w:leader="none" w:pos="166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Each Borrowing, each conversion of Loans from one Type to the other, and each continuation of Eurodollar Rate Loans shall be made upon the Borrower’s irrevocable notice to the Administrative Agent, which may be given by: (i) telephone or (ii) a Loan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must be received by the Administrative Agent not later than 11:00 a.m. (A) three (3) Business Days prior to the requested date of any Borrowing of, conversion to or continuation of Eurodollar Rate Loans or of any conversion of Eurodollar Rate Loans to Base Rate Loans, and (B) on the requested date of any Borrowing of Base Rate Loans. Each Borrowing of, conversion to or continuation of Eurodollar Rate Loans shall be in a principal amount of $1,000,000 or a whole multiple of $500,000 in excess thereof (or, in connection with any conversion or continuation of a Term Loan or an Incremental Term Loan, if less, the entire principal thereof then outstanding). Except as provided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each Borrowing of or conversion to Base Rate Loans shall be in a principal amount of $500,000 or a whole multiple of $100,000 in excess thereof (or, in connection with any conversion or continuation of a Term Loan or an Incremental Term Loan, if less, the entire principal thereof then outstanding). Each Loan Notice and each telephonic notice shall specify (I) the applicable Facility and whether the Borrower is requesting a Borrowing, a conversion of Loans from one Type to the other, or a continuation of Loans, as the case may be, under such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w:t>
      </w:r>
      <w:r>
        <w:rPr>
          <w:rFonts w:ascii="Arial" w:cs="Arial" w:eastAsia="Arial" w:hAnsi="Arial"/>
          <w:sz w:val="18"/>
          <w:szCs w:val="18"/>
          <w:color w:val="7030A0"/>
        </w:rPr>
        <w:t>.</w:t>
      </w:r>
      <w:r>
        <w:rPr>
          <w:rFonts w:ascii="Arial" w:cs="Arial" w:eastAsia="Arial" w:hAnsi="Arial"/>
          <w:sz w:val="18"/>
          <w:szCs w:val="18"/>
          <w:color w:val="auto"/>
        </w:rPr>
        <w:t xml:space="preserve">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(1) month. Notwithstanding anything to the contrary herein, a Swingline Loan may not be converted to a Eurodollar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-1932940</wp:posOffset>
            </wp:positionV>
            <wp:extent cx="311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29" w:name="page130"/>
    <w:bookmarkEnd w:id="129"/>
    <w:p>
      <w:pPr>
        <w:jc w:val="both"/>
        <w:ind w:left="-240" w:firstLine="789"/>
        <w:spacing w:after="0" w:line="254" w:lineRule="auto"/>
        <w:tabs>
          <w:tab w:leader="none" w:pos="143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Advances</w:t>
      </w:r>
      <w:r>
        <w:rPr>
          <w:rFonts w:ascii="Arial" w:cs="Arial" w:eastAsia="Arial" w:hAnsi="Arial"/>
          <w:sz w:val="19"/>
          <w:szCs w:val="19"/>
          <w:color w:val="auto"/>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w:t>
      </w:r>
      <w:r>
        <w:rPr>
          <w:rFonts w:ascii="Arial" w:cs="Arial" w:eastAsia="Arial" w:hAnsi="Arial"/>
          <w:sz w:val="19"/>
          <w:szCs w:val="19"/>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on the date a Loan Notice with respect to a Revolving Borrowing is given by the Borrower, there are L/C Borrowings outstanding, then the proceeds of such Revolving Borrowing, </w:t>
      </w:r>
      <w:r>
        <w:rPr>
          <w:rFonts w:ascii="Arial" w:cs="Arial" w:eastAsia="Arial" w:hAnsi="Arial"/>
          <w:sz w:val="19"/>
          <w:szCs w:val="19"/>
          <w:i w:val="1"/>
          <w:iCs w:val="1"/>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i w:val="1"/>
          <w:iCs w:val="1"/>
          <w:u w:val="single" w:color="auto"/>
          <w:color w:val="auto"/>
        </w:rPr>
        <w:t>second</w:t>
      </w:r>
      <w:r>
        <w:rPr>
          <w:rFonts w:ascii="Arial" w:cs="Arial" w:eastAsia="Arial" w:hAnsi="Arial"/>
          <w:sz w:val="19"/>
          <w:szCs w:val="19"/>
          <w:color w:val="auto"/>
        </w:rPr>
        <w:t>, shall be made available to the Borrower as provided above.</w:t>
      </w:r>
    </w:p>
    <w:p>
      <w:pPr>
        <w:spacing w:after="0" w:line="191" w:lineRule="exact"/>
        <w:rPr>
          <w:rFonts w:ascii="Arial" w:cs="Arial" w:eastAsia="Arial" w:hAnsi="Arial"/>
          <w:sz w:val="19"/>
          <w:szCs w:val="19"/>
          <w:color w:val="auto"/>
        </w:rPr>
      </w:pPr>
    </w:p>
    <w:p>
      <w:pPr>
        <w:jc w:val="both"/>
        <w:ind w:left="-240" w:firstLine="789"/>
        <w:spacing w:after="0" w:line="244" w:lineRule="auto"/>
        <w:tabs>
          <w:tab w:leader="none" w:pos="1425"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Eurodollar Rate Loans</w:t>
      </w:r>
      <w:r>
        <w:rPr>
          <w:rFonts w:ascii="Arial" w:cs="Arial" w:eastAsia="Arial" w:hAnsi="Arial"/>
          <w:sz w:val="20"/>
          <w:szCs w:val="20"/>
          <w:color w:val="auto"/>
        </w:rPr>
        <w:t>. 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 and the Required Lenders may demand that any or all of the outstanding Eurodollar Rate Loans be converted immediately to Base Rate Loans.</w:t>
      </w:r>
    </w:p>
    <w:p>
      <w:pPr>
        <w:spacing w:after="0" w:line="194" w:lineRule="exact"/>
        <w:rPr>
          <w:rFonts w:ascii="Arial" w:cs="Arial" w:eastAsia="Arial" w:hAnsi="Arial"/>
          <w:sz w:val="20"/>
          <w:szCs w:val="20"/>
          <w:color w:val="auto"/>
        </w:rPr>
      </w:pPr>
    </w:p>
    <w:p>
      <w:pPr>
        <w:ind w:left="-240" w:firstLine="789"/>
        <w:spacing w:after="0" w:line="316" w:lineRule="auto"/>
        <w:tabs>
          <w:tab w:leader="none" w:pos="143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 Each determination of an interest rate by the Administrative Agent pursuant to any provision of this Agreement shall be conclusive and binding on the Borrower and the Lenders in the absence of manifest error.</w:t>
      </w:r>
    </w:p>
    <w:p>
      <w:pPr>
        <w:spacing w:after="0" w:line="129" w:lineRule="exact"/>
        <w:rPr>
          <w:rFonts w:ascii="Arial" w:cs="Arial" w:eastAsia="Arial" w:hAnsi="Arial"/>
          <w:sz w:val="18"/>
          <w:szCs w:val="18"/>
          <w:color w:val="auto"/>
        </w:rPr>
      </w:pPr>
    </w:p>
    <w:p>
      <w:pPr>
        <w:jc w:val="both"/>
        <w:ind w:left="-240" w:firstLine="789"/>
        <w:spacing w:after="0" w:line="242" w:lineRule="auto"/>
        <w:tabs>
          <w:tab w:leader="none" w:pos="1425"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Interest Periods</w:t>
      </w:r>
      <w:r>
        <w:rPr>
          <w:rFonts w:ascii="Arial" w:cs="Arial" w:eastAsia="Arial" w:hAnsi="Arial"/>
          <w:sz w:val="20"/>
          <w:szCs w:val="20"/>
          <w:color w:val="auto"/>
        </w:rPr>
        <w:t>. After giving effect to all Term Borrowings, all conversions of Term Loans from one Type to the other, and all continuations of Term Loans as the same Type, there shall not be more than five (5) Interest Periods in effect in respect of the Term Facility. After giving effect to all Revolving Borrowings, all conversions of Revolving Loans from one Type to the other, and all continuations of Revolving Loans as the same Type, there shall not be more than five (5) Interest Periods in effect in respect of the Revolving Facility. With respect to each Incremental Term Facility, after giving effect to all Incremental Term Borrowings, all conversions of Incremental Term Loans from one Type to the other, and all continuations of Incremental Term Loans as the same Type, there shall not be more than five (5) Interest Periods in effect in respect of such Incremental Term Facility.</w:t>
      </w:r>
    </w:p>
    <w:p>
      <w:pPr>
        <w:spacing w:after="0" w:line="196" w:lineRule="exact"/>
        <w:rPr>
          <w:rFonts w:ascii="Arial" w:cs="Arial" w:eastAsia="Arial" w:hAnsi="Arial"/>
          <w:sz w:val="20"/>
          <w:szCs w:val="20"/>
          <w:color w:val="auto"/>
        </w:rPr>
      </w:pPr>
    </w:p>
    <w:p>
      <w:pPr>
        <w:jc w:val="both"/>
        <w:ind w:left="-240" w:firstLine="789"/>
        <w:spacing w:after="0" w:line="246" w:lineRule="auto"/>
        <w:tabs>
          <w:tab w:leader="none" w:pos="1403"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Cashless Settlement Mechanism</w:t>
      </w:r>
      <w:r>
        <w:rPr>
          <w:rFonts w:ascii="Arial" w:cs="Arial" w:eastAsia="Arial" w:hAnsi="Arial"/>
          <w:sz w:val="20"/>
          <w:szCs w:val="20"/>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91" w:lineRule="exact"/>
        <w:rPr>
          <w:rFonts w:ascii="Arial" w:cs="Arial" w:eastAsia="Arial" w:hAnsi="Arial"/>
          <w:sz w:val="20"/>
          <w:szCs w:val="20"/>
          <w:color w:val="auto"/>
        </w:rPr>
      </w:pPr>
    </w:p>
    <w:p>
      <w:pPr>
        <w:jc w:val="both"/>
        <w:ind w:left="-240" w:firstLine="789"/>
        <w:spacing w:after="0" w:line="246" w:lineRule="auto"/>
        <w:tabs>
          <w:tab w:leader="none" w:pos="1436"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Increases in Revolving Facility; Incremental Term Facilities</w:t>
      </w:r>
      <w:r>
        <w:rPr>
          <w:rFonts w:ascii="Arial" w:cs="Arial" w:eastAsia="Arial" w:hAnsi="Arial"/>
          <w:sz w:val="20"/>
          <w:szCs w:val="20"/>
          <w:color w:val="auto"/>
        </w:rPr>
        <w:t>. The Borrower may increase the Revolving Facility (but not the Letter of Credit Sublimit or the Swingline Sublimit) and/or establish one or more new tranches of term loans (each such new tranche of term loans being an “</w:t>
      </w:r>
      <w:r>
        <w:rPr>
          <w:rFonts w:ascii="Arial" w:cs="Arial" w:eastAsia="Arial" w:hAnsi="Arial"/>
          <w:sz w:val="20"/>
          <w:szCs w:val="20"/>
          <w:i w:val="1"/>
          <w:iCs w:val="1"/>
          <w:u w:val="single" w:color="auto"/>
          <w:color w:val="auto"/>
        </w:rPr>
        <w:t>Incremental Term Facility</w:t>
      </w:r>
      <w:r>
        <w:rPr>
          <w:rFonts w:ascii="Arial" w:cs="Arial" w:eastAsia="Arial" w:hAnsi="Arial"/>
          <w:sz w:val="20"/>
          <w:szCs w:val="20"/>
          <w:color w:val="auto"/>
        </w:rPr>
        <w:t>”; each such increase in the Revolving Facility and each Incremental</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30" w:name="page131"/>
    <w:bookmarkEnd w:id="130"/>
    <w:p>
      <w:pPr>
        <w:spacing w:after="0" w:line="260" w:lineRule="auto"/>
        <w:rPr>
          <w:sz w:val="20"/>
          <w:szCs w:val="20"/>
          <w:color w:val="auto"/>
        </w:rPr>
      </w:pPr>
      <w:r>
        <w:rPr>
          <w:rFonts w:ascii="Arial" w:cs="Arial" w:eastAsia="Arial" w:hAnsi="Arial"/>
          <w:sz w:val="20"/>
          <w:szCs w:val="20"/>
          <w:color w:val="auto"/>
        </w:rPr>
        <w:t>Term Facility, an “</w:t>
      </w:r>
      <w:r>
        <w:rPr>
          <w:rFonts w:ascii="Arial" w:cs="Arial" w:eastAsia="Arial" w:hAnsi="Arial"/>
          <w:sz w:val="20"/>
          <w:szCs w:val="20"/>
          <w:i w:val="1"/>
          <w:iCs w:val="1"/>
          <w:u w:val="single" w:color="auto"/>
          <w:color w:val="auto"/>
        </w:rPr>
        <w:t>Incremental Facility</w:t>
      </w:r>
      <w:r>
        <w:rPr>
          <w:rFonts w:ascii="Arial" w:cs="Arial" w:eastAsia="Arial" w:hAnsi="Arial"/>
          <w:sz w:val="20"/>
          <w:szCs w:val="20"/>
          <w:color w:val="auto"/>
        </w:rPr>
        <w:t>”), by a maximum aggregate amount for all such Incremental Facilities not to exceed $250,000,000.</w:t>
      </w:r>
    </w:p>
    <w:p>
      <w:pPr>
        <w:spacing w:after="0" w:line="177" w:lineRule="exact"/>
        <w:rPr>
          <w:sz w:val="20"/>
          <w:szCs w:val="20"/>
          <w:color w:val="auto"/>
        </w:rPr>
      </w:pPr>
    </w:p>
    <w:p>
      <w:pPr>
        <w:jc w:val="both"/>
        <w:ind w:left="860" w:firstLine="726"/>
        <w:spacing w:after="0" w:line="243" w:lineRule="auto"/>
        <w:tabs>
          <w:tab w:leader="none" w:pos="2426"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Increases in Revolving Facility</w:t>
      </w:r>
      <w:r>
        <w:rPr>
          <w:rFonts w:ascii="Arial" w:cs="Arial" w:eastAsia="Arial" w:hAnsi="Arial"/>
          <w:sz w:val="20"/>
          <w:szCs w:val="20"/>
          <w:color w:val="auto"/>
        </w:rPr>
        <w:t xml:space="preserve">. The Borrower may at any time after the Closing Date and prior to the Maturity Date with respect to the Revolving Facility, upon prior written notice by the Borrower to the Administrative Agent, increase the Revolving Facility (but not the Letter of Credit Sublimit or the Swingline Sublimit) with additional Revolving Commitments from any Revolving Lender or new Revolving Commitments from one or more other Persons selected by the Borrower and acceptable to the Administrative Agent (such consent not to be unreasonably withheld, conditioned or delayed), the L/C Issuer, and the Swingline Lender (so long as such Persons would be Eligible Assignees);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1720" w:firstLine="664"/>
        <w:spacing w:after="0" w:line="250" w:lineRule="auto"/>
        <w:tabs>
          <w:tab w:leader="none" w:pos="3307" w:val="left"/>
        </w:tabs>
        <w:numPr>
          <w:ilvl w:val="1"/>
          <w:numId w:val="69"/>
        </w:numPr>
        <w:rPr>
          <w:rFonts w:ascii="Arial" w:cs="Arial" w:eastAsia="Arial" w:hAnsi="Arial"/>
          <w:sz w:val="20"/>
          <w:szCs w:val="20"/>
          <w:color w:val="auto"/>
        </w:rPr>
      </w:pPr>
      <w:r>
        <w:rPr>
          <w:rFonts w:ascii="Arial" w:cs="Arial" w:eastAsia="Arial" w:hAnsi="Arial"/>
          <w:sz w:val="20"/>
          <w:szCs w:val="20"/>
          <w:color w:val="auto"/>
        </w:rPr>
        <w:t>any such increase shall be in a minimum principal amount of $10,000,000 and in integral multiples of $1,000,000 in excess thereof (or such other amount as the Administrative Agent shall agree in its sole discretion);</w:t>
      </w:r>
    </w:p>
    <w:p>
      <w:pPr>
        <w:spacing w:after="0" w:line="185" w:lineRule="exact"/>
        <w:rPr>
          <w:rFonts w:ascii="Arial" w:cs="Arial" w:eastAsia="Arial" w:hAnsi="Arial"/>
          <w:sz w:val="20"/>
          <w:szCs w:val="20"/>
          <w:color w:val="auto"/>
        </w:rPr>
      </w:pPr>
    </w:p>
    <w:p>
      <w:pPr>
        <w:ind w:left="1720" w:firstLine="664"/>
        <w:spacing w:after="0" w:line="260" w:lineRule="auto"/>
        <w:tabs>
          <w:tab w:leader="none" w:pos="3296" w:val="left"/>
        </w:tabs>
        <w:numPr>
          <w:ilvl w:val="1"/>
          <w:numId w:val="69"/>
        </w:numPr>
        <w:rPr>
          <w:rFonts w:ascii="Arial" w:cs="Arial" w:eastAsia="Arial" w:hAnsi="Arial"/>
          <w:sz w:val="20"/>
          <w:szCs w:val="20"/>
          <w:color w:val="auto"/>
        </w:rPr>
      </w:pPr>
      <w:r>
        <w:rPr>
          <w:rFonts w:ascii="Arial" w:cs="Arial" w:eastAsia="Arial" w:hAnsi="Arial"/>
          <w:sz w:val="20"/>
          <w:szCs w:val="20"/>
          <w:color w:val="auto"/>
        </w:rPr>
        <w:t>no Event of Default shall exist and be continuing at the time of any such increase or would exist immediately after giving effect thereto;</w:t>
      </w:r>
    </w:p>
    <w:p>
      <w:pPr>
        <w:spacing w:after="0" w:line="176" w:lineRule="exact"/>
        <w:rPr>
          <w:rFonts w:ascii="Arial" w:cs="Arial" w:eastAsia="Arial" w:hAnsi="Arial"/>
          <w:sz w:val="20"/>
          <w:szCs w:val="20"/>
          <w:color w:val="auto"/>
        </w:rPr>
      </w:pPr>
    </w:p>
    <w:p>
      <w:pPr>
        <w:jc w:val="both"/>
        <w:ind w:left="1720" w:firstLine="664"/>
        <w:spacing w:after="0" w:line="291" w:lineRule="auto"/>
        <w:tabs>
          <w:tab w:leader="none" w:pos="32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 existing Lender shall be under any obligation to provide a Revolving Commitment in connection with such increase (or to increase its Revolving Commitment, as applicable) and any such decision whether to participate in such increase shall be in such Lender’s sole and absolute discretion;</w:t>
      </w:r>
    </w:p>
    <w:p>
      <w:pPr>
        <w:spacing w:after="0" w:line="151" w:lineRule="exact"/>
        <w:rPr>
          <w:rFonts w:ascii="Arial" w:cs="Arial" w:eastAsia="Arial" w:hAnsi="Arial"/>
          <w:sz w:val="18"/>
          <w:szCs w:val="18"/>
          <w:color w:val="auto"/>
        </w:rPr>
      </w:pPr>
    </w:p>
    <w:p>
      <w:pPr>
        <w:jc w:val="both"/>
        <w:ind w:left="1720" w:firstLine="664"/>
        <w:spacing w:after="0" w:line="263" w:lineRule="auto"/>
        <w:tabs>
          <w:tab w:leader="none" w:pos="3307" w:val="left"/>
        </w:tabs>
        <w:numPr>
          <w:ilvl w:val="1"/>
          <w:numId w:val="69"/>
        </w:numPr>
        <w:rPr>
          <w:rFonts w:ascii="Arial" w:cs="Arial" w:eastAsia="Arial" w:hAnsi="Arial"/>
          <w:sz w:val="19"/>
          <w:szCs w:val="19"/>
          <w:color w:val="auto"/>
        </w:rPr>
      </w:pPr>
      <w:r>
        <w:rPr>
          <w:rFonts w:ascii="Arial" w:cs="Arial" w:eastAsia="Arial" w:hAnsi="Arial"/>
          <w:sz w:val="19"/>
          <w:szCs w:val="19"/>
          <w:color w:val="auto"/>
        </w:rPr>
        <w:t>(1) any new Lender shall join this Agreement by executing such joinder documents as are required by the Administrative Agent, and/or (2) any existing Lender electing to provide a Revolving Commitment in connection with such increase (or to increase its Revolving Commitment, as applicable) shall have executed a commitment agreement satisfactory to the Administrative Agent;</w:t>
      </w:r>
    </w:p>
    <w:p>
      <w:pPr>
        <w:spacing w:after="0" w:line="176" w:lineRule="exact"/>
        <w:rPr>
          <w:rFonts w:ascii="Arial" w:cs="Arial" w:eastAsia="Arial" w:hAnsi="Arial"/>
          <w:sz w:val="19"/>
          <w:szCs w:val="19"/>
          <w:color w:val="auto"/>
        </w:rPr>
      </w:pPr>
    </w:p>
    <w:p>
      <w:pPr>
        <w:jc w:val="both"/>
        <w:ind w:left="1720" w:firstLine="664"/>
        <w:spacing w:after="0" w:line="271" w:lineRule="auto"/>
        <w:tabs>
          <w:tab w:leader="none" w:pos="3285"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immediately before and after giving effect to such increase,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Arial" w:cs="Arial" w:eastAsia="Arial" w:hAnsi="Arial"/>
          <w:sz w:val="18"/>
          <w:szCs w:val="18"/>
          <w:u w:val="single" w:color="auto"/>
          <w:color w:val="auto"/>
        </w:rPr>
        <w:t>Section 2.02(g)(i)(E)</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73" w:lineRule="exact"/>
        <w:rPr>
          <w:rFonts w:ascii="Arial" w:cs="Arial" w:eastAsia="Arial" w:hAnsi="Arial"/>
          <w:sz w:val="18"/>
          <w:szCs w:val="18"/>
          <w:color w:val="auto"/>
        </w:rPr>
      </w:pPr>
    </w:p>
    <w:p>
      <w:pPr>
        <w:jc w:val="both"/>
        <w:ind w:left="1720" w:firstLine="664"/>
        <w:spacing w:after="0" w:line="260" w:lineRule="auto"/>
        <w:tabs>
          <w:tab w:leader="none" w:pos="3274"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(1) a certificate from a Responsible Officer of the Borrower certifying that (x) the conditions set forth in </w:t>
      </w:r>
      <w:r>
        <w:rPr>
          <w:rFonts w:ascii="Arial" w:cs="Arial" w:eastAsia="Arial" w:hAnsi="Arial"/>
          <w:sz w:val="19"/>
          <w:szCs w:val="19"/>
          <w:u w:val="single" w:color="auto"/>
          <w:color w:val="auto"/>
        </w:rPr>
        <w:t>Sections 2.02(g)(i)(B)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(g)(i)(E)</w:t>
      </w:r>
      <w:r>
        <w:rPr>
          <w:rFonts w:ascii="Arial" w:cs="Arial" w:eastAsia="Arial" w:hAnsi="Arial"/>
          <w:sz w:val="19"/>
          <w:szCs w:val="19"/>
          <w:color w:val="auto"/>
        </w:rPr>
        <w:t xml:space="preserve"> have been satisfied, and (y) the condition set forth in </w:t>
      </w:r>
      <w:r>
        <w:rPr>
          <w:rFonts w:ascii="Arial" w:cs="Arial" w:eastAsia="Arial" w:hAnsi="Arial"/>
          <w:sz w:val="19"/>
          <w:szCs w:val="19"/>
          <w:u w:val="single" w:color="auto"/>
          <w:color w:val="auto"/>
        </w:rPr>
        <w:t>Section 2.02(g)(i)(G)</w:t>
      </w:r>
      <w:r>
        <w:rPr>
          <w:rFonts w:ascii="Arial" w:cs="Arial" w:eastAsia="Arial" w:hAnsi="Arial"/>
          <w:sz w:val="19"/>
          <w:szCs w:val="19"/>
          <w:color w:val="auto"/>
        </w:rPr>
        <w:t xml:space="preserve"> has been satisfied (which certification shall include reasonably detailed calculations, including quarterly detail, to demonstrate the satisfaction of such condition), (2) a certificate from a Responsible Officer of</w:t>
      </w:r>
    </w:p>
    <w:p>
      <w:pPr>
        <w:spacing w:after="0" w:line="18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31" w:name="page132"/>
    <w:bookmarkEnd w:id="131"/>
    <w:p>
      <w:pPr>
        <w:jc w:val="both"/>
        <w:ind w:left="1480"/>
        <w:spacing w:after="0" w:line="263" w:lineRule="auto"/>
        <w:rPr>
          <w:sz w:val="20"/>
          <w:szCs w:val="20"/>
          <w:color w:val="auto"/>
        </w:rPr>
      </w:pPr>
      <w:r>
        <w:rPr>
          <w:rFonts w:ascii="Arial" w:cs="Arial" w:eastAsia="Arial" w:hAnsi="Arial"/>
          <w:sz w:val="19"/>
          <w:szCs w:val="19"/>
          <w:color w:val="auto"/>
        </w:rPr>
        <w:t>each Loan Party certifying and attaching the resolutions adopted by such Loan Party approving or consenting to such increase, and (3) if requested by the Administrative Agent, an opinion or opinions of counsel for the Loan Parties, dated as of the date of such increase and addressed to the Administrative Agent and each Lender, in form and substance satisfactory to the Administrative Agent;</w:t>
      </w:r>
    </w:p>
    <w:p>
      <w:pPr>
        <w:spacing w:after="0" w:line="176" w:lineRule="exact"/>
        <w:rPr>
          <w:sz w:val="20"/>
          <w:szCs w:val="20"/>
          <w:color w:val="auto"/>
        </w:rPr>
      </w:pPr>
    </w:p>
    <w:p>
      <w:pPr>
        <w:jc w:val="both"/>
        <w:ind w:left="1480" w:firstLine="664"/>
        <w:spacing w:after="0" w:line="250" w:lineRule="auto"/>
        <w:tabs>
          <w:tab w:leader="none" w:pos="3067"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upon giving effect to any such increase on a Pro Forma Basis (and assuming for such calculation that such increase is fully drawn), the Loan Parties would be in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as of the most recent Measurement Period;</w:t>
      </w:r>
    </w:p>
    <w:p>
      <w:pPr>
        <w:spacing w:after="0" w:line="186" w:lineRule="exact"/>
        <w:rPr>
          <w:sz w:val="20"/>
          <w:szCs w:val="20"/>
          <w:color w:val="auto"/>
        </w:rPr>
      </w:pPr>
    </w:p>
    <w:p>
      <w:pPr>
        <w:ind w:left="1480" w:right="20" w:firstLine="664"/>
        <w:spacing w:after="0" w:line="260" w:lineRule="auto"/>
        <w:tabs>
          <w:tab w:leader="none" w:pos="299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such increase shall be on the same terms and pursuant to the same documentation applicable to the Revolving Facility; and</w:t>
      </w:r>
    </w:p>
    <w:p>
      <w:pPr>
        <w:spacing w:after="0" w:line="176" w:lineRule="exact"/>
        <w:rPr>
          <w:rFonts w:ascii="Arial" w:cs="Arial" w:eastAsia="Arial" w:hAnsi="Arial"/>
          <w:sz w:val="20"/>
          <w:szCs w:val="20"/>
          <w:color w:val="auto"/>
        </w:rPr>
      </w:pPr>
    </w:p>
    <w:p>
      <w:pPr>
        <w:jc w:val="both"/>
        <w:ind w:left="1480" w:firstLine="664"/>
        <w:spacing w:after="0" w:line="244" w:lineRule="auto"/>
        <w:tabs>
          <w:tab w:leader="none" w:pos="3001"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in connection with any such increase, the Borrower shall prepay any Revolving Loans outstanding on the date of such increase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to the extent necessary to keep the outstanding Revolving Loans ratable with any revised Revolving Commitments arising from any non-ratable increase in the Revolving Facility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2.02(g)(i)</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620" w:firstLine="726"/>
        <w:spacing w:after="0" w:line="250" w:lineRule="auto"/>
        <w:tabs>
          <w:tab w:leader="none" w:pos="224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Institution of Incremental Term Facilities</w:t>
      </w:r>
      <w:r>
        <w:rPr>
          <w:rFonts w:ascii="Arial" w:cs="Arial" w:eastAsia="Arial" w:hAnsi="Arial"/>
          <w:sz w:val="20"/>
          <w:szCs w:val="20"/>
          <w:color w:val="auto"/>
        </w:rPr>
        <w:t xml:space="preserve">. The Borrower may at any time after the Closing Date, upon prior written notice to the Administrative Agent, establish an Incremental Term Facility to be provided by one or more Incremental Term Lenders for such Incremental Term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1480" w:firstLine="664"/>
        <w:spacing w:after="0" w:line="250" w:lineRule="auto"/>
        <w:tabs>
          <w:tab w:leader="none" w:pos="3067"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such Incremental Term Facility shall be in a minimum aggregate principal amount of $10,000,000 and integral multiples of $1,000,000 in excess thereof (or such other amount as the Administrative Agent shall agree in its sole discretion);</w:t>
      </w:r>
    </w:p>
    <w:p>
      <w:pPr>
        <w:spacing w:after="0" w:line="185" w:lineRule="exact"/>
        <w:rPr>
          <w:rFonts w:ascii="Arial" w:cs="Arial" w:eastAsia="Arial" w:hAnsi="Arial"/>
          <w:sz w:val="20"/>
          <w:szCs w:val="20"/>
          <w:color w:val="auto"/>
        </w:rPr>
      </w:pPr>
    </w:p>
    <w:p>
      <w:pPr>
        <w:jc w:val="both"/>
        <w:ind w:left="1480" w:firstLine="664"/>
        <w:spacing w:after="0" w:line="273" w:lineRule="auto"/>
        <w:tabs>
          <w:tab w:leader="none" w:pos="3056" w:val="left"/>
        </w:tabs>
        <w:numPr>
          <w:ilvl w:val="1"/>
          <w:numId w:val="72"/>
        </w:numPr>
        <w:rPr>
          <w:rFonts w:ascii="Arial" w:cs="Arial" w:eastAsia="Arial" w:hAnsi="Arial"/>
          <w:sz w:val="18"/>
          <w:szCs w:val="18"/>
          <w:color w:val="auto"/>
        </w:rPr>
      </w:pPr>
      <w:r>
        <w:rPr>
          <w:rFonts w:ascii="Arial" w:cs="Arial" w:eastAsia="Arial" w:hAnsi="Arial"/>
          <w:sz w:val="18"/>
          <w:szCs w:val="18"/>
          <w:color w:val="auto"/>
        </w:rPr>
        <w:t>(i) if the proceeds of such Incremental Term Facility are intended to be applied to consummate a Limited Condition Acquisition, and it is agreed to by the Lenders providing such Incremental Term Facility,(x) no Event of Default shall exist and be continuing at the time that the definitive acquisition agreement is entered into with respect to such Limited Condition Acquisition, and (y) no Specified Event of Default shall exist and be continuing at the time of the establishment of such Incremental Term Facility, immediately prior to, and after giving effect to, such Incremental Term Facility and such Limited Condition Acquisition, and (ii) in all other cases, no Event of Default shall exist and be continuing at the time of the establishment of any such Incremental Term Facility or would exist immediately after giving effect thereto;</w:t>
      </w:r>
    </w:p>
    <w:p>
      <w:pPr>
        <w:spacing w:after="0" w:line="168" w:lineRule="exact"/>
        <w:rPr>
          <w:rFonts w:ascii="Arial" w:cs="Arial" w:eastAsia="Arial" w:hAnsi="Arial"/>
          <w:sz w:val="18"/>
          <w:szCs w:val="18"/>
          <w:color w:val="auto"/>
        </w:rPr>
      </w:pPr>
    </w:p>
    <w:p>
      <w:pPr>
        <w:jc w:val="both"/>
        <w:ind w:left="1480" w:firstLine="664"/>
        <w:spacing w:after="0" w:line="250" w:lineRule="auto"/>
        <w:tabs>
          <w:tab w:leader="none" w:pos="3056" w:val="left"/>
        </w:tabs>
        <w:numPr>
          <w:ilvl w:val="1"/>
          <w:numId w:val="72"/>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become an Incremental Term Lender and any such decision whether to become an Incremental Term Lender shall be in such Lender’s sole and absolute discretion;</w:t>
      </w:r>
    </w:p>
    <w:p>
      <w:pPr>
        <w:spacing w:after="0" w:line="185" w:lineRule="exact"/>
        <w:rPr>
          <w:rFonts w:ascii="Arial" w:cs="Arial" w:eastAsia="Arial" w:hAnsi="Arial"/>
          <w:sz w:val="20"/>
          <w:szCs w:val="20"/>
          <w:color w:val="auto"/>
        </w:rPr>
      </w:pPr>
    </w:p>
    <w:p>
      <w:pPr>
        <w:jc w:val="both"/>
        <w:ind w:left="1480" w:firstLine="664"/>
        <w:spacing w:after="0" w:line="246" w:lineRule="auto"/>
        <w:tabs>
          <w:tab w:leader="none" w:pos="3067"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Borrower shall obtain Incremental Term Commitments for such Incremental Term Facility from existing Lenders or other Persons reasonably acceptable to the Administrative Agent (such consent not to be unreasonably withheld, conditioned or delayed), which Persons shall join in this Agreement as</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32" w:name="page133"/>
    <w:bookmarkEnd w:id="132"/>
    <w:p>
      <w:pPr>
        <w:jc w:val="both"/>
        <w:ind w:left="1480"/>
        <w:spacing w:after="0" w:line="274" w:lineRule="auto"/>
        <w:rPr>
          <w:sz w:val="20"/>
          <w:szCs w:val="20"/>
          <w:color w:val="auto"/>
        </w:rPr>
      </w:pPr>
      <w:r>
        <w:rPr>
          <w:rFonts w:ascii="Arial" w:cs="Arial" w:eastAsia="Arial" w:hAnsi="Arial"/>
          <w:sz w:val="18"/>
          <w:szCs w:val="18"/>
          <w:color w:val="auto"/>
        </w:rPr>
        <w:t xml:space="preserve">Incremental Term Lenders by executing an agreement, in form and substance reasonably satisfactory to the Administrative Agent, setting forth the terms applicable to such Incremental Term Facility in accordance with this </w:t>
      </w:r>
      <w:r>
        <w:rPr>
          <w:rFonts w:ascii="Arial" w:cs="Arial" w:eastAsia="Arial" w:hAnsi="Arial"/>
          <w:sz w:val="18"/>
          <w:szCs w:val="18"/>
          <w:u w:val="single" w:color="auto"/>
          <w:color w:val="auto"/>
        </w:rPr>
        <w:t>Section 2.02(g)(ii)</w:t>
      </w:r>
      <w:r>
        <w:rPr>
          <w:rFonts w:ascii="Arial" w:cs="Arial" w:eastAsia="Arial" w:hAnsi="Arial"/>
          <w:sz w:val="18"/>
          <w:szCs w:val="18"/>
          <w:color w:val="auto"/>
        </w:rPr>
        <w:t xml:space="preserve"> (any such agreement, an “</w:t>
      </w:r>
      <w:r>
        <w:rPr>
          <w:rFonts w:ascii="Arial" w:cs="Arial" w:eastAsia="Arial" w:hAnsi="Arial"/>
          <w:sz w:val="18"/>
          <w:szCs w:val="18"/>
          <w:u w:val="single" w:color="auto"/>
          <w:color w:val="auto"/>
        </w:rPr>
        <w:t>Incremental Term Facility Agreement</w:t>
      </w:r>
      <w:r>
        <w:rPr>
          <w:rFonts w:ascii="Arial" w:cs="Arial" w:eastAsia="Arial" w:hAnsi="Arial"/>
          <w:sz w:val="18"/>
          <w:szCs w:val="18"/>
          <w:color w:val="auto"/>
        </w:rPr>
        <w:t>”), it being understood and agreed that in connection with any Incremental Term Facility, the Incremental Term Facility Agreement for such Incremental Term Facility shall only be required to be executed by the Incremental Term Lenders for such Incremental Term Facility, the Loan Parties, and the Administrative Agent (and, for the avoidance of doubt, shall not require the consent of any other Person (including any Lender));</w:t>
      </w:r>
    </w:p>
    <w:p>
      <w:pPr>
        <w:spacing w:after="0" w:line="168" w:lineRule="exact"/>
        <w:rPr>
          <w:sz w:val="20"/>
          <w:szCs w:val="20"/>
          <w:color w:val="auto"/>
        </w:rPr>
      </w:pPr>
    </w:p>
    <w:p>
      <w:pPr>
        <w:jc w:val="both"/>
        <w:ind w:left="1480" w:firstLine="664"/>
        <w:spacing w:after="0" w:line="268" w:lineRule="auto"/>
        <w:tabs>
          <w:tab w:leader="none" w:pos="30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immediately before and after giving effect to the establishment of such Incremental Term Facility,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incurrence of such Incremental Term Facility,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Arial" w:cs="Arial" w:eastAsia="Arial" w:hAnsi="Arial"/>
          <w:sz w:val="18"/>
          <w:szCs w:val="18"/>
          <w:u w:val="single" w:color="auto"/>
          <w:color w:val="auto"/>
        </w:rPr>
        <w:t>Section 2.02(g)(ii)(E)</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w:t>
      </w:r>
    </w:p>
    <w:p>
      <w:pPr>
        <w:spacing w:after="0" w:line="1" w:lineRule="exact"/>
        <w:rPr>
          <w:rFonts w:ascii="Arial" w:cs="Arial" w:eastAsia="Arial" w:hAnsi="Arial"/>
          <w:sz w:val="18"/>
          <w:szCs w:val="18"/>
          <w:color w:val="auto"/>
        </w:rPr>
      </w:pPr>
    </w:p>
    <w:p>
      <w:pPr>
        <w:jc w:val="both"/>
        <w:ind w:left="1480"/>
        <w:spacing w:after="0"/>
        <w:tabs>
          <w:tab w:leader="none" w:pos="1782" w:val="left"/>
        </w:tabs>
        <w:numPr>
          <w:ilvl w:val="0"/>
          <w:numId w:val="74"/>
        </w:numPr>
        <w:rPr>
          <w:rFonts w:ascii="Arial" w:cs="Arial" w:eastAsia="Arial" w:hAnsi="Arial"/>
          <w:sz w:val="20"/>
          <w:szCs w:val="20"/>
          <w:u w:val="single" w:color="auto"/>
          <w:color w:val="auto"/>
        </w:rPr>
      </w:pPr>
      <w:r>
        <w:rPr>
          <w:rFonts w:ascii="Arial" w:cs="Arial" w:eastAsia="Arial" w:hAnsi="Arial"/>
          <w:sz w:val="20"/>
          <w:szCs w:val="20"/>
          <w:color w:val="auto"/>
        </w:rPr>
        <w:t xml:space="preserve">shall be deemed to refer to the most recent statements furnished pursuant to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respectively; </w:t>
      </w:r>
      <w:r>
        <w:rPr>
          <w:rFonts w:ascii="Arial" w:cs="Arial" w:eastAsia="Arial" w:hAnsi="Arial"/>
          <w:sz w:val="20"/>
          <w:szCs w:val="20"/>
          <w:i w:val="1"/>
          <w:iCs w:val="1"/>
          <w:color w:val="auto"/>
        </w:rPr>
        <w:t>provided</w:t>
      </w:r>
      <w:r>
        <w:rPr>
          <w:rFonts w:ascii="Arial" w:cs="Arial" w:eastAsia="Arial" w:hAnsi="Arial"/>
          <w:sz w:val="20"/>
          <w:szCs w:val="20"/>
          <w:color w:val="auto"/>
        </w:rPr>
        <w:t>, with respect to this clause (E), to the extent that the proceeds of Loans under any Incremental Term Facility are to be used to finance a Limited Condition Acquisition, the availability thereof instead may be subject to customary “SunGard” or “certain funds” conditionality to the extent agreed by the Lenders providing such Loans;</w:t>
      </w:r>
    </w:p>
    <w:p>
      <w:pPr>
        <w:spacing w:after="0" w:line="197" w:lineRule="exact"/>
        <w:rPr>
          <w:rFonts w:ascii="Arial" w:cs="Arial" w:eastAsia="Arial" w:hAnsi="Arial"/>
          <w:sz w:val="20"/>
          <w:szCs w:val="20"/>
          <w:u w:val="single" w:color="auto"/>
          <w:color w:val="auto"/>
        </w:rPr>
      </w:pPr>
    </w:p>
    <w:p>
      <w:pPr>
        <w:jc w:val="both"/>
        <w:ind w:left="1480" w:firstLine="664"/>
        <w:spacing w:after="0" w:line="272" w:lineRule="auto"/>
        <w:tabs>
          <w:tab w:leader="none" w:pos="3034"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(1) a certificate from a Responsible Officer of the Borrower certifying that (x) the conditions set forth in </w:t>
      </w:r>
      <w:r>
        <w:rPr>
          <w:rFonts w:ascii="Arial" w:cs="Arial" w:eastAsia="Arial" w:hAnsi="Arial"/>
          <w:sz w:val="18"/>
          <w:szCs w:val="18"/>
          <w:u w:val="single" w:color="auto"/>
          <w:color w:val="auto"/>
        </w:rPr>
        <w:t>Sections 2.02(g)(ii)(B)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(g)(ii)(E)</w:t>
      </w:r>
      <w:r>
        <w:rPr>
          <w:rFonts w:ascii="Arial" w:cs="Arial" w:eastAsia="Arial" w:hAnsi="Arial"/>
          <w:sz w:val="18"/>
          <w:szCs w:val="18"/>
          <w:color w:val="auto"/>
        </w:rPr>
        <w:t xml:space="preserve"> have been satisfied, and (y) the condition set forth in </w:t>
      </w:r>
      <w:r>
        <w:rPr>
          <w:rFonts w:ascii="Arial" w:cs="Arial" w:eastAsia="Arial" w:hAnsi="Arial"/>
          <w:sz w:val="18"/>
          <w:szCs w:val="18"/>
          <w:u w:val="single" w:color="auto"/>
          <w:color w:val="auto"/>
        </w:rPr>
        <w:t>Section 2.02(g)(ii)(G)</w:t>
      </w:r>
      <w:r>
        <w:rPr>
          <w:rFonts w:ascii="Arial" w:cs="Arial" w:eastAsia="Arial" w:hAnsi="Arial"/>
          <w:sz w:val="18"/>
          <w:szCs w:val="18"/>
          <w:color w:val="auto"/>
        </w:rPr>
        <w:t xml:space="preserve"> has been satisfied (which certification shall include reasonably detailed calculations, including quarterly detail, to demonstrate the satisfaction of such condition), (2) a certificate from a Responsible Officer of each Loan Party certifying and attaching the resolutions adopted by such Loan Party approving or consenting to the incurrence of such Incremental Term Facility, and (3) if requested by the Administrative Agent, an opinion or opinions of counsel for the Loan Parties, dated as of the date of incurrence of such Incremental Term Facility and addressed to the Administrative Agent and each Lender, in form and substance satisfactory to the Administrative Agent;</w:t>
      </w:r>
    </w:p>
    <w:p>
      <w:pPr>
        <w:spacing w:after="0" w:line="170" w:lineRule="exact"/>
        <w:rPr>
          <w:rFonts w:ascii="Arial" w:cs="Arial" w:eastAsia="Arial" w:hAnsi="Arial"/>
          <w:sz w:val="18"/>
          <w:szCs w:val="18"/>
          <w:color w:val="auto"/>
        </w:rPr>
      </w:pPr>
    </w:p>
    <w:p>
      <w:pPr>
        <w:jc w:val="both"/>
        <w:ind w:left="1480" w:right="20" w:firstLine="664"/>
        <w:spacing w:after="0" w:line="250" w:lineRule="auto"/>
        <w:tabs>
          <w:tab w:leader="none" w:pos="3067"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1.02(f)</w:t>
      </w:r>
      <w:r>
        <w:rPr>
          <w:rFonts w:ascii="Arial" w:cs="Arial" w:eastAsia="Arial" w:hAnsi="Arial"/>
          <w:sz w:val="20"/>
          <w:szCs w:val="20"/>
          <w:color w:val="auto"/>
        </w:rPr>
        <w:t xml:space="preserve">, upon giving effect to the incurrence of any such Incremental Term Facility on a Pro Forma Basis, the Loan Parties would be in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as of the most recent Measurement Period;</w:t>
      </w:r>
    </w:p>
    <w:p>
      <w:pPr>
        <w:spacing w:after="0" w:line="185" w:lineRule="exact"/>
        <w:rPr>
          <w:rFonts w:ascii="Arial" w:cs="Arial" w:eastAsia="Arial" w:hAnsi="Arial"/>
          <w:sz w:val="20"/>
          <w:szCs w:val="20"/>
          <w:color w:val="auto"/>
        </w:rPr>
      </w:pPr>
    </w:p>
    <w:p>
      <w:pPr>
        <w:jc w:val="both"/>
        <w:ind w:left="1480" w:firstLine="664"/>
        <w:spacing w:after="0" w:line="250" w:lineRule="auto"/>
        <w:tabs>
          <w:tab w:leader="none" w:pos="3067"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the interest rate margins with respect to such Incremental Term Facility shall be as agreed by the Borrower and the Incremental Term Lenders for such Incremental Term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All-in-Yield for any</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33" w:name="page134"/>
    <w:bookmarkEnd w:id="133"/>
    <w:p>
      <w:pPr>
        <w:jc w:val="both"/>
        <w:ind w:left="1480"/>
        <w:spacing w:after="0" w:line="255" w:lineRule="auto"/>
        <w:rPr>
          <w:sz w:val="20"/>
          <w:szCs w:val="20"/>
          <w:color w:val="auto"/>
        </w:rPr>
      </w:pPr>
      <w:r>
        <w:rPr>
          <w:rFonts w:ascii="Arial" w:cs="Arial" w:eastAsia="Arial" w:hAnsi="Arial"/>
          <w:sz w:val="19"/>
          <w:szCs w:val="19"/>
          <w:color w:val="auto"/>
        </w:rPr>
        <w:t xml:space="preserve">Incremental Term Loan is greater than the All-in-Yield for the Term Facility or any then-existing Incremental Term Facility by more than 50 basis points, then the Applicable Rate for the Term Facility or such Incremental Term Facility, as applicable, shall be increased to the extent necessary so that the All-in-Yield for the applicable Incremental Term Loan is 50 basis points higher than the All-in-Yield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determining the All-in-Yield applicable to the Term Facility and any Incremental Term Facility, (x) original issue discount (“OID”) or upfront fees (which shall be deemed to constitute like amounts of OID) payable by the Borrower to the Lenders thereof in the primary syndication thereof shall be included (with OID being equated to interest based on an assumed four-year life to maturity), (y) customary arrangement or commitment fees payable to any arranger (or its affiliates) in connection therewith shall be excluded and (z) if the Eurodollar Rate or Base Rate “floor” for the applicable Incremental Term Loan is greater than the Eurodollar Rate or Base Rate “floor,” respectively, for the Term Facility or any then-existing Incremental Term Facility, the difference between such floor shall be equated to an increase in the All-in-Yield for purposes of this clause (iii);</w:t>
      </w:r>
    </w:p>
    <w:p>
      <w:pPr>
        <w:spacing w:after="0" w:line="182" w:lineRule="exact"/>
        <w:rPr>
          <w:sz w:val="20"/>
          <w:szCs w:val="20"/>
          <w:color w:val="auto"/>
        </w:rPr>
      </w:pPr>
    </w:p>
    <w:p>
      <w:pPr>
        <w:jc w:val="both"/>
        <w:ind w:left="1480" w:firstLine="664"/>
        <w:spacing w:after="0" w:line="250" w:lineRule="auto"/>
        <w:tabs>
          <w:tab w:leader="none" w:pos="299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the Incremental Term Facility Maturity Date for such Incremental Term Facility shall be as set forth in the Incremental Term Facility Agreement relating to such Incremental Term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such date shall not be earlier than the then-Latest Maturity Date;</w:t>
      </w:r>
    </w:p>
    <w:p>
      <w:pPr>
        <w:spacing w:after="0" w:line="185" w:lineRule="exact"/>
        <w:rPr>
          <w:rFonts w:ascii="Arial" w:cs="Arial" w:eastAsia="Arial" w:hAnsi="Arial"/>
          <w:sz w:val="20"/>
          <w:szCs w:val="20"/>
          <w:color w:val="auto"/>
        </w:rPr>
      </w:pPr>
    </w:p>
    <w:p>
      <w:pPr>
        <w:jc w:val="both"/>
        <w:ind w:left="1480" w:firstLine="664"/>
        <w:spacing w:after="0" w:line="246" w:lineRule="auto"/>
        <w:tabs>
          <w:tab w:leader="none" w:pos="3001"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Weighted Average Life to Maturity of the Incremental Term Loans advanced under such Incremental Term Facility shall be no shorter than the then-remaining Weighted Average Life to Maturity of the Term Loan and any other then-existing Incremental Term Loans under any other then-existing Incremental Term Facility;</w:t>
      </w:r>
    </w:p>
    <w:p>
      <w:pPr>
        <w:spacing w:after="0" w:line="191" w:lineRule="exact"/>
        <w:rPr>
          <w:rFonts w:ascii="Arial" w:cs="Arial" w:eastAsia="Arial" w:hAnsi="Arial"/>
          <w:sz w:val="20"/>
          <w:szCs w:val="20"/>
          <w:color w:val="auto"/>
        </w:rPr>
      </w:pPr>
    </w:p>
    <w:p>
      <w:pPr>
        <w:jc w:val="both"/>
        <w:ind w:left="1480" w:firstLine="664"/>
        <w:spacing w:after="0" w:line="269" w:lineRule="auto"/>
        <w:tabs>
          <w:tab w:leader="none" w:pos="3067"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2.02(g)(ii)(I)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(g)(ii)(J)</w:t>
      </w:r>
      <w:r>
        <w:rPr>
          <w:rFonts w:ascii="Arial" w:cs="Arial" w:eastAsia="Arial" w:hAnsi="Arial"/>
          <w:sz w:val="19"/>
          <w:szCs w:val="19"/>
          <w:color w:val="auto"/>
        </w:rPr>
        <w:t>, the amortization schedule applicable to the Incremental Term Loans advanced under such Incremental Term Facility shall be as determined by the Borrower and the Incremental Term Lenders for such Incremental Term Facility; and</w:t>
      </w:r>
    </w:p>
    <w:p>
      <w:pPr>
        <w:spacing w:after="0" w:line="169" w:lineRule="exact"/>
        <w:rPr>
          <w:rFonts w:ascii="Arial" w:cs="Arial" w:eastAsia="Arial" w:hAnsi="Arial"/>
          <w:sz w:val="19"/>
          <w:szCs w:val="19"/>
          <w:color w:val="auto"/>
        </w:rPr>
      </w:pPr>
    </w:p>
    <w:p>
      <w:pPr>
        <w:jc w:val="both"/>
        <w:ind w:left="1480" w:firstLine="664"/>
        <w:spacing w:after="0" w:line="268" w:lineRule="auto"/>
        <w:tabs>
          <w:tab w:leader="none" w:pos="3045"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any such Incremental Term Facility shall (1) rank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with the Obligations and in respect of the Collateral, and (2) except as permitted by </w:t>
      </w:r>
      <w:r>
        <w:rPr>
          <w:rFonts w:ascii="Arial" w:cs="Arial" w:eastAsia="Arial" w:hAnsi="Arial"/>
          <w:sz w:val="18"/>
          <w:szCs w:val="18"/>
          <w:u w:val="single" w:color="auto"/>
          <w:color w:val="auto"/>
        </w:rPr>
        <w:t>Sections 2.02(g)(ii)(H)</w:t>
      </w:r>
      <w:r>
        <w:rPr>
          <w:rFonts w:ascii="Arial" w:cs="Arial" w:eastAsia="Arial" w:hAnsi="Arial"/>
          <w:sz w:val="18"/>
          <w:szCs w:val="18"/>
          <w:color w:val="auto"/>
        </w:rPr>
        <w:t xml:space="preserve">, </w:t>
      </w:r>
      <w:r>
        <w:rPr>
          <w:rFonts w:ascii="Arial" w:cs="Arial" w:eastAsia="Arial" w:hAnsi="Arial"/>
          <w:sz w:val="18"/>
          <w:szCs w:val="18"/>
          <w:u w:val="single" w:color="auto"/>
          <w:color w:val="auto"/>
        </w:rPr>
        <w:t>(g)(ii)(I)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(g)(ii)(J)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(g)(ii)(K)</w:t>
      </w:r>
      <w:r>
        <w:rPr>
          <w:rFonts w:ascii="Arial" w:cs="Arial" w:eastAsia="Arial" w:hAnsi="Arial"/>
          <w:sz w:val="18"/>
          <w:szCs w:val="18"/>
          <w:color w:val="auto"/>
        </w:rPr>
        <w:t>, be on terms that are reasonably satisfactory to the Administrative Agent (it being understood and agreed that the following shall be deemed to be satisfactory to the Administrative Agent: (x) covenants or other provisions applicable only to periods after the then-Latest Maturity Date; (y) to the extent required by any Incremental Term Lender for such Incremental Term Facility, covenants or other provisions that are not set forth in Loan Documents at the time of incurrence of such Incremental Term Facility, so long as the Loan Documents are amended to include such covenants or other provisions for the benefit of the Administrative Agent and the Lenders at the time of the incurrence of such Incremental Term Facility; and</w:t>
      </w:r>
    </w:p>
    <w:p>
      <w:pPr>
        <w:spacing w:after="0" w:line="1" w:lineRule="exact"/>
        <w:rPr>
          <w:rFonts w:ascii="Arial" w:cs="Arial" w:eastAsia="Arial" w:hAnsi="Arial"/>
          <w:sz w:val="18"/>
          <w:szCs w:val="18"/>
          <w:color w:val="auto"/>
        </w:rPr>
      </w:pPr>
    </w:p>
    <w:p>
      <w:pPr>
        <w:jc w:val="both"/>
        <w:ind w:left="1480"/>
        <w:spacing w:after="0" w:line="276" w:lineRule="auto"/>
        <w:tabs>
          <w:tab w:leader="none" w:pos="17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to the extent required by any Incremental Term Lender for such Incremental Term Facility, customary call protection and mandatory prepayments, in each case, which may be applicable solely with respect to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mandatory prepayment required in connection with the establishment of such Incremental Term Facility, such mandatory</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34" w:name="page135"/>
    <w:bookmarkEnd w:id="134"/>
    <w:p>
      <w:pPr>
        <w:ind w:left="1720" w:right="20"/>
        <w:spacing w:after="0" w:line="260" w:lineRule="auto"/>
        <w:rPr>
          <w:sz w:val="20"/>
          <w:szCs w:val="20"/>
          <w:color w:val="auto"/>
        </w:rPr>
      </w:pPr>
      <w:r>
        <w:rPr>
          <w:rFonts w:ascii="Arial" w:cs="Arial" w:eastAsia="Arial" w:hAnsi="Arial"/>
          <w:sz w:val="20"/>
          <w:szCs w:val="20"/>
          <w:color w:val="auto"/>
        </w:rPr>
        <w:t>prepayment shall apply ratably to the Term Loan any other then-existing Incremental Term Loans under any then-existing Incremental Term Facility).</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Agreement and the other Loan Documents shall be amended to give effect to any Incremental Facility pursuant to documentation executed by lenders providing such Incremental Facility, the Administrative Agent and the Loan Parties, without the consent of any other Person (including any existing Lender), including amendments (I) to reflect the existence and terms of such Incremental Facility, (II) to make such other changes to this Agreement and the other Loan Documents consistent with the provisions and intent of such Incremental Facility, including adding provisions to permit such Incremental Facility to share in the benefits of this Agreement and the other Loan Documents (including to permit any such Incremental Term Facility to share in any mandatory prepayment provided herein) and to include the lenders for such Incremental Facility in the definition of “Required Lenders”, (III) notwithstanding any other provisions of this Agreement or any other Loan Documents to the contrary, if applicable, to permit the loans under such Incremental Facility to be “fungible” (including for purposes of the Code) with any other then-existing Loans under this Agreement, and (IV) to effect such other amendments to the this Agreement and the other Loan Documents as may be necessary or appropriate, in the reasonable opinion of the Administrative Agent, to effect the provisions of any such Incremental Facility.</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2.03</w:t>
      </w:r>
      <w:r>
        <w:rPr>
          <w:sz w:val="20"/>
          <w:szCs w:val="20"/>
          <w:color w:val="auto"/>
        </w:rPr>
        <w:tab/>
      </w:r>
      <w:r>
        <w:rPr>
          <w:rFonts w:ascii="Arial" w:cs="Arial" w:eastAsia="Arial" w:hAnsi="Arial"/>
          <w:sz w:val="18"/>
          <w:szCs w:val="18"/>
          <w:b w:val="1"/>
          <w:bCs w:val="1"/>
          <w:u w:val="single" w:color="auto"/>
          <w:color w:val="auto"/>
        </w:rPr>
        <w:t>Letters of Credit.</w:t>
      </w:r>
    </w:p>
    <w:p>
      <w:pPr>
        <w:spacing w:after="0" w:line="222" w:lineRule="exact"/>
        <w:rPr>
          <w:sz w:val="20"/>
          <w:szCs w:val="20"/>
          <w:color w:val="auto"/>
        </w:rPr>
      </w:pPr>
    </w:p>
    <w:p>
      <w:pPr>
        <w:jc w:val="both"/>
        <w:ind w:firstLine="789"/>
        <w:spacing w:after="0" w:line="243" w:lineRule="auto"/>
        <w:tabs>
          <w:tab w:leader="none" w:pos="1665"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 xml:space="preserve">. Subject to the terms and conditions set forth herein, in addition to the Loans provided for in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the Borrower may request that the L/C Issuer, in reliance on the agreements of the Revolving Lenders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issue, at any time and from time to time during the Availability Period, Letters of Credit denominated for its own account or the account of any of its Subsidiaries in such form as is acceptable to the Administrative Agent and the L/C Issuer in its reasonable determination. Letters of Credit issued hereunder shall constitute utilization of the Revolving Commitments.</w:t>
      </w:r>
    </w:p>
    <w:p>
      <w:pPr>
        <w:spacing w:after="0" w:line="195" w:lineRule="exact"/>
        <w:rPr>
          <w:rFonts w:ascii="Arial" w:cs="Arial" w:eastAsia="Arial" w:hAnsi="Arial"/>
          <w:sz w:val="20"/>
          <w:szCs w:val="20"/>
          <w:color w:val="auto"/>
        </w:rPr>
      </w:pPr>
    </w:p>
    <w:p>
      <w:pPr>
        <w:ind w:left="1660" w:hanging="871"/>
        <w:spacing w:after="0"/>
        <w:tabs>
          <w:tab w:leader="none" w:pos="166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Notice of Issuance, Amendment, Extension, Reinstatement or Renewal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60" w:firstLine="726"/>
        <w:spacing w:after="0" w:line="269" w:lineRule="auto"/>
        <w:tabs>
          <w:tab w:leader="none" w:pos="242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w:t>
      </w:r>
    </w:p>
    <w:p>
      <w:pPr>
        <w:spacing w:after="0" w:line="17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35" w:name="page136"/>
    <w:bookmarkEnd w:id="135"/>
    <w:p>
      <w:pPr>
        <w:ind w:left="620"/>
        <w:spacing w:after="0" w:line="260" w:lineRule="auto"/>
        <w:rPr>
          <w:sz w:val="20"/>
          <w:szCs w:val="20"/>
          <w:color w:val="auto"/>
        </w:rPr>
      </w:pPr>
      <w:r>
        <w:rPr>
          <w:rFonts w:ascii="Arial" w:cs="Arial" w:eastAsia="Arial" w:hAnsi="Arial"/>
          <w:sz w:val="20"/>
          <w:szCs w:val="20"/>
          <w:color w:val="auto"/>
        </w:rPr>
        <w:t>to, or entered into by the Borrower with, the L/C Issuer relating to any Letter of Credit, the terms and conditions of this Agreement shall control.</w:t>
      </w:r>
    </w:p>
    <w:p>
      <w:pPr>
        <w:spacing w:after="0" w:line="177" w:lineRule="exact"/>
        <w:rPr>
          <w:sz w:val="20"/>
          <w:szCs w:val="20"/>
          <w:color w:val="auto"/>
        </w:rPr>
      </w:pPr>
    </w:p>
    <w:p>
      <w:pPr>
        <w:jc w:val="both"/>
        <w:ind w:left="620" w:firstLine="726"/>
        <w:spacing w:after="0" w:line="267" w:lineRule="auto"/>
        <w:tabs>
          <w:tab w:leader="none" w:pos="2240" w:val="left"/>
        </w:tabs>
        <w:numPr>
          <w:ilvl w:val="2"/>
          <w:numId w:val="78"/>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Arial" w:cs="Arial" w:eastAsia="Arial" w:hAnsi="Arial"/>
          <w:sz w:val="18"/>
          <w:szCs w:val="18"/>
          <w:i w:val="1"/>
          <w:iCs w:val="1"/>
          <w:u w:val="single" w:color="auto"/>
          <w:color w:val="auto"/>
        </w:rPr>
        <w:t>Auto</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Extension Letter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i w:val="1"/>
          <w:iCs w:val="1"/>
          <w:u w:val="single" w:color="auto"/>
          <w:color w:val="auto"/>
        </w:rPr>
        <w:t>Non</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Extension Notice Date</w:t>
      </w:r>
      <w:r>
        <w:rPr>
          <w:rFonts w:ascii="Arial" w:cs="Arial" w:eastAsia="Arial" w:hAnsi="Arial"/>
          <w:sz w:val="18"/>
          <w:szCs w:val="18"/>
          <w:color w:val="auto"/>
        </w:rPr>
        <w:t xml:space="preserve">”) in each such twelve-month period to be agreed upon by the Borrower and the L/C Issuer at the 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expiration date not later than the date permitted pursuant to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the L/C Issuer shall not (A) permit any such extension if</w:t>
      </w:r>
    </w:p>
    <w:p>
      <w:pPr>
        <w:spacing w:after="0" w:line="7" w:lineRule="exact"/>
        <w:rPr>
          <w:rFonts w:ascii="Arial" w:cs="Arial" w:eastAsia="Arial" w:hAnsi="Arial"/>
          <w:sz w:val="18"/>
          <w:szCs w:val="18"/>
          <w:color w:val="auto"/>
        </w:rPr>
      </w:pPr>
    </w:p>
    <w:p>
      <w:pPr>
        <w:jc w:val="both"/>
        <w:ind w:left="620" w:hanging="5"/>
        <w:spacing w:after="0" w:line="254" w:lineRule="auto"/>
        <w:tabs>
          <w:tab w:leader="none" w:pos="900"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the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majority of the Revolving Lenders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 that one or more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and in each such case directing the L/C Issuer not to permit such extension.</w:t>
      </w:r>
    </w:p>
    <w:p>
      <w:pPr>
        <w:spacing w:after="0" w:line="182" w:lineRule="exact"/>
        <w:rPr>
          <w:rFonts w:ascii="Arial" w:cs="Arial" w:eastAsia="Arial" w:hAnsi="Arial"/>
          <w:sz w:val="19"/>
          <w:szCs w:val="19"/>
          <w:color w:val="auto"/>
        </w:rPr>
      </w:pPr>
    </w:p>
    <w:p>
      <w:pPr>
        <w:jc w:val="both"/>
        <w:ind w:left="-240" w:firstLine="789"/>
        <w:spacing w:after="0" w:line="243" w:lineRule="auto"/>
        <w:tabs>
          <w:tab w:leader="none" w:pos="1425"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Limitations on Amounts, Issuance and Amendment</w:t>
      </w:r>
      <w:r>
        <w:rPr>
          <w:rFonts w:ascii="Arial" w:cs="Arial" w:eastAsia="Arial" w:hAnsi="Arial"/>
          <w:sz w:val="20"/>
          <w:szCs w:val="20"/>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L/C Sublimit, (y) the Revolving Exposure of any Lender shall not exceed its Revolving Commitment and (z) the Total Revolving Exposure shall not exceed the total Revolving Commitments.</w:t>
      </w:r>
    </w:p>
    <w:p>
      <w:pPr>
        <w:spacing w:after="0" w:line="192" w:lineRule="exact"/>
        <w:rPr>
          <w:rFonts w:ascii="Arial" w:cs="Arial" w:eastAsia="Arial" w:hAnsi="Arial"/>
          <w:sz w:val="20"/>
          <w:szCs w:val="20"/>
          <w:color w:val="auto"/>
        </w:rPr>
      </w:pPr>
    </w:p>
    <w:p>
      <w:pPr>
        <w:ind w:left="2180" w:hanging="834"/>
        <w:spacing w:after="0"/>
        <w:tabs>
          <w:tab w:leader="none" w:pos="2180" w:val="left"/>
        </w:tabs>
        <w:numPr>
          <w:ilvl w:val="2"/>
          <w:numId w:val="80"/>
        </w:numPr>
        <w:rPr>
          <w:rFonts w:ascii="Arial" w:cs="Arial" w:eastAsia="Arial" w:hAnsi="Arial"/>
          <w:sz w:val="20"/>
          <w:szCs w:val="20"/>
          <w:color w:val="auto"/>
        </w:rPr>
      </w:pPr>
      <w:r>
        <w:rPr>
          <w:rFonts w:ascii="Arial" w:cs="Arial" w:eastAsia="Arial" w:hAnsi="Arial"/>
          <w:sz w:val="20"/>
          <w:szCs w:val="20"/>
          <w:color w:val="auto"/>
        </w:rPr>
        <w:t>The L/C Issuer shall not be under any obligation to issue any Letter of Credit if:</w:t>
      </w:r>
    </w:p>
    <w:p>
      <w:pPr>
        <w:spacing w:after="0" w:line="215" w:lineRule="exact"/>
        <w:rPr>
          <w:rFonts w:ascii="Arial" w:cs="Arial" w:eastAsia="Arial" w:hAnsi="Arial"/>
          <w:sz w:val="20"/>
          <w:szCs w:val="20"/>
          <w:color w:val="auto"/>
        </w:rPr>
      </w:pPr>
    </w:p>
    <w:p>
      <w:pPr>
        <w:jc w:val="both"/>
        <w:ind w:left="1480" w:firstLine="664"/>
        <w:spacing w:after="0" w:line="243" w:lineRule="auto"/>
        <w:tabs>
          <w:tab w:leader="none" w:pos="3067" w:val="left"/>
        </w:tabs>
        <w:numPr>
          <w:ilvl w:val="3"/>
          <w:numId w:val="80"/>
        </w:numPr>
        <w:rPr>
          <w:rFonts w:ascii="Arial" w:cs="Arial" w:eastAsia="Arial" w:hAnsi="Arial"/>
          <w:sz w:val="20"/>
          <w:szCs w:val="20"/>
          <w:color w:val="auto"/>
        </w:rPr>
      </w:pPr>
      <w:r>
        <w:rPr>
          <w:rFonts w:ascii="Arial" w:cs="Arial" w:eastAsia="Arial" w:hAnsi="Arial"/>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w:t>
      </w:r>
    </w:p>
    <w:p>
      <w:pPr>
        <w:spacing w:after="0" w:line="1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36" w:name="page137"/>
    <w:bookmarkEnd w:id="136"/>
    <w:p>
      <w:pPr>
        <w:jc w:val="both"/>
        <w:ind w:left="1480"/>
        <w:spacing w:after="0" w:line="246" w:lineRule="auto"/>
        <w:rPr>
          <w:sz w:val="20"/>
          <w:szCs w:val="20"/>
          <w:color w:val="auto"/>
        </w:rPr>
      </w:pPr>
      <w:r>
        <w:rPr>
          <w:rFonts w:ascii="Arial" w:cs="Arial" w:eastAsia="Arial" w:hAnsi="Arial"/>
          <w:sz w:val="20"/>
          <w:szCs w:val="20"/>
          <w:color w:val="auto"/>
        </w:rPr>
        <w:t>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91" w:lineRule="exact"/>
        <w:rPr>
          <w:sz w:val="20"/>
          <w:szCs w:val="20"/>
          <w:color w:val="auto"/>
        </w:rPr>
      </w:pPr>
    </w:p>
    <w:p>
      <w:pPr>
        <w:ind w:left="1480" w:firstLine="664"/>
        <w:spacing w:after="0" w:line="260" w:lineRule="auto"/>
        <w:tabs>
          <w:tab w:leader="none" w:pos="3056" w:val="left"/>
        </w:tabs>
        <w:numPr>
          <w:ilvl w:val="2"/>
          <w:numId w:val="81"/>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the L/C Issuer applicable to letters of credit generally;</w:t>
      </w:r>
    </w:p>
    <w:p>
      <w:pPr>
        <w:spacing w:after="0" w:line="176" w:lineRule="exact"/>
        <w:rPr>
          <w:rFonts w:ascii="Arial" w:cs="Arial" w:eastAsia="Arial" w:hAnsi="Arial"/>
          <w:sz w:val="20"/>
          <w:szCs w:val="20"/>
          <w:color w:val="auto"/>
        </w:rPr>
      </w:pPr>
    </w:p>
    <w:p>
      <w:pPr>
        <w:ind w:left="1480" w:firstLine="664"/>
        <w:spacing w:after="0" w:line="260" w:lineRule="auto"/>
        <w:tabs>
          <w:tab w:leader="none" w:pos="3056" w:val="left"/>
        </w:tabs>
        <w:numPr>
          <w:ilvl w:val="2"/>
          <w:numId w:val="81"/>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L/C Issuer, the Letter of Credit is in an initial stated amount less than $100,000;</w:t>
      </w:r>
    </w:p>
    <w:p>
      <w:pPr>
        <w:spacing w:after="0" w:line="176" w:lineRule="exact"/>
        <w:rPr>
          <w:rFonts w:ascii="Arial" w:cs="Arial" w:eastAsia="Arial" w:hAnsi="Arial"/>
          <w:sz w:val="20"/>
          <w:szCs w:val="20"/>
          <w:color w:val="auto"/>
        </w:rPr>
      </w:pPr>
    </w:p>
    <w:p>
      <w:pPr>
        <w:jc w:val="both"/>
        <w:ind w:left="1480" w:firstLine="664"/>
        <w:spacing w:after="0" w:line="276" w:lineRule="auto"/>
        <w:tabs>
          <w:tab w:leader="none" w:pos="3067"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64" w:lineRule="exact"/>
        <w:rPr>
          <w:rFonts w:ascii="Arial" w:cs="Arial" w:eastAsia="Arial" w:hAnsi="Arial"/>
          <w:sz w:val="18"/>
          <w:szCs w:val="18"/>
          <w:color w:val="auto"/>
        </w:rPr>
      </w:pPr>
    </w:p>
    <w:p>
      <w:pPr>
        <w:ind w:left="1480" w:firstLine="664"/>
        <w:spacing w:after="0" w:line="260" w:lineRule="auto"/>
        <w:tabs>
          <w:tab w:leader="none" w:pos="3045" w:val="left"/>
        </w:tabs>
        <w:numPr>
          <w:ilvl w:val="2"/>
          <w:numId w:val="81"/>
        </w:numPr>
        <w:rPr>
          <w:rFonts w:ascii="Arial" w:cs="Arial" w:eastAsia="Arial" w:hAnsi="Arial"/>
          <w:sz w:val="20"/>
          <w:szCs w:val="20"/>
          <w:color w:val="auto"/>
        </w:rPr>
      </w:pPr>
      <w:r>
        <w:rPr>
          <w:rFonts w:ascii="Arial" w:cs="Arial" w:eastAsia="Arial" w:hAnsi="Arial"/>
          <w:sz w:val="20"/>
          <w:szCs w:val="20"/>
          <w:color w:val="auto"/>
        </w:rPr>
        <w:t>the Letter of Credit contains any provisions for automatic reinstatement of the stated amount after any drawing thereunder.</w:t>
      </w:r>
    </w:p>
    <w:p>
      <w:pPr>
        <w:spacing w:after="0" w:line="176" w:lineRule="exact"/>
        <w:rPr>
          <w:rFonts w:ascii="Arial" w:cs="Arial" w:eastAsia="Arial" w:hAnsi="Arial"/>
          <w:sz w:val="20"/>
          <w:szCs w:val="20"/>
          <w:color w:val="auto"/>
        </w:rPr>
      </w:pPr>
    </w:p>
    <w:p>
      <w:pPr>
        <w:jc w:val="both"/>
        <w:ind w:left="620" w:firstLine="726"/>
        <w:spacing w:after="0" w:line="269" w:lineRule="auto"/>
        <w:tabs>
          <w:tab w:leader="none" w:pos="22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69" w:lineRule="exact"/>
        <w:rPr>
          <w:rFonts w:ascii="Arial" w:cs="Arial" w:eastAsia="Arial" w:hAnsi="Arial"/>
          <w:sz w:val="19"/>
          <w:szCs w:val="19"/>
          <w:color w:val="auto"/>
        </w:rPr>
      </w:pPr>
    </w:p>
    <w:p>
      <w:pPr>
        <w:jc w:val="both"/>
        <w:ind w:left="-240" w:firstLine="789"/>
        <w:spacing w:after="0" w:line="234" w:lineRule="exact"/>
        <w:tabs>
          <w:tab w:leader="none" w:pos="1436"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Letter of Credit shall have a stated expiration date no later than the earlier of (i) the date twelve (12) months after the date of the issuance of such Letter of Credit (or, in the case of any extension of the expiration date thereof, whether automatic or by amendment, twelve months after the then</w:t>
      </w:r>
      <w:r>
        <w:rPr>
          <w:rFonts w:ascii="MS PGothic" w:cs="MS PGothic" w:eastAsia="MS PGothic" w:hAnsi="MS PGothic"/>
          <w:sz w:val="20"/>
          <w:szCs w:val="20"/>
          <w:color w:val="auto"/>
        </w:rPr>
        <w:t>‑</w:t>
      </w:r>
      <w:r>
        <w:rPr>
          <w:rFonts w:ascii="Arial" w:cs="Arial" w:eastAsia="Arial" w:hAnsi="Arial"/>
          <w:sz w:val="20"/>
          <w:szCs w:val="20"/>
          <w:color w:val="auto"/>
        </w:rPr>
        <w:t>current expiration date of such Letter of Credit) and (ii) the date that is five (5) Business Days prior to the Maturity Date.</w:t>
      </w:r>
    </w:p>
    <w:p>
      <w:pPr>
        <w:spacing w:after="0" w:line="198" w:lineRule="exact"/>
        <w:rPr>
          <w:rFonts w:ascii="Arial" w:cs="Arial" w:eastAsia="Arial" w:hAnsi="Arial"/>
          <w:sz w:val="20"/>
          <w:szCs w:val="20"/>
          <w:color w:val="auto"/>
        </w:rPr>
      </w:pPr>
    </w:p>
    <w:p>
      <w:pPr>
        <w:ind w:left="1420" w:hanging="871"/>
        <w:spacing w:after="0"/>
        <w:tabs>
          <w:tab w:leader="none" w:pos="142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20" w:firstLine="726"/>
        <w:spacing w:after="0" w:line="256" w:lineRule="auto"/>
        <w:tabs>
          <w:tab w:leader="none" w:pos="2186"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Lender’s Applicable Percentage of the aggregate amount available to be drawn under such Letter of Credit. Each Revolving Lender acknowledges and agrees that its obligation to acquire participations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spacing w:after="0" w:line="184" w:lineRule="exact"/>
        <w:rPr>
          <w:sz w:val="20"/>
          <w:szCs w:val="20"/>
          <w:color w:val="auto"/>
        </w:rPr>
      </w:pPr>
    </w:p>
    <w:p>
      <w:pPr>
        <w:ind w:left="620" w:firstLine="726"/>
        <w:spacing w:after="0" w:line="260" w:lineRule="auto"/>
        <w:tabs>
          <w:tab w:leader="none" w:pos="22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In consideration and in furtherance of the foregoing, each Revolving Lender hereby absolutely, unconditionally and irrevocably agrees to pay to the</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37" w:name="page138"/>
    <w:bookmarkEnd w:id="137"/>
    <w:p>
      <w:pPr>
        <w:jc w:val="both"/>
        <w:ind w:left="620"/>
        <w:spacing w:after="0" w:line="269" w:lineRule="auto"/>
        <w:rPr>
          <w:sz w:val="20"/>
          <w:szCs w:val="20"/>
          <w:color w:val="auto"/>
        </w:rPr>
      </w:pPr>
      <w:r>
        <w:rPr>
          <w:rFonts w:ascii="Arial" w:cs="Arial" w:eastAsia="Arial" w:hAnsi="Arial"/>
          <w:sz w:val="18"/>
          <w:szCs w:val="18"/>
          <w:color w:val="auto"/>
        </w:rPr>
        <w:t xml:space="preserve">Administrative Agent, for account of the L/C Issuer, such Lender’s Applicable Percentage of each L/C Disbursement made by the L/C Issuer not later than 1:00 p.m. on the Business Day specified in the notice provided by the Administrative Agent to the Revolving Lenders pursuant to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 respect to Loans made by such Lender (and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payment obligations of the Revolving Lenders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the Administrative Agent shall promptly pay to the L/C Issuer the amounts so received by it from the Lenders. Promptly following receipt by the Administrative Agent of any payment from the Borrower pursuant to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the Administrative Agent shall distribute such payment to the L/C Issuer or, to the extent that the Revolving Lenders have made payments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to reimburse the L/C Issuer, then to such Lenders and the L/C Issuer as their interests may appear. Any payment made by a Lender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to reimburse the L/C Issuer for any L/C Disbursement shall not constitute a Loan and shall not relieve the Borrower of its obligation to reimburse such L/C Disbursement.</w:t>
      </w:r>
    </w:p>
    <w:p>
      <w:pPr>
        <w:spacing w:after="0" w:line="181" w:lineRule="exact"/>
        <w:rPr>
          <w:sz w:val="20"/>
          <w:szCs w:val="20"/>
          <w:color w:val="auto"/>
        </w:rPr>
      </w:pPr>
    </w:p>
    <w:p>
      <w:pPr>
        <w:jc w:val="both"/>
        <w:ind w:left="620" w:firstLine="726"/>
        <w:spacing w:after="0" w:line="244" w:lineRule="auto"/>
        <w:tabs>
          <w:tab w:leader="none" w:pos="2295"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Arial" w:cs="Arial" w:eastAsia="Arial" w:hAnsi="Arial"/>
          <w:sz w:val="20"/>
          <w:szCs w:val="20"/>
          <w:u w:val="single" w:color="auto"/>
          <w:color w:val="auto"/>
        </w:rPr>
        <w:t>Sections 2.18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2.19</w:t>
      </w:r>
      <w:r>
        <w:rPr>
          <w:rFonts w:ascii="Arial" w:cs="Arial" w:eastAsia="Arial" w:hAnsi="Arial"/>
          <w:sz w:val="20"/>
          <w:szCs w:val="20"/>
          <w:color w:val="auto"/>
        </w:rPr>
        <w:t xml:space="preserve">, as a result of an assignment in accordance with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or otherwise pursuant to this Agreement.</w:t>
      </w:r>
    </w:p>
    <w:p>
      <w:pPr>
        <w:spacing w:after="0" w:line="194" w:lineRule="exact"/>
        <w:rPr>
          <w:rFonts w:ascii="Arial" w:cs="Arial" w:eastAsia="Arial" w:hAnsi="Arial"/>
          <w:sz w:val="20"/>
          <w:szCs w:val="20"/>
          <w:color w:val="auto"/>
        </w:rPr>
      </w:pPr>
    </w:p>
    <w:p>
      <w:pPr>
        <w:jc w:val="both"/>
        <w:ind w:left="620" w:firstLine="726"/>
        <w:spacing w:after="0" w:line="270" w:lineRule="auto"/>
        <w:tabs>
          <w:tab w:leader="none" w:pos="2284"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Arial" w:cs="Arial" w:eastAsia="Arial" w:hAnsi="Arial"/>
          <w:sz w:val="18"/>
          <w:szCs w:val="18"/>
          <w:i w:val="1"/>
          <w:iCs w:val="1"/>
          <w:color w:val="auto"/>
        </w:rPr>
        <w:t>greater of</w:t>
      </w:r>
      <w:r>
        <w:rPr>
          <w:rFonts w:ascii="Arial" w:cs="Arial" w:eastAsia="Arial" w:hAnsi="Arial"/>
          <w:sz w:val="18"/>
          <w:szCs w:val="18"/>
          <w:color w:val="auto"/>
        </w:rPr>
        <w:t xml:space="preserve"> the Federal Funds Rate and a rate determined by the L/C Issuer in accordance with banking industry rules on interbank compensation,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Revolving Lender (through the Administrative Agent) with respect to any amounts owing under this </w:t>
      </w:r>
      <w:r>
        <w:rPr>
          <w:rFonts w:ascii="Arial" w:cs="Arial" w:eastAsia="Arial" w:hAnsi="Arial"/>
          <w:sz w:val="18"/>
          <w:szCs w:val="18"/>
          <w:u w:val="single" w:color="auto"/>
          <w:color w:val="auto"/>
        </w:rPr>
        <w:t>clause (e)(vi</w:t>
      </w:r>
      <w:r>
        <w:rPr>
          <w:rFonts w:ascii="Arial" w:cs="Arial" w:eastAsia="Arial" w:hAnsi="Arial"/>
          <w:sz w:val="18"/>
          <w:szCs w:val="18"/>
          <w:color w:val="auto"/>
        </w:rPr>
        <w:t>) shall be conclusive absent manifest error.</w:t>
      </w:r>
    </w:p>
    <w:p>
      <w:pPr>
        <w:spacing w:after="0" w:line="175" w:lineRule="exact"/>
        <w:rPr>
          <w:rFonts w:ascii="Arial" w:cs="Arial" w:eastAsia="Arial" w:hAnsi="Arial"/>
          <w:sz w:val="18"/>
          <w:szCs w:val="18"/>
          <w:color w:val="auto"/>
        </w:rPr>
      </w:pPr>
    </w:p>
    <w:p>
      <w:pPr>
        <w:jc w:val="both"/>
        <w:ind w:left="-240" w:firstLine="789"/>
        <w:spacing w:after="0" w:line="243" w:lineRule="auto"/>
        <w:tabs>
          <w:tab w:leader="none" w:pos="1403"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Reimbursement</w:t>
      </w:r>
      <w:r>
        <w:rPr>
          <w:rFonts w:ascii="Arial" w:cs="Arial" w:eastAsia="Arial" w:hAnsi="Arial"/>
          <w:sz w:val="20"/>
          <w:szCs w:val="20"/>
          <w:color w:val="auto"/>
        </w:rPr>
        <w:t>. If the L/C Issuer shall make any L/C Disbursement in respect of a Letter of Credit, the Borrower shall reimburse the L/C Issuer in respect of such L/C Disbursement by paying to the Administrative Agent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(such date, as applicable, the “</w:t>
      </w:r>
      <w:r>
        <w:rPr>
          <w:rFonts w:ascii="Arial" w:cs="Arial" w:eastAsia="Arial" w:hAnsi="Arial"/>
          <w:sz w:val="20"/>
          <w:szCs w:val="20"/>
          <w:i w:val="1"/>
          <w:iCs w:val="1"/>
          <w:u w:val="single" w:color="auto"/>
          <w:color w:val="auto"/>
        </w:rPr>
        <w:t>Reimbursement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Date</w:t>
      </w:r>
      <w:r>
        <w:rPr>
          <w:rFonts w:ascii="Arial" w:cs="Arial" w:eastAsia="Arial" w:hAnsi="Arial"/>
          <w:sz w:val="20"/>
          <w:szCs w:val="20"/>
          <w:color w:val="auto"/>
        </w:rPr>
        <w:t>”),</w:t>
      </w:r>
      <w:r>
        <w:rPr>
          <w:rFonts w:ascii="Arial" w:cs="Arial" w:eastAsia="Arial" w:hAnsi="Arial"/>
          <w:sz w:val="20"/>
          <w:szCs w:val="20"/>
          <w:i w:val="1"/>
          <w:iCs w:val="1"/>
          <w:color w:val="auto"/>
        </w:rPr>
        <w:t xml:space="preserve"> provided </w:t>
      </w:r>
      <w:r>
        <w:rPr>
          <w:rFonts w:ascii="Arial" w:cs="Arial" w:eastAsia="Arial" w:hAnsi="Arial"/>
          <w:sz w:val="20"/>
          <w:szCs w:val="20"/>
          <w:color w:val="auto"/>
        </w:rPr>
        <w:t>that, anything contained herein to the contrary notwithstanding, (x) unless the Borrower shall have notified the</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Administrative Agent and</w:t>
      </w:r>
    </w:p>
    <w:p>
      <w:pPr>
        <w:spacing w:after="0" w:line="1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38" w:name="page139"/>
    <w:bookmarkEnd w:id="138"/>
    <w:p>
      <w:pPr>
        <w:jc w:val="both"/>
        <w:spacing w:after="0" w:line="271" w:lineRule="auto"/>
        <w:rPr>
          <w:sz w:val="20"/>
          <w:szCs w:val="20"/>
          <w:color w:val="auto"/>
        </w:rPr>
      </w:pPr>
      <w:r>
        <w:rPr>
          <w:rFonts w:ascii="Arial" w:cs="Arial" w:eastAsia="Arial" w:hAnsi="Arial"/>
          <w:sz w:val="18"/>
          <w:szCs w:val="18"/>
          <w:color w:val="auto"/>
        </w:rPr>
        <w:t>the L/C Issuer prior to 10:00 a.m. on the Reimbursement Date that the Borrower intends to reimburse the L/C Issuer in respect of such L/C Disbursement with funds other than the proceeds of Revolving Loans, the Borrower shall be deemed to have given a timely Loan Notice to the Administrative Agent requesting each Revolving Lender to make Revolving Loans that are Base Rate Loans on the Reimbursement Date in an equivalent amount, and (y) the Administrative Agent shall notify each Revolving Lender of the applicable L/C Disbursement, the payment then due from the Borrower in respect thereof (the “</w:t>
      </w:r>
      <w:r>
        <w:rPr>
          <w:rFonts w:ascii="Arial" w:cs="Arial" w:eastAsia="Arial" w:hAnsi="Arial"/>
          <w:sz w:val="18"/>
          <w:szCs w:val="18"/>
          <w:i w:val="1"/>
          <w:iCs w:val="1"/>
          <w:u w:val="single" w:color="auto"/>
          <w:color w:val="auto"/>
        </w:rPr>
        <w:t>Unreimbursed Amount</w:t>
      </w:r>
      <w:r>
        <w:rPr>
          <w:rFonts w:ascii="Arial" w:cs="Arial" w:eastAsia="Arial" w:hAnsi="Arial"/>
          <w:sz w:val="18"/>
          <w:szCs w:val="18"/>
          <w:color w:val="auto"/>
        </w:rPr>
        <w:t xml:space="preserve">”) and such Lender’s Applicable Percentage thereof. Promptly upon receipt of such notice, each Revolving Lender shall pay to the Administrative Agent its Applicable Percentage of the Unreimbursed Amount pursuant to </w:t>
      </w:r>
      <w:r>
        <w:rPr>
          <w:rFonts w:ascii="Arial" w:cs="Arial" w:eastAsia="Arial" w:hAnsi="Arial"/>
          <w:sz w:val="18"/>
          <w:szCs w:val="18"/>
          <w:u w:val="single" w:color="auto"/>
          <w:color w:val="auto"/>
        </w:rPr>
        <w:t>Section 2.03(e)(ii</w:t>
      </w:r>
      <w:r>
        <w:rPr>
          <w:rFonts w:ascii="Arial" w:cs="Arial" w:eastAsia="Arial" w:hAnsi="Arial"/>
          <w:sz w:val="18"/>
          <w:szCs w:val="18"/>
          <w:color w:val="auto"/>
        </w:rPr>
        <w:t xml:space="preserve">), subject to the amount of the unutilized portion of the aggregate Revolving Commitments. Any notice given by the L/C Issuer or the Administrative Agent pursuant to this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74" w:lineRule="exact"/>
        <w:rPr>
          <w:sz w:val="20"/>
          <w:szCs w:val="20"/>
          <w:color w:val="auto"/>
        </w:rPr>
      </w:pPr>
    </w:p>
    <w:p>
      <w:pPr>
        <w:jc w:val="both"/>
        <w:ind w:firstLine="789"/>
        <w:spacing w:after="0" w:line="250" w:lineRule="auto"/>
        <w:tabs>
          <w:tab w:leader="none" w:pos="167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xml:space="preserve">. The Borrower’s obligation to reimburse L/C Disbursements as provided in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shall be absolute, unconditional and irrevocable, and shall be performed strictly in accordance with the terms of this Agreement under any and all circumstances whatsoever and irrespective of:</w:t>
      </w:r>
    </w:p>
    <w:p>
      <w:pPr>
        <w:spacing w:after="0" w:line="185" w:lineRule="exact"/>
        <w:rPr>
          <w:rFonts w:ascii="Arial" w:cs="Arial" w:eastAsia="Arial" w:hAnsi="Arial"/>
          <w:sz w:val="20"/>
          <w:szCs w:val="20"/>
          <w:color w:val="auto"/>
        </w:rPr>
      </w:pPr>
    </w:p>
    <w:p>
      <w:pPr>
        <w:ind w:left="860" w:firstLine="726"/>
        <w:spacing w:after="0" w:line="260" w:lineRule="auto"/>
        <w:tabs>
          <w:tab w:leader="none" w:pos="2426"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lack of validity or enforceability of this Agreement, any other Loan Document or any Letter of Credit, or any term or provision herein or therein;</w:t>
      </w:r>
    </w:p>
    <w:p>
      <w:pPr>
        <w:spacing w:after="0" w:line="176" w:lineRule="exact"/>
        <w:rPr>
          <w:rFonts w:ascii="Arial" w:cs="Arial" w:eastAsia="Arial" w:hAnsi="Arial"/>
          <w:sz w:val="20"/>
          <w:szCs w:val="20"/>
          <w:color w:val="auto"/>
        </w:rPr>
      </w:pPr>
    </w:p>
    <w:p>
      <w:pPr>
        <w:jc w:val="both"/>
        <w:ind w:left="860" w:firstLine="726"/>
        <w:spacing w:after="0" w:line="244" w:lineRule="auto"/>
        <w:tabs>
          <w:tab w:leader="none" w:pos="248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94" w:lineRule="exact"/>
        <w:rPr>
          <w:rFonts w:ascii="Arial" w:cs="Arial" w:eastAsia="Arial" w:hAnsi="Arial"/>
          <w:sz w:val="20"/>
          <w:szCs w:val="20"/>
          <w:color w:val="auto"/>
        </w:rPr>
      </w:pPr>
    </w:p>
    <w:p>
      <w:pPr>
        <w:jc w:val="both"/>
        <w:ind w:left="860" w:firstLine="726"/>
        <w:spacing w:after="0" w:line="246" w:lineRule="auto"/>
        <w:tabs>
          <w:tab w:leader="none" w:pos="2535"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91" w:lineRule="exact"/>
        <w:rPr>
          <w:rFonts w:ascii="Arial" w:cs="Arial" w:eastAsia="Arial" w:hAnsi="Arial"/>
          <w:sz w:val="20"/>
          <w:szCs w:val="20"/>
          <w:color w:val="auto"/>
        </w:rPr>
      </w:pPr>
    </w:p>
    <w:p>
      <w:pPr>
        <w:ind w:left="860" w:firstLine="726"/>
        <w:spacing w:after="0" w:line="316" w:lineRule="auto"/>
        <w:tabs>
          <w:tab w:leader="none" w:pos="25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129" w:lineRule="exact"/>
        <w:rPr>
          <w:rFonts w:ascii="Arial" w:cs="Arial" w:eastAsia="Arial" w:hAnsi="Arial"/>
          <w:sz w:val="18"/>
          <w:szCs w:val="18"/>
          <w:color w:val="auto"/>
        </w:rPr>
      </w:pPr>
    </w:p>
    <w:p>
      <w:pPr>
        <w:ind w:left="860" w:right="20" w:firstLine="726"/>
        <w:spacing w:after="0" w:line="260" w:lineRule="auto"/>
        <w:tabs>
          <w:tab w:leader="none" w:pos="2469" w:val="left"/>
        </w:tabs>
        <w:numPr>
          <w:ilvl w:val="1"/>
          <w:numId w:val="87"/>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required that demand be in the form of a draft;</w:t>
      </w:r>
    </w:p>
    <w:p>
      <w:pPr>
        <w:spacing w:after="0" w:line="176" w:lineRule="exact"/>
        <w:rPr>
          <w:rFonts w:ascii="Arial" w:cs="Arial" w:eastAsia="Arial" w:hAnsi="Arial"/>
          <w:sz w:val="20"/>
          <w:szCs w:val="20"/>
          <w:color w:val="auto"/>
        </w:rPr>
      </w:pPr>
    </w:p>
    <w:p>
      <w:pPr>
        <w:jc w:val="both"/>
        <w:ind w:left="860" w:firstLine="726"/>
        <w:spacing w:after="0" w:line="269" w:lineRule="auto"/>
        <w:tabs>
          <w:tab w:leader="none" w:pos="2524"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69" w:lineRule="exact"/>
        <w:rPr>
          <w:rFonts w:ascii="Arial" w:cs="Arial" w:eastAsia="Arial" w:hAnsi="Arial"/>
          <w:sz w:val="19"/>
          <w:szCs w:val="19"/>
          <w:color w:val="auto"/>
        </w:rPr>
      </w:pPr>
    </w:p>
    <w:p>
      <w:pPr>
        <w:jc w:val="both"/>
        <w:ind w:left="860" w:firstLine="726"/>
        <w:spacing w:after="0" w:line="250" w:lineRule="auto"/>
        <w:tabs>
          <w:tab w:leader="none" w:pos="2579" w:val="left"/>
        </w:tabs>
        <w:numPr>
          <w:ilvl w:val="1"/>
          <w:numId w:val="87"/>
        </w:numPr>
        <w:rPr>
          <w:rFonts w:ascii="Arial" w:cs="Arial" w:eastAsia="Arial" w:hAnsi="Arial"/>
          <w:sz w:val="20"/>
          <w:szCs w:val="20"/>
          <w:color w:val="auto"/>
        </w:rPr>
      </w:pPr>
      <w:r>
        <w:rPr>
          <w:rFonts w:ascii="Arial" w:cs="Arial" w:eastAsia="Arial" w:hAnsi="Arial"/>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w:t>
      </w:r>
    </w:p>
    <w:p>
      <w:pPr>
        <w:spacing w:after="0" w:line="18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39" w:name="page140"/>
    <w:bookmarkEnd w:id="139"/>
    <w:p>
      <w:pPr>
        <w:jc w:val="both"/>
        <w:ind w:left="620"/>
        <w:spacing w:after="0" w:line="250" w:lineRule="auto"/>
        <w:rPr>
          <w:sz w:val="20"/>
          <w:szCs w:val="20"/>
          <w:color w:val="auto"/>
        </w:rPr>
      </w:pPr>
      <w:r>
        <w:rPr>
          <w:rFonts w:ascii="Arial" w:cs="Arial" w:eastAsia="Arial" w:hAnsi="Arial"/>
          <w:sz w:val="20"/>
          <w:szCs w:val="20"/>
          <w:color w:val="auto"/>
        </w:rPr>
        <w:t>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6" w:lineRule="exact"/>
        <w:rPr>
          <w:sz w:val="20"/>
          <w:szCs w:val="20"/>
          <w:color w:val="auto"/>
        </w:rPr>
      </w:pPr>
    </w:p>
    <w:p>
      <w:pPr>
        <w:jc w:val="both"/>
        <w:ind w:left="620" w:firstLine="726"/>
        <w:spacing w:after="0" w:line="250" w:lineRule="auto"/>
        <w:tabs>
          <w:tab w:leader="none" w:pos="2394"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any other event or circumstance whatsoever, whether or not similar to any of the foregoing, that might, but for the provisions of this </w:t>
      </w:r>
      <w:r>
        <w:rPr>
          <w:rFonts w:ascii="Arial" w:cs="Arial" w:eastAsia="Arial" w:hAnsi="Arial"/>
          <w:sz w:val="20"/>
          <w:szCs w:val="20"/>
          <w:u w:val="single" w:color="auto"/>
          <w:color w:val="auto"/>
        </w:rPr>
        <w:t>Section 2.03</w:t>
      </w:r>
      <w:r>
        <w:rPr>
          <w:rFonts w:ascii="Arial" w:cs="Arial" w:eastAsia="Arial" w:hAnsi="Arial"/>
          <w:sz w:val="20"/>
          <w:szCs w:val="20"/>
          <w:color w:val="auto"/>
        </w:rPr>
        <w:t>, constitute a legal or equitable discharge of, or provide a right of setoff against, the Borrower’s obligations hereunder.</w:t>
      </w:r>
    </w:p>
    <w:p>
      <w:pPr>
        <w:spacing w:after="0" w:line="185" w:lineRule="exact"/>
        <w:rPr>
          <w:rFonts w:ascii="Arial" w:cs="Arial" w:eastAsia="Arial" w:hAnsi="Arial"/>
          <w:sz w:val="20"/>
          <w:szCs w:val="20"/>
          <w:color w:val="auto"/>
        </w:rPr>
      </w:pPr>
    </w:p>
    <w:p>
      <w:pPr>
        <w:jc w:val="both"/>
        <w:ind w:left="-240" w:firstLine="789"/>
        <w:spacing w:after="0" w:line="263" w:lineRule="auto"/>
        <w:tabs>
          <w:tab w:leader="none" w:pos="143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Examination</w:t>
      </w:r>
      <w:r>
        <w:rPr>
          <w:rFonts w:ascii="Arial" w:cs="Arial" w:eastAsia="Arial" w:hAnsi="Arial"/>
          <w:sz w:val="19"/>
          <w:szCs w:val="19"/>
          <w:color w:val="auto"/>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76" w:lineRule="exact"/>
        <w:rPr>
          <w:rFonts w:ascii="Arial" w:cs="Arial" w:eastAsia="Arial" w:hAnsi="Arial"/>
          <w:sz w:val="19"/>
          <w:szCs w:val="19"/>
          <w:color w:val="auto"/>
        </w:rPr>
      </w:pPr>
    </w:p>
    <w:p>
      <w:pPr>
        <w:jc w:val="both"/>
        <w:ind w:left="-240" w:firstLine="789"/>
        <w:spacing w:after="0" w:line="255" w:lineRule="auto"/>
        <w:tabs>
          <w:tab w:leader="none" w:pos="139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Liability</w:t>
      </w:r>
      <w:r>
        <w:rPr>
          <w:rFonts w:ascii="Arial" w:cs="Arial" w:eastAsia="Arial" w:hAnsi="Arial"/>
          <w:sz w:val="19"/>
          <w:szCs w:val="19"/>
          <w:color w:val="auto"/>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81" w:lineRule="exact"/>
        <w:rPr>
          <w:rFonts w:ascii="Arial" w:cs="Arial" w:eastAsia="Arial" w:hAnsi="Arial"/>
          <w:sz w:val="19"/>
          <w:szCs w:val="19"/>
          <w:color w:val="auto"/>
        </w:rPr>
      </w:pPr>
    </w:p>
    <w:p>
      <w:pPr>
        <w:ind w:left="620" w:firstLine="726"/>
        <w:spacing w:after="0" w:line="287" w:lineRule="auto"/>
        <w:tabs>
          <w:tab w:leader="none" w:pos="2186"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L/C Issuer may replace a purportedly lost, stolen, or destroyed original Letter of Credit or missing amendment thereto with a certified true copy marked as such or waive a requirement for its presentation;</w:t>
      </w:r>
    </w:p>
    <w:p>
      <w:pPr>
        <w:spacing w:after="0" w:line="152" w:lineRule="exact"/>
        <w:rPr>
          <w:rFonts w:ascii="Arial" w:cs="Arial" w:eastAsia="Arial" w:hAnsi="Arial"/>
          <w:sz w:val="19"/>
          <w:szCs w:val="19"/>
          <w:color w:val="auto"/>
        </w:rPr>
      </w:pPr>
    </w:p>
    <w:p>
      <w:pPr>
        <w:jc w:val="both"/>
        <w:ind w:left="620" w:firstLine="726"/>
        <w:spacing w:after="0" w:line="244" w:lineRule="auto"/>
        <w:tabs>
          <w:tab w:leader="none" w:pos="2240"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94" w:lineRule="exact"/>
        <w:rPr>
          <w:rFonts w:ascii="Arial" w:cs="Arial" w:eastAsia="Arial" w:hAnsi="Arial"/>
          <w:sz w:val="20"/>
          <w:szCs w:val="20"/>
          <w:color w:val="auto"/>
        </w:rPr>
      </w:pPr>
    </w:p>
    <w:p>
      <w:pPr>
        <w:ind w:left="620" w:right="20" w:firstLine="726"/>
        <w:spacing w:after="0" w:line="316" w:lineRule="auto"/>
        <w:tabs>
          <w:tab w:leader="none" w:pos="229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L/C Issuer shall have the right, in its sole discretion, to decline to accept such documents and to make such payment if such documents are not in strict compliance with the terms of such Letter of Credit; and</w:t>
      </w:r>
    </w:p>
    <w:p>
      <w:pPr>
        <w:spacing w:after="0" w:line="129" w:lineRule="exact"/>
        <w:rPr>
          <w:rFonts w:ascii="Arial" w:cs="Arial" w:eastAsia="Arial" w:hAnsi="Arial"/>
          <w:sz w:val="18"/>
          <w:szCs w:val="18"/>
          <w:color w:val="auto"/>
        </w:rPr>
      </w:pPr>
    </w:p>
    <w:p>
      <w:pPr>
        <w:ind w:left="620" w:firstLine="726"/>
        <w:spacing w:after="0" w:line="260" w:lineRule="auto"/>
        <w:tabs>
          <w:tab w:leader="none" w:pos="2284"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this sentence shall establish the standard of care to be exercised by the L/C Issuer when determining whether drafts and other documents presented under a Letter of</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40" w:name="page141"/>
    <w:bookmarkEnd w:id="140"/>
    <w:p>
      <w:pPr>
        <w:jc w:val="both"/>
        <w:ind w:left="620"/>
        <w:spacing w:after="0" w:line="260" w:lineRule="auto"/>
        <w:rPr>
          <w:sz w:val="20"/>
          <w:szCs w:val="20"/>
          <w:color w:val="auto"/>
        </w:rPr>
      </w:pPr>
      <w:r>
        <w:rPr>
          <w:rFonts w:ascii="Arial" w:cs="Arial" w:eastAsia="Arial" w:hAnsi="Arial"/>
          <w:sz w:val="20"/>
          <w:szCs w:val="20"/>
          <w:color w:val="auto"/>
        </w:rPr>
        <w:t>Credit comply with the terms thereof (and the parties hereto hereby waive, to the extent permitted by Applicable Law, any standard of care inconsistent with the foregoing).</w:t>
      </w:r>
    </w:p>
    <w:p>
      <w:pPr>
        <w:spacing w:after="0" w:line="177" w:lineRule="exact"/>
        <w:rPr>
          <w:sz w:val="20"/>
          <w:szCs w:val="20"/>
          <w:color w:val="auto"/>
        </w:rPr>
      </w:pPr>
    </w:p>
    <w:p>
      <w:pPr>
        <w:jc w:val="both"/>
        <w:ind w:left="620"/>
        <w:spacing w:after="0" w:line="242" w:lineRule="auto"/>
        <w:rPr>
          <w:sz w:val="20"/>
          <w:szCs w:val="20"/>
          <w:color w:val="auto"/>
        </w:rPr>
      </w:pPr>
      <w:r>
        <w:rPr>
          <w:rFonts w:ascii="Arial" w:cs="Arial" w:eastAsia="Arial" w:hAnsi="Arial"/>
          <w:sz w:val="20"/>
          <w:szCs w:val="20"/>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 (C) against documents that are fraudulent, forged, or for other reasons by which that it is entitled not to honor, (D) following a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spacing w:after="0" w:line="197" w:lineRule="exact"/>
        <w:rPr>
          <w:sz w:val="20"/>
          <w:szCs w:val="20"/>
          <w:color w:val="auto"/>
        </w:rPr>
      </w:pPr>
    </w:p>
    <w:p>
      <w:pPr>
        <w:jc w:val="both"/>
        <w:ind w:left="-240" w:firstLine="789"/>
        <w:spacing w:after="0" w:line="273" w:lineRule="auto"/>
        <w:tabs>
          <w:tab w:leader="none" w:pos="139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L/C Issuer and the Borrower when a Letter of Credit is issued by it, the rules of the ISP shall apply.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8" w:lineRule="exact"/>
        <w:rPr>
          <w:rFonts w:ascii="Arial" w:cs="Arial" w:eastAsia="Arial" w:hAnsi="Arial"/>
          <w:sz w:val="18"/>
          <w:szCs w:val="18"/>
          <w:color w:val="auto"/>
        </w:rPr>
      </w:pPr>
    </w:p>
    <w:p>
      <w:pPr>
        <w:jc w:val="both"/>
        <w:ind w:left="-240" w:firstLine="789"/>
        <w:spacing w:after="0" w:line="243" w:lineRule="auto"/>
        <w:tabs>
          <w:tab w:leader="none" w:pos="1436"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the L/C Issuer with respect to such acts or omissions, and (ii) as additionally provided herein with respect to the L/C Issuer.</w:t>
      </w:r>
    </w:p>
    <w:p>
      <w:pPr>
        <w:spacing w:after="0" w:line="195" w:lineRule="exact"/>
        <w:rPr>
          <w:rFonts w:ascii="Arial" w:cs="Arial" w:eastAsia="Arial" w:hAnsi="Arial"/>
          <w:sz w:val="20"/>
          <w:szCs w:val="20"/>
          <w:color w:val="auto"/>
        </w:rPr>
      </w:pPr>
    </w:p>
    <w:p>
      <w:pPr>
        <w:jc w:val="both"/>
        <w:ind w:left="-240" w:firstLine="789"/>
        <w:spacing w:after="0" w:line="272" w:lineRule="auto"/>
        <w:tabs>
          <w:tab w:leader="none" w:pos="139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The Borrower shall pay to the Administrative Agent for the account of each Revolving Lender in accordance with its Applicable Revolving Percentage a Letter of Credit fee (the “</w:t>
      </w:r>
      <w:r>
        <w:rPr>
          <w:rFonts w:ascii="Arial" w:cs="Arial" w:eastAsia="Arial" w:hAnsi="Arial"/>
          <w:sz w:val="18"/>
          <w:szCs w:val="18"/>
          <w:i w:val="1"/>
          <w:iCs w:val="1"/>
          <w:u w:val="single" w:color="auto"/>
          <w:color w:val="auto"/>
        </w:rPr>
        <w:t>Letter of Credit Fee</w:t>
      </w:r>
      <w:r>
        <w:rPr>
          <w:rFonts w:ascii="Arial" w:cs="Arial" w:eastAsia="Arial" w:hAnsi="Arial"/>
          <w:sz w:val="18"/>
          <w:szCs w:val="18"/>
          <w:color w:val="auto"/>
        </w:rPr>
        <w:t xml:space="preserve">”) for each Letter of Credit equal to the Applicable Rate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daily amount available to be drawn under such Letter of Credit. For purposes of computing the daily amount available to be drawn under any standby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Letter of Credit Fees shall be (i) payable on the first Business Day following the end of each March, June, September and December, commencing with the first such date to occur after the issuance of such Letter of Credit and (ii) accrued through and including the last day of each calendar quarter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170" w:lineRule="exact"/>
        <w:rPr>
          <w:rFonts w:ascii="Arial" w:cs="Arial" w:eastAsia="Arial" w:hAnsi="Arial"/>
          <w:sz w:val="18"/>
          <w:szCs w:val="18"/>
          <w:color w:val="auto"/>
        </w:rPr>
      </w:pPr>
    </w:p>
    <w:p>
      <w:pPr>
        <w:jc w:val="both"/>
        <w:ind w:left="-240" w:right="20" w:firstLine="789"/>
        <w:spacing w:after="0" w:line="250" w:lineRule="auto"/>
        <w:tabs>
          <w:tab w:leader="none" w:pos="1491"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Fronting Fee and Documentary and Processing Charges Payable to L/C Issuer</w:t>
      </w:r>
      <w:r>
        <w:rPr>
          <w:rFonts w:ascii="Arial" w:cs="Arial" w:eastAsia="Arial" w:hAnsi="Arial"/>
          <w:sz w:val="20"/>
          <w:szCs w:val="20"/>
          <w:color w:val="auto"/>
        </w:rPr>
        <w:t>. At any time there is more than one Lender, the Borrower shall pay directly to the L/C Issuer for its own account a fronting fee with respect to each Letter of Credit, at the rate per annum equal to the</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41" w:name="page142"/>
    <w:bookmarkEnd w:id="141"/>
    <w:p>
      <w:pPr>
        <w:jc w:val="both"/>
        <w:spacing w:after="0" w:line="272" w:lineRule="auto"/>
        <w:rPr>
          <w:sz w:val="20"/>
          <w:szCs w:val="20"/>
          <w:color w:val="auto"/>
        </w:rPr>
      </w:pPr>
      <w:r>
        <w:rPr>
          <w:rFonts w:ascii="Arial" w:cs="Arial" w:eastAsia="Arial" w:hAnsi="Arial"/>
          <w:sz w:val="18"/>
          <w:szCs w:val="18"/>
          <w:color w:val="auto"/>
        </w:rPr>
        <w:t xml:space="preserve">percentage separately agreed upon between the Borrower and the L/C Issuer, computed on the daily amount available to be drawn under such Letter of Credit on a quarterly basis in arrears. Such fronting fee shall be due and payable no later than the tenth Business Day after the end of each March, June, September and December in the most recently- 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70" w:lineRule="exact"/>
        <w:rPr>
          <w:sz w:val="20"/>
          <w:szCs w:val="20"/>
          <w:color w:val="auto"/>
        </w:rPr>
      </w:pPr>
    </w:p>
    <w:p>
      <w:pPr>
        <w:jc w:val="both"/>
        <w:ind w:firstLine="789"/>
        <w:spacing w:after="0" w:line="259" w:lineRule="auto"/>
        <w:tabs>
          <w:tab w:leader="none" w:pos="167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the L/C Issuer and the Lenders with respect to any such L/C Disbursement.</w:t>
      </w:r>
    </w:p>
    <w:p>
      <w:pPr>
        <w:spacing w:after="0" w:line="178" w:lineRule="exact"/>
        <w:rPr>
          <w:rFonts w:ascii="Arial" w:cs="Arial" w:eastAsia="Arial" w:hAnsi="Arial"/>
          <w:sz w:val="19"/>
          <w:szCs w:val="19"/>
          <w:color w:val="auto"/>
        </w:rPr>
      </w:pPr>
    </w:p>
    <w:p>
      <w:pPr>
        <w:jc w:val="both"/>
        <w:ind w:firstLine="789"/>
        <w:spacing w:after="0" w:line="257" w:lineRule="auto"/>
        <w:tabs>
          <w:tab w:leader="none" w:pos="167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Borrower fails to reimburse such L/C Disbursement when due pursuant to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shall apply. Interest accrued pursuant to this </w:t>
      </w:r>
      <w:r>
        <w:rPr>
          <w:rFonts w:ascii="Arial" w:cs="Arial" w:eastAsia="Arial" w:hAnsi="Arial"/>
          <w:sz w:val="19"/>
          <w:szCs w:val="19"/>
          <w:u w:val="single" w:color="auto"/>
          <w:color w:val="auto"/>
        </w:rPr>
        <w:t>clause (p</w:t>
      </w:r>
      <w:r>
        <w:rPr>
          <w:rFonts w:ascii="Arial" w:cs="Arial" w:eastAsia="Arial" w:hAnsi="Arial"/>
          <w:sz w:val="19"/>
          <w:szCs w:val="19"/>
          <w:color w:val="auto"/>
        </w:rPr>
        <w:t xml:space="preserve">) shall be for account of the L/C Issuer, except that interest accrued on and after the date of payment by any Lender pursuant to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to reimburse the L/C Issuer shall be for account of such Lender to the extent of such payment.</w:t>
      </w:r>
    </w:p>
    <w:p>
      <w:pPr>
        <w:spacing w:after="0" w:line="180" w:lineRule="exact"/>
        <w:rPr>
          <w:rFonts w:ascii="Arial" w:cs="Arial" w:eastAsia="Arial" w:hAnsi="Arial"/>
          <w:sz w:val="19"/>
          <w:szCs w:val="19"/>
          <w:color w:val="auto"/>
        </w:rPr>
      </w:pPr>
    </w:p>
    <w:p>
      <w:pPr>
        <w:jc w:val="both"/>
        <w:ind w:firstLine="789"/>
        <w:spacing w:after="0" w:line="274" w:lineRule="auto"/>
        <w:tabs>
          <w:tab w:leader="none" w:pos="167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68" w:lineRule="exact"/>
        <w:rPr>
          <w:rFonts w:ascii="Arial" w:cs="Arial" w:eastAsia="Arial" w:hAnsi="Arial"/>
          <w:sz w:val="18"/>
          <w:szCs w:val="18"/>
          <w:color w:val="auto"/>
        </w:rPr>
      </w:pPr>
    </w:p>
    <w:p>
      <w:pPr>
        <w:ind w:firstLine="789"/>
        <w:spacing w:after="0" w:line="260" w:lineRule="auto"/>
        <w:tabs>
          <w:tab w:leader="none" w:pos="1676"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6"/>
          <w:szCs w:val="16"/>
          <w:b w:val="1"/>
          <w:bCs w:val="1"/>
          <w:u w:val="single" w:color="auto"/>
          <w:color w:val="auto"/>
        </w:rPr>
        <w:t>Swingline Loans.</w:t>
      </w:r>
    </w:p>
    <w:p>
      <w:pPr>
        <w:spacing w:after="0" w:line="222" w:lineRule="exact"/>
        <w:rPr>
          <w:sz w:val="20"/>
          <w:szCs w:val="20"/>
          <w:color w:val="auto"/>
        </w:rPr>
      </w:pPr>
    </w:p>
    <w:p>
      <w:pPr>
        <w:ind w:firstLine="789"/>
        <w:spacing w:after="0" w:line="260" w:lineRule="auto"/>
        <w:tabs>
          <w:tab w:leader="none" w:pos="1665"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The Swingline</w:t>
      </w:r>
      <w:r>
        <w:rPr>
          <w:rFonts w:ascii="Arial" w:cs="Arial" w:eastAsia="Arial" w:hAnsi="Arial"/>
          <w:sz w:val="20"/>
          <w:szCs w:val="20"/>
          <w:color w:val="auto"/>
        </w:rPr>
        <w:t xml:space="preserve">. Subject to the terms and conditions set forth herein, the Swingline Lender, in reliance upon the agreements of the other Lenders set forth in this </w:t>
      </w:r>
      <w:r>
        <w:rPr>
          <w:rFonts w:ascii="Arial" w:cs="Arial" w:eastAsia="Arial" w:hAnsi="Arial"/>
          <w:sz w:val="20"/>
          <w:szCs w:val="20"/>
          <w:u w:val="single" w:color="auto"/>
          <w:color w:val="auto"/>
        </w:rPr>
        <w:t>Section 2.04</w:t>
      </w:r>
      <w:r>
        <w:rPr>
          <w:rFonts w:ascii="Arial" w:cs="Arial" w:eastAsia="Arial" w:hAnsi="Arial"/>
          <w:sz w:val="20"/>
          <w:szCs w:val="20"/>
          <w:color w:val="auto"/>
        </w:rPr>
        <w:t>, may in</w:t>
      </w:r>
    </w:p>
    <w:p>
      <w:pPr>
        <w:spacing w:after="0" w:line="17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42" w:name="page143"/>
    <w:bookmarkEnd w:id="142"/>
    <w:p>
      <w:pPr>
        <w:jc w:val="both"/>
        <w:spacing w:after="0" w:line="269" w:lineRule="auto"/>
        <w:rPr>
          <w:sz w:val="20"/>
          <w:szCs w:val="20"/>
          <w:color w:val="auto"/>
        </w:rPr>
      </w:pPr>
      <w:r>
        <w:rPr>
          <w:rFonts w:ascii="Arial" w:cs="Arial" w:eastAsia="Arial" w:hAnsi="Arial"/>
          <w:sz w:val="18"/>
          <w:szCs w:val="18"/>
          <w:color w:val="auto"/>
        </w:rPr>
        <w:t>its sole discretion make loans to the Borrower (each such loan, a “</w:t>
      </w:r>
      <w:r>
        <w:rPr>
          <w:rFonts w:ascii="Arial" w:cs="Arial" w:eastAsia="Arial" w:hAnsi="Arial"/>
          <w:sz w:val="18"/>
          <w:szCs w:val="18"/>
          <w:i w:val="1"/>
          <w:iCs w:val="1"/>
          <w:u w:val="single" w:color="auto"/>
          <w:color w:val="auto"/>
        </w:rPr>
        <w:t>Swingline Loan</w:t>
      </w:r>
      <w:r>
        <w:rPr>
          <w:rFonts w:ascii="Arial" w:cs="Arial" w:eastAsia="Arial" w:hAnsi="Arial"/>
          <w:sz w:val="18"/>
          <w:szCs w:val="18"/>
          <w:color w:val="auto"/>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after giving effect to any Swingline Loan, (A) the Total Revolving Outstandings shall not exceed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Facility at such time, and (B) the Revolving Exposure of any Revolving Lender at such time shall not exceed such Lender’s Revolving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times the amount of such Swingline Loan.</w:t>
      </w:r>
    </w:p>
    <w:p>
      <w:pPr>
        <w:spacing w:after="0" w:line="181" w:lineRule="exact"/>
        <w:rPr>
          <w:sz w:val="20"/>
          <w:szCs w:val="20"/>
          <w:color w:val="auto"/>
        </w:rPr>
      </w:pPr>
    </w:p>
    <w:p>
      <w:pPr>
        <w:ind w:left="1660" w:hanging="871"/>
        <w:spacing w:after="0"/>
        <w:tabs>
          <w:tab w:leader="none" w:pos="166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Borrowing Procedures</w:t>
      </w:r>
      <w:r>
        <w:rPr>
          <w:rFonts w:ascii="Arial" w:cs="Arial" w:eastAsia="Arial" w:hAnsi="Arial"/>
          <w:sz w:val="20"/>
          <w:szCs w:val="20"/>
          <w:color w:val="auto"/>
        </w:rPr>
        <w:t>.</w:t>
      </w:r>
    </w:p>
    <w:p>
      <w:pPr>
        <w:spacing w:after="0" w:line="216" w:lineRule="exact"/>
        <w:rPr>
          <w:sz w:val="20"/>
          <w:szCs w:val="20"/>
          <w:color w:val="auto"/>
        </w:rPr>
      </w:pPr>
    </w:p>
    <w:p>
      <w:pPr>
        <w:jc w:val="both"/>
        <w:ind w:left="860" w:firstLine="731"/>
        <w:spacing w:after="0" w:line="269" w:lineRule="auto"/>
        <w:rPr>
          <w:sz w:val="20"/>
          <w:szCs w:val="20"/>
          <w:color w:val="auto"/>
        </w:rPr>
      </w:pPr>
      <w:r>
        <w:rPr>
          <w:rFonts w:ascii="Arial" w:cs="Arial" w:eastAsia="Arial" w:hAnsi="Arial"/>
          <w:sz w:val="18"/>
          <w:szCs w:val="18"/>
          <w:color w:val="auto"/>
        </w:rPr>
        <w:t xml:space="preserve">Each Swingline Borrowing shall be made upon the Borrower’s irrevocable notice to the Swingline Lender and the Administrative Agent, which may be given by: (ii) telephone or (iii) a Swingline Loan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Swingline Borrowing (1) directing the Swingline Lender not to make such Swingline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(2)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immediately available funds.</w:t>
      </w:r>
    </w:p>
    <w:p>
      <w:pPr>
        <w:spacing w:after="0" w:line="174" w:lineRule="exact"/>
        <w:rPr>
          <w:sz w:val="20"/>
          <w:szCs w:val="20"/>
          <w:color w:val="auto"/>
        </w:rPr>
      </w:pPr>
    </w:p>
    <w:p>
      <w:pPr>
        <w:ind w:left="1660" w:hanging="871"/>
        <w:spacing w:after="0"/>
        <w:tabs>
          <w:tab w:leader="none" w:pos="166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Refinancing of Swingline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60" w:firstLine="726"/>
        <w:spacing w:after="0" w:line="282" w:lineRule="auto"/>
        <w:tabs>
          <w:tab w:leader="none" w:pos="242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Swingline Lender at any time in its sole discretion may request, on behalf of the Borrower (which hereby irrevocably authorizes the Swingline Lender to so request on its behalf), that each Revolving Lender make a Base Rate Loan in an amount equal to such Lender’s Applicable Revolving Percentage of the amount of Swingline Loans then outstanding. Such request shall be made in writing (which written request shall be</w:t>
      </w:r>
    </w:p>
    <w:p>
      <w:pPr>
        <w:spacing w:after="0" w:line="16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43" w:name="page144"/>
    <w:bookmarkEnd w:id="143"/>
    <w:p>
      <w:pPr>
        <w:jc w:val="both"/>
        <w:ind w:left="620"/>
        <w:spacing w:after="0" w:line="255" w:lineRule="auto"/>
        <w:rPr>
          <w:sz w:val="20"/>
          <w:szCs w:val="20"/>
          <w:color w:val="auto"/>
        </w:rPr>
      </w:pPr>
      <w:r>
        <w:rPr>
          <w:rFonts w:ascii="Arial" w:cs="Arial" w:eastAsia="Arial" w:hAnsi="Arial"/>
          <w:sz w:val="19"/>
          <w:szCs w:val="19"/>
          <w:color w:val="auto"/>
        </w:rPr>
        <w:t xml:space="preserve">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Facility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Swingline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Lender that so makes funds available shall be deemed to have made a Base Rate Loan to the Borrower in such amount. The Administrative Agent shall remit the funds so received to the Swingline Lender.</w:t>
      </w:r>
    </w:p>
    <w:p>
      <w:pPr>
        <w:spacing w:after="0" w:line="187" w:lineRule="exact"/>
        <w:rPr>
          <w:sz w:val="20"/>
          <w:szCs w:val="20"/>
          <w:color w:val="auto"/>
        </w:rPr>
      </w:pPr>
    </w:p>
    <w:p>
      <w:pPr>
        <w:jc w:val="both"/>
        <w:ind w:left="620" w:firstLine="726"/>
        <w:spacing w:after="0" w:line="243" w:lineRule="auto"/>
        <w:tabs>
          <w:tab w:leader="none" w:pos="22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the foregoing, if for any reason any Swingline Loan cannot be refinanced by such a Revolving Borrowing in accordance with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(including, without limitation, the failure to satisfy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Arial" w:cs="Arial" w:eastAsia="Arial" w:hAnsi="Arial"/>
          <w:sz w:val="20"/>
          <w:szCs w:val="20"/>
          <w:u w:val="single" w:color="auto"/>
          <w:color w:val="auto"/>
        </w:rPr>
        <w:t>Section 2.04(c)(i</w:t>
      </w:r>
      <w:r>
        <w:rPr>
          <w:rFonts w:ascii="Arial" w:cs="Arial" w:eastAsia="Arial" w:hAnsi="Arial"/>
          <w:sz w:val="20"/>
          <w:szCs w:val="20"/>
          <w:color w:val="auto"/>
        </w:rPr>
        <w:t>) shall be deemed payment in respect of such participation.</w:t>
      </w:r>
    </w:p>
    <w:p>
      <w:pPr>
        <w:spacing w:after="0" w:line="192" w:lineRule="exact"/>
        <w:rPr>
          <w:rFonts w:ascii="Arial" w:cs="Arial" w:eastAsia="Arial" w:hAnsi="Arial"/>
          <w:sz w:val="20"/>
          <w:szCs w:val="20"/>
          <w:color w:val="auto"/>
        </w:rPr>
      </w:pPr>
    </w:p>
    <w:p>
      <w:pPr>
        <w:jc w:val="both"/>
        <w:ind w:left="620" w:firstLine="726"/>
        <w:spacing w:after="0" w:line="270" w:lineRule="auto"/>
        <w:tabs>
          <w:tab w:leader="none" w:pos="22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Swingline Lender any amount required to be paid by such Lender pursuant to the foregoing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Arial" w:cs="Arial" w:eastAsia="Arial" w:hAnsi="Arial"/>
          <w:sz w:val="18"/>
          <w:szCs w:val="18"/>
          <w:u w:val="single" w:color="auto"/>
          <w:color w:val="auto"/>
        </w:rPr>
        <w:t>clause (c)(iii</w:t>
      </w:r>
      <w:r>
        <w:rPr>
          <w:rFonts w:ascii="Arial" w:cs="Arial" w:eastAsia="Arial" w:hAnsi="Arial"/>
          <w:sz w:val="18"/>
          <w:szCs w:val="18"/>
          <w:color w:val="auto"/>
        </w:rPr>
        <w:t>) shall be conclusive absent manifest error.</w:t>
      </w:r>
    </w:p>
    <w:p>
      <w:pPr>
        <w:spacing w:after="0" w:line="175" w:lineRule="exact"/>
        <w:rPr>
          <w:rFonts w:ascii="Arial" w:cs="Arial" w:eastAsia="Arial" w:hAnsi="Arial"/>
          <w:sz w:val="18"/>
          <w:szCs w:val="18"/>
          <w:color w:val="auto"/>
        </w:rPr>
      </w:pPr>
    </w:p>
    <w:p>
      <w:pPr>
        <w:jc w:val="both"/>
        <w:ind w:left="620" w:firstLine="726"/>
        <w:spacing w:after="0" w:line="274" w:lineRule="auto"/>
        <w:tabs>
          <w:tab w:leader="none" w:pos="22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Revolving Loans or to purchase and fund risk participations in Swingline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each Revolving Lender’s obligation to make Revolving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44" w:name="page145"/>
    <w:bookmarkEnd w:id="144"/>
    <w:p>
      <w:pPr>
        <w:ind w:left="860"/>
        <w:spacing w:after="0" w:line="260" w:lineRule="auto"/>
        <w:rPr>
          <w:sz w:val="20"/>
          <w:szCs w:val="20"/>
          <w:color w:val="auto"/>
        </w:rPr>
      </w:pPr>
      <w:r>
        <w:rPr>
          <w:rFonts w:ascii="Arial" w:cs="Arial" w:eastAsia="Arial" w:hAnsi="Arial"/>
          <w:sz w:val="20"/>
          <w:szCs w:val="20"/>
          <w:color w:val="auto"/>
        </w:rPr>
        <w:t>by the Borrower of a Loan Notice). No such funding of risk participations shall relieve or otherwise impair the obligation of the Borrower to repay Swingline Loans, together with interest as provided herein.</w:t>
      </w:r>
    </w:p>
    <w:p>
      <w:pPr>
        <w:spacing w:after="0" w:line="177" w:lineRule="exact"/>
        <w:rPr>
          <w:sz w:val="20"/>
          <w:szCs w:val="20"/>
          <w:color w:val="auto"/>
        </w:rPr>
      </w:pPr>
    </w:p>
    <w:p>
      <w:pPr>
        <w:ind w:left="1660" w:hanging="871"/>
        <w:spacing w:after="0"/>
        <w:tabs>
          <w:tab w:leader="none" w:pos="166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60" w:firstLine="726"/>
        <w:spacing w:after="0" w:line="246" w:lineRule="auto"/>
        <w:tabs>
          <w:tab w:leader="none" w:pos="2426" w:val="left"/>
        </w:tabs>
        <w:numPr>
          <w:ilvl w:val="1"/>
          <w:numId w:val="96"/>
        </w:numPr>
        <w:rPr>
          <w:rFonts w:ascii="Arial" w:cs="Arial" w:eastAsia="Arial" w:hAnsi="Arial"/>
          <w:sz w:val="20"/>
          <w:szCs w:val="20"/>
          <w:color w:val="auto"/>
        </w:rPr>
      </w:pPr>
      <w:r>
        <w:rPr>
          <w:rFonts w:ascii="Arial" w:cs="Arial" w:eastAsia="Arial" w:hAnsi="Arial"/>
          <w:sz w:val="20"/>
          <w:szCs w:val="20"/>
          <w:color w:val="auto"/>
        </w:rPr>
        <w:t>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spacing w:after="0" w:line="191" w:lineRule="exact"/>
        <w:rPr>
          <w:rFonts w:ascii="Arial" w:cs="Arial" w:eastAsia="Arial" w:hAnsi="Arial"/>
          <w:sz w:val="20"/>
          <w:szCs w:val="20"/>
          <w:color w:val="auto"/>
        </w:rPr>
      </w:pPr>
    </w:p>
    <w:p>
      <w:pPr>
        <w:jc w:val="both"/>
        <w:ind w:left="860" w:firstLine="726"/>
        <w:spacing w:after="0" w:line="242" w:lineRule="auto"/>
        <w:tabs>
          <w:tab w:leader="none" w:pos="2480"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Arial" w:cs="Arial" w:eastAsia="Arial" w:hAnsi="Arial"/>
          <w:sz w:val="20"/>
          <w:szCs w:val="20"/>
          <w:u w:val="single" w:color="auto"/>
          <w:color w:val="auto"/>
        </w:rPr>
        <w:t>Section 11.05</w:t>
      </w:r>
      <w:r>
        <w:rPr>
          <w:rFonts w:ascii="Arial" w:cs="Arial" w:eastAsia="Arial" w:hAnsi="Arial"/>
          <w:sz w:val="20"/>
          <w:szCs w:val="20"/>
          <w:color w:val="auto"/>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196" w:lineRule="exact"/>
        <w:rPr>
          <w:rFonts w:ascii="Arial" w:cs="Arial" w:eastAsia="Arial" w:hAnsi="Arial"/>
          <w:sz w:val="20"/>
          <w:szCs w:val="20"/>
          <w:color w:val="auto"/>
        </w:rPr>
      </w:pPr>
    </w:p>
    <w:p>
      <w:pPr>
        <w:jc w:val="both"/>
        <w:ind w:firstLine="789"/>
        <w:spacing w:after="0" w:line="263" w:lineRule="auto"/>
        <w:tabs>
          <w:tab w:leader="none" w:pos="166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Swingline Lender</w:t>
      </w:r>
      <w:r>
        <w:rPr>
          <w:rFonts w:ascii="Arial" w:cs="Arial" w:eastAsia="Arial" w:hAnsi="Arial"/>
          <w:sz w:val="19"/>
          <w:szCs w:val="19"/>
          <w:color w:val="auto"/>
        </w:rPr>
        <w:t xml:space="preserve">. The Swingline Lender shall be responsible for invoicing the Borrower for interest on the Swingline Loans. Until each Revolving Lender funds its Base Rate Loan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Revolving Lender’s Applicable Revolving Percentage of any Swingline Loan, interest in respect of such Applicable Revolving Percentage shall be solely for the account of the Swingline Lender.</w:t>
      </w:r>
    </w:p>
    <w:p>
      <w:pPr>
        <w:spacing w:after="0" w:line="176" w:lineRule="exact"/>
        <w:rPr>
          <w:rFonts w:ascii="Arial" w:cs="Arial" w:eastAsia="Arial" w:hAnsi="Arial"/>
          <w:sz w:val="19"/>
          <w:szCs w:val="19"/>
          <w:color w:val="auto"/>
        </w:rPr>
      </w:pPr>
    </w:p>
    <w:p>
      <w:pPr>
        <w:ind w:firstLine="789"/>
        <w:spacing w:after="0" w:line="260" w:lineRule="auto"/>
        <w:tabs>
          <w:tab w:leader="none" w:pos="1643"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Swingline Lender</w:t>
      </w:r>
      <w:r>
        <w:rPr>
          <w:rFonts w:ascii="Arial" w:cs="Arial" w:eastAsia="Arial" w:hAnsi="Arial"/>
          <w:sz w:val="20"/>
          <w:szCs w:val="20"/>
          <w:color w:val="auto"/>
        </w:rPr>
        <w:t>. The Borrower shall make all payments of principal and interest in respect of the Swingline Loans directly to the Swingline Lender.</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2.05</w:t>
      </w:r>
      <w:r>
        <w:rPr>
          <w:sz w:val="20"/>
          <w:szCs w:val="20"/>
          <w:color w:val="auto"/>
        </w:rPr>
        <w:tab/>
      </w:r>
      <w:r>
        <w:rPr>
          <w:rFonts w:ascii="Arial" w:cs="Arial" w:eastAsia="Arial" w:hAnsi="Arial"/>
          <w:sz w:val="16"/>
          <w:szCs w:val="16"/>
          <w:b w:val="1"/>
          <w:bCs w:val="1"/>
          <w:u w:val="single" w:color="auto"/>
          <w:color w:val="auto"/>
        </w:rPr>
        <w:t>Prepayments</w:t>
      </w:r>
      <w:r>
        <w:rPr>
          <w:rFonts w:ascii="Arial" w:cs="Arial" w:eastAsia="Arial" w:hAnsi="Arial"/>
          <w:sz w:val="16"/>
          <w:szCs w:val="16"/>
          <w:color w:val="auto"/>
        </w:rPr>
        <w:t>.</w:t>
      </w:r>
    </w:p>
    <w:p>
      <w:pPr>
        <w:spacing w:after="0" w:line="222" w:lineRule="exact"/>
        <w:rPr>
          <w:sz w:val="20"/>
          <w:szCs w:val="20"/>
          <w:color w:val="auto"/>
        </w:rPr>
      </w:pPr>
    </w:p>
    <w:p>
      <w:pPr>
        <w:ind w:left="1660" w:hanging="871"/>
        <w:spacing w:after="0"/>
        <w:tabs>
          <w:tab w:leader="none" w:pos="166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60" w:firstLine="726"/>
        <w:spacing w:after="0" w:line="270" w:lineRule="auto"/>
        <w:tabs>
          <w:tab w:leader="none" w:pos="2426"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Administrative Agent pursuant to delivery to the Administrative Agent of a Notice of Loan Prepayment, at any time or from time to time voluntarily prepay Term Loans, Revolving Loans and/or any Incremental Term Loans in whole or in part without premium or penalty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otherwise agreed by the Administrative Agent, (A) such notice must be received by the Administrative Agent not later than 11:00 a.m. (1) three (3) Business Days prior to any date of prepayment of Eurodollar Rate Loans and (2) on the date of prepayment of Base Rate Loans; (B) any prepayment of Eurodollar Rate Loans shall be in a principal amount of $1,000,000 or a whole multiple of $500,000 in excess thereof, or, in each case, if less, the entire principal amount thereof then outstanding;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whether the Loans to be prepaid are the Term Loans, the Revolving Loans, and/or the Incremental Term Loans and, if</w:t>
      </w:r>
    </w:p>
    <w:p>
      <w:pPr>
        <w:spacing w:after="0" w:line="17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45" w:name="page146"/>
    <w:bookmarkEnd w:id="145"/>
    <w:p>
      <w:pPr>
        <w:jc w:val="both"/>
        <w:ind w:left="620"/>
        <w:spacing w:after="0" w:line="271" w:lineRule="auto"/>
        <w:rPr>
          <w:sz w:val="20"/>
          <w:szCs w:val="20"/>
          <w:color w:val="auto"/>
        </w:rPr>
      </w:pPr>
      <w:r>
        <w:rPr>
          <w:rFonts w:ascii="Arial" w:cs="Arial" w:eastAsia="Arial" w:hAnsi="Arial"/>
          <w:sz w:val="18"/>
          <w:szCs w:val="18"/>
          <w:color w:val="auto"/>
        </w:rPr>
        <w:t xml:space="preserve">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prepayment of Term Loans and Incremental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Term Loans and any Incremental Term Loans as directed by the Borrower (and in the absence of such direction, to remaining unpaid installments in direct order of maturity).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such prepayments shall be paid to the Lenders in accordance with their respective Applicable Percentages in respect of each of the relevant Facilities.</w:t>
      </w:r>
    </w:p>
    <w:p>
      <w:pPr>
        <w:spacing w:after="0" w:line="174" w:lineRule="exact"/>
        <w:rPr>
          <w:sz w:val="20"/>
          <w:szCs w:val="20"/>
          <w:color w:val="auto"/>
        </w:rPr>
      </w:pPr>
    </w:p>
    <w:p>
      <w:pPr>
        <w:jc w:val="both"/>
        <w:ind w:left="620" w:firstLine="726"/>
        <w:spacing w:after="0" w:line="256" w:lineRule="auto"/>
        <w:tabs>
          <w:tab w:leader="none" w:pos="2240"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4" w:lineRule="exact"/>
        <w:rPr>
          <w:rFonts w:ascii="Arial" w:cs="Arial" w:eastAsia="Arial" w:hAnsi="Arial"/>
          <w:sz w:val="19"/>
          <w:szCs w:val="19"/>
          <w:color w:val="auto"/>
        </w:rPr>
      </w:pPr>
    </w:p>
    <w:p>
      <w:pPr>
        <w:ind w:left="1420" w:hanging="871"/>
        <w:spacing w:after="0"/>
        <w:tabs>
          <w:tab w:leader="none" w:pos="142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20" w:firstLine="726"/>
        <w:spacing w:after="0" w:line="269" w:lineRule="auto"/>
        <w:tabs>
          <w:tab w:leader="none" w:pos="2186"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Dispositions and Involuntary Dispositions</w:t>
      </w:r>
      <w:r>
        <w:rPr>
          <w:rFonts w:ascii="Arial" w:cs="Arial" w:eastAsia="Arial" w:hAnsi="Arial"/>
          <w:sz w:val="18"/>
          <w:szCs w:val="18"/>
          <w:color w:val="auto"/>
        </w:rPr>
        <w:t xml:space="preserve">. The Borrower shall prepay the Loans and/or Cash Collateralize the L/C Obligations as hereinafter provided in an aggregate amount equal to 100% of the Net Cash Proceeds received by any Loan Party or any Subsidiary from all Dispositions (other than Dispositions generating less than $200,000 of Net Cash Proceeds) and Involuntary Dispositions within five (5) Business Days of the date of such Disposition or Involuntary Disposition;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so long as no Event of Default shall have occurred and be continuing, such Net Cash Proceeds shall not be required to be so applied (A) until the aggregate amount of the Net Cash Proceeds derived from any such Disposition or Involuntary Disposition in any fiscal year of the Borrower is equal to or greater than $5,000,000 and (B) if, at the election of the Borrower (as notified by the Borrower to the Administrative Agent on or prior to the date of such Disposition or Involuntary Disposition), such Loan Party (directly or through one or more of its Subsidiaries) reinvests all or any portion of such Net Cash Proceeds in operating assets (other than current assets) within 365 days of the date of such Disposition or Involuntary Disposition (or to the extent it commits within such 365-day period to make such reinvestment, within one hundred eighty (180) days after such 365-day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purposes of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if such Net Cash Proceeds shall have not been so reinvested by the end of such period(s), such Net Cash Proceeds shall be applied within five (5) Business Days after the last day of such period to prepay the Loans and/or Cash Collateralize the L/C Obligations as provided in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Any prepayment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be applied as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46" w:name="page147"/>
    <w:bookmarkEnd w:id="146"/>
    <w:p>
      <w:pPr>
        <w:jc w:val="both"/>
        <w:ind w:left="1740" w:firstLine="726"/>
        <w:spacing w:after="0" w:line="244" w:lineRule="auto"/>
        <w:tabs>
          <w:tab w:leader="none" w:pos="336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Debt Issuance</w:t>
      </w:r>
      <w:r>
        <w:rPr>
          <w:rFonts w:ascii="Arial" w:cs="Arial" w:eastAsia="Arial" w:hAnsi="Arial"/>
          <w:sz w:val="20"/>
          <w:szCs w:val="20"/>
          <w:color w:val="auto"/>
        </w:rPr>
        <w:t>. No later than the fifth (5</w:t>
      </w:r>
      <w:r>
        <w:rPr>
          <w:rFonts w:ascii="Arial" w:cs="Arial" w:eastAsia="Arial" w:hAnsi="Arial"/>
          <w:sz w:val="16"/>
          <w:szCs w:val="16"/>
          <w:color w:val="auto"/>
        </w:rPr>
        <w:t>th</w:t>
      </w:r>
      <w:r>
        <w:rPr>
          <w:rFonts w:ascii="Arial" w:cs="Arial" w:eastAsia="Arial" w:hAnsi="Arial"/>
          <w:sz w:val="20"/>
          <w:szCs w:val="20"/>
          <w:color w:val="auto"/>
        </w:rPr>
        <w:t xml:space="preserve">) Business Day following the receipt by any Loan Party or any Subsidiary of the Net Cash Proceeds of any Debt Issuance, the Borrower shall prepay the Loans and/or Cash Collateralize the L/C Obligations as hereinafter provided in an aggregate amount equal to one hundred percent (100%) of such Net Cash Proceeds. Any prepayment pursuant to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be applied as set forth in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below.</w:t>
      </w:r>
    </w:p>
    <w:p>
      <w:pPr>
        <w:spacing w:after="0" w:line="194" w:lineRule="exact"/>
        <w:rPr>
          <w:rFonts w:ascii="Arial" w:cs="Arial" w:eastAsia="Arial" w:hAnsi="Arial"/>
          <w:sz w:val="20"/>
          <w:szCs w:val="20"/>
          <w:color w:val="auto"/>
        </w:rPr>
      </w:pPr>
    </w:p>
    <w:p>
      <w:pPr>
        <w:jc w:val="both"/>
        <w:ind w:left="1740" w:firstLine="726"/>
        <w:spacing w:after="0" w:line="255" w:lineRule="auto"/>
        <w:tabs>
          <w:tab w:leader="none" w:pos="341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Application of Payments</w:t>
      </w:r>
      <w:r>
        <w:rPr>
          <w:rFonts w:ascii="Arial" w:cs="Arial" w:eastAsia="Arial" w:hAnsi="Arial"/>
          <w:sz w:val="19"/>
          <w:szCs w:val="19"/>
          <w:color w:val="auto"/>
        </w:rPr>
        <w:t xml:space="preserve">. Each prepayment of Loans pursuant to the foregoing provisions of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applied, </w:t>
      </w:r>
      <w:r>
        <w:rPr>
          <w:rFonts w:ascii="Arial" w:cs="Arial" w:eastAsia="Arial" w:hAnsi="Arial"/>
          <w:sz w:val="19"/>
          <w:szCs w:val="19"/>
          <w:i w:val="1"/>
          <w:iCs w:val="1"/>
          <w:u w:val="single" w:color="auto"/>
          <w:color w:val="auto"/>
        </w:rPr>
        <w:t>first</w:t>
      </w:r>
      <w:r>
        <w:rPr>
          <w:rFonts w:ascii="Arial" w:cs="Arial" w:eastAsia="Arial" w:hAnsi="Arial"/>
          <w:sz w:val="19"/>
          <w:szCs w:val="19"/>
          <w:color w:val="auto"/>
        </w:rPr>
        <w:t xml:space="preserve">, ratably to the Term Loans and any Incremental Term Loans and in the direct order of maturity to the next eight scheduled installments of principal of the Term Loans and the Incremental Term Loans, and thereafter,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to the remaining installments of principal of the Term Loans and the Incremental Term Loans, respectively, </w:t>
      </w:r>
      <w:r>
        <w:rPr>
          <w:rFonts w:ascii="Arial" w:cs="Arial" w:eastAsia="Arial" w:hAnsi="Arial"/>
          <w:sz w:val="19"/>
          <w:szCs w:val="19"/>
          <w:i w:val="1"/>
          <w:iCs w:val="1"/>
          <w:u w:val="single" w:color="auto"/>
          <w:color w:val="auto"/>
        </w:rPr>
        <w:t>second</w:t>
      </w:r>
      <w:r>
        <w:rPr>
          <w:rFonts w:ascii="Arial" w:cs="Arial" w:eastAsia="Arial" w:hAnsi="Arial"/>
          <w:sz w:val="19"/>
          <w:szCs w:val="19"/>
          <w:color w:val="auto"/>
        </w:rPr>
        <w:t xml:space="preserve">, to the outstanding Revolving Loans (without a corresponding permanent reduction of the Revolving Facility), and </w:t>
      </w:r>
      <w:r>
        <w:rPr>
          <w:rFonts w:ascii="Arial" w:cs="Arial" w:eastAsia="Arial" w:hAnsi="Arial"/>
          <w:sz w:val="19"/>
          <w:szCs w:val="19"/>
          <w:i w:val="1"/>
          <w:iCs w:val="1"/>
          <w:u w:val="single" w:color="auto"/>
          <w:color w:val="auto"/>
        </w:rPr>
        <w:t>third</w:t>
      </w:r>
      <w:r>
        <w:rPr>
          <w:rFonts w:ascii="Arial" w:cs="Arial" w:eastAsia="Arial" w:hAnsi="Arial"/>
          <w:sz w:val="19"/>
          <w:szCs w:val="19"/>
          <w:color w:val="auto"/>
        </w:rPr>
        <w:t xml:space="preserve">, after the outstanding Revolving Loans have been paid in full, to Cash Collateralize the remaining L/C Obligations. Subject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such prepayments shall be paid to the Lenders in accordance with their respective Applicable Percentages in respect of each of the relevant Facilities.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such prepayments shall be paid to the Lenders in accordance with their respective Applicable Percentages in respect of the relevant Facilities.</w:t>
      </w:r>
    </w:p>
    <w:p>
      <w:pPr>
        <w:spacing w:after="0" w:line="189" w:lineRule="exact"/>
        <w:rPr>
          <w:rFonts w:ascii="Arial" w:cs="Arial" w:eastAsia="Arial" w:hAnsi="Arial"/>
          <w:sz w:val="19"/>
          <w:szCs w:val="19"/>
          <w:color w:val="auto"/>
        </w:rPr>
      </w:pPr>
    </w:p>
    <w:p>
      <w:pPr>
        <w:jc w:val="both"/>
        <w:ind w:left="1740" w:firstLine="726"/>
        <w:spacing w:after="0" w:line="243" w:lineRule="auto"/>
        <w:tabs>
          <w:tab w:leader="none" w:pos="340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Revolving Outstandings</w:t>
      </w:r>
      <w:r>
        <w:rPr>
          <w:rFonts w:ascii="Arial" w:cs="Arial" w:eastAsia="Arial" w:hAnsi="Arial"/>
          <w:sz w:val="20"/>
          <w:szCs w:val="20"/>
          <w:color w:val="auto"/>
        </w:rPr>
        <w:t xml:space="preserve">. If for any reason the Total Revolving Outstandings at any time exceed the Revolving Facility at such time, the Borrower shall immediately prepay Revolving Loans, Swingline Loans and L/C Borrowings and/or Cash Collateralize the L/C Obligations in an aggregate amount equal to such excess;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Borrower shall not be required to Cash Collateralize the L/C Obligations pursuant to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2.05(b</w:t>
      </w:r>
      <w:r>
        <w:rPr>
          <w:rFonts w:ascii="Arial" w:cs="Arial" w:eastAsia="Arial" w:hAnsi="Arial"/>
          <w:sz w:val="20"/>
          <w:szCs w:val="20"/>
          <w:color w:val="auto"/>
        </w:rPr>
        <w:t>) unless, after the prepayment of the Revolving Loans and Swingline Loans, the Total Revolving Outstandings exceed the Revolving Facility at such time.</w:t>
      </w:r>
    </w:p>
    <w:p>
      <w:pPr>
        <w:spacing w:after="0" w:line="195" w:lineRule="exact"/>
        <w:rPr>
          <w:rFonts w:ascii="Arial" w:cs="Arial" w:eastAsia="Arial" w:hAnsi="Arial"/>
          <w:sz w:val="20"/>
          <w:szCs w:val="20"/>
          <w:color w:val="auto"/>
        </w:rPr>
      </w:pPr>
    </w:p>
    <w:p>
      <w:pPr>
        <w:jc w:val="both"/>
        <w:ind w:left="1740" w:firstLine="726"/>
        <w:spacing w:after="0" w:line="257" w:lineRule="auto"/>
        <w:tabs>
          <w:tab w:leader="none" w:pos="3349"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Application of Other Payments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prepayments of the Revolving Facility made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first</w:t>
      </w:r>
      <w:r>
        <w:rPr>
          <w:rFonts w:ascii="Arial" w:cs="Arial" w:eastAsia="Arial" w:hAnsi="Arial"/>
          <w:sz w:val="19"/>
          <w:szCs w:val="19"/>
          <w:color w:val="auto"/>
        </w:rPr>
        <w:t xml:space="preserve">, shall be applied ratably to the L/C Borrowings and the Swingline Loans, </w:t>
      </w:r>
      <w:r>
        <w:rPr>
          <w:rFonts w:ascii="Arial" w:cs="Arial" w:eastAsia="Arial" w:hAnsi="Arial"/>
          <w:sz w:val="19"/>
          <w:szCs w:val="19"/>
          <w:i w:val="1"/>
          <w:iCs w:val="1"/>
          <w:u w:val="single" w:color="auto"/>
          <w:color w:val="auto"/>
        </w:rPr>
        <w:t>second</w:t>
      </w:r>
      <w:r>
        <w:rPr>
          <w:rFonts w:ascii="Arial" w:cs="Arial" w:eastAsia="Arial" w:hAnsi="Arial"/>
          <w:sz w:val="19"/>
          <w:szCs w:val="19"/>
          <w:color w:val="auto"/>
        </w:rPr>
        <w:t xml:space="preserve">, shall be applied to the outstanding Revolving Loans, and, </w:t>
      </w:r>
      <w:r>
        <w:rPr>
          <w:rFonts w:ascii="Arial" w:cs="Arial" w:eastAsia="Arial" w:hAnsi="Arial"/>
          <w:sz w:val="19"/>
          <w:szCs w:val="19"/>
          <w:i w:val="1"/>
          <w:iCs w:val="1"/>
          <w:u w:val="single" w:color="auto"/>
          <w:color w:val="auto"/>
        </w:rPr>
        <w:t>third</w:t>
      </w:r>
      <w:r>
        <w:rPr>
          <w:rFonts w:ascii="Arial" w:cs="Arial" w:eastAsia="Arial" w:hAnsi="Arial"/>
          <w:sz w:val="19"/>
          <w:szCs w:val="19"/>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L/C Issuer or the Revolving Lenders, as applicable.</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Within the parameters of the applications set forth above, prepayments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applied first to Base Rate Loans and then to Eurodollar Rate Loans in direct order of Interest Period maturities. All prepayments under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but otherwise without premium or penalty, and shall be accompanied by interest on the principal amount prepaid through the date of prepayment.</w:t>
      </w:r>
    </w:p>
    <w:p>
      <w:pPr>
        <w:spacing w:after="0" w:line="191" w:lineRule="exact"/>
        <w:rPr>
          <w:sz w:val="20"/>
          <w:szCs w:val="20"/>
          <w:color w:val="auto"/>
        </w:rPr>
      </w:pPr>
    </w:p>
    <w:p>
      <w:pPr>
        <w:jc w:val="both"/>
        <w:ind w:left="880" w:firstLine="789"/>
        <w:spacing w:after="0" w:line="263" w:lineRule="auto"/>
        <w:tabs>
          <w:tab w:leader="none" w:pos="2545"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xml:space="preserve">. Notwithstanding any other provisions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the extent that any or all of the Net Cash Proceeds of any Disposition by a Foreign Subsidiary (other than a Loan Party) or of any Involuntary Disposition with respect to assets of a Foreign Subsidiary (other than a Loan Party) would, in any such case, give rise to a prepayment event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 to the extent that the Borrower has determined in good faith after consultation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7" w:name="page148"/>
    <w:bookmarkEnd w:id="147"/>
    <w:p>
      <w:pPr>
        <w:jc w:val="both"/>
        <w:ind w:left="8"/>
        <w:spacing w:after="0" w:line="243" w:lineRule="auto"/>
        <w:rPr>
          <w:sz w:val="20"/>
          <w:szCs w:val="20"/>
          <w:color w:val="auto"/>
        </w:rPr>
      </w:pPr>
      <w:r>
        <w:rPr>
          <w:rFonts w:ascii="Arial" w:cs="Arial" w:eastAsia="Arial" w:hAnsi="Arial"/>
          <w:sz w:val="20"/>
          <w:szCs w:val="20"/>
          <w:color w:val="auto"/>
        </w:rPr>
        <w:t xml:space="preserve">with the Administrative Agent that the inclusion of such Net Cash Proceeds in the calculation of any prepayments required under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or repatriation or upstreaming thereof would or could reasonably be expected to result in adverse tax consequences to the Borrower or any Subsidiary or would violate any local Laws relating to the repatriation or upstreaming of such Net Cash Proceeds (including such Laws related to financial assistance and corporate benefit restrictions and fiduciary and statutory duties of the relevant directors), such Net Cash Proceeds will be excluded from any such calculation of required prepayments for so long, but only for so long, as the applicable adverse tax consequences remain or such inclusion would violate local laws, as applicable.</w:t>
      </w:r>
    </w:p>
    <w:p>
      <w:pPr>
        <w:spacing w:after="0" w:line="187"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20"/>
          <w:szCs w:val="20"/>
          <w:b w:val="1"/>
          <w:bCs w:val="1"/>
          <w:color w:val="auto"/>
        </w:rPr>
        <w:t>2.06</w:t>
      </w:r>
      <w:r>
        <w:rPr>
          <w:sz w:val="20"/>
          <w:szCs w:val="20"/>
          <w:color w:val="auto"/>
        </w:rPr>
        <w:tab/>
      </w:r>
      <w:r>
        <w:rPr>
          <w:rFonts w:ascii="Arial" w:cs="Arial" w:eastAsia="Arial" w:hAnsi="Arial"/>
          <w:sz w:val="18"/>
          <w:szCs w:val="18"/>
          <w:b w:val="1"/>
          <w:bCs w:val="1"/>
          <w:u w:val="single" w:color="auto"/>
          <w:color w:val="auto"/>
        </w:rPr>
        <w:t>Termination or Reduction of Commitments.</w:t>
      </w:r>
    </w:p>
    <w:p>
      <w:pPr>
        <w:spacing w:after="0" w:line="222" w:lineRule="exact"/>
        <w:rPr>
          <w:sz w:val="20"/>
          <w:szCs w:val="20"/>
          <w:color w:val="auto"/>
        </w:rPr>
      </w:pPr>
    </w:p>
    <w:p>
      <w:pPr>
        <w:jc w:val="both"/>
        <w:ind w:left="8" w:firstLine="789"/>
        <w:spacing w:after="0" w:line="268" w:lineRule="auto"/>
        <w:tabs>
          <w:tab w:leader="none" w:pos="1673"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w:t>
      </w:r>
    </w:p>
    <w:p>
      <w:pPr>
        <w:spacing w:after="0" w:line="2" w:lineRule="exact"/>
        <w:rPr>
          <w:rFonts w:ascii="Arial" w:cs="Arial" w:eastAsia="Arial" w:hAnsi="Arial"/>
          <w:sz w:val="18"/>
          <w:szCs w:val="18"/>
          <w:color w:val="auto"/>
        </w:rPr>
      </w:pPr>
    </w:p>
    <w:p>
      <w:pPr>
        <w:jc w:val="both"/>
        <w:ind w:left="8" w:hanging="8"/>
        <w:spacing w:after="0"/>
        <w:tabs>
          <w:tab w:leader="none" w:pos="32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the Swingline Sublimit if, after giving effect thereto and to any concurrent prepayments hereunder, the Outstanding Amount of Swingline Loans would exceed the Letter of Credit Sublimit. Any such notice of termination or reduction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2.06(a)</w:t>
      </w:r>
      <w:r>
        <w:rPr>
          <w:rFonts w:ascii="Arial" w:cs="Arial" w:eastAsia="Arial" w:hAnsi="Arial"/>
          <w:sz w:val="20"/>
          <w:szCs w:val="20"/>
          <w:color w:val="auto"/>
        </w:rPr>
        <w:t xml:space="preserve"> may state that it is conditioned upon the effectiveness of other credit facilities or capital raising, the consummation of a particular Disposition or the occurrence of a change of control, as specified in such notice, in which case such notice may be revoked by the Borrower (by notice to the Administrative Agent on or prior to the specified effective date) if such condition is not satisfied.</w:t>
      </w:r>
    </w:p>
    <w:p>
      <w:pPr>
        <w:spacing w:after="0" w:line="197" w:lineRule="exact"/>
        <w:rPr>
          <w:rFonts w:ascii="Arial" w:cs="Arial" w:eastAsia="Arial" w:hAnsi="Arial"/>
          <w:sz w:val="20"/>
          <w:szCs w:val="20"/>
          <w:color w:val="auto"/>
        </w:rPr>
      </w:pPr>
    </w:p>
    <w:p>
      <w:pPr>
        <w:ind w:left="1668" w:hanging="871"/>
        <w:spacing w:after="0"/>
        <w:tabs>
          <w:tab w:leader="none" w:pos="1668"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68" w:firstLine="726"/>
        <w:spacing w:after="0" w:line="260" w:lineRule="auto"/>
        <w:tabs>
          <w:tab w:leader="none" w:pos="2434" w:val="left"/>
        </w:tabs>
        <w:numPr>
          <w:ilvl w:val="2"/>
          <w:numId w:val="103"/>
        </w:numPr>
        <w:rPr>
          <w:rFonts w:ascii="Arial" w:cs="Arial" w:eastAsia="Arial" w:hAnsi="Arial"/>
          <w:sz w:val="20"/>
          <w:szCs w:val="20"/>
          <w:color w:val="auto"/>
        </w:rPr>
      </w:pPr>
      <w:r>
        <w:rPr>
          <w:rFonts w:ascii="Arial" w:cs="Arial" w:eastAsia="Arial" w:hAnsi="Arial"/>
          <w:sz w:val="20"/>
          <w:szCs w:val="20"/>
          <w:color w:val="auto"/>
        </w:rPr>
        <w:t>The aggregate Term Commitments shall be automatically and permanently reduced to zero on the date of the Term Borrowing.</w:t>
      </w:r>
    </w:p>
    <w:p>
      <w:pPr>
        <w:spacing w:after="0" w:line="176" w:lineRule="exact"/>
        <w:rPr>
          <w:rFonts w:ascii="Arial" w:cs="Arial" w:eastAsia="Arial" w:hAnsi="Arial"/>
          <w:sz w:val="20"/>
          <w:szCs w:val="20"/>
          <w:color w:val="auto"/>
        </w:rPr>
      </w:pPr>
    </w:p>
    <w:p>
      <w:pPr>
        <w:jc w:val="both"/>
        <w:ind w:left="868" w:firstLine="726"/>
        <w:spacing w:after="0" w:line="246" w:lineRule="auto"/>
        <w:tabs>
          <w:tab w:leader="none" w:pos="2489" w:val="left"/>
        </w:tabs>
        <w:numPr>
          <w:ilvl w:val="2"/>
          <w:numId w:val="103"/>
        </w:numPr>
        <w:rPr>
          <w:rFonts w:ascii="Arial" w:cs="Arial" w:eastAsia="Arial" w:hAnsi="Arial"/>
          <w:sz w:val="20"/>
          <w:szCs w:val="20"/>
          <w:color w:val="auto"/>
        </w:rPr>
      </w:pPr>
      <w:r>
        <w:rPr>
          <w:rFonts w:ascii="Arial" w:cs="Arial" w:eastAsia="Arial" w:hAnsi="Arial"/>
          <w:sz w:val="20"/>
          <w:szCs w:val="20"/>
          <w:color w:val="auto"/>
        </w:rPr>
        <w:t xml:space="preserve">If after giving effect to any reduction or termination of Revolving Commitments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2.06</w:t>
      </w:r>
      <w:r>
        <w:rPr>
          <w:rFonts w:ascii="Arial" w:cs="Arial" w:eastAsia="Arial" w:hAnsi="Arial"/>
          <w:sz w:val="20"/>
          <w:szCs w:val="20"/>
          <w:color w:val="auto"/>
        </w:rPr>
        <w:t>, the Letter of Credit Sublimit or the Swingline Sublimit exceeds the Revolving Facility at such time, the Letter of Credit Sublimit or the Swingline Sublimit, as the case may be, shall be automatically reduced by the amount of such excess.</w:t>
      </w:r>
    </w:p>
    <w:p>
      <w:pPr>
        <w:spacing w:after="0" w:line="191" w:lineRule="exact"/>
        <w:rPr>
          <w:rFonts w:ascii="Arial" w:cs="Arial" w:eastAsia="Arial" w:hAnsi="Arial"/>
          <w:sz w:val="20"/>
          <w:szCs w:val="20"/>
          <w:color w:val="auto"/>
        </w:rPr>
      </w:pPr>
    </w:p>
    <w:p>
      <w:pPr>
        <w:jc w:val="both"/>
        <w:ind w:left="8" w:firstLine="789"/>
        <w:spacing w:after="0" w:line="243" w:lineRule="auto"/>
        <w:tabs>
          <w:tab w:leader="none" w:pos="1673"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Application of Commitment Reductions; Payment of Fees</w:t>
      </w:r>
      <w:r>
        <w:rPr>
          <w:rFonts w:ascii="Arial" w:cs="Arial" w:eastAsia="Arial" w:hAnsi="Arial"/>
          <w:sz w:val="20"/>
          <w:szCs w:val="20"/>
          <w:color w:val="auto"/>
        </w:rPr>
        <w:t xml:space="preserve">. The Administrative Agent will promptly notify the Lenders of any termination or reduction of the Letter of Credit Sublimit, Swingline Sublimit or the Revolving Commitments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Upon any reduction of the Revolving Commitments,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spacing w:after="0" w:line="198"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148" w:name="page149"/>
    <w:bookmarkEnd w:id="148"/>
    <w:p>
      <w:pPr>
        <w:spacing w:after="0"/>
        <w:tabs>
          <w:tab w:leader="none" w:pos="96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6"/>
          <w:szCs w:val="16"/>
          <w:b w:val="1"/>
          <w:bCs w:val="1"/>
          <w:u w:val="single" w:color="auto"/>
          <w:color w:val="auto"/>
        </w:rPr>
        <w:t>Repayment of Loans</w:t>
      </w:r>
    </w:p>
    <w:p>
      <w:pPr>
        <w:spacing w:after="0" w:line="222" w:lineRule="exact"/>
        <w:rPr>
          <w:sz w:val="20"/>
          <w:szCs w:val="20"/>
          <w:color w:val="auto"/>
        </w:rPr>
      </w:pPr>
    </w:p>
    <w:p>
      <w:pPr>
        <w:jc w:val="both"/>
        <w:ind w:firstLine="789"/>
        <w:spacing w:after="0" w:line="246" w:lineRule="auto"/>
        <w:tabs>
          <w:tab w:leader="none" w:pos="1665"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 xml:space="preserve">. The Borrower shall repay to the Term Lenders the aggregate principal amount of all Term Loans outstanding on the following dates in the respective amounts set forth opposite such dates (which amounts shall be reduced as a result of the application of prepayments in accordance with the orders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unless accelerated sooner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88" w:lineRule="exact"/>
        <w:rPr>
          <w:sz w:val="20"/>
          <w:szCs w:val="20"/>
          <w:color w:val="auto"/>
        </w:rPr>
      </w:pPr>
    </w:p>
    <w:tbl>
      <w:tblPr>
        <w:tblLayout w:type="fixed"/>
        <w:tblInd w:w="1590" w:type="dxa"/>
        <w:tblCellMar>
          <w:top w:w="0" w:type="dxa"/>
          <w:left w:w="0" w:type="dxa"/>
          <w:bottom w:w="0" w:type="dxa"/>
          <w:right w:w="0" w:type="dxa"/>
        </w:tblCellMar>
      </w:tblPr>
      <w:tr>
        <w:trPr>
          <w:trHeight w:val="243"/>
        </w:trPr>
        <w:tc>
          <w:tcPr>
            <w:tcW w:w="342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87"/>
              </w:rPr>
              <w:t>Payment Dates</w:t>
            </w:r>
          </w:p>
        </w:tc>
        <w:tc>
          <w:tcPr>
            <w:tcW w:w="364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90"/>
              </w:rPr>
              <w:t>Principal Repayment Installments</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December 31, 2021</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31, 2022</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30, 2022</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September 30, 2022</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December 31, 2022</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31, 2023</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30, 2023</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September 30, 2023</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$1,250,000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December 31, 2023</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31, 2024</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30, 2024</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September 30, 2024</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December 31, 2024</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31, 2025</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30, 2025</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September 30, 2025</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December 31, 2025</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31, 2026</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23"/>
        </w:trPr>
        <w:tc>
          <w:tcPr>
            <w:tcW w:w="34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30, 2026</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$3,125,000</w:t>
            </w:r>
          </w:p>
        </w:tc>
      </w:tr>
      <w:tr>
        <w:trPr>
          <w:trHeight w:val="206"/>
        </w:trPr>
        <w:tc>
          <w:tcPr>
            <w:tcW w:w="342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Maturity Date of Term Loan</w:t>
            </w:r>
          </w:p>
        </w:tc>
        <w:tc>
          <w:tcPr>
            <w:tcW w:w="3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Remaining outstanding principal balance of</w:t>
            </w:r>
          </w:p>
        </w:tc>
      </w:tr>
      <w:tr>
        <w:trPr>
          <w:trHeight w:val="246"/>
        </w:trPr>
        <w:tc>
          <w:tcPr>
            <w:tcW w:w="3420" w:type="dxa"/>
            <w:vAlign w:val="bottom"/>
            <w:tcBorders>
              <w:left w:val="single" w:sz="8" w:color="auto"/>
              <w:bottom w:val="single" w:sz="8" w:color="auto"/>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Term Loans</w:t>
            </w:r>
          </w:p>
        </w:tc>
      </w:tr>
    </w:tbl>
    <w:p>
      <w:pPr>
        <w:spacing w:after="0" w:line="200" w:lineRule="exact"/>
        <w:rPr>
          <w:sz w:val="20"/>
          <w:szCs w:val="20"/>
          <w:color w:val="auto"/>
        </w:rPr>
      </w:pP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 the final principal repayment installment of the Term Loans shall be repaid on the Maturity Date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Facility and in any event shall be in an amount equal to the aggregate principal amount of all Term Loans outstanding on such date, (ii) if any principal repayment installment to be made by the Borrower (other than principal repayment installments on Eurodollar Rate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Eurodollar Rate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170" w:lineRule="exact"/>
        <w:rPr>
          <w:sz w:val="20"/>
          <w:szCs w:val="20"/>
          <w:color w:val="auto"/>
        </w:rPr>
      </w:pPr>
    </w:p>
    <w:p>
      <w:pPr>
        <w:ind w:firstLine="789"/>
        <w:spacing w:after="0" w:line="260" w:lineRule="auto"/>
        <w:tabs>
          <w:tab w:leader="none" w:pos="1676"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 shall repay to the Revolving Lenders on the Maturity Date for the Revolving Facility the aggregate principal amount of all Revolving Loans outstanding on such date.</w:t>
      </w:r>
    </w:p>
    <w:p>
      <w:pPr>
        <w:spacing w:after="0" w:line="17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0" w:right="339" w:bottom="1440" w:gutter="0" w:footer="0" w:header="0"/>
        </w:sectPr>
      </w:pPr>
    </w:p>
    <w:bookmarkStart w:id="149" w:name="page150"/>
    <w:bookmarkEnd w:id="149"/>
    <w:p>
      <w:pPr>
        <w:ind w:left="1668" w:hanging="871"/>
        <w:spacing w:after="0"/>
        <w:tabs>
          <w:tab w:leader="none" w:pos="1668"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The Borrower shall repay each Swingline Loan on the earlier to occur of (i) the date ten</w:t>
      </w:r>
    </w:p>
    <w:p>
      <w:pPr>
        <w:spacing w:after="0" w:line="38" w:lineRule="exact"/>
        <w:rPr>
          <w:rFonts w:ascii="Arial" w:cs="Arial" w:eastAsia="Arial" w:hAnsi="Arial"/>
          <w:sz w:val="18"/>
          <w:szCs w:val="18"/>
          <w:color w:val="auto"/>
        </w:rPr>
      </w:pPr>
    </w:p>
    <w:p>
      <w:pPr>
        <w:ind w:left="388" w:hanging="388"/>
        <w:spacing w:after="0"/>
        <w:tabs>
          <w:tab w:leader="none" w:pos="38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Business Days after such Loan is made and (ii) the Maturity Date for the Revolving Facility.</w:t>
      </w:r>
    </w:p>
    <w:p>
      <w:pPr>
        <w:spacing w:after="0" w:line="199" w:lineRule="exact"/>
        <w:rPr>
          <w:rFonts w:ascii="Arial" w:cs="Arial" w:eastAsia="Arial" w:hAnsi="Arial"/>
          <w:sz w:val="20"/>
          <w:szCs w:val="20"/>
          <w:color w:val="auto"/>
        </w:rPr>
      </w:pPr>
    </w:p>
    <w:p>
      <w:pPr>
        <w:jc w:val="both"/>
        <w:ind w:left="8" w:firstLine="789"/>
        <w:spacing w:after="0" w:line="244" w:lineRule="auto"/>
        <w:tabs>
          <w:tab w:leader="none" w:pos="1684" w:val="left"/>
        </w:tabs>
        <w:numPr>
          <w:ilvl w:val="1"/>
          <w:numId w:val="107"/>
        </w:numPr>
        <w:rPr>
          <w:rFonts w:ascii="Arial" w:cs="Arial" w:eastAsia="Arial" w:hAnsi="Arial"/>
          <w:sz w:val="20"/>
          <w:szCs w:val="20"/>
          <w:color w:val="auto"/>
        </w:rPr>
      </w:pP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The Borrower shall repay the outstanding principal amount of all Incremental Term Loans under any Incremental Term Facility in the installments, on the dates and in the amounts set forth in the applicable Incremental Term Facility Agreement for such Incremental Term Facility (as such installments may hereafter be adjusted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unless accelerated sooner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88"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20"/>
          <w:szCs w:val="20"/>
          <w:b w:val="1"/>
          <w:bCs w:val="1"/>
          <w:color w:val="auto"/>
        </w:rPr>
        <w:t>2.08</w:t>
      </w:r>
      <w:r>
        <w:rPr>
          <w:sz w:val="20"/>
          <w:szCs w:val="20"/>
          <w:color w:val="auto"/>
        </w:rPr>
        <w:tab/>
      </w:r>
      <w:r>
        <w:rPr>
          <w:rFonts w:ascii="Arial" w:cs="Arial" w:eastAsia="Arial" w:hAnsi="Arial"/>
          <w:sz w:val="18"/>
          <w:szCs w:val="18"/>
          <w:b w:val="1"/>
          <w:bCs w:val="1"/>
          <w:u w:val="single" w:color="auto"/>
          <w:color w:val="auto"/>
        </w:rPr>
        <w:t>Interest and Default Rate.</w:t>
      </w:r>
    </w:p>
    <w:p>
      <w:pPr>
        <w:spacing w:after="0" w:line="222" w:lineRule="exact"/>
        <w:rPr>
          <w:sz w:val="20"/>
          <w:szCs w:val="20"/>
          <w:color w:val="auto"/>
        </w:rPr>
      </w:pPr>
    </w:p>
    <w:p>
      <w:pPr>
        <w:jc w:val="both"/>
        <w:ind w:left="8" w:firstLine="789"/>
        <w:spacing w:after="0" w:line="256" w:lineRule="auto"/>
        <w:tabs>
          <w:tab w:leader="none" w:pos="1673"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2.08(b</w:t>
      </w:r>
      <w:r>
        <w:rPr>
          <w:rFonts w:ascii="Arial" w:cs="Arial" w:eastAsia="Arial" w:hAnsi="Arial"/>
          <w:sz w:val="19"/>
          <w:szCs w:val="19"/>
          <w:color w:val="auto"/>
        </w:rPr>
        <w:t>), (i) each Eurodollar Rate Loan under a Facility shall bear interest on the outstanding principal amount thereof for each Interest Period from the applicable Borrowing date at a rate per annum equal to the Eurodollar Rate for such Interest Period plus the Applicable Rate for such Facility; (ii) each Base Rate Loan under a Facility shall bear interest on the outstanding principal amount thereof from the applicable Borrowing date at a rate per annum equal to the Base Rate plus the Applicable Rate for such Facility; and (iii) each Swingline Loan shall bear interest on the outstanding principal amount thereof from the applicable Borrowing date at a rate per annum equal to the Base Rate plus the Applicable Rate for the Revolving Facility. To the extent that any calculation of interest or any fee required to be paid under this Agreement shall be based on (or result in) a calculation that is less than zero, such calculation shall be deemed zero for purposes of this Agreement.</w:t>
      </w:r>
    </w:p>
    <w:p>
      <w:pPr>
        <w:spacing w:after="0" w:line="184" w:lineRule="exact"/>
        <w:rPr>
          <w:rFonts w:ascii="Arial" w:cs="Arial" w:eastAsia="Arial" w:hAnsi="Arial"/>
          <w:sz w:val="19"/>
          <w:szCs w:val="19"/>
          <w:color w:val="auto"/>
        </w:rPr>
      </w:pPr>
    </w:p>
    <w:p>
      <w:pPr>
        <w:jc w:val="both"/>
        <w:ind w:left="8" w:firstLine="789"/>
        <w:spacing w:after="0" w:line="243" w:lineRule="auto"/>
        <w:tabs>
          <w:tab w:leader="none" w:pos="1684"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 Immediately upon the occurrence and during the continuance of an Event of Default under Section 8.01(f) or (g), or at the election of the Required Lenders (or the Administrative Agent at the direction of the Required Lenders), upon the occurrence and during the continuance of any other Event of Default, all outstanding Obligations (including Letter of Credit Fees) may accrue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95" w:lineRule="exact"/>
        <w:rPr>
          <w:rFonts w:ascii="Arial" w:cs="Arial" w:eastAsia="Arial" w:hAnsi="Arial"/>
          <w:sz w:val="20"/>
          <w:szCs w:val="20"/>
          <w:color w:val="auto"/>
        </w:rPr>
      </w:pPr>
    </w:p>
    <w:p>
      <w:pPr>
        <w:jc w:val="both"/>
        <w:ind w:left="8" w:firstLine="789"/>
        <w:spacing w:after="0" w:line="246" w:lineRule="auto"/>
        <w:tabs>
          <w:tab w:leader="none" w:pos="1673"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Interest Payments</w:t>
      </w:r>
      <w:r>
        <w:rPr>
          <w:rFonts w:ascii="Arial" w:cs="Arial" w:eastAsia="Arial" w:hAnsi="Arial"/>
          <w:sz w:val="20"/>
          <w:szCs w:val="20"/>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5"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20"/>
          <w:szCs w:val="20"/>
          <w:b w:val="1"/>
          <w:bCs w:val="1"/>
          <w:color w:val="auto"/>
        </w:rPr>
        <w:t>2.09</w:t>
      </w:r>
      <w:r>
        <w:rPr>
          <w:sz w:val="20"/>
          <w:szCs w:val="20"/>
          <w:color w:val="auto"/>
        </w:rPr>
        <w:tab/>
      </w:r>
      <w:r>
        <w:rPr>
          <w:rFonts w:ascii="Arial" w:cs="Arial" w:eastAsia="Arial" w:hAnsi="Arial"/>
          <w:sz w:val="16"/>
          <w:szCs w:val="16"/>
          <w:b w:val="1"/>
          <w:bCs w:val="1"/>
          <w:u w:val="single" w:color="auto"/>
          <w:color w:val="auto"/>
        </w:rPr>
        <w:t>Fees.</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20"/>
          <w:szCs w:val="20"/>
          <w:color w:val="auto"/>
        </w:rPr>
        <w:t xml:space="preserve">In addition to certain fees described in </w:t>
      </w:r>
      <w:r>
        <w:rPr>
          <w:rFonts w:ascii="Arial" w:cs="Arial" w:eastAsia="Arial" w:hAnsi="Arial"/>
          <w:sz w:val="20"/>
          <w:szCs w:val="20"/>
          <w:u w:val="single" w:color="auto"/>
          <w:color w:val="auto"/>
        </w:rPr>
        <w:t>clauses (l)</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(m</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22" w:lineRule="exact"/>
        <w:rPr>
          <w:sz w:val="20"/>
          <w:szCs w:val="20"/>
          <w:color w:val="auto"/>
        </w:rPr>
      </w:pPr>
    </w:p>
    <w:p>
      <w:pPr>
        <w:jc w:val="both"/>
        <w:ind w:left="8" w:firstLine="789"/>
        <w:spacing w:after="0" w:line="274" w:lineRule="auto"/>
        <w:tabs>
          <w:tab w:leader="none" w:pos="167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The Borrower shall pay to the Administrative Agent for the account of each Revolving Lender in accordance with its Applicable Revolving Percentage, a commitment fee (the “</w:t>
      </w:r>
      <w:r>
        <w:rPr>
          <w:rFonts w:ascii="Arial" w:cs="Arial" w:eastAsia="Arial" w:hAnsi="Arial"/>
          <w:sz w:val="18"/>
          <w:szCs w:val="18"/>
          <w:i w:val="1"/>
          <w:iCs w:val="1"/>
          <w:u w:val="single" w:color="auto"/>
          <w:color w:val="auto"/>
        </w:rPr>
        <w:t>Commitment Fee</w:t>
      </w:r>
      <w:r>
        <w:rPr>
          <w:rFonts w:ascii="Arial" w:cs="Arial" w:eastAsia="Arial" w:hAnsi="Arial"/>
          <w:sz w:val="18"/>
          <w:szCs w:val="18"/>
          <w:color w:val="auto"/>
        </w:rPr>
        <w:t xml:space="preserve">”) equal to the Applicable Rate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actual daily amount by which the Revolving Facility exceeds the </w:t>
      </w:r>
      <w:r>
        <w:rPr>
          <w:rFonts w:ascii="Arial" w:cs="Arial" w:eastAsia="Arial" w:hAnsi="Arial"/>
          <w:sz w:val="18"/>
          <w:szCs w:val="18"/>
          <w:i w:val="1"/>
          <w:iCs w:val="1"/>
          <w:color w:val="auto"/>
        </w:rPr>
        <w:t>sum of</w:t>
      </w:r>
      <w:r>
        <w:rPr>
          <w:rFonts w:ascii="Arial" w:cs="Arial" w:eastAsia="Arial" w:hAnsi="Arial"/>
          <w:sz w:val="18"/>
          <w:szCs w:val="18"/>
          <w:color w:val="auto"/>
        </w:rPr>
        <w:t xml:space="preserve"> (i) the Outstanding Amount of Revolving Loans and (ii) the Outstanding Amount of L/C Obligations,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IV</w:t>
      </w:r>
    </w:p>
    <w:p>
      <w:pPr>
        <w:spacing w:after="0" w:line="171"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150" w:name="page151"/>
    <w:bookmarkEnd w:id="150"/>
    <w:p>
      <w:pPr>
        <w:jc w:val="both"/>
        <w:ind w:left="8"/>
        <w:spacing w:after="0" w:line="260" w:lineRule="auto"/>
        <w:rPr>
          <w:sz w:val="20"/>
          <w:szCs w:val="20"/>
          <w:color w:val="auto"/>
        </w:rPr>
      </w:pPr>
      <w:r>
        <w:rPr>
          <w:rFonts w:ascii="Arial" w:cs="Arial" w:eastAsia="Arial" w:hAnsi="Arial"/>
          <w:sz w:val="19"/>
          <w:szCs w:val="19"/>
          <w:color w:val="auto"/>
        </w:rPr>
        <w:t xml:space="preserve">is not met, and shall be due and payable quarterly in arrears on the last Business Day of each March, June, September and December, commencing with the first such date to occur after the Closing Date, and on the last day of the Availability Period for the Revolving Facility. The commitment fee shall be calculated quarterly in arrears, and if there is any change in the Applicable Rate during any quarter, the actual daily amount shall be computed and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Applicable Rate separately for each period during such quarter that such Applicable Rate was in effect.</w:t>
      </w:r>
    </w:p>
    <w:p>
      <w:pPr>
        <w:spacing w:after="0" w:line="180" w:lineRule="exact"/>
        <w:rPr>
          <w:sz w:val="20"/>
          <w:szCs w:val="20"/>
          <w:color w:val="auto"/>
        </w:rPr>
      </w:pPr>
    </w:p>
    <w:p>
      <w:pPr>
        <w:jc w:val="both"/>
        <w:ind w:left="8" w:firstLine="789"/>
        <w:spacing w:after="0" w:line="250" w:lineRule="auto"/>
        <w:tabs>
          <w:tab w:leader="none" w:pos="1684"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80"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u w:val="single" w:color="auto"/>
          <w:color w:val="auto"/>
        </w:rPr>
        <w:t>Computation of Interest and Fees; Retroactive Adjustments of Applicable Rate.</w:t>
      </w:r>
    </w:p>
    <w:p>
      <w:pPr>
        <w:spacing w:after="0" w:line="222" w:lineRule="exact"/>
        <w:rPr>
          <w:sz w:val="20"/>
          <w:szCs w:val="20"/>
          <w:color w:val="auto"/>
        </w:rPr>
      </w:pPr>
    </w:p>
    <w:p>
      <w:pPr>
        <w:jc w:val="both"/>
        <w:ind w:left="8" w:firstLine="789"/>
        <w:spacing w:after="0" w:line="273" w:lineRule="auto"/>
        <w:tabs>
          <w:tab w:leader="none" w:pos="1673"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(1) day. Each determination by the Administrative Agent of an interest rate or fee hereunder shall be conclusive and binding for all purposes, absent manifest error.</w:t>
      </w:r>
    </w:p>
    <w:p>
      <w:pPr>
        <w:spacing w:after="0" w:line="168" w:lineRule="exact"/>
        <w:rPr>
          <w:rFonts w:ascii="Arial" w:cs="Arial" w:eastAsia="Arial" w:hAnsi="Arial"/>
          <w:sz w:val="18"/>
          <w:szCs w:val="18"/>
          <w:color w:val="auto"/>
        </w:rPr>
      </w:pPr>
    </w:p>
    <w:p>
      <w:pPr>
        <w:jc w:val="both"/>
        <w:ind w:left="8" w:firstLine="789"/>
        <w:spacing w:after="0" w:line="275" w:lineRule="auto"/>
        <w:tabs>
          <w:tab w:leader="none" w:pos="1684"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Financial Statement Adjustments or Restatements</w:t>
      </w:r>
      <w:r>
        <w:rPr>
          <w:rFonts w:ascii="Arial" w:cs="Arial" w:eastAsia="Arial" w:hAnsi="Arial"/>
          <w:sz w:val="18"/>
          <w:szCs w:val="18"/>
          <w:color w:val="auto"/>
        </w:rPr>
        <w:t>. If, as a result of any restatement of or other adjustment to the financial statements of the Borrower and its Subsidiaries or for any other reason, the Borrower, or the Lenders determine that</w:t>
      </w:r>
    </w:p>
    <w:p>
      <w:pPr>
        <w:jc w:val="both"/>
        <w:ind w:left="8" w:hanging="8"/>
        <w:spacing w:after="0" w:line="253" w:lineRule="auto"/>
        <w:tabs>
          <w:tab w:leader="none" w:pos="26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the Consolidated Total Net Leverage Ratio as calculated by the Borrower as of any applicable date was inaccurate and (ii) a proper calculation of the Consolidated Total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limit the rights of the Administrative Agent, any Lender or the L/C Issuer, as the case may be, under any provision of this Agreement to payment of any Obligations hereunder at the Default Rate or under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The Borrower’s obligations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shall survive the termination of the Aggregate Commitments and the repayment of all other Obligations hereunder.</w:t>
      </w:r>
    </w:p>
    <w:p>
      <w:pPr>
        <w:spacing w:after="0" w:line="185"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u w:val="single" w:color="auto"/>
          <w:color w:val="auto"/>
        </w:rPr>
        <w:t>Evidence of Debt.</w:t>
      </w:r>
    </w:p>
    <w:p>
      <w:pPr>
        <w:spacing w:after="0" w:line="222" w:lineRule="exact"/>
        <w:rPr>
          <w:sz w:val="20"/>
          <w:szCs w:val="20"/>
          <w:color w:val="auto"/>
        </w:rPr>
      </w:pPr>
    </w:p>
    <w:p>
      <w:pPr>
        <w:jc w:val="both"/>
        <w:ind w:left="8" w:firstLine="789"/>
        <w:spacing w:after="0" w:line="260" w:lineRule="auto"/>
        <w:tabs>
          <w:tab w:leader="none" w:pos="1673"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Maintenance of Accounts</w:t>
      </w:r>
      <w:r>
        <w:rPr>
          <w:rFonts w:ascii="Arial" w:cs="Arial" w:eastAsia="Arial" w:hAnsi="Arial"/>
          <w:sz w:val="19"/>
          <w:szCs w:val="19"/>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Arial" w:cs="Arial" w:eastAsia="Arial" w:hAnsi="Arial"/>
          <w:sz w:val="19"/>
          <w:szCs w:val="19"/>
          <w:u w:val="single" w:color="auto"/>
          <w:color w:val="auto"/>
        </w:rPr>
        <w:t>Section 11.06(c</w:t>
      </w:r>
      <w:r>
        <w:rPr>
          <w:rFonts w:ascii="Arial" w:cs="Arial" w:eastAsia="Arial" w:hAnsi="Arial"/>
          <w:sz w:val="19"/>
          <w:szCs w:val="19"/>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w:t>
      </w:r>
    </w:p>
    <w:p>
      <w:pPr>
        <w:spacing w:after="0" w:line="18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151" w:name="page152"/>
    <w:bookmarkEnd w:id="151"/>
    <w:p>
      <w:pPr>
        <w:jc w:val="both"/>
        <w:spacing w:after="0" w:line="259" w:lineRule="auto"/>
        <w:rPr>
          <w:sz w:val="20"/>
          <w:szCs w:val="20"/>
          <w:color w:val="auto"/>
        </w:rPr>
      </w:pPr>
      <w:r>
        <w:rPr>
          <w:rFonts w:ascii="Arial" w:cs="Arial" w:eastAsia="Arial" w:hAnsi="Arial"/>
          <w:sz w:val="19"/>
          <w:szCs w:val="19"/>
          <w:color w:val="auto"/>
        </w:rPr>
        <w:t>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78" w:lineRule="exact"/>
        <w:rPr>
          <w:sz w:val="20"/>
          <w:szCs w:val="20"/>
          <w:color w:val="auto"/>
        </w:rPr>
      </w:pPr>
    </w:p>
    <w:p>
      <w:pPr>
        <w:jc w:val="both"/>
        <w:ind w:firstLine="789"/>
        <w:spacing w:after="0" w:line="278" w:lineRule="auto"/>
        <w:tabs>
          <w:tab w:leader="none" w:pos="167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Maintenance of Records</w:t>
      </w:r>
      <w:r>
        <w:rPr>
          <w:rFonts w:ascii="Arial" w:cs="Arial" w:eastAsia="Arial" w:hAnsi="Arial"/>
          <w:sz w:val="18"/>
          <w:szCs w:val="18"/>
          <w:color w:val="auto"/>
        </w:rPr>
        <w:t xml:space="preserve">. In addition to the accounts and records referred to in </w:t>
      </w:r>
      <w:r>
        <w:rPr>
          <w:rFonts w:ascii="Arial" w:cs="Arial" w:eastAsia="Arial" w:hAnsi="Arial"/>
          <w:sz w:val="18"/>
          <w:szCs w:val="18"/>
          <w:u w:val="single" w:color="auto"/>
          <w:color w:val="auto"/>
        </w:rPr>
        <w:t>Section 2.11(a</w:t>
      </w:r>
      <w:r>
        <w:rPr>
          <w:rFonts w:ascii="Arial" w:cs="Arial" w:eastAsia="Arial" w:hAnsi="Arial"/>
          <w:sz w:val="18"/>
          <w:szCs w:val="18"/>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5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8"/>
          <w:szCs w:val="18"/>
          <w:b w:val="1"/>
          <w:bCs w:val="1"/>
          <w:u w:val="single" w:color="auto"/>
          <w:color w:val="auto"/>
        </w:rPr>
        <w:t>Payments Generally; Administrative Agent’s Clawback</w:t>
      </w:r>
      <w:r>
        <w:rPr>
          <w:rFonts w:ascii="Arial" w:cs="Arial" w:eastAsia="Arial" w:hAnsi="Arial"/>
          <w:sz w:val="18"/>
          <w:szCs w:val="18"/>
          <w:color w:val="auto"/>
        </w:rPr>
        <w:t>.</w:t>
      </w:r>
    </w:p>
    <w:p>
      <w:pPr>
        <w:spacing w:after="0" w:line="222" w:lineRule="exact"/>
        <w:rPr>
          <w:sz w:val="20"/>
          <w:szCs w:val="20"/>
          <w:color w:val="auto"/>
        </w:rPr>
      </w:pPr>
    </w:p>
    <w:p>
      <w:pPr>
        <w:jc w:val="both"/>
        <w:ind w:firstLine="789"/>
        <w:spacing w:after="0" w:line="255" w:lineRule="auto"/>
        <w:tabs>
          <w:tab w:leader="none" w:pos="1665"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Arial" w:cs="Arial" w:eastAsia="Arial" w:hAnsi="Arial"/>
          <w:sz w:val="19"/>
          <w:szCs w:val="19"/>
          <w:u w:val="single" w:color="auto"/>
          <w:color w:val="auto"/>
        </w:rPr>
        <w:t>Section 2.07(a</w:t>
      </w:r>
      <w:r>
        <w:rPr>
          <w:rFonts w:ascii="Arial" w:cs="Arial" w:eastAsia="Arial" w:hAnsi="Arial"/>
          <w:sz w:val="19"/>
          <w:szCs w:val="19"/>
          <w:color w:val="auto"/>
        </w:rPr>
        <w:t>)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7" w:lineRule="exact"/>
        <w:rPr>
          <w:sz w:val="20"/>
          <w:szCs w:val="20"/>
          <w:color w:val="auto"/>
        </w:rPr>
      </w:pPr>
    </w:p>
    <w:p>
      <w:pPr>
        <w:ind w:left="780"/>
        <w:spacing w:after="0"/>
        <w:tabs>
          <w:tab w:leader="none" w:pos="1640" w:val="left"/>
          <w:tab w:leader="none" w:pos="24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(i)</w:t>
      </w:r>
      <w:r>
        <w:rPr>
          <w:sz w:val="20"/>
          <w:szCs w:val="20"/>
          <w:color w:val="auto"/>
        </w:rPr>
        <w:tab/>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Unless the Administrative Agent shall</w:t>
      </w:r>
    </w:p>
    <w:p>
      <w:pPr>
        <w:spacing w:after="0" w:line="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8"/>
          <w:szCs w:val="18"/>
          <w:i w:val="1"/>
          <w:iCs w:val="1"/>
          <w:color w:val="auto"/>
        </w:rPr>
        <w:t xml:space="preserve">plus </w:t>
      </w:r>
      <w:r>
        <w:rPr>
          <w:rFonts w:ascii="Arial" w:cs="Arial" w:eastAsia="Arial" w:hAnsi="Arial"/>
          <w:sz w:val="18"/>
          <w:szCs w:val="18"/>
          <w:color w:val="auto"/>
        </w:rPr>
        <w:t>any administrative, processing or similar fees customarily charged by the Administrative</w:t>
      </w:r>
    </w:p>
    <w:p>
      <w:pPr>
        <w:spacing w:after="0" w:line="18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52" w:name="page153"/>
    <w:bookmarkEnd w:id="152"/>
    <w:p>
      <w:pPr>
        <w:jc w:val="both"/>
        <w:spacing w:after="0" w:line="276" w:lineRule="auto"/>
        <w:rPr>
          <w:sz w:val="20"/>
          <w:szCs w:val="20"/>
          <w:color w:val="auto"/>
        </w:rPr>
      </w:pPr>
      <w:r>
        <w:rPr>
          <w:rFonts w:ascii="Arial" w:cs="Arial" w:eastAsia="Arial" w:hAnsi="Arial"/>
          <w:sz w:val="18"/>
          <w:szCs w:val="18"/>
          <w:color w:val="auto"/>
        </w:rPr>
        <w:t>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5" w:lineRule="exact"/>
        <w:rPr>
          <w:sz w:val="20"/>
          <w:szCs w:val="20"/>
          <w:color w:val="auto"/>
        </w:rPr>
      </w:pPr>
    </w:p>
    <w:p>
      <w:pPr>
        <w:jc w:val="both"/>
        <w:ind w:left="860" w:firstLine="726"/>
        <w:spacing w:after="0" w:line="271" w:lineRule="auto"/>
        <w:tabs>
          <w:tab w:leader="none" w:pos="242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0" w:lineRule="exact"/>
        <w:rPr>
          <w:sz w:val="20"/>
          <w:szCs w:val="20"/>
          <w:color w:val="auto"/>
        </w:rPr>
      </w:pPr>
    </w:p>
    <w:p>
      <w:pPr>
        <w:ind w:firstLine="797"/>
        <w:spacing w:after="0" w:line="260" w:lineRule="auto"/>
        <w:rPr>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shall be conclusive, absent manifest error.</w:t>
      </w:r>
    </w:p>
    <w:p>
      <w:pPr>
        <w:spacing w:after="0" w:line="177" w:lineRule="exact"/>
        <w:rPr>
          <w:sz w:val="20"/>
          <w:szCs w:val="20"/>
          <w:color w:val="auto"/>
        </w:rPr>
      </w:pPr>
    </w:p>
    <w:p>
      <w:pPr>
        <w:jc w:val="both"/>
        <w:ind w:firstLine="789"/>
        <w:spacing w:after="0" w:line="260" w:lineRule="auto"/>
        <w:tabs>
          <w:tab w:leader="none" w:pos="1665"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Failure to Satisfy Conditions Precedent</w:t>
      </w:r>
      <w:r>
        <w:rPr>
          <w:rFonts w:ascii="Arial" w:cs="Arial" w:eastAsia="Arial" w:hAnsi="Arial"/>
          <w:sz w:val="19"/>
          <w:szCs w:val="19"/>
          <w:color w:val="auto"/>
        </w:rPr>
        <w:t xml:space="preserve">. If any Lender makes available to the Administrative Agent funds for any Loan to be made by such Lender as provided in the foregoing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such funds are not made available to the Borrower by the Administrative Agent because the conditions to the applicable Credit Extension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are not satisfied or waived in accordance with the terms hereof, the Administrative Agent shall return such funds (in like funds as received from such Lender) to such Lender, without interest.</w:t>
      </w:r>
    </w:p>
    <w:p>
      <w:pPr>
        <w:spacing w:after="0" w:line="180" w:lineRule="exact"/>
        <w:rPr>
          <w:rFonts w:ascii="Arial" w:cs="Arial" w:eastAsia="Arial" w:hAnsi="Arial"/>
          <w:sz w:val="19"/>
          <w:szCs w:val="19"/>
          <w:color w:val="auto"/>
        </w:rPr>
      </w:pPr>
    </w:p>
    <w:p>
      <w:pPr>
        <w:jc w:val="both"/>
        <w:ind w:firstLine="789"/>
        <w:spacing w:after="0" w:line="243" w:lineRule="auto"/>
        <w:tabs>
          <w:tab w:leader="none" w:pos="167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Term Loans and Revolving Loans, to fund participations in Letters of Credit and Swingline Loans and to make payments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 11.04(c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11.04(c</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789"/>
        <w:spacing w:after="0" w:line="250" w:lineRule="auto"/>
        <w:tabs>
          <w:tab w:leader="none" w:pos="1665"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0"/>
          <w:szCs w:val="20"/>
          <w:color w:val="auto"/>
        </w:rPr>
      </w:pPr>
    </w:p>
    <w:p>
      <w:pPr>
        <w:jc w:val="both"/>
        <w:ind w:firstLine="789"/>
        <w:spacing w:after="0" w:line="250" w:lineRule="auto"/>
        <w:tabs>
          <w:tab w:leader="none" w:pos="1643"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Pro Rata Treatment</w:t>
      </w:r>
      <w:r>
        <w:rPr>
          <w:rFonts w:ascii="Arial" w:cs="Arial" w:eastAsia="Arial" w:hAnsi="Arial"/>
          <w:sz w:val="20"/>
          <w:szCs w:val="20"/>
          <w:color w:val="auto"/>
        </w:rPr>
        <w:t xml:space="preserve">. Except to the extent otherwise provided herein: (i) each Borrowing (other than Swingline Borrowings) shall be made from the Appropriate Lenders, each payment of fees under </w:t>
      </w:r>
      <w:r>
        <w:rPr>
          <w:rFonts w:ascii="Arial" w:cs="Arial" w:eastAsia="Arial" w:hAnsi="Arial"/>
          <w:sz w:val="20"/>
          <w:szCs w:val="20"/>
          <w:u w:val="single" w:color="auto"/>
          <w:color w:val="auto"/>
        </w:rPr>
        <w:t>Section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clauses (l)</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(m)</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shall be made for</w:t>
      </w:r>
    </w:p>
    <w:p>
      <w:pPr>
        <w:spacing w:after="0" w:line="18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53" w:name="page154"/>
    <w:bookmarkEnd w:id="153"/>
    <w:p>
      <w:pPr>
        <w:jc w:val="both"/>
        <w:ind w:left="880"/>
        <w:spacing w:after="0" w:line="273" w:lineRule="auto"/>
        <w:rPr>
          <w:sz w:val="20"/>
          <w:szCs w:val="20"/>
          <w:color w:val="auto"/>
        </w:rPr>
      </w:pPr>
      <w:r>
        <w:rPr>
          <w:rFonts w:ascii="Arial" w:cs="Arial" w:eastAsia="Arial" w:hAnsi="Arial"/>
          <w:sz w:val="18"/>
          <w:szCs w:val="18"/>
          <w:color w:val="auto"/>
        </w:rPr>
        <w:t xml:space="preserve">account of the Appropriate Lenders, and each termination or reduction of the amount of the Commitments shall be applied to the respective Commitments of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u w:val="single" w:color="auto"/>
          <w:color w:val="auto"/>
        </w:rPr>
        <w:t>Sharing of Payments by Lenders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8"/>
          <w:szCs w:val="18"/>
          <w:color w:val="auto"/>
        </w:rPr>
        <w:t xml:space="preserve">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Arial" w:cs="Arial" w:eastAsia="Arial" w:hAnsi="Arial"/>
          <w:sz w:val="18"/>
          <w:szCs w:val="18"/>
          <w:u w:val="single" w:color="auto"/>
          <w:color w:val="auto"/>
        </w:rPr>
        <w:t>clauses (a</w:t>
      </w:r>
      <w:r>
        <w:rPr>
          <w:rFonts w:ascii="Arial" w:cs="Arial" w:eastAsia="Arial" w:hAnsi="Arial"/>
          <w:sz w:val="18"/>
          <w:szCs w:val="18"/>
          <w:color w:val="auto"/>
        </w:rPr>
        <w:t>) and (</w:t>
      </w:r>
      <w:r>
        <w:rPr>
          <w:rFonts w:ascii="Arial" w:cs="Arial" w:eastAsia="Arial" w:hAnsi="Arial"/>
          <w:sz w:val="18"/>
          <w:szCs w:val="18"/>
          <w:u w:val="single" w:color="auto"/>
          <w:color w:val="auto"/>
        </w:rPr>
        <w:t>b</w:t>
      </w:r>
      <w:r>
        <w:rPr>
          <w:rFonts w:ascii="Arial" w:cs="Arial" w:eastAsia="Arial" w:hAnsi="Arial"/>
          <w:sz w:val="18"/>
          <w:szCs w:val="18"/>
          <w:color w:val="auto"/>
        </w:rPr>
        <w:t>) above, the Lender receiving such greater proportion shall (A) notify the Administrative Agent of such fact, and</w:t>
      </w:r>
    </w:p>
    <w:p>
      <w:pPr>
        <w:spacing w:after="0" w:line="7" w:lineRule="exact"/>
        <w:rPr>
          <w:sz w:val="20"/>
          <w:szCs w:val="20"/>
          <w:color w:val="auto"/>
        </w:rPr>
      </w:pPr>
    </w:p>
    <w:p>
      <w:pPr>
        <w:jc w:val="both"/>
        <w:ind w:firstLine="8"/>
        <w:spacing w:after="0" w:line="241" w:lineRule="auto"/>
        <w:tabs>
          <w:tab w:leader="none" w:pos="322"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94" w:lineRule="exact"/>
        <w:rPr>
          <w:rFonts w:ascii="Arial" w:cs="Arial" w:eastAsia="Arial" w:hAnsi="Arial"/>
          <w:sz w:val="20"/>
          <w:szCs w:val="20"/>
          <w:color w:val="auto"/>
        </w:rPr>
      </w:pPr>
    </w:p>
    <w:p>
      <w:pPr>
        <w:jc w:val="both"/>
        <w:ind w:left="1740" w:firstLine="726"/>
        <w:spacing w:after="0" w:line="250" w:lineRule="auto"/>
        <w:tabs>
          <w:tab w:leader="none" w:pos="3306" w:val="left"/>
        </w:tabs>
        <w:numPr>
          <w:ilvl w:val="1"/>
          <w:numId w:val="118"/>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0"/>
          <w:szCs w:val="20"/>
          <w:color w:val="auto"/>
        </w:rPr>
      </w:pPr>
    </w:p>
    <w:p>
      <w:pPr>
        <w:jc w:val="both"/>
        <w:ind w:left="1740" w:firstLine="726"/>
        <w:spacing w:after="0" w:line="257" w:lineRule="auto"/>
        <w:tabs>
          <w:tab w:leader="none" w:pos="336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Disqualified Institution), (B) the application of Cash Collateral provided for in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apply).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4" w:name="page155"/>
    <w:bookmarkEnd w:id="154"/>
    <w:p>
      <w:pPr>
        <w:jc w:val="both"/>
        <w:ind w:firstLine="864"/>
        <w:spacing w:after="0" w:line="246" w:lineRule="auto"/>
        <w:rPr>
          <w:sz w:val="20"/>
          <w:szCs w:val="20"/>
          <w:color w:val="auto"/>
        </w:rPr>
      </w:pPr>
      <w:r>
        <w:rPr>
          <w:rFonts w:ascii="Arial" w:cs="Arial" w:eastAsia="Arial" w:hAnsi="Arial"/>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8"/>
          <w:szCs w:val="18"/>
          <w:b w:val="1"/>
          <w:bCs w:val="1"/>
          <w:u w:val="single" w:color="auto"/>
          <w:color w:val="auto"/>
        </w:rPr>
        <w:t>Cash Collateral.</w:t>
      </w:r>
    </w:p>
    <w:p>
      <w:pPr>
        <w:spacing w:after="0" w:line="222" w:lineRule="exact"/>
        <w:rPr>
          <w:sz w:val="20"/>
          <w:szCs w:val="20"/>
          <w:color w:val="auto"/>
        </w:rPr>
      </w:pPr>
    </w:p>
    <w:p>
      <w:pPr>
        <w:jc w:val="both"/>
        <w:ind w:left="880" w:firstLine="789"/>
        <w:spacing w:after="0" w:line="244" w:lineRule="auto"/>
        <w:tabs>
          <w:tab w:leader="none" w:pos="2545"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Obligation to Cash Collateralize</w:t>
      </w:r>
      <w:r>
        <w:rPr>
          <w:rFonts w:ascii="Arial" w:cs="Arial" w:eastAsia="Arial" w:hAnsi="Arial"/>
          <w:sz w:val="20"/>
          <w:szCs w:val="20"/>
          <w:color w:val="auto"/>
        </w:rPr>
        <w:t xml:space="preserve">. At any time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Arial" w:cs="Arial" w:eastAsia="Arial" w:hAnsi="Arial"/>
          <w:sz w:val="20"/>
          <w:szCs w:val="20"/>
          <w:u w:val="single" w:color="auto"/>
          <w:color w:val="auto"/>
        </w:rPr>
        <w:t>Section 2.15(a)(iv</w:t>
      </w:r>
      <w:r>
        <w:rPr>
          <w:rFonts w:ascii="Arial" w:cs="Arial" w:eastAsia="Arial" w:hAnsi="Arial"/>
          <w:sz w:val="20"/>
          <w:szCs w:val="20"/>
          <w:color w:val="auto"/>
        </w:rPr>
        <w:t>) and any Cash Collateral provided by such Defaulting Lender) in an amount not less than the Minimum Collateral Amount.</w:t>
      </w:r>
    </w:p>
    <w:p>
      <w:pPr>
        <w:spacing w:after="0" w:line="194" w:lineRule="exact"/>
        <w:rPr>
          <w:rFonts w:ascii="Arial" w:cs="Arial" w:eastAsia="Arial" w:hAnsi="Arial"/>
          <w:sz w:val="20"/>
          <w:szCs w:val="20"/>
          <w:color w:val="auto"/>
        </w:rPr>
      </w:pPr>
    </w:p>
    <w:p>
      <w:pPr>
        <w:jc w:val="both"/>
        <w:ind w:left="880" w:firstLine="789"/>
        <w:spacing w:after="0" w:line="254" w:lineRule="auto"/>
        <w:tabs>
          <w:tab w:leader="none" w:pos="2556"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2.14(c</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Arial" w:cs="Arial" w:eastAsia="Arial" w:hAnsi="Arial"/>
          <w:sz w:val="19"/>
          <w:szCs w:val="19"/>
          <w:u w:val="single" w:color="auto"/>
          <w:color w:val="auto"/>
        </w:rPr>
        <w:t>Section 2.15(a)(v</w:t>
      </w:r>
      <w:r>
        <w:rPr>
          <w:rFonts w:ascii="Arial" w:cs="Arial" w:eastAsia="Arial" w:hAnsi="Arial"/>
          <w:sz w:val="19"/>
          <w:szCs w:val="19"/>
          <w:color w:val="auto"/>
        </w:rPr>
        <w:t xml:space="preserve">), after giving effect to </w:t>
      </w:r>
      <w:r>
        <w:rPr>
          <w:rFonts w:ascii="Arial" w:cs="Arial" w:eastAsia="Arial" w:hAnsi="Arial"/>
          <w:sz w:val="19"/>
          <w:szCs w:val="19"/>
          <w:u w:val="single" w:color="auto"/>
          <w:color w:val="auto"/>
        </w:rPr>
        <w:t>Section 2.15(a)(v</w:t>
      </w:r>
      <w:r>
        <w:rPr>
          <w:rFonts w:ascii="Arial" w:cs="Arial" w:eastAsia="Arial" w:hAnsi="Arial"/>
          <w:sz w:val="19"/>
          <w:szCs w:val="19"/>
          <w:color w:val="auto"/>
        </w:rPr>
        <w:t>) and any Cash Collateral provided by the Defaulting Lender).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91" w:lineRule="exact"/>
        <w:rPr>
          <w:rFonts w:ascii="Arial" w:cs="Arial" w:eastAsia="Arial" w:hAnsi="Arial"/>
          <w:sz w:val="19"/>
          <w:szCs w:val="19"/>
          <w:color w:val="auto"/>
        </w:rPr>
      </w:pPr>
    </w:p>
    <w:p>
      <w:pPr>
        <w:jc w:val="both"/>
        <w:ind w:left="880" w:firstLine="789"/>
        <w:spacing w:after="0" w:line="278" w:lineRule="auto"/>
        <w:tabs>
          <w:tab w:leader="none" w:pos="254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spacing w:after="0" w:line="164" w:lineRule="exact"/>
        <w:rPr>
          <w:rFonts w:ascii="Arial" w:cs="Arial" w:eastAsia="Arial" w:hAnsi="Arial"/>
          <w:sz w:val="18"/>
          <w:szCs w:val="18"/>
          <w:color w:val="auto"/>
        </w:rPr>
      </w:pPr>
    </w:p>
    <w:p>
      <w:pPr>
        <w:jc w:val="both"/>
        <w:ind w:left="880" w:firstLine="789"/>
        <w:spacing w:after="0" w:line="274" w:lineRule="auto"/>
        <w:tabs>
          <w:tab w:leader="none" w:pos="255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18"/>
          <w:szCs w:val="18"/>
          <w:u w:val="single" w:color="auto"/>
          <w:color w:val="auto"/>
        </w:rPr>
        <w:t>Section 11.06(b)(vi</w:t>
      </w:r>
      <w:r>
        <w:rPr>
          <w:rFonts w:ascii="Arial" w:cs="Arial" w:eastAsia="Arial" w:hAnsi="Arial"/>
          <w:sz w:val="18"/>
          <w:szCs w:val="18"/>
          <w:color w:val="auto"/>
        </w:rPr>
        <w:t xml:space="preserve">))) or (ii) the determination by the Administrative Agent and the L/C Issuer that there exists excess Cash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5" w:name="page156"/>
    <w:bookmarkEnd w:id="155"/>
    <w:p>
      <w:pPr>
        <w:spacing w:after="0" w:line="260" w:lineRule="auto"/>
        <w:rPr>
          <w:sz w:val="20"/>
          <w:szCs w:val="20"/>
          <w:color w:val="auto"/>
        </w:rPr>
      </w:pPr>
      <w:r>
        <w:rPr>
          <w:rFonts w:ascii="Arial" w:cs="Arial" w:eastAsia="Arial" w:hAnsi="Arial"/>
          <w:sz w:val="20"/>
          <w:szCs w:val="20"/>
          <w:color w:val="auto"/>
        </w:rPr>
        <w:t>providing Cash Collateral and the L/C Issuer may agree that Cash Collateral shall not be released but instead held to support future anticipated Fronting Exposure or other obligations.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u w:val="single" w:color="auto"/>
          <w:color w:val="auto"/>
        </w:rPr>
        <w:t>Defaulting Lenders.</w:t>
      </w:r>
    </w:p>
    <w:p>
      <w:pPr>
        <w:spacing w:after="0" w:line="222" w:lineRule="exact"/>
        <w:rPr>
          <w:sz w:val="20"/>
          <w:szCs w:val="20"/>
          <w:color w:val="auto"/>
        </w:rPr>
      </w:pPr>
    </w:p>
    <w:p>
      <w:pPr>
        <w:jc w:val="both"/>
        <w:ind w:firstLine="789"/>
        <w:spacing w:after="0" w:line="250" w:lineRule="auto"/>
        <w:tabs>
          <w:tab w:leader="none" w:pos="1665"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85" w:lineRule="exact"/>
        <w:rPr>
          <w:rFonts w:ascii="Arial" w:cs="Arial" w:eastAsia="Arial" w:hAnsi="Arial"/>
          <w:sz w:val="20"/>
          <w:szCs w:val="20"/>
          <w:color w:val="auto"/>
        </w:rPr>
      </w:pPr>
    </w:p>
    <w:p>
      <w:pPr>
        <w:jc w:val="both"/>
        <w:ind w:left="860" w:firstLine="726"/>
        <w:spacing w:after="0" w:line="250" w:lineRule="auto"/>
        <w:tabs>
          <w:tab w:leader="none" w:pos="2426" w:val="left"/>
        </w:tabs>
        <w:numPr>
          <w:ilvl w:val="1"/>
          <w:numId w:val="120"/>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60" w:firstLine="726"/>
        <w:spacing w:after="0" w:line="267" w:lineRule="auto"/>
        <w:tabs>
          <w:tab w:leader="none" w:pos="248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xml:space="preserve">, to the payment on a pro rata basis of any amounts owing by such Defaulting Lender to the L/C Issuer or the Swingline Lender hereunder;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u w:val="single" w:color="auto"/>
          <w:color w:val="auto"/>
        </w:rPr>
        <w:t>fifth</w:t>
      </w:r>
      <w:r>
        <w:rPr>
          <w:rFonts w:ascii="Arial" w:cs="Arial" w:eastAsia="Arial" w:hAnsi="Arial"/>
          <w:sz w:val="18"/>
          <w:szCs w:val="18"/>
          <w:color w:val="auto"/>
        </w:rPr>
        <w:t xml:space="preserve">, if so determined by the Administrative Agent and the Borrower, to be held in a deposit account and released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sixth</w:t>
      </w:r>
      <w:r>
        <w:rPr>
          <w:rFonts w:ascii="Arial" w:cs="Arial" w:eastAsia="Arial" w:hAnsi="Arial"/>
          <w:sz w:val="18"/>
          <w:szCs w:val="18"/>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Arial" w:cs="Arial" w:eastAsia="Arial" w:hAnsi="Arial"/>
          <w:sz w:val="18"/>
          <w:szCs w:val="18"/>
          <w:i w:val="1"/>
          <w:iCs w:val="1"/>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u w:val="single" w:color="auto"/>
          <w:color w:val="auto"/>
        </w:rPr>
        <w:t>eighth</w:t>
      </w:r>
      <w:r>
        <w:rPr>
          <w:rFonts w:ascii="Arial" w:cs="Arial" w:eastAsia="Arial" w:hAnsi="Arial"/>
          <w:sz w:val="18"/>
          <w:szCs w:val="18"/>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to the payment of any Loans of, or L/C Obligations owed to, such Defaulting Lender until such time as all Loans and funded and unfunded participations in L/C Obligations and Swingline Loans are held by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Commitments hereunder without giving effect to </w:t>
      </w:r>
      <w:r>
        <w:rPr>
          <w:rFonts w:ascii="Arial" w:cs="Arial" w:eastAsia="Arial" w:hAnsi="Arial"/>
          <w:sz w:val="18"/>
          <w:szCs w:val="18"/>
          <w:u w:val="single" w:color="auto"/>
          <w:color w:val="auto"/>
        </w:rPr>
        <w:t>Section 2.15(a)(v</w:t>
      </w:r>
      <w:r>
        <w:rPr>
          <w:rFonts w:ascii="Arial" w:cs="Arial" w:eastAsia="Arial" w:hAnsi="Arial"/>
          <w:sz w:val="18"/>
          <w:szCs w:val="18"/>
          <w:color w:val="auto"/>
        </w:rPr>
        <w:t>). Any payments, prepayments or other amounts paid or payable to a Defaulting Lender that are</w:t>
      </w:r>
    </w:p>
    <w:p>
      <w:pPr>
        <w:spacing w:after="0" w:line="19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56" w:name="page157"/>
    <w:bookmarkEnd w:id="156"/>
    <w:p>
      <w:pPr>
        <w:jc w:val="both"/>
        <w:ind w:left="620"/>
        <w:spacing w:after="0" w:line="250" w:lineRule="auto"/>
        <w:rPr>
          <w:sz w:val="20"/>
          <w:szCs w:val="20"/>
          <w:color w:val="auto"/>
        </w:rPr>
      </w:pPr>
      <w:r>
        <w:rPr>
          <w:rFonts w:ascii="Arial" w:cs="Arial" w:eastAsia="Arial" w:hAnsi="Arial"/>
          <w:sz w:val="20"/>
          <w:szCs w:val="20"/>
          <w:color w:val="auto"/>
        </w:rPr>
        <w:t xml:space="preserve">applied (or held) to pay amounts owed by a Defaulting Lender or to post Cash Collateral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2.15(a)(ii</w:t>
      </w:r>
      <w:r>
        <w:rPr>
          <w:rFonts w:ascii="Arial" w:cs="Arial" w:eastAsia="Arial" w:hAnsi="Arial"/>
          <w:sz w:val="20"/>
          <w:szCs w:val="20"/>
          <w:color w:val="auto"/>
        </w:rPr>
        <w:t>) shall be deemed paid to and redirected by such Defaulting Lender, and each Lender irrevocably consents hereto.</w:t>
      </w:r>
    </w:p>
    <w:p>
      <w:pPr>
        <w:spacing w:after="0" w:line="186" w:lineRule="exact"/>
        <w:rPr>
          <w:sz w:val="20"/>
          <w:szCs w:val="20"/>
          <w:color w:val="auto"/>
        </w:rPr>
      </w:pPr>
    </w:p>
    <w:p>
      <w:pPr>
        <w:ind w:left="2300" w:hanging="954"/>
        <w:spacing w:after="0"/>
        <w:tabs>
          <w:tab w:leader="none" w:pos="230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480" w:firstLine="664"/>
        <w:spacing w:after="0" w:line="246" w:lineRule="auto"/>
        <w:tabs>
          <w:tab w:leader="none" w:pos="3067"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xml:space="preserve">. No Defaulting Lender shall be entitled to receive any fee payable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2.09(a</w:t>
      </w:r>
      <w:r>
        <w:rPr>
          <w:rFonts w:ascii="Arial" w:cs="Arial" w:eastAsia="Arial" w:hAnsi="Arial"/>
          <w:sz w:val="20"/>
          <w:szCs w:val="20"/>
          <w:color w:val="auto"/>
        </w:rPr>
        <w:t>) for any period during which that Lender is a Defaulting Lender (and the Borrower shall not be required to pay any such fee that otherwise would have been required to have been paid to that Defaulting Lender).</w:t>
      </w:r>
    </w:p>
    <w:p>
      <w:pPr>
        <w:spacing w:after="0" w:line="191" w:lineRule="exact"/>
        <w:rPr>
          <w:rFonts w:ascii="Arial" w:cs="Arial" w:eastAsia="Arial" w:hAnsi="Arial"/>
          <w:sz w:val="20"/>
          <w:szCs w:val="20"/>
          <w:color w:val="auto"/>
        </w:rPr>
      </w:pPr>
    </w:p>
    <w:p>
      <w:pPr>
        <w:jc w:val="both"/>
        <w:ind w:left="1480" w:firstLine="664"/>
        <w:spacing w:after="0" w:line="246" w:lineRule="auto"/>
        <w:tabs>
          <w:tab w:leader="none" w:pos="3056"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480" w:firstLine="664"/>
        <w:spacing w:after="0" w:line="273" w:lineRule="auto"/>
        <w:tabs>
          <w:tab w:leader="none" w:pos="305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Defaulting Lender Fees</w:t>
      </w:r>
      <w:r>
        <w:rPr>
          <w:rFonts w:ascii="Arial" w:cs="Arial" w:eastAsia="Arial" w:hAnsi="Arial"/>
          <w:sz w:val="18"/>
          <w:szCs w:val="18"/>
          <w:color w:val="auto"/>
        </w:rPr>
        <w:t xml:space="preserve">. With respect to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below, (2) pay to the L/C Issuer and the Swingline Lender, as applicable, the amount of any such fee otherwise payable to such Defaulting Lender to the extent allocable to such L/C Issuer’s or Swingline Lender’s Fronting Exposure to such Defaulting Lender, and (3) not be required to pay the remaining amount of any such fee.</w:t>
      </w:r>
    </w:p>
    <w:p>
      <w:pPr>
        <w:spacing w:after="0" w:line="168" w:lineRule="exact"/>
        <w:rPr>
          <w:rFonts w:ascii="Arial" w:cs="Arial" w:eastAsia="Arial" w:hAnsi="Arial"/>
          <w:sz w:val="18"/>
          <w:szCs w:val="18"/>
          <w:color w:val="auto"/>
        </w:rPr>
      </w:pPr>
    </w:p>
    <w:p>
      <w:pPr>
        <w:jc w:val="both"/>
        <w:ind w:left="620" w:firstLine="726"/>
        <w:spacing w:after="0" w:line="256" w:lineRule="auto"/>
        <w:tabs>
          <w:tab w:leader="none" w:pos="2284"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Revolving Percentages to Reduce Fronting Exposure</w:t>
      </w:r>
      <w:r>
        <w:rPr>
          <w:rFonts w:ascii="Arial" w:cs="Arial" w:eastAsia="Arial" w:hAnsi="Arial"/>
          <w:sz w:val="19"/>
          <w:szCs w:val="19"/>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Arial" w:cs="Arial" w:eastAsia="Arial" w:hAnsi="Arial"/>
          <w:sz w:val="19"/>
          <w:szCs w:val="19"/>
          <w:u w:val="single" w:color="auto"/>
          <w:color w:val="auto"/>
        </w:rPr>
        <w:t>Section 11.20</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4" w:lineRule="exact"/>
        <w:rPr>
          <w:rFonts w:ascii="Arial" w:cs="Arial" w:eastAsia="Arial" w:hAnsi="Arial"/>
          <w:sz w:val="19"/>
          <w:szCs w:val="19"/>
          <w:color w:val="auto"/>
        </w:rPr>
      </w:pPr>
    </w:p>
    <w:p>
      <w:pPr>
        <w:jc w:val="both"/>
        <w:ind w:left="620" w:right="20" w:firstLine="726"/>
        <w:spacing w:after="0" w:line="244" w:lineRule="auto"/>
        <w:tabs>
          <w:tab w:leader="none" w:pos="2229"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Swingline Loans</w:t>
      </w:r>
      <w:r>
        <w:rPr>
          <w:rFonts w:ascii="Arial" w:cs="Arial" w:eastAsia="Arial" w:hAnsi="Arial"/>
          <w:sz w:val="20"/>
          <w:szCs w:val="20"/>
          <w:color w:val="auto"/>
        </w:rPr>
        <w:t xml:space="preserve">. If the reallocation described in </w:t>
      </w:r>
      <w:r>
        <w:rPr>
          <w:rFonts w:ascii="Arial" w:cs="Arial" w:eastAsia="Arial" w:hAnsi="Arial"/>
          <w:sz w:val="20"/>
          <w:szCs w:val="20"/>
          <w:u w:val="single" w:color="auto"/>
          <w:color w:val="auto"/>
        </w:rPr>
        <w:t>clause (a)(v</w:t>
      </w:r>
      <w:r>
        <w:rPr>
          <w:rFonts w:ascii="Arial" w:cs="Arial" w:eastAsia="Arial" w:hAnsi="Arial"/>
          <w:sz w:val="20"/>
          <w:szCs w:val="20"/>
          <w:color w:val="auto"/>
        </w:rPr>
        <w:t xml:space="preserve">) above cannot, or can only partially, be effected, the Borrower shall, without prejudice to any right or remedy available to it hereunder or under Applicable Law, (A) </w:t>
      </w:r>
      <w:r>
        <w:rPr>
          <w:rFonts w:ascii="Arial" w:cs="Arial" w:eastAsia="Arial" w:hAnsi="Arial"/>
          <w:sz w:val="20"/>
          <w:szCs w:val="20"/>
          <w:i w:val="1"/>
          <w:iCs w:val="1"/>
          <w:u w:val="single" w:color="auto"/>
          <w:color w:val="auto"/>
        </w:rPr>
        <w:t>first</w:t>
      </w:r>
      <w:r>
        <w:rPr>
          <w:rFonts w:ascii="Arial" w:cs="Arial" w:eastAsia="Arial" w:hAnsi="Arial"/>
          <w:sz w:val="20"/>
          <w:szCs w:val="20"/>
          <w:color w:val="auto"/>
        </w:rPr>
        <w:t xml:space="preserve">, prepay Swingline Loans in an amount equal to the Swingline Lender’s Fronting Exposure and (B) </w:t>
      </w:r>
      <w:r>
        <w:rPr>
          <w:rFonts w:ascii="Arial" w:cs="Arial" w:eastAsia="Arial" w:hAnsi="Arial"/>
          <w:sz w:val="20"/>
          <w:szCs w:val="20"/>
          <w:i w:val="1"/>
          <w:iCs w:val="1"/>
          <w:u w:val="single" w:color="auto"/>
          <w:color w:val="auto"/>
        </w:rPr>
        <w:t>second</w:t>
      </w:r>
      <w:r>
        <w:rPr>
          <w:rFonts w:ascii="Arial" w:cs="Arial" w:eastAsia="Arial" w:hAnsi="Arial"/>
          <w:sz w:val="20"/>
          <w:szCs w:val="20"/>
          <w:color w:val="auto"/>
        </w:rPr>
        <w:t xml:space="preserve">, Cash Collateralize the L/C Issuer’s Fronting Exposure in accordance with the procedures set forth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94" w:lineRule="exact"/>
        <w:rPr>
          <w:sz w:val="20"/>
          <w:szCs w:val="20"/>
          <w:color w:val="auto"/>
        </w:rPr>
      </w:pPr>
    </w:p>
    <w:p>
      <w:pPr>
        <w:jc w:val="both"/>
        <w:ind w:left="-240" w:firstLine="789"/>
        <w:spacing w:after="0" w:line="250" w:lineRule="auto"/>
        <w:tabs>
          <w:tab w:leader="none" w:pos="1436"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If the Borrower, the Administrative Agent, the Swingline Lender and the L/C Issuer agree in writing that a Lender is no longer a Defaulting Lender, the Administrative Agent will so notify the parties hereto, whereupon as of the effective date specified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57" w:name="page158"/>
    <w:bookmarkEnd w:id="157"/>
    <w:p>
      <w:pPr>
        <w:jc w:val="both"/>
        <w:spacing w:after="0" w:line="256" w:lineRule="auto"/>
        <w:rPr>
          <w:sz w:val="20"/>
          <w:szCs w:val="20"/>
          <w:color w:val="auto"/>
        </w:rPr>
      </w:pPr>
      <w:r>
        <w:rPr>
          <w:rFonts w:ascii="Arial" w:cs="Arial" w:eastAsia="Arial" w:hAnsi="Arial"/>
          <w:sz w:val="19"/>
          <w:szCs w:val="19"/>
          <w:color w:val="auto"/>
        </w:rPr>
        <w:t xml:space="preserve">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adjustments will be made retroactively with respect to fees accrued or payments made by or on behalf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Borrower while that Lender was a Defaulting Lender;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4" w:lineRule="exact"/>
        <w:rPr>
          <w:sz w:val="20"/>
          <w:szCs w:val="20"/>
          <w:color w:val="auto"/>
        </w:rPr>
      </w:pPr>
    </w:p>
    <w:p>
      <w:pPr>
        <w:jc w:val="both"/>
        <w:ind w:firstLine="789"/>
        <w:spacing w:after="0" w:line="263" w:lineRule="auto"/>
        <w:tabs>
          <w:tab w:leader="none" w:pos="1665"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New Swingline Loans/Letters of Credit</w:t>
      </w:r>
      <w:r>
        <w:rPr>
          <w:rFonts w:ascii="Arial" w:cs="Arial" w:eastAsia="Arial" w:hAnsi="Arial"/>
          <w:sz w:val="19"/>
          <w:szCs w:val="19"/>
          <w:color w:val="auto"/>
        </w:rPr>
        <w:t>. So long as any Revolving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70"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ind w:left="2480"/>
        <w:spacing w:after="0"/>
        <w:rPr>
          <w:sz w:val="20"/>
          <w:szCs w:val="20"/>
          <w:color w:val="auto"/>
        </w:rPr>
      </w:pPr>
      <w:r>
        <w:rPr>
          <w:rFonts w:ascii="Arial" w:cs="Arial" w:eastAsia="Arial" w:hAnsi="Arial"/>
          <w:sz w:val="20"/>
          <w:szCs w:val="20"/>
          <w:b w:val="1"/>
          <w:bCs w:val="1"/>
          <w:u w:val="single" w:color="auto"/>
          <w:color w:val="auto"/>
        </w:rPr>
        <w:t>TAXES, YIELD PROTECTION AND ILLEGALITY</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u w:val="single" w:color="auto"/>
          <w:color w:val="auto"/>
        </w:rPr>
        <w:t>Taxes.</w:t>
      </w:r>
    </w:p>
    <w:p>
      <w:pPr>
        <w:spacing w:after="0" w:line="222" w:lineRule="exact"/>
        <w:rPr>
          <w:sz w:val="20"/>
          <w:szCs w:val="20"/>
          <w:color w:val="auto"/>
        </w:rPr>
      </w:pPr>
    </w:p>
    <w:p>
      <w:pPr>
        <w:ind w:firstLine="789"/>
        <w:spacing w:after="0" w:line="260" w:lineRule="auto"/>
        <w:tabs>
          <w:tab w:leader="none" w:pos="1665"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“Applicable Law” includes FATCA and the term “Lender” includes any L/C Issuer.</w:t>
      </w:r>
    </w:p>
    <w:p>
      <w:pPr>
        <w:spacing w:after="0" w:line="176" w:lineRule="exact"/>
        <w:rPr>
          <w:rFonts w:ascii="Arial" w:cs="Arial" w:eastAsia="Arial" w:hAnsi="Arial"/>
          <w:sz w:val="20"/>
          <w:szCs w:val="20"/>
          <w:color w:val="auto"/>
        </w:rPr>
      </w:pPr>
    </w:p>
    <w:p>
      <w:pPr>
        <w:jc w:val="both"/>
        <w:ind w:firstLine="789"/>
        <w:spacing w:after="0" w:line="255" w:lineRule="auto"/>
        <w:tabs>
          <w:tab w:leader="none" w:pos="1676"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9" w:lineRule="exact"/>
        <w:rPr>
          <w:rFonts w:ascii="Arial" w:cs="Arial" w:eastAsia="Arial" w:hAnsi="Arial"/>
          <w:sz w:val="19"/>
          <w:szCs w:val="19"/>
          <w:color w:val="auto"/>
        </w:rPr>
      </w:pPr>
    </w:p>
    <w:p>
      <w:pPr>
        <w:jc w:val="both"/>
        <w:ind w:right="20" w:firstLine="789"/>
        <w:spacing w:after="0" w:line="250" w:lineRule="auto"/>
        <w:tabs>
          <w:tab w:leader="none" w:pos="1665"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ind w:left="1660" w:hanging="871"/>
        <w:spacing w:after="0"/>
        <w:tabs>
          <w:tab w:leader="none" w:pos="166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6" w:lineRule="exact"/>
        <w:rPr>
          <w:sz w:val="20"/>
          <w:szCs w:val="20"/>
          <w:color w:val="auto"/>
        </w:rPr>
      </w:pPr>
    </w:p>
    <w:p>
      <w:pPr>
        <w:jc w:val="both"/>
        <w:ind w:left="860" w:firstLine="726"/>
        <w:spacing w:after="0" w:line="250" w:lineRule="auto"/>
        <w:tabs>
          <w:tab w:leader="none" w:pos="242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Each of the Loan Parties shall, and does hereby, jointly and severally indemnify each Recipient, and shall make payment in respect thereof within ten (10) days after demand therefor, for the full amount of any Indemnified Taxes (including Indemnified</w:t>
      </w:r>
    </w:p>
    <w:p>
      <w:pPr>
        <w:spacing w:after="0" w:line="18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58" w:name="page159"/>
    <w:bookmarkEnd w:id="158"/>
    <w:p>
      <w:pPr>
        <w:jc w:val="both"/>
        <w:ind w:left="620"/>
        <w:spacing w:after="0" w:line="276" w:lineRule="auto"/>
        <w:rPr>
          <w:sz w:val="20"/>
          <w:szCs w:val="20"/>
          <w:color w:val="auto"/>
        </w:rPr>
      </w:pPr>
      <w:r>
        <w:rPr>
          <w:rFonts w:ascii="Arial" w:cs="Arial" w:eastAsia="Arial" w:hAnsi="Arial"/>
          <w:sz w:val="18"/>
          <w:szCs w:val="18"/>
          <w:color w:val="auto"/>
        </w:rPr>
        <w:t xml:space="preserve">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5" w:lineRule="exact"/>
        <w:rPr>
          <w:sz w:val="20"/>
          <w:szCs w:val="20"/>
          <w:color w:val="auto"/>
        </w:rPr>
      </w:pPr>
    </w:p>
    <w:p>
      <w:pPr>
        <w:jc w:val="both"/>
        <w:ind w:left="620" w:firstLine="726"/>
        <w:spacing w:after="0" w:line="254" w:lineRule="auto"/>
        <w:tabs>
          <w:tab w:leader="none" w:pos="224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relating to the maintenance of a Participant Register and (C) the Administrative Agent,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clause (d)(ii</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jc w:val="both"/>
        <w:ind w:left="-240" w:firstLine="789"/>
        <w:spacing w:after="0" w:line="263" w:lineRule="auto"/>
        <w:tabs>
          <w:tab w:leader="none" w:pos="1425"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any Loan Party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76" w:lineRule="exact"/>
        <w:rPr>
          <w:rFonts w:ascii="Arial" w:cs="Arial" w:eastAsia="Arial" w:hAnsi="Arial"/>
          <w:sz w:val="19"/>
          <w:szCs w:val="19"/>
          <w:color w:val="auto"/>
        </w:rPr>
      </w:pPr>
    </w:p>
    <w:p>
      <w:pPr>
        <w:ind w:left="1400" w:hanging="851"/>
        <w:spacing w:after="0"/>
        <w:tabs>
          <w:tab w:leader="none" w:pos="140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20" w:firstLine="726"/>
        <w:spacing w:after="0" w:line="255" w:lineRule="auto"/>
        <w:tabs>
          <w:tab w:leader="none" w:pos="2186"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3.01(f)(ii)(A</w:t>
      </w:r>
      <w:r>
        <w:rPr>
          <w:rFonts w:ascii="Arial" w:cs="Arial" w:eastAsia="Arial" w:hAnsi="Arial"/>
          <w:sz w:val="19"/>
          <w:szCs w:val="19"/>
          <w:color w:val="auto"/>
        </w:rPr>
        <w:t>), (</w:t>
      </w:r>
      <w:r>
        <w:rPr>
          <w:rFonts w:ascii="Arial" w:cs="Arial" w:eastAsia="Arial" w:hAnsi="Arial"/>
          <w:sz w:val="19"/>
          <w:szCs w:val="19"/>
          <w:u w:val="single" w:color="auto"/>
          <w:color w:val="auto"/>
        </w:rPr>
        <w:t>ii)(B</w:t>
      </w:r>
      <w:r>
        <w:rPr>
          <w:rFonts w:ascii="Arial" w:cs="Arial" w:eastAsia="Arial" w:hAnsi="Arial"/>
          <w:sz w:val="19"/>
          <w:szCs w:val="19"/>
          <w:color w:val="auto"/>
        </w:rPr>
        <w:t>), and (</w:t>
      </w:r>
      <w:r>
        <w:rPr>
          <w:rFonts w:ascii="Arial" w:cs="Arial" w:eastAsia="Arial" w:hAnsi="Arial"/>
          <w:sz w:val="19"/>
          <w:szCs w:val="19"/>
          <w:u w:val="single" w:color="auto"/>
          <w:color w:val="auto"/>
        </w:rPr>
        <w:t>ii)(D</w:t>
      </w:r>
      <w:r>
        <w:rPr>
          <w:rFonts w:ascii="Arial" w:cs="Arial" w:eastAsia="Arial" w:hAnsi="Arial"/>
          <w:sz w:val="19"/>
          <w:szCs w:val="19"/>
          <w:color w:val="auto"/>
        </w:rPr>
        <w:t>) below) shall not be required if in the Lender’s reasonable judgment such completion, execution or submission would subject such Lender to any material</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59" w:name="page160"/>
    <w:bookmarkEnd w:id="159"/>
    <w:p>
      <w:pPr>
        <w:ind w:left="620"/>
        <w:spacing w:after="0"/>
        <w:rPr>
          <w:sz w:val="20"/>
          <w:szCs w:val="20"/>
          <w:color w:val="auto"/>
        </w:rPr>
      </w:pPr>
      <w:r>
        <w:rPr>
          <w:rFonts w:ascii="Arial" w:cs="Arial" w:eastAsia="Arial" w:hAnsi="Arial"/>
          <w:sz w:val="19"/>
          <w:szCs w:val="19"/>
          <w:color w:val="auto"/>
        </w:rPr>
        <w:t>unreimbursed cost or expense or would materially prejudice the legal or commercial position of such Lender.</w:t>
      </w:r>
    </w:p>
    <w:p>
      <w:pPr>
        <w:spacing w:after="0" w:line="227" w:lineRule="exact"/>
        <w:rPr>
          <w:sz w:val="20"/>
          <w:szCs w:val="20"/>
          <w:color w:val="auto"/>
        </w:rPr>
      </w:pPr>
    </w:p>
    <w:p>
      <w:pPr>
        <w:ind w:left="2240" w:hanging="894"/>
        <w:spacing w:after="0"/>
        <w:tabs>
          <w:tab w:leader="none" w:pos="22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if the Borrower is a U.S. Person,</w:t>
      </w:r>
    </w:p>
    <w:p>
      <w:pPr>
        <w:spacing w:after="0" w:line="215" w:lineRule="exact"/>
        <w:rPr>
          <w:rFonts w:ascii="Arial" w:cs="Arial" w:eastAsia="Arial" w:hAnsi="Arial"/>
          <w:sz w:val="20"/>
          <w:szCs w:val="20"/>
          <w:color w:val="auto"/>
        </w:rPr>
      </w:pPr>
    </w:p>
    <w:p>
      <w:pPr>
        <w:jc w:val="both"/>
        <w:ind w:left="1480" w:firstLine="664"/>
        <w:spacing w:after="0" w:line="282" w:lineRule="auto"/>
        <w:tabs>
          <w:tab w:leader="none" w:pos="306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1" w:lineRule="exact"/>
        <w:rPr>
          <w:rFonts w:ascii="Arial" w:cs="Arial" w:eastAsia="Arial" w:hAnsi="Arial"/>
          <w:sz w:val="18"/>
          <w:szCs w:val="18"/>
          <w:color w:val="auto"/>
        </w:rPr>
      </w:pPr>
    </w:p>
    <w:p>
      <w:pPr>
        <w:jc w:val="both"/>
        <w:ind w:left="1480" w:firstLine="664"/>
        <w:spacing w:after="0" w:line="244" w:lineRule="auto"/>
        <w:tabs>
          <w:tab w:leader="none" w:pos="3056"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4" w:lineRule="exact"/>
        <w:rPr>
          <w:rFonts w:ascii="Arial" w:cs="Arial" w:eastAsia="Arial" w:hAnsi="Arial"/>
          <w:sz w:val="20"/>
          <w:szCs w:val="20"/>
          <w:color w:val="auto"/>
        </w:rPr>
      </w:pPr>
    </w:p>
    <w:p>
      <w:pPr>
        <w:jc w:val="both"/>
        <w:ind w:left="2340" w:firstLine="602"/>
        <w:spacing w:after="0" w:line="242" w:lineRule="auto"/>
        <w:tabs>
          <w:tab w:leader="none" w:pos="3816" w:val="left"/>
        </w:tabs>
        <w:numPr>
          <w:ilvl w:val="2"/>
          <w:numId w:val="128"/>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96" w:lineRule="exact"/>
        <w:rPr>
          <w:rFonts w:ascii="Arial" w:cs="Arial" w:eastAsia="Arial" w:hAnsi="Arial"/>
          <w:sz w:val="20"/>
          <w:szCs w:val="20"/>
          <w:color w:val="auto"/>
        </w:rPr>
      </w:pPr>
    </w:p>
    <w:p>
      <w:pPr>
        <w:ind w:left="3820" w:hanging="878"/>
        <w:spacing w:after="0"/>
        <w:tabs>
          <w:tab w:leader="none" w:pos="3820" w:val="left"/>
        </w:tabs>
        <w:numPr>
          <w:ilvl w:val="2"/>
          <w:numId w:val="128"/>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left="2340" w:firstLine="602"/>
        <w:spacing w:after="0" w:line="257" w:lineRule="auto"/>
        <w:tabs>
          <w:tab w:leader="none" w:pos="3816" w:val="left"/>
        </w:tabs>
        <w:numPr>
          <w:ilvl w:val="2"/>
          <w:numId w:val="128"/>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M–1</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i w:val="1"/>
          <w:iCs w:val="1"/>
          <w:u w:val="single" w:color="auto"/>
          <w:color w:val="auto"/>
        </w:rPr>
        <w:t>U</w:t>
      </w:r>
      <w:r>
        <w:rPr>
          <w:rFonts w:ascii="Arial" w:cs="Arial" w:eastAsia="Arial" w:hAnsi="Arial"/>
          <w:sz w:val="19"/>
          <w:szCs w:val="19"/>
          <w:u w:val="single" w:color="auto"/>
          <w:color w:val="auto"/>
        </w:rPr>
        <w:t>.</w:t>
      </w:r>
      <w:r>
        <w:rPr>
          <w:rFonts w:ascii="Arial" w:cs="Arial" w:eastAsia="Arial" w:hAnsi="Arial"/>
          <w:sz w:val="19"/>
          <w:szCs w:val="19"/>
          <w:i w:val="1"/>
          <w:iCs w:val="1"/>
          <w:u w:val="single" w:color="auto"/>
          <w:color w:val="auto"/>
        </w:rPr>
        <w:t>S</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Tax Compliance Certificate</w:t>
      </w:r>
      <w:r>
        <w:rPr>
          <w:rFonts w:ascii="Arial" w:cs="Arial" w:eastAsia="Arial" w:hAnsi="Arial"/>
          <w:sz w:val="19"/>
          <w:szCs w:val="19"/>
          <w:color w:val="auto"/>
        </w:rPr>
        <w:t>”) and (y) executed copies of IRS Form W–8BEN–E (or W–8BEN, as applicable); or</w:t>
      </w:r>
    </w:p>
    <w:p>
      <w:pPr>
        <w:spacing w:after="0" w:line="184" w:lineRule="exact"/>
        <w:rPr>
          <w:rFonts w:ascii="Arial" w:cs="Arial" w:eastAsia="Arial" w:hAnsi="Arial"/>
          <w:sz w:val="19"/>
          <w:szCs w:val="19"/>
          <w:color w:val="auto"/>
        </w:rPr>
      </w:pPr>
    </w:p>
    <w:p>
      <w:pPr>
        <w:jc w:val="both"/>
        <w:ind w:left="2340" w:firstLine="602"/>
        <w:spacing w:after="0" w:line="243" w:lineRule="auto"/>
        <w:tabs>
          <w:tab w:leader="none" w:pos="3816" w:val="left"/>
        </w:tabs>
        <w:numPr>
          <w:ilvl w:val="2"/>
          <w:numId w:val="128"/>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20"/>
          <w:szCs w:val="20"/>
          <w:u w:val="single" w:color="auto"/>
          <w:color w:val="auto"/>
        </w:rPr>
        <w:t>Exhibit M–2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M–3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w:t>
      </w:r>
    </w:p>
    <w:p>
      <w:pPr>
        <w:spacing w:after="0" w:line="1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60" w:name="page161"/>
    <w:bookmarkEnd w:id="160"/>
    <w:p>
      <w:pPr>
        <w:ind w:left="2340"/>
        <w:spacing w:after="0" w:line="260" w:lineRule="auto"/>
        <w:rPr>
          <w:sz w:val="20"/>
          <w:szCs w:val="20"/>
          <w:color w:val="auto"/>
        </w:rPr>
      </w:pPr>
      <w:r>
        <w:rPr>
          <w:rFonts w:ascii="Arial" w:cs="Arial" w:eastAsia="Arial" w:hAnsi="Arial"/>
          <w:sz w:val="20"/>
          <w:szCs w:val="20"/>
          <w:color w:val="auto"/>
        </w:rPr>
        <w:t xml:space="preserve">may provide a U.S. Tax Compliance Certificate substantially in the form of </w:t>
      </w:r>
      <w:r>
        <w:rPr>
          <w:rFonts w:ascii="Arial" w:cs="Arial" w:eastAsia="Arial" w:hAnsi="Arial"/>
          <w:sz w:val="20"/>
          <w:szCs w:val="20"/>
          <w:u w:val="single" w:color="auto"/>
          <w:color w:val="auto"/>
        </w:rPr>
        <w:t>Exhibit M–4</w:t>
      </w:r>
      <w:r>
        <w:rPr>
          <w:rFonts w:ascii="Arial" w:cs="Arial" w:eastAsia="Arial" w:hAnsi="Arial"/>
          <w:sz w:val="20"/>
          <w:szCs w:val="20"/>
          <w:color w:val="auto"/>
        </w:rPr>
        <w:t xml:space="preserve"> on behalf of each such direct and indirect partner;</w:t>
      </w:r>
    </w:p>
    <w:p>
      <w:pPr>
        <w:spacing w:after="0" w:line="177" w:lineRule="exact"/>
        <w:rPr>
          <w:sz w:val="20"/>
          <w:szCs w:val="20"/>
          <w:color w:val="auto"/>
        </w:rPr>
      </w:pPr>
    </w:p>
    <w:p>
      <w:pPr>
        <w:jc w:val="both"/>
        <w:ind w:left="1480" w:firstLine="664"/>
        <w:spacing w:after="0" w:line="273" w:lineRule="auto"/>
        <w:tabs>
          <w:tab w:leader="none" w:pos="3056" w:val="left"/>
        </w:tabs>
        <w:numPr>
          <w:ilvl w:val="3"/>
          <w:numId w:val="12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8" w:lineRule="exact"/>
        <w:rPr>
          <w:rFonts w:ascii="Arial" w:cs="Arial" w:eastAsia="Arial" w:hAnsi="Arial"/>
          <w:sz w:val="18"/>
          <w:szCs w:val="18"/>
          <w:color w:val="auto"/>
        </w:rPr>
      </w:pPr>
    </w:p>
    <w:p>
      <w:pPr>
        <w:jc w:val="both"/>
        <w:ind w:left="1480" w:firstLine="664"/>
        <w:spacing w:after="0" w:line="269" w:lineRule="auto"/>
        <w:tabs>
          <w:tab w:leader="none" w:pos="3067" w:val="left"/>
        </w:tabs>
        <w:numPr>
          <w:ilvl w:val="3"/>
          <w:numId w:val="129"/>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1" w:lineRule="exact"/>
        <w:rPr>
          <w:rFonts w:ascii="Arial" w:cs="Arial" w:eastAsia="Arial" w:hAnsi="Arial"/>
          <w:sz w:val="18"/>
          <w:szCs w:val="18"/>
          <w:color w:val="auto"/>
        </w:rPr>
      </w:pPr>
    </w:p>
    <w:p>
      <w:pPr>
        <w:jc w:val="both"/>
        <w:ind w:left="1480"/>
        <w:spacing w:after="0"/>
        <w:tabs>
          <w:tab w:leader="none" w:pos="1790" w:val="left"/>
        </w:tabs>
        <w:numPr>
          <w:ilvl w:val="2"/>
          <w:numId w:val="130"/>
        </w:numPr>
        <w:rPr>
          <w:rFonts w:ascii="Arial" w:cs="Arial" w:eastAsia="Arial" w:hAnsi="Arial"/>
          <w:sz w:val="20"/>
          <w:szCs w:val="20"/>
          <w:color w:val="auto"/>
        </w:rPr>
      </w:pPr>
      <w:r>
        <w:rPr>
          <w:rFonts w:ascii="Arial" w:cs="Arial" w:eastAsia="Arial" w:hAnsi="Arial"/>
          <w:sz w:val="20"/>
          <w:szCs w:val="20"/>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Arial" w:cs="Arial" w:eastAsia="Arial" w:hAnsi="Arial"/>
          <w:sz w:val="20"/>
          <w:szCs w:val="20"/>
          <w:u w:val="single" w:color="auto"/>
          <w:color w:val="auto"/>
        </w:rPr>
        <w:t>clause (f)(ii)(D</w:t>
      </w:r>
      <w:r>
        <w:rPr>
          <w:rFonts w:ascii="Arial" w:cs="Arial" w:eastAsia="Arial" w:hAnsi="Arial"/>
          <w:sz w:val="20"/>
          <w:szCs w:val="20"/>
          <w:color w:val="auto"/>
        </w:rPr>
        <w:t>), “FATCA” shall include any amendments made to FATCA after the date of this Agreement.</w:t>
      </w:r>
    </w:p>
    <w:p>
      <w:pPr>
        <w:spacing w:after="0" w:line="197" w:lineRule="exact"/>
        <w:rPr>
          <w:rFonts w:ascii="Arial" w:cs="Arial" w:eastAsia="Arial" w:hAnsi="Arial"/>
          <w:sz w:val="20"/>
          <w:szCs w:val="20"/>
          <w:color w:val="auto"/>
        </w:rPr>
      </w:pPr>
    </w:p>
    <w:p>
      <w:pPr>
        <w:jc w:val="both"/>
        <w:ind w:left="620" w:firstLine="726"/>
        <w:spacing w:after="0" w:line="269" w:lineRule="auto"/>
        <w:tabs>
          <w:tab w:leader="none" w:pos="2295"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Each Lender agrees that if any form or certification it previously delivered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69" w:lineRule="exact"/>
        <w:rPr>
          <w:rFonts w:ascii="Arial" w:cs="Arial" w:eastAsia="Arial" w:hAnsi="Arial"/>
          <w:sz w:val="19"/>
          <w:szCs w:val="19"/>
          <w:color w:val="auto"/>
        </w:rPr>
      </w:pPr>
    </w:p>
    <w:p>
      <w:pPr>
        <w:jc w:val="both"/>
        <w:ind w:left="-240" w:firstLine="789"/>
        <w:spacing w:after="0" w:line="255" w:lineRule="auto"/>
        <w:tabs>
          <w:tab w:leader="none" w:pos="1436"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such Loan Party an amount equal to such refund (but only to the extent of indemnity payments made, or additional amounts paid, by such Loan Party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Arial" w:cs="Arial" w:eastAsia="Arial" w:hAnsi="Arial"/>
          <w:sz w:val="19"/>
          <w:szCs w:val="19"/>
          <w:u w:val="single" w:color="auto"/>
          <w:color w:val="auto"/>
        </w:rPr>
        <w:t>clause (g</w:t>
      </w:r>
      <w:r>
        <w:rPr>
          <w:rFonts w:ascii="Arial" w:cs="Arial" w:eastAsia="Arial" w:hAnsi="Arial"/>
          <w:sz w:val="19"/>
          <w:szCs w:val="19"/>
          <w:color w:val="auto"/>
        </w:rPr>
        <w:t>), in no</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61" w:name="page162"/>
    <w:bookmarkEnd w:id="161"/>
    <w:p>
      <w:pPr>
        <w:jc w:val="both"/>
        <w:spacing w:after="0" w:line="243" w:lineRule="auto"/>
        <w:rPr>
          <w:sz w:val="20"/>
          <w:szCs w:val="20"/>
          <w:color w:val="auto"/>
        </w:rPr>
      </w:pPr>
      <w:r>
        <w:rPr>
          <w:rFonts w:ascii="Arial" w:cs="Arial" w:eastAsia="Arial" w:hAnsi="Arial"/>
          <w:sz w:val="20"/>
          <w:szCs w:val="20"/>
          <w:color w:val="auto"/>
        </w:rPr>
        <w:t xml:space="preserve">event will the applicable Recipient be required to pay any amount to such Loan Party pursuant to this </w:t>
      </w:r>
      <w:r>
        <w:rPr>
          <w:rFonts w:ascii="Arial" w:cs="Arial" w:eastAsia="Arial" w:hAnsi="Arial"/>
          <w:sz w:val="20"/>
          <w:szCs w:val="20"/>
          <w:u w:val="single" w:color="auto"/>
          <w:color w:val="auto"/>
        </w:rPr>
        <w:t>clause (g</w:t>
      </w:r>
      <w:r>
        <w:rPr>
          <w:rFonts w:ascii="Arial" w:cs="Arial" w:eastAsia="Arial" w:hAnsi="Arial"/>
          <w:sz w:val="20"/>
          <w:szCs w:val="20"/>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20"/>
          <w:szCs w:val="20"/>
          <w:u w:val="single" w:color="auto"/>
          <w:color w:val="auto"/>
        </w:rPr>
        <w:t>clause (g</w:t>
      </w:r>
      <w:r>
        <w:rPr>
          <w:rFonts w:ascii="Arial" w:cs="Arial" w:eastAsia="Arial" w:hAnsi="Arial"/>
          <w:sz w:val="20"/>
          <w:szCs w:val="20"/>
          <w:color w:val="auto"/>
        </w:rPr>
        <w:t>) shall not be construed to require any Recipient to make available its tax returns (or any other information relating to its Taxes that it deems confidential) to any Loan Party or any other Person.</w:t>
      </w:r>
    </w:p>
    <w:p>
      <w:pPr>
        <w:spacing w:after="0" w:line="196" w:lineRule="exact"/>
        <w:rPr>
          <w:sz w:val="20"/>
          <w:szCs w:val="20"/>
          <w:color w:val="auto"/>
        </w:rPr>
      </w:pPr>
    </w:p>
    <w:p>
      <w:pPr>
        <w:jc w:val="both"/>
        <w:ind w:firstLine="789"/>
        <w:spacing w:after="0" w:line="250" w:lineRule="auto"/>
        <w:tabs>
          <w:tab w:leader="none" w:pos="1676"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3.02</w:t>
      </w:r>
      <w:r>
        <w:rPr>
          <w:sz w:val="20"/>
          <w:szCs w:val="20"/>
          <w:color w:val="auto"/>
        </w:rPr>
        <w:tab/>
      </w:r>
      <w:r>
        <w:rPr>
          <w:rFonts w:ascii="Arial" w:cs="Arial" w:eastAsia="Arial" w:hAnsi="Arial"/>
          <w:sz w:val="18"/>
          <w:szCs w:val="18"/>
          <w:b w:val="1"/>
          <w:bCs w:val="1"/>
          <w:u w:val="single" w:color="auto"/>
          <w:color w:val="auto"/>
        </w:rPr>
        <w:t>Illegality.</w:t>
      </w:r>
    </w:p>
    <w:p>
      <w:pPr>
        <w:spacing w:after="0" w:line="222" w:lineRule="exact"/>
        <w:rPr>
          <w:sz w:val="20"/>
          <w:szCs w:val="20"/>
          <w:color w:val="auto"/>
        </w:rPr>
      </w:pPr>
    </w:p>
    <w:p>
      <w:pPr>
        <w:jc w:val="both"/>
        <w:ind w:firstLine="797"/>
        <w:spacing w:after="0" w:line="268" w:lineRule="auto"/>
        <w:rPr>
          <w:sz w:val="20"/>
          <w:szCs w:val="20"/>
          <w:color w:val="auto"/>
        </w:rPr>
      </w:pPr>
      <w:r>
        <w:rPr>
          <w:rFonts w:ascii="Arial" w:cs="Arial" w:eastAsia="Arial" w:hAnsi="Arial"/>
          <w:sz w:val="18"/>
          <w:szCs w:val="18"/>
          <w:color w:val="auto"/>
        </w:rPr>
        <w:t xml:space="preserve">If any Lender determines that any Law has made it unlawful, or that any Governmental Authority has asserted that it is unlawful, for any Lender or its Lending Office to make, maintain or fund or charge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upon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(B)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8"/>
          <w:szCs w:val="18"/>
          <w:b w:val="1"/>
          <w:bCs w:val="1"/>
          <w:u w:val="single" w:color="auto"/>
          <w:color w:val="auto"/>
        </w:rPr>
        <w:t>Inability to Determine Rates.</w:t>
      </w:r>
    </w:p>
    <w:p>
      <w:pPr>
        <w:spacing w:after="0" w:line="222" w:lineRule="exact"/>
        <w:rPr>
          <w:sz w:val="20"/>
          <w:szCs w:val="20"/>
          <w:color w:val="auto"/>
        </w:rPr>
      </w:pPr>
    </w:p>
    <w:p>
      <w:pPr>
        <w:jc w:val="both"/>
        <w:ind w:firstLine="789"/>
        <w:spacing w:after="0" w:line="263" w:lineRule="auto"/>
        <w:tabs>
          <w:tab w:leader="none" w:pos="166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in connection with any request for a Eurodollar Rate Loan or a conversion to or continuation thereof, (i) the Administrative Agent determines that (A) deposits not being offered to banks in the London interbank eurodollar market for the applicable amount and Interest Period of such Eurodollar Rate Loan, or (B) (1) adequate and reasonable means do not exist for determining the Eurodollar Rate for any requested Interest Period with respect to a proposed</w:t>
      </w:r>
    </w:p>
    <w:p>
      <w:pPr>
        <w:spacing w:after="0" w:line="17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62" w:name="page163"/>
    <w:bookmarkEnd w:id="162"/>
    <w:p>
      <w:pPr>
        <w:jc w:val="both"/>
        <w:spacing w:after="0" w:line="270" w:lineRule="auto"/>
        <w:rPr>
          <w:sz w:val="20"/>
          <w:szCs w:val="20"/>
          <w:color w:val="auto"/>
        </w:rPr>
      </w:pPr>
      <w:r>
        <w:rPr>
          <w:rFonts w:ascii="Arial" w:cs="Arial" w:eastAsia="Arial" w:hAnsi="Arial"/>
          <w:sz w:val="18"/>
          <w:szCs w:val="18"/>
          <w:color w:val="auto"/>
        </w:rPr>
        <w:t xml:space="preserve">Eurodollar Rate Loan or in connection with an existing or proposed Base Rate Loan and (2) the circumstances described in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do not apply (in each case with respect to this </w:t>
      </w:r>
      <w:r>
        <w:rPr>
          <w:rFonts w:ascii="Arial" w:cs="Arial" w:eastAsia="Arial" w:hAnsi="Arial"/>
          <w:sz w:val="18"/>
          <w:szCs w:val="18"/>
          <w:u w:val="single" w:color="auto"/>
          <w:color w:val="auto"/>
        </w:rPr>
        <w:t>clause (i</w:t>
      </w:r>
      <w:r>
        <w:rPr>
          <w:rFonts w:ascii="Arial" w:cs="Arial" w:eastAsia="Arial" w:hAnsi="Arial"/>
          <w:sz w:val="18"/>
          <w:szCs w:val="18"/>
          <w:color w:val="auto"/>
        </w:rPr>
        <w:t>), “</w:t>
      </w:r>
      <w:r>
        <w:rPr>
          <w:rFonts w:ascii="Arial" w:cs="Arial" w:eastAsia="Arial" w:hAnsi="Arial"/>
          <w:sz w:val="18"/>
          <w:szCs w:val="18"/>
          <w:i w:val="1"/>
          <w:iCs w:val="1"/>
          <w:u w:val="single" w:color="auto"/>
          <w:color w:val="auto"/>
        </w:rPr>
        <w:t>Impacted Loans</w:t>
      </w:r>
      <w:r>
        <w:rPr>
          <w:rFonts w:ascii="Arial" w:cs="Arial" w:eastAsia="Arial" w:hAnsi="Arial"/>
          <w:sz w:val="18"/>
          <w:szCs w:val="18"/>
          <w:color w:val="auto"/>
        </w:rPr>
        <w:t xml:space="preserve">”), or (ii) the Administrative Agent or the Required Lenders determine that for any reason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(or, in the case of a determination by the Required Lenders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3.03(a</w:t>
      </w:r>
      <w:r>
        <w:rPr>
          <w:rFonts w:ascii="Arial" w:cs="Arial" w:eastAsia="Arial" w:hAnsi="Arial"/>
          <w:sz w:val="18"/>
          <w:szCs w:val="18"/>
          <w:color w:val="auto"/>
        </w:rPr>
        <w:t>), until the Administrative Agent upon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72" w:lineRule="exact"/>
        <w:rPr>
          <w:sz w:val="20"/>
          <w:szCs w:val="20"/>
          <w:color w:val="auto"/>
        </w:rPr>
      </w:pPr>
    </w:p>
    <w:p>
      <w:pPr>
        <w:jc w:val="both"/>
        <w:ind w:firstLine="789"/>
        <w:spacing w:after="0" w:line="255" w:lineRule="auto"/>
        <w:tabs>
          <w:tab w:leader="none" w:pos="167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Administrative Agent has made the determination described in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 Administrative Agent in consultation with the Borrower,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3.03</w:t>
      </w:r>
      <w:r>
        <w:rPr>
          <w:rFonts w:ascii="Arial" w:cs="Arial" w:eastAsia="Arial" w:hAnsi="Arial"/>
          <w:sz w:val="19"/>
          <w:szCs w:val="19"/>
          <w:color w:val="auto"/>
        </w:rPr>
        <w:t>, (ii) the Administrative Agent or the Required Lenders notify the Administrative Agent and the Borrower that such alternative 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r>
        <w:rPr>
          <w:rFonts w:ascii="Arial" w:cs="Arial" w:eastAsia="Arial" w:hAnsi="Arial"/>
          <w:sz w:val="15"/>
          <w:szCs w:val="15"/>
          <w:color w:val="auto"/>
        </w:rPr>
        <w:t>.</w:t>
      </w:r>
    </w:p>
    <w:p>
      <w:pPr>
        <w:spacing w:after="0" w:line="186" w:lineRule="exact"/>
        <w:rPr>
          <w:rFonts w:ascii="Arial" w:cs="Arial" w:eastAsia="Arial" w:hAnsi="Arial"/>
          <w:sz w:val="19"/>
          <w:szCs w:val="19"/>
          <w:color w:val="auto"/>
        </w:rPr>
      </w:pPr>
    </w:p>
    <w:p>
      <w:pPr>
        <w:ind w:left="1660" w:hanging="871"/>
        <w:spacing w:after="0"/>
        <w:tabs>
          <w:tab w:leader="none" w:pos="16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w:t>
      </w:r>
    </w:p>
    <w:p>
      <w:pPr>
        <w:spacing w:after="0" w:line="215" w:lineRule="exact"/>
        <w:rPr>
          <w:rFonts w:ascii="Arial" w:cs="Arial" w:eastAsia="Arial" w:hAnsi="Arial"/>
          <w:sz w:val="20"/>
          <w:szCs w:val="20"/>
          <w:color w:val="auto"/>
        </w:rPr>
      </w:pPr>
    </w:p>
    <w:p>
      <w:pPr>
        <w:jc w:val="both"/>
        <w:ind w:left="860" w:firstLine="726"/>
        <w:spacing w:after="0" w:line="255" w:lineRule="auto"/>
        <w:tabs>
          <w:tab w:leader="none" w:pos="242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On March 5, 2021 the Financial Conduct Authority (“</w:t>
      </w:r>
      <w:r>
        <w:rPr>
          <w:rFonts w:ascii="Arial" w:cs="Arial" w:eastAsia="Arial" w:hAnsi="Arial"/>
          <w:sz w:val="19"/>
          <w:szCs w:val="19"/>
          <w:i w:val="1"/>
          <w:iCs w:val="1"/>
          <w:u w:val="single" w:color="auto"/>
          <w:color w:val="auto"/>
        </w:rPr>
        <w:t>FCA</w:t>
      </w:r>
      <w:r>
        <w:rPr>
          <w:rFonts w:ascii="Arial" w:cs="Arial" w:eastAsia="Arial" w:hAnsi="Arial"/>
          <w:sz w:val="19"/>
          <w:szCs w:val="19"/>
          <w:color w:val="auto"/>
        </w:rPr>
        <w:t>”), the regulatory supervisor of LIBOR’s administrator (“</w:t>
      </w:r>
      <w:r>
        <w:rPr>
          <w:rFonts w:ascii="Arial" w:cs="Arial" w:eastAsia="Arial" w:hAnsi="Arial"/>
          <w:sz w:val="19"/>
          <w:szCs w:val="19"/>
          <w:i w:val="1"/>
          <w:iCs w:val="1"/>
          <w:u w:val="single" w:color="auto"/>
          <w:color w:val="auto"/>
        </w:rPr>
        <w:t>IBA</w:t>
      </w:r>
      <w:r>
        <w:rPr>
          <w:rFonts w:ascii="Arial" w:cs="Arial" w:eastAsia="Arial" w:hAnsi="Arial"/>
          <w:sz w:val="19"/>
          <w:szCs w:val="19"/>
          <w:color w:val="auto"/>
        </w:rPr>
        <w:t>”), announced in a public statement the future cessation or loss of representativeness of overnight/Spot Next, 1-week, 1-month,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18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63" w:name="page164"/>
    <w:bookmarkEnd w:id="163"/>
    <w:p>
      <w:pPr>
        <w:jc w:val="both"/>
        <w:ind w:left="620" w:firstLine="726"/>
        <w:spacing w:after="0" w:line="271" w:lineRule="auto"/>
        <w:tabs>
          <w:tab w:leader="none" w:pos="2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w:t>
      </w:r>
      <w:r>
        <w:rPr>
          <w:rFonts w:ascii="Arial" w:cs="Arial" w:eastAsia="Arial" w:hAnsi="Arial"/>
          <w:sz w:val="11"/>
          <w:szCs w:val="11"/>
          <w:color w:val="auto"/>
        </w:rPr>
        <w:t>th</w:t>
      </w:r>
      <w:r>
        <w:rPr>
          <w:rFonts w:ascii="Arial" w:cs="Arial" w:eastAsia="Arial" w:hAnsi="Arial"/>
          <w:sz w:val="18"/>
          <w:szCs w:val="18"/>
          <w:color w:val="auto"/>
        </w:rPr>
        <w:t xml:space="preserve">)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in the event that the then-current Benchmark at the time of such Benchmark Transition Event is not a SOFR-based rate, the Benchmark Replacement therefor shall be determined in accordance with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the definition of Benchmark Replacement unless the Administrative Agent determines that neither of such alternative rates is available.</w:t>
      </w:r>
    </w:p>
    <w:p>
      <w:pPr>
        <w:spacing w:after="0" w:line="169" w:lineRule="exact"/>
        <w:rPr>
          <w:rFonts w:ascii="Arial" w:cs="Arial" w:eastAsia="Arial" w:hAnsi="Arial"/>
          <w:sz w:val="18"/>
          <w:szCs w:val="18"/>
          <w:color w:val="auto"/>
        </w:rPr>
      </w:pPr>
    </w:p>
    <w:p>
      <w:pPr>
        <w:jc w:val="both"/>
        <w:ind w:left="620" w:firstLine="1457"/>
        <w:spacing w:after="0" w:line="246" w:lineRule="auto"/>
        <w:tabs>
          <w:tab w:leader="none" w:pos="2461" w:val="left"/>
        </w:tabs>
        <w:numPr>
          <w:ilvl w:val="1"/>
          <w:numId w:val="136"/>
        </w:numPr>
        <w:rPr>
          <w:rFonts w:ascii="Arial" w:cs="Arial" w:eastAsia="Arial" w:hAnsi="Arial"/>
          <w:sz w:val="20"/>
          <w:szCs w:val="20"/>
          <w:color w:val="auto"/>
        </w:rPr>
      </w:pPr>
      <w:r>
        <w:rPr>
          <w:rFonts w:ascii="Arial" w:cs="Arial" w:eastAsia="Arial" w:hAnsi="Arial"/>
          <w:sz w:val="20"/>
          <w:szCs w:val="20"/>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91" w:lineRule="exact"/>
        <w:rPr>
          <w:sz w:val="20"/>
          <w:szCs w:val="20"/>
          <w:color w:val="auto"/>
        </w:rPr>
      </w:pPr>
    </w:p>
    <w:p>
      <w:pPr>
        <w:jc w:val="both"/>
        <w:ind w:left="620" w:firstLine="726"/>
        <w:spacing w:after="0" w:line="271" w:lineRule="auto"/>
        <w:tabs>
          <w:tab w:leader="none" w:pos="22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73" w:lineRule="exact"/>
        <w:rPr>
          <w:rFonts w:ascii="Arial" w:cs="Arial" w:eastAsia="Arial" w:hAnsi="Arial"/>
          <w:sz w:val="18"/>
          <w:szCs w:val="18"/>
          <w:color w:val="auto"/>
        </w:rPr>
      </w:pPr>
    </w:p>
    <w:p>
      <w:pPr>
        <w:jc w:val="both"/>
        <w:ind w:left="620" w:firstLine="726"/>
        <w:spacing w:after="0" w:line="244" w:lineRule="auto"/>
        <w:tabs>
          <w:tab w:leader="none" w:pos="228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94" w:lineRule="exact"/>
        <w:rPr>
          <w:rFonts w:ascii="Arial" w:cs="Arial" w:eastAsia="Arial" w:hAnsi="Arial"/>
          <w:sz w:val="20"/>
          <w:szCs w:val="20"/>
          <w:color w:val="auto"/>
        </w:rPr>
      </w:pPr>
    </w:p>
    <w:p>
      <w:pPr>
        <w:jc w:val="both"/>
        <w:ind w:left="620" w:firstLine="726"/>
        <w:spacing w:after="0" w:line="243" w:lineRule="auto"/>
        <w:tabs>
          <w:tab w:leader="none" w:pos="222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 including any determination with respect to a tenor, rate or adjustment or of the occurrence or non-occurrence of an event, circumstance or date and any decision to take or refrain from taking any action, will be conclusive and binding absent manifest error and</w:t>
      </w:r>
    </w:p>
    <w:p>
      <w:pPr>
        <w:spacing w:after="0" w:line="1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82" w:right="339" w:bottom="1440" w:gutter="0" w:footer="0" w:header="0"/>
        </w:sectPr>
      </w:pPr>
    </w:p>
    <w:bookmarkStart w:id="164" w:name="page165"/>
    <w:bookmarkEnd w:id="164"/>
    <w:p>
      <w:pPr>
        <w:ind w:left="860"/>
        <w:spacing w:after="0" w:line="260" w:lineRule="auto"/>
        <w:rPr>
          <w:sz w:val="20"/>
          <w:szCs w:val="20"/>
          <w:color w:val="auto"/>
        </w:rPr>
      </w:pPr>
      <w:r>
        <w:rPr>
          <w:rFonts w:ascii="Arial" w:cs="Arial" w:eastAsia="Arial" w:hAnsi="Arial"/>
          <w:sz w:val="20"/>
          <w:szCs w:val="20"/>
          <w:color w:val="auto"/>
        </w:rPr>
        <w:t xml:space="preserve">may be made in its sole discretion and without consent from any other party hereto, except, in each case, as expressly required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7" w:lineRule="exact"/>
        <w:rPr>
          <w:sz w:val="20"/>
          <w:szCs w:val="20"/>
          <w:color w:val="auto"/>
        </w:rPr>
      </w:pPr>
    </w:p>
    <w:p>
      <w:pPr>
        <w:jc w:val="both"/>
        <w:ind w:left="860" w:firstLine="726"/>
        <w:spacing w:after="0" w:line="244" w:lineRule="auto"/>
        <w:tabs>
          <w:tab w:leader="none" w:pos="252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6"/>
          <w:szCs w:val="16"/>
          <w:b w:val="1"/>
          <w:bCs w:val="1"/>
          <w:u w:val="single" w:color="auto"/>
          <w:color w:val="auto"/>
        </w:rPr>
        <w:t>Increased Costs; Reserves on Eurodollar Rate Loans.</w:t>
      </w:r>
    </w:p>
    <w:p>
      <w:pPr>
        <w:spacing w:after="0" w:line="222" w:lineRule="exact"/>
        <w:rPr>
          <w:sz w:val="20"/>
          <w:szCs w:val="20"/>
          <w:color w:val="auto"/>
        </w:rPr>
      </w:pPr>
    </w:p>
    <w:p>
      <w:pPr>
        <w:ind w:left="1660" w:hanging="871"/>
        <w:spacing w:after="0"/>
        <w:tabs>
          <w:tab w:leader="none" w:pos="166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860" w:firstLine="726"/>
        <w:spacing w:after="0" w:line="291" w:lineRule="auto"/>
        <w:tabs>
          <w:tab w:leader="none" w:pos="24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w:t>
      </w:r>
    </w:p>
    <w:p>
      <w:pPr>
        <w:spacing w:after="0" w:line="151" w:lineRule="exact"/>
        <w:rPr>
          <w:rFonts w:ascii="Arial" w:cs="Arial" w:eastAsia="Arial" w:hAnsi="Arial"/>
          <w:sz w:val="18"/>
          <w:szCs w:val="18"/>
          <w:color w:val="auto"/>
        </w:rPr>
      </w:pPr>
    </w:p>
    <w:p>
      <w:pPr>
        <w:jc w:val="both"/>
        <w:ind w:left="860" w:firstLine="726"/>
        <w:spacing w:after="0" w:line="246" w:lineRule="auto"/>
        <w:tabs>
          <w:tab w:leader="none" w:pos="248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 xml:space="preserve">subject any Recipient to any Taxes (other than (A) Indemnified Taxes, (B) Taxes described in </w:t>
      </w:r>
      <w:r>
        <w:rPr>
          <w:rFonts w:ascii="Arial" w:cs="Arial" w:eastAsia="Arial" w:hAnsi="Arial"/>
          <w:sz w:val="20"/>
          <w:szCs w:val="20"/>
          <w:u w:val="single" w:color="auto"/>
          <w:color w:val="auto"/>
        </w:rPr>
        <w:t>clauses (b</w:t>
      </w:r>
      <w:r>
        <w:rPr>
          <w:rFonts w:ascii="Arial" w:cs="Arial" w:eastAsia="Arial" w:hAnsi="Arial"/>
          <w:sz w:val="20"/>
          <w:szCs w:val="20"/>
          <w:color w:val="auto"/>
        </w:rPr>
        <w:t>) through (</w:t>
      </w:r>
      <w:r>
        <w:rPr>
          <w:rFonts w:ascii="Arial" w:cs="Arial" w:eastAsia="Arial" w:hAnsi="Arial"/>
          <w:sz w:val="20"/>
          <w:szCs w:val="20"/>
          <w:u w:val="single" w:color="auto"/>
          <w:color w:val="auto"/>
        </w:rPr>
        <w:t>d</w:t>
      </w:r>
      <w:r>
        <w:rPr>
          <w:rFonts w:ascii="Arial" w:cs="Arial" w:eastAsia="Arial" w:hAnsi="Arial"/>
          <w:sz w:val="20"/>
          <w:szCs w:val="20"/>
          <w:color w:val="auto"/>
        </w:rPr>
        <w:t>) of the definition of Excluded Taxes and (C) Connection Income Taxes) on its loans, loan principal, letters of credit, commitments, or other obligations, or its deposits, reserves, other liabilities or capital attributable thereto; or</w:t>
      </w:r>
    </w:p>
    <w:p>
      <w:pPr>
        <w:spacing w:after="0" w:line="191" w:lineRule="exact"/>
        <w:rPr>
          <w:rFonts w:ascii="Arial" w:cs="Arial" w:eastAsia="Arial" w:hAnsi="Arial"/>
          <w:sz w:val="20"/>
          <w:szCs w:val="20"/>
          <w:color w:val="auto"/>
        </w:rPr>
      </w:pPr>
    </w:p>
    <w:p>
      <w:pPr>
        <w:jc w:val="both"/>
        <w:ind w:left="860" w:firstLine="726"/>
        <w:spacing w:after="0" w:line="250" w:lineRule="auto"/>
        <w:tabs>
          <w:tab w:leader="none" w:pos="2535" w:val="left"/>
        </w:tabs>
        <w:numPr>
          <w:ilvl w:val="1"/>
          <w:numId w:val="139"/>
        </w:numPr>
        <w:rPr>
          <w:rFonts w:ascii="Arial" w:cs="Arial" w:eastAsia="Arial" w:hAnsi="Arial"/>
          <w:sz w:val="20"/>
          <w:szCs w:val="20"/>
          <w:color w:val="auto"/>
        </w:rPr>
      </w:pPr>
      <w:r>
        <w:rPr>
          <w:rFonts w:ascii="Arial" w:cs="Arial" w:eastAsia="Arial" w:hAnsi="Arial"/>
          <w:sz w:val="20"/>
          <w:szCs w:val="20"/>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85" w:lineRule="exact"/>
        <w:rPr>
          <w:sz w:val="20"/>
          <w:szCs w:val="20"/>
          <w:color w:val="auto"/>
        </w:rPr>
      </w:pPr>
    </w:p>
    <w:p>
      <w:pPr>
        <w:jc w:val="both"/>
        <w:ind w:firstLine="789"/>
        <w:spacing w:after="0" w:line="255" w:lineRule="auto"/>
        <w:tabs>
          <w:tab w:leader="none" w:pos="1676"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w:t>
      </w:r>
    </w:p>
    <w:p>
      <w:pPr>
        <w:spacing w:after="0" w:line="19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65" w:name="page166"/>
    <w:bookmarkEnd w:id="165"/>
    <w:p>
      <w:pPr>
        <w:ind w:left="880"/>
        <w:spacing w:after="0" w:line="260" w:lineRule="auto"/>
        <w:rPr>
          <w:sz w:val="20"/>
          <w:szCs w:val="20"/>
          <w:color w:val="auto"/>
        </w:rPr>
      </w:pPr>
      <w:r>
        <w:rPr>
          <w:rFonts w:ascii="Arial" w:cs="Arial" w:eastAsia="Arial" w:hAnsi="Arial"/>
          <w:sz w:val="20"/>
          <w:szCs w:val="20"/>
          <w:color w:val="auto"/>
        </w:rPr>
        <w:t>amounts as will compensate such Lender or the L/C Issuer or such Lender’s or the L/C Issuer’s holding company for any such reduction suffered.</w:t>
      </w:r>
    </w:p>
    <w:p>
      <w:pPr>
        <w:spacing w:after="0" w:line="177" w:lineRule="exact"/>
        <w:rPr>
          <w:sz w:val="20"/>
          <w:szCs w:val="20"/>
          <w:color w:val="auto"/>
        </w:rPr>
      </w:pPr>
    </w:p>
    <w:p>
      <w:pPr>
        <w:jc w:val="both"/>
        <w:ind w:left="880" w:firstLine="789"/>
        <w:spacing w:after="0" w:line="244" w:lineRule="auto"/>
        <w:tabs>
          <w:tab w:leader="none" w:pos="2545"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xml:space="preserve">. A certificate of a Lender or the L/C Issuer setting forth the amount or amounts necessary to compensate such Lender or the L/C Issuer or its holding company, as the case may be, as specified in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w:t>
      </w:r>
      <w:r>
        <w:rPr>
          <w:rFonts w:ascii="Arial" w:cs="Arial" w:eastAsia="Arial" w:hAnsi="Arial"/>
          <w:sz w:val="20"/>
          <w:szCs w:val="20"/>
          <w:color w:val="auto"/>
        </w:rPr>
        <w:t>)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194" w:lineRule="exact"/>
        <w:rPr>
          <w:rFonts w:ascii="Arial" w:cs="Arial" w:eastAsia="Arial" w:hAnsi="Arial"/>
          <w:sz w:val="20"/>
          <w:szCs w:val="20"/>
          <w:color w:val="auto"/>
        </w:rPr>
      </w:pPr>
    </w:p>
    <w:p>
      <w:pPr>
        <w:jc w:val="both"/>
        <w:ind w:left="880" w:firstLine="789"/>
        <w:spacing w:after="0" w:line="270" w:lineRule="auto"/>
        <w:tabs>
          <w:tab w:leader="none" w:pos="255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Borrower shall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central banking or financial regulatory authority imposed in respect of the maintenance of the Commitments or the funding of the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provided the Borrower shall have received at least ten (10) days’ prior notice (with a copy to the Administrative Agent) of such additional interest or costs from such Lender. If a Lender fails to give notice ten (10) days prior to the relevant Interest Payment Date, such additional interest shall be due and payable ten (10) days from receipt of such notice.</w:t>
      </w:r>
    </w:p>
    <w:p>
      <w:pPr>
        <w:spacing w:after="0" w:line="172" w:lineRule="exact"/>
        <w:rPr>
          <w:rFonts w:ascii="Arial" w:cs="Arial" w:eastAsia="Arial" w:hAnsi="Arial"/>
          <w:sz w:val="18"/>
          <w:szCs w:val="18"/>
          <w:color w:val="auto"/>
        </w:rPr>
      </w:pPr>
    </w:p>
    <w:p>
      <w:pPr>
        <w:jc w:val="both"/>
        <w:ind w:left="880" w:firstLine="789"/>
        <w:spacing w:after="0" w:line="273" w:lineRule="auto"/>
        <w:tabs>
          <w:tab w:leader="none" w:pos="254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for any increased costs incurred or reductions suffered more than six (6)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3.05</w:t>
      </w:r>
      <w:r>
        <w:rPr>
          <w:sz w:val="20"/>
          <w:szCs w:val="20"/>
          <w:color w:val="auto"/>
        </w:rPr>
        <w:tab/>
      </w:r>
      <w:r>
        <w:rPr>
          <w:rFonts w:ascii="Arial" w:cs="Arial" w:eastAsia="Arial" w:hAnsi="Arial"/>
          <w:sz w:val="16"/>
          <w:szCs w:val="16"/>
          <w:b w:val="1"/>
          <w:bCs w:val="1"/>
          <w:u w:val="single" w:color="auto"/>
          <w:color w:val="auto"/>
        </w:rPr>
        <w:t>Compensation for Losses.</w:t>
      </w:r>
    </w:p>
    <w:p>
      <w:pPr>
        <w:spacing w:after="0" w:line="222"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77" w:lineRule="exact"/>
        <w:rPr>
          <w:sz w:val="20"/>
          <w:szCs w:val="20"/>
          <w:color w:val="auto"/>
        </w:rPr>
      </w:pPr>
    </w:p>
    <w:p>
      <w:pPr>
        <w:jc w:val="both"/>
        <w:ind w:left="880" w:firstLine="789"/>
        <w:spacing w:after="0" w:line="250" w:lineRule="auto"/>
        <w:tabs>
          <w:tab w:leader="none" w:pos="2545"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6" w:name="page167"/>
    <w:bookmarkEnd w:id="166"/>
    <w:p>
      <w:pPr>
        <w:ind w:left="880" w:firstLine="789"/>
        <w:spacing w:after="0" w:line="316" w:lineRule="auto"/>
        <w:tabs>
          <w:tab w:leader="none" w:pos="255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29" w:lineRule="exact"/>
        <w:rPr>
          <w:rFonts w:ascii="Arial" w:cs="Arial" w:eastAsia="Arial" w:hAnsi="Arial"/>
          <w:sz w:val="18"/>
          <w:szCs w:val="18"/>
          <w:color w:val="auto"/>
        </w:rPr>
      </w:pPr>
    </w:p>
    <w:p>
      <w:pPr>
        <w:ind w:left="880" w:right="20" w:firstLine="789"/>
        <w:spacing w:after="0" w:line="260" w:lineRule="auto"/>
        <w:tabs>
          <w:tab w:leader="none" w:pos="2545"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excluding any loss of anticipated profits but including any loss or expense arising from the liquidation or reemployment of funds obtained by it to maintain such Loan or from fees payable to terminate the deposits from which such funds were obtained. The Borrower shall also pay customary administrative fees charged by such Lender in connection with the foregoing. A certificate as to any additional amount payable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submitted to the Borrower by any Lender (with a copy to the Administrative Agent), and showing in reasonable detail the basis for the calculation thereof, shall be conclusive, absent manifest error.</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for such Loan by a matching deposit or other borrowing in the London interbank market for a comparable amount and for a comparable period, whether or not such Eurodollar Rate Loan was in fact so funded.</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6"/>
          <w:szCs w:val="16"/>
          <w:b w:val="1"/>
          <w:bCs w:val="1"/>
          <w:u w:val="single" w:color="auto"/>
          <w:color w:val="auto"/>
        </w:rPr>
        <w:t>Mitigation Obligations; Replacement of Lenders.</w:t>
      </w:r>
    </w:p>
    <w:p>
      <w:pPr>
        <w:spacing w:after="0" w:line="222" w:lineRule="exact"/>
        <w:rPr>
          <w:sz w:val="20"/>
          <w:szCs w:val="20"/>
          <w:color w:val="auto"/>
        </w:rPr>
      </w:pPr>
    </w:p>
    <w:p>
      <w:pPr>
        <w:jc w:val="both"/>
        <w:ind w:left="880" w:firstLine="789"/>
        <w:spacing w:after="0" w:line="269" w:lineRule="auto"/>
        <w:tabs>
          <w:tab w:leader="none" w:pos="2545"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requires the Borrower to pay any Indemnified Taxes or additional amounts to any Lender, the L/C Issuer, or any Governmental Authority for the account of any Lender or the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w:t>
      </w:r>
    </w:p>
    <w:p>
      <w:pPr>
        <w:spacing w:after="0" w:line="1" w:lineRule="exact"/>
        <w:rPr>
          <w:rFonts w:ascii="Arial" w:cs="Arial" w:eastAsia="Arial" w:hAnsi="Arial"/>
          <w:sz w:val="18"/>
          <w:szCs w:val="18"/>
          <w:color w:val="auto"/>
        </w:rPr>
      </w:pPr>
    </w:p>
    <w:p>
      <w:pPr>
        <w:jc w:val="both"/>
        <w:ind w:left="880" w:hanging="8"/>
        <w:spacing w:after="0" w:line="256" w:lineRule="auto"/>
        <w:tabs>
          <w:tab w:leader="none" w:pos="112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82" w:lineRule="exact"/>
        <w:rPr>
          <w:rFonts w:ascii="Arial" w:cs="Arial" w:eastAsia="Arial" w:hAnsi="Arial"/>
          <w:sz w:val="19"/>
          <w:szCs w:val="19"/>
          <w:color w:val="auto"/>
        </w:rPr>
      </w:pPr>
    </w:p>
    <w:p>
      <w:pPr>
        <w:jc w:val="both"/>
        <w:ind w:left="880" w:firstLine="789"/>
        <w:spacing w:after="0" w:line="282" w:lineRule="auto"/>
        <w:tabs>
          <w:tab w:leader="none" w:pos="2556"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5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3.07</w:t>
      </w:r>
      <w:r>
        <w:rPr>
          <w:sz w:val="20"/>
          <w:szCs w:val="20"/>
          <w:color w:val="auto"/>
        </w:rPr>
        <w:tab/>
      </w:r>
      <w:r>
        <w:rPr>
          <w:rFonts w:ascii="Arial" w:cs="Arial" w:eastAsia="Arial" w:hAnsi="Arial"/>
          <w:sz w:val="18"/>
          <w:szCs w:val="18"/>
          <w:b w:val="1"/>
          <w:bCs w:val="1"/>
          <w:u w:val="single" w:color="auto"/>
          <w:color w:val="auto"/>
        </w:rPr>
        <w:t>Survival.</w:t>
      </w:r>
    </w:p>
    <w:p>
      <w:pPr>
        <w:spacing w:after="0" w:line="222"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 xml:space="preserve">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Commitments, repayment of all other Obligations hereunder, resignation of the Administrative Agent and the Facility Termination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7" w:name="page168"/>
    <w:bookmarkEnd w:id="167"/>
    <w:p>
      <w:pPr>
        <w:ind w:left="4720"/>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ind w:left="3120"/>
        <w:spacing w:after="0"/>
        <w:rPr>
          <w:sz w:val="20"/>
          <w:szCs w:val="20"/>
          <w:color w:val="auto"/>
        </w:rPr>
      </w:pPr>
      <w:r>
        <w:rPr>
          <w:rFonts w:ascii="Arial" w:cs="Arial" w:eastAsia="Arial" w:hAnsi="Arial"/>
          <w:sz w:val="20"/>
          <w:szCs w:val="20"/>
          <w:b w:val="1"/>
          <w:bCs w:val="1"/>
          <w:u w:val="single" w:color="auto"/>
          <w:color w:val="auto"/>
        </w:rPr>
        <w:t>CONDITIONS PRECEDENT TO CREDIT EXTENSIONS</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8"/>
          <w:szCs w:val="18"/>
          <w:b w:val="1"/>
          <w:bCs w:val="1"/>
          <w:u w:val="single" w:color="auto"/>
          <w:color w:val="auto"/>
        </w:rPr>
        <w:t>Conditions of Initial Credit Extension.</w:t>
      </w:r>
    </w:p>
    <w:p>
      <w:pPr>
        <w:spacing w:after="0" w:line="222"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The obligation of the L/C Issuer and each Lender to make its initial Credit Extension hereunder is subject to satisfaction of the following conditions precedent:</w:t>
      </w:r>
    </w:p>
    <w:p>
      <w:pPr>
        <w:spacing w:after="0" w:line="177" w:lineRule="exact"/>
        <w:rPr>
          <w:sz w:val="20"/>
          <w:szCs w:val="20"/>
          <w:color w:val="auto"/>
        </w:rPr>
      </w:pPr>
    </w:p>
    <w:p>
      <w:pPr>
        <w:ind w:left="1660"/>
        <w:spacing w:after="0"/>
        <w:tabs>
          <w:tab w:leader="none" w:pos="25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Execution  of  Credit  Agreement;  Loan  Documents</w:t>
      </w:r>
      <w:r>
        <w:rPr>
          <w:rFonts w:ascii="Arial" w:cs="Arial" w:eastAsia="Arial" w:hAnsi="Arial"/>
          <w:sz w:val="19"/>
          <w:szCs w:val="19"/>
          <w:color w:val="auto"/>
        </w:rPr>
        <w:t>.  The  Administrative  Agent  shall  have  received</w:t>
      </w:r>
    </w:p>
    <w:p>
      <w:pPr>
        <w:spacing w:after="0" w:line="27" w:lineRule="exact"/>
        <w:rPr>
          <w:sz w:val="20"/>
          <w:szCs w:val="20"/>
          <w:color w:val="auto"/>
        </w:rPr>
      </w:pPr>
    </w:p>
    <w:p>
      <w:pPr>
        <w:jc w:val="both"/>
        <w:ind w:left="880" w:hanging="8"/>
        <w:spacing w:after="0" w:line="266" w:lineRule="auto"/>
        <w:tabs>
          <w:tab w:leader="none" w:pos="113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counterparts of this Agreement, executed by a Responsible Officer of each Loan Party and a duly authorized officer of each Lender, (ii) for the account of each Lender requesting a Note, a Note executed by a Responsible Officer of the Borrower,</w:t>
      </w:r>
    </w:p>
    <w:p>
      <w:pPr>
        <w:jc w:val="both"/>
        <w:ind w:left="880" w:hanging="8"/>
        <w:spacing w:after="0" w:line="276" w:lineRule="auto"/>
        <w:tabs>
          <w:tab w:leader="none" w:pos="12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counterparts of the Security Agreement and each other Collateral Document required to be executed on the Closing Date, executed by a Responsible Officer of the applicable Loan Parties and a duly authorized officer of each other Person party thereto, as applicable and (iv) counterparts of any other Loan Document required to be executed on the Closing Date, executed by a Responsible Officer of the applicable Loan Party and a duly authorized officer of each other Person party thereto</w:t>
      </w:r>
      <w:r>
        <w:rPr>
          <w:rFonts w:ascii="Arial" w:cs="Arial" w:eastAsia="Arial" w:hAnsi="Arial"/>
          <w:sz w:val="18"/>
          <w:szCs w:val="18"/>
          <w:color w:val="7030A0"/>
        </w:rPr>
        <w:t>.</w:t>
      </w:r>
    </w:p>
    <w:p>
      <w:pPr>
        <w:spacing w:after="0" w:line="165" w:lineRule="exact"/>
        <w:rPr>
          <w:rFonts w:ascii="Arial" w:cs="Arial" w:eastAsia="Arial" w:hAnsi="Arial"/>
          <w:sz w:val="18"/>
          <w:szCs w:val="18"/>
          <w:color w:val="auto"/>
        </w:rPr>
      </w:pPr>
    </w:p>
    <w:p>
      <w:pPr>
        <w:jc w:val="both"/>
        <w:ind w:left="880" w:firstLine="789"/>
        <w:spacing w:after="0" w:line="260" w:lineRule="auto"/>
        <w:tabs>
          <w:tab w:leader="none" w:pos="2556"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The Administrative Agent shall have received a certificate delivered by a Responsible Officer of each Loan Party, dated the Closing Date, 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spacing w:after="0" w:line="180" w:lineRule="exact"/>
        <w:rPr>
          <w:rFonts w:ascii="Arial" w:cs="Arial" w:eastAsia="Arial" w:hAnsi="Arial"/>
          <w:sz w:val="19"/>
          <w:szCs w:val="19"/>
          <w:color w:val="auto"/>
        </w:rPr>
      </w:pPr>
    </w:p>
    <w:p>
      <w:pPr>
        <w:jc w:val="both"/>
        <w:ind w:left="880" w:firstLine="789"/>
        <w:spacing w:after="0" w:line="250" w:lineRule="auto"/>
        <w:tabs>
          <w:tab w:leader="none" w:pos="2545"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Legal Opinions of Counsel</w:t>
      </w:r>
      <w:r>
        <w:rPr>
          <w:rFonts w:ascii="Arial" w:cs="Arial" w:eastAsia="Arial" w:hAnsi="Arial"/>
          <w:sz w:val="20"/>
          <w:szCs w:val="20"/>
          <w:color w:val="auto"/>
        </w:rPr>
        <w:t>. The Administrative Agent shall have received an opinion or opinions of counsel for the Loan Parties, dated the Closing Date and addressed to the Administrative Agent and the Lenders, in form and substance acceptable to the Administrative Agent.</w:t>
      </w:r>
    </w:p>
    <w:p>
      <w:pPr>
        <w:spacing w:after="0" w:line="185" w:lineRule="exact"/>
        <w:rPr>
          <w:rFonts w:ascii="Arial" w:cs="Arial" w:eastAsia="Arial" w:hAnsi="Arial"/>
          <w:sz w:val="20"/>
          <w:szCs w:val="20"/>
          <w:color w:val="auto"/>
        </w:rPr>
      </w:pPr>
    </w:p>
    <w:p>
      <w:pPr>
        <w:ind w:left="880" w:firstLine="789"/>
        <w:spacing w:after="0" w:line="260" w:lineRule="auto"/>
        <w:tabs>
          <w:tab w:leader="none" w:pos="2556"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The Administrative Agent and the Lenders shall have received copies of the financial statements referred to in </w:t>
      </w:r>
      <w:r>
        <w:rPr>
          <w:rFonts w:ascii="Arial" w:cs="Arial" w:eastAsia="Arial" w:hAnsi="Arial"/>
          <w:sz w:val="20"/>
          <w:szCs w:val="20"/>
          <w:u w:val="single" w:color="auto"/>
          <w:color w:val="auto"/>
        </w:rPr>
        <w:t>Section 5.05</w:t>
      </w:r>
      <w:r>
        <w:rPr>
          <w:rFonts w:ascii="Arial" w:cs="Arial" w:eastAsia="Arial" w:hAnsi="Arial"/>
          <w:sz w:val="20"/>
          <w:szCs w:val="20"/>
          <w:color w:val="auto"/>
        </w:rPr>
        <w:t>, each in form and substance satisfactory to each of them.</w:t>
      </w:r>
    </w:p>
    <w:p>
      <w:pPr>
        <w:spacing w:after="0" w:line="176" w:lineRule="exact"/>
        <w:rPr>
          <w:rFonts w:ascii="Arial" w:cs="Arial" w:eastAsia="Arial" w:hAnsi="Arial"/>
          <w:sz w:val="20"/>
          <w:szCs w:val="20"/>
          <w:color w:val="auto"/>
        </w:rPr>
      </w:pPr>
    </w:p>
    <w:p>
      <w:pPr>
        <w:ind w:left="880" w:firstLine="789"/>
        <w:spacing w:after="0" w:line="260" w:lineRule="auto"/>
        <w:tabs>
          <w:tab w:leader="none" w:pos="2545"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 The Administrative Agent shall have received, in form and substance satisfactory to the Administrative Agent:</w:t>
      </w:r>
    </w:p>
    <w:p>
      <w:pPr>
        <w:spacing w:after="0" w:line="176" w:lineRule="exact"/>
        <w:rPr>
          <w:rFonts w:ascii="Arial" w:cs="Arial" w:eastAsia="Arial" w:hAnsi="Arial"/>
          <w:sz w:val="20"/>
          <w:szCs w:val="20"/>
          <w:color w:val="auto"/>
        </w:rPr>
      </w:pPr>
    </w:p>
    <w:p>
      <w:pPr>
        <w:jc w:val="both"/>
        <w:ind w:left="1740" w:firstLine="726"/>
        <w:spacing w:after="0" w:line="244" w:lineRule="auto"/>
        <w:tabs>
          <w:tab w:leader="none" w:pos="3306" w:val="left"/>
        </w:tabs>
        <w:numPr>
          <w:ilvl w:val="2"/>
          <w:numId w:val="147"/>
        </w:numPr>
        <w:rPr>
          <w:rFonts w:ascii="Arial" w:cs="Arial" w:eastAsia="Arial" w:hAnsi="Arial"/>
          <w:sz w:val="20"/>
          <w:szCs w:val="20"/>
          <w:color w:val="auto"/>
        </w:rPr>
      </w:pPr>
      <w:r>
        <w:rPr>
          <w:rFonts w:ascii="Arial" w:cs="Arial" w:eastAsia="Arial" w:hAnsi="Arial"/>
          <w:sz w:val="20"/>
          <w:szCs w:val="20"/>
          <w:color w:val="auto"/>
        </w:rPr>
        <w:t>(A)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and bankruptcy searches;</w:t>
      </w:r>
    </w:p>
    <w:p>
      <w:pPr>
        <w:spacing w:after="0" w:line="194" w:lineRule="exact"/>
        <w:rPr>
          <w:rFonts w:ascii="Arial" w:cs="Arial" w:eastAsia="Arial" w:hAnsi="Arial"/>
          <w:sz w:val="20"/>
          <w:szCs w:val="20"/>
          <w:color w:val="auto"/>
        </w:rPr>
      </w:pPr>
    </w:p>
    <w:p>
      <w:pPr>
        <w:jc w:val="both"/>
        <w:ind w:left="1740" w:firstLine="726"/>
        <w:spacing w:after="0" w:line="250" w:lineRule="auto"/>
        <w:tabs>
          <w:tab w:leader="none" w:pos="3360" w:val="left"/>
        </w:tabs>
        <w:numPr>
          <w:ilvl w:val="2"/>
          <w:numId w:val="147"/>
        </w:numPr>
        <w:rPr>
          <w:rFonts w:ascii="Arial" w:cs="Arial" w:eastAsia="Arial" w:hAnsi="Arial"/>
          <w:sz w:val="20"/>
          <w:szCs w:val="20"/>
          <w:color w:val="auto"/>
        </w:rPr>
      </w:pPr>
      <w:r>
        <w:rPr>
          <w:rFonts w:ascii="Arial" w:cs="Arial" w:eastAsia="Arial" w:hAnsi="Arial"/>
          <w:sz w:val="20"/>
          <w:szCs w:val="20"/>
          <w:color w:val="auto"/>
        </w:rPr>
        <w:t>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8" w:name="page169"/>
    <w:bookmarkEnd w:id="168"/>
    <w:p>
      <w:pPr>
        <w:ind w:left="620" w:firstLine="726"/>
        <w:spacing w:after="0" w:line="287" w:lineRule="auto"/>
        <w:tabs>
          <w:tab w:leader="none" w:pos="2295" w:val="left"/>
        </w:tabs>
        <w:numPr>
          <w:ilvl w:val="1"/>
          <w:numId w:val="148"/>
        </w:numPr>
        <w:rPr>
          <w:rFonts w:ascii="Arial" w:cs="Arial" w:eastAsia="Arial" w:hAnsi="Arial"/>
          <w:sz w:val="19"/>
          <w:szCs w:val="19"/>
          <w:color w:val="auto"/>
        </w:rPr>
      </w:pPr>
      <w:r>
        <w:rPr>
          <w:rFonts w:ascii="Arial" w:cs="Arial" w:eastAsia="Arial" w:hAnsi="Arial"/>
          <w:sz w:val="19"/>
          <w:szCs w:val="19"/>
          <w:color w:val="auto"/>
        </w:rPr>
        <w:t>completed UCC financing statements for each appropriate jurisdiction as is necessary, in the Administrative Agent’s sole discretion, to perfect the Administrative Agent’s security interest in the Collateral;</w:t>
      </w:r>
    </w:p>
    <w:p>
      <w:pPr>
        <w:spacing w:after="0" w:line="152" w:lineRule="exact"/>
        <w:rPr>
          <w:rFonts w:ascii="Arial" w:cs="Arial" w:eastAsia="Arial" w:hAnsi="Arial"/>
          <w:sz w:val="19"/>
          <w:szCs w:val="19"/>
          <w:color w:val="auto"/>
        </w:rPr>
      </w:pPr>
    </w:p>
    <w:p>
      <w:pPr>
        <w:ind w:left="620" w:firstLine="726"/>
        <w:spacing w:after="0" w:line="287" w:lineRule="auto"/>
        <w:tabs>
          <w:tab w:leader="none" w:pos="2284" w:val="left"/>
        </w:tabs>
        <w:numPr>
          <w:ilvl w:val="1"/>
          <w:numId w:val="148"/>
        </w:numPr>
        <w:rPr>
          <w:rFonts w:ascii="Arial" w:cs="Arial" w:eastAsia="Arial" w:hAnsi="Arial"/>
          <w:sz w:val="19"/>
          <w:szCs w:val="19"/>
          <w:color w:val="auto"/>
        </w:rPr>
      </w:pPr>
      <w:r>
        <w:rPr>
          <w:rFonts w:ascii="Arial" w:cs="Arial" w:eastAsia="Arial" w:hAnsi="Arial"/>
          <w:sz w:val="19"/>
          <w:szCs w:val="19"/>
          <w:color w:val="auto"/>
        </w:rPr>
        <w:t>stock or membership certificates, if any, evidencing the Pledged Equity and undated stock or transfer powers duly executed in blank; in each case to the extent such Pledged Equity is certificated; and</w:t>
      </w:r>
    </w:p>
    <w:p>
      <w:pPr>
        <w:spacing w:after="0" w:line="152" w:lineRule="exact"/>
        <w:rPr>
          <w:rFonts w:ascii="Arial" w:cs="Arial" w:eastAsia="Arial" w:hAnsi="Arial"/>
          <w:sz w:val="19"/>
          <w:szCs w:val="19"/>
          <w:color w:val="auto"/>
        </w:rPr>
      </w:pPr>
    </w:p>
    <w:p>
      <w:pPr>
        <w:jc w:val="both"/>
        <w:ind w:left="620" w:firstLine="726"/>
        <w:spacing w:after="0" w:line="263" w:lineRule="auto"/>
        <w:tabs>
          <w:tab w:leader="none" w:pos="2229"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w:t>
      </w:r>
    </w:p>
    <w:p>
      <w:pPr>
        <w:spacing w:after="0" w:line="176" w:lineRule="exact"/>
        <w:rPr>
          <w:rFonts w:ascii="Arial" w:cs="Arial" w:eastAsia="Arial" w:hAnsi="Arial"/>
          <w:sz w:val="19"/>
          <w:szCs w:val="19"/>
          <w:color w:val="auto"/>
        </w:rPr>
      </w:pPr>
    </w:p>
    <w:p>
      <w:pPr>
        <w:jc w:val="both"/>
        <w:ind w:left="-240" w:firstLine="789"/>
        <w:spacing w:after="0" w:line="291" w:lineRule="auto"/>
        <w:tabs>
          <w:tab w:leader="none" w:pos="1403"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Liability, Casualty, Property and Business Interruption Insurance</w:t>
      </w:r>
      <w:r>
        <w:rPr>
          <w:rFonts w:ascii="Arial" w:cs="Arial" w:eastAsia="Arial" w:hAnsi="Arial"/>
          <w:sz w:val="18"/>
          <w:szCs w:val="18"/>
          <w:color w:val="auto"/>
        </w:rPr>
        <w:t>. The Administrative Agent shall have received certificates and endorsements of insurance evidencing liability, casualty, property and business interruption insurance meeting the requirements set forth herein or in the Collateral Documents or as required by the Administrative Agent.</w:t>
      </w:r>
    </w:p>
    <w:p>
      <w:pPr>
        <w:spacing w:after="0" w:line="151" w:lineRule="exact"/>
        <w:rPr>
          <w:rFonts w:ascii="Arial" w:cs="Arial" w:eastAsia="Arial" w:hAnsi="Arial"/>
          <w:sz w:val="18"/>
          <w:szCs w:val="18"/>
          <w:color w:val="auto"/>
        </w:rPr>
      </w:pPr>
    </w:p>
    <w:p>
      <w:pPr>
        <w:jc w:val="both"/>
        <w:ind w:left="-240" w:firstLine="789"/>
        <w:spacing w:after="0" w:line="291" w:lineRule="auto"/>
        <w:tabs>
          <w:tab w:leader="none" w:pos="143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Administrative Agent shall have received a certificate signed by a Responsible Officer of the Borrower as to the financial condition, solvency and related matters of the Borrower and its Subsidiaries, taken as a whole, after giving effect to the initial Borrowings under the Loan Documents and the other transactions contemplated hereby.</w:t>
      </w:r>
    </w:p>
    <w:p>
      <w:pPr>
        <w:spacing w:after="0" w:line="152" w:lineRule="exact"/>
        <w:rPr>
          <w:sz w:val="20"/>
          <w:szCs w:val="20"/>
          <w:color w:val="auto"/>
        </w:rPr>
      </w:pPr>
    </w:p>
    <w:p>
      <w:pPr>
        <w:ind w:left="-240" w:firstLine="789"/>
        <w:spacing w:after="0" w:line="260" w:lineRule="auto"/>
        <w:tabs>
          <w:tab w:leader="none" w:pos="1436"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Loan Notice</w:t>
      </w:r>
      <w:r>
        <w:rPr>
          <w:rFonts w:ascii="Arial" w:cs="Arial" w:eastAsia="Arial" w:hAnsi="Arial"/>
          <w:sz w:val="20"/>
          <w:szCs w:val="20"/>
          <w:color w:val="auto"/>
        </w:rPr>
        <w:t>. The Administrative Agent shall have received a Loan Notice with respect to the Loans to be made on the Closing Date.</w:t>
      </w:r>
    </w:p>
    <w:p>
      <w:pPr>
        <w:spacing w:after="0" w:line="176" w:lineRule="exact"/>
        <w:rPr>
          <w:rFonts w:ascii="Arial" w:cs="Arial" w:eastAsia="Arial" w:hAnsi="Arial"/>
          <w:sz w:val="20"/>
          <w:szCs w:val="20"/>
          <w:color w:val="auto"/>
        </w:rPr>
      </w:pPr>
    </w:p>
    <w:p>
      <w:pPr>
        <w:jc w:val="both"/>
        <w:ind w:left="-240" w:firstLine="789"/>
        <w:spacing w:after="0" w:line="263" w:lineRule="auto"/>
        <w:tabs>
          <w:tab w:leader="none" w:pos="1392"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Existing Indebtedness of the Loan Parties</w:t>
      </w:r>
      <w:r>
        <w:rPr>
          <w:rFonts w:ascii="Arial" w:cs="Arial" w:eastAsia="Arial" w:hAnsi="Arial"/>
          <w:sz w:val="19"/>
          <w:szCs w:val="19"/>
          <w:color w:val="auto"/>
        </w:rPr>
        <w:t xml:space="preserve">. All of the existing Indebtedness for borrowed money of the Borrower and its Subsidiaries (including Indebtedness under the Existing Credit Agreement but excluding Indebtedness permitted to exist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shall be (or substantially concurrently with the initial borrowing will be) repaid in full, and all security interests securing the same shall be terminated on or prior to the Closing Date.</w:t>
      </w:r>
    </w:p>
    <w:p>
      <w:pPr>
        <w:spacing w:after="0" w:line="176" w:lineRule="exact"/>
        <w:rPr>
          <w:rFonts w:ascii="Arial" w:cs="Arial" w:eastAsia="Arial" w:hAnsi="Arial"/>
          <w:sz w:val="19"/>
          <w:szCs w:val="19"/>
          <w:color w:val="auto"/>
        </w:rPr>
      </w:pPr>
    </w:p>
    <w:p>
      <w:pPr>
        <w:jc w:val="both"/>
        <w:ind w:left="-240" w:firstLine="789"/>
        <w:spacing w:after="0" w:line="243" w:lineRule="auto"/>
        <w:tabs>
          <w:tab w:leader="none" w:pos="1491"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Anti-Money-Laundering; Beneficial Ownership</w:t>
      </w:r>
      <w:r>
        <w:rPr>
          <w:rFonts w:ascii="Arial" w:cs="Arial" w:eastAsia="Arial" w:hAnsi="Arial"/>
          <w:sz w:val="20"/>
          <w:szCs w:val="20"/>
          <w:color w:val="auto"/>
        </w:rPr>
        <w:t>. Upon the reasonable request of any Lender in writing (including by email),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95" w:lineRule="exact"/>
        <w:rPr>
          <w:rFonts w:ascii="Arial" w:cs="Arial" w:eastAsia="Arial" w:hAnsi="Arial"/>
          <w:sz w:val="20"/>
          <w:szCs w:val="20"/>
          <w:color w:val="auto"/>
        </w:rPr>
      </w:pPr>
    </w:p>
    <w:p>
      <w:pPr>
        <w:jc w:val="both"/>
        <w:ind w:left="-240" w:firstLine="789"/>
        <w:spacing w:after="0" w:line="250" w:lineRule="auto"/>
        <w:tabs>
          <w:tab w:leader="none" w:pos="1436"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Consents</w:t>
      </w:r>
      <w:r>
        <w:rPr>
          <w:rFonts w:ascii="Arial" w:cs="Arial" w:eastAsia="Arial" w:hAnsi="Arial"/>
          <w:sz w:val="20"/>
          <w:szCs w:val="20"/>
          <w:color w:val="auto"/>
        </w:rPr>
        <w:t>. The Administrative Agent shall have received evidence that all members, boards of directors, governmental, shareholder and material third party consents and approvals in respect of the Loan Parties necessary for their entry into this Agreement have been obtained.</w:t>
      </w:r>
    </w:p>
    <w:p>
      <w:pPr>
        <w:spacing w:after="0" w:line="185" w:lineRule="exact"/>
        <w:rPr>
          <w:rFonts w:ascii="Arial" w:cs="Arial" w:eastAsia="Arial" w:hAnsi="Arial"/>
          <w:sz w:val="20"/>
          <w:szCs w:val="20"/>
          <w:color w:val="auto"/>
        </w:rPr>
      </w:pPr>
    </w:p>
    <w:p>
      <w:pPr>
        <w:jc w:val="both"/>
        <w:ind w:left="-240" w:firstLine="789"/>
        <w:spacing w:after="0" w:line="263" w:lineRule="auto"/>
        <w:tabs>
          <w:tab w:leader="none" w:pos="143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The Administrative Agent and the Lenders shall have received (or, if applicable, will receive simultaneously with the funding of the proceeds from the initial funding of the Loans on the Closing Date) (i) all expenses required to be paid by the Borrower to the Administrative Agent and the Lenders for which invoices have been presented at least one (1) Business Day prior to the Closing Date, and (ii) all fees, if any, due and owing by the Borrower to</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169" w:name="page170"/>
    <w:bookmarkEnd w:id="169"/>
    <w:p>
      <w:pPr>
        <w:ind w:left="880"/>
        <w:spacing w:after="0"/>
        <w:rPr>
          <w:sz w:val="20"/>
          <w:szCs w:val="20"/>
          <w:color w:val="auto"/>
        </w:rPr>
      </w:pPr>
      <w:r>
        <w:rPr>
          <w:rFonts w:ascii="Arial" w:cs="Arial" w:eastAsia="Arial" w:hAnsi="Arial"/>
          <w:sz w:val="18"/>
          <w:szCs w:val="18"/>
          <w:color w:val="auto"/>
        </w:rPr>
        <w:t xml:space="preserve">the Administrative Agent and the Lenders on or prior to the Closing Date pursuant to the Engagement Letter and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3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9.03(c</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4.02</w:t>
      </w:r>
      <w:r>
        <w:rPr>
          <w:sz w:val="20"/>
          <w:szCs w:val="20"/>
          <w:color w:val="auto"/>
        </w:rPr>
        <w:tab/>
      </w:r>
      <w:r>
        <w:rPr>
          <w:rFonts w:ascii="Arial" w:cs="Arial" w:eastAsia="Arial" w:hAnsi="Arial"/>
          <w:sz w:val="16"/>
          <w:szCs w:val="16"/>
          <w:b w:val="1"/>
          <w:bCs w:val="1"/>
          <w:u w:val="single" w:color="auto"/>
          <w:color w:val="auto"/>
        </w:rPr>
        <w:t>Conditions to all Credit Extensions.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obligation of each Lender and each L/C Issuer to honor any Request for Credit Extension (other than, with respect to clauses</w:t>
      </w:r>
    </w:p>
    <w:p>
      <w:pPr>
        <w:spacing w:after="0" w:line="39" w:lineRule="exact"/>
        <w:rPr>
          <w:sz w:val="20"/>
          <w:szCs w:val="20"/>
          <w:color w:val="auto"/>
        </w:rPr>
      </w:pPr>
    </w:p>
    <w:p>
      <w:pPr>
        <w:ind w:firstLine="8"/>
        <w:spacing w:after="0" w:line="244" w:lineRule="auto"/>
        <w:tabs>
          <w:tab w:leader="none" w:pos="288"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and (b) below, a Loan Notice requesting only a conversion of Loans to the other Type, or a continuation of Eurodollar Rate Loans) is subject to the following conditions precedent:</w:t>
      </w:r>
    </w:p>
    <w:p>
      <w:pPr>
        <w:spacing w:after="0" w:line="191" w:lineRule="exact"/>
        <w:rPr>
          <w:rFonts w:ascii="Arial" w:cs="Arial" w:eastAsia="Arial" w:hAnsi="Arial"/>
          <w:sz w:val="20"/>
          <w:szCs w:val="20"/>
          <w:color w:val="auto"/>
        </w:rPr>
      </w:pPr>
    </w:p>
    <w:p>
      <w:pPr>
        <w:jc w:val="both"/>
        <w:ind w:left="880" w:firstLine="789"/>
        <w:spacing w:after="0" w:line="256" w:lineRule="auto"/>
        <w:tabs>
          <w:tab w:leader="none" w:pos="2545"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Sections 2.02(g)(ii)(B)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the representations and warranties of the Borrower and each other Loan Party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shall be true and correct in all material respects (and in all respects if any such representation or warranty is already qualified by materiality or reference to Material Adverse Effect)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880" w:right="20" w:firstLine="789"/>
        <w:spacing w:after="0" w:line="260" w:lineRule="auto"/>
        <w:tabs>
          <w:tab w:leader="none" w:pos="2556" w:val="left"/>
        </w:tabs>
        <w:numPr>
          <w:ilvl w:val="1"/>
          <w:numId w:val="151"/>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2.02(g)(ii)(B)</w:t>
      </w:r>
      <w:r>
        <w:rPr>
          <w:rFonts w:ascii="Arial" w:cs="Arial" w:eastAsia="Arial" w:hAnsi="Arial"/>
          <w:sz w:val="20"/>
          <w:szCs w:val="20"/>
          <w:color w:val="auto"/>
        </w:rPr>
        <w:t>, no Default shall exist or would result immediately after giving effect to such proposed Credit Extension or from the application of the proceeds thereof.</w:t>
      </w:r>
    </w:p>
    <w:p>
      <w:pPr>
        <w:spacing w:after="0" w:line="176" w:lineRule="exact"/>
        <w:rPr>
          <w:rFonts w:ascii="Arial" w:cs="Arial" w:eastAsia="Arial" w:hAnsi="Arial"/>
          <w:sz w:val="20"/>
          <w:szCs w:val="20"/>
          <w:color w:val="auto"/>
        </w:rPr>
      </w:pPr>
    </w:p>
    <w:p>
      <w:pPr>
        <w:ind w:left="880" w:firstLine="789"/>
        <w:spacing w:after="0" w:line="287" w:lineRule="auto"/>
        <w:tabs>
          <w:tab w:leader="none" w:pos="2545"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Request for Credit Extension</w:t>
      </w:r>
      <w:r>
        <w:rPr>
          <w:rFonts w:ascii="Arial" w:cs="Arial" w:eastAsia="Arial" w:hAnsi="Arial"/>
          <w:sz w:val="19"/>
          <w:szCs w:val="19"/>
          <w:color w:val="auto"/>
        </w:rPr>
        <w:t>. The Administrative Agent and, if applicable, the applicable L/C Issuer or the Swingline Lender, shall have received a Request for Credit Extension in accordance with the requirements hereof.</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Each Loan Party represents and warrants to the Administrative Agent and the Lenders, as of the date made or deemed made, that: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0" w:name="page171"/>
    <w:bookmarkEnd w:id="170"/>
    <w:p>
      <w:pPr>
        <w:ind w:left="880"/>
        <w:spacing w:after="0"/>
        <w:tabs>
          <w:tab w:leader="none" w:pos="1840" w:val="left"/>
        </w:tabs>
        <w:rPr>
          <w:sz w:val="20"/>
          <w:szCs w:val="20"/>
          <w:color w:val="auto"/>
        </w:rPr>
      </w:pPr>
      <w:r>
        <w:rPr>
          <w:rFonts w:ascii="Arial" w:cs="Arial" w:eastAsia="Arial" w:hAnsi="Arial"/>
          <w:sz w:val="20"/>
          <w:szCs w:val="20"/>
          <w:b w:val="1"/>
          <w:bCs w:val="1"/>
          <w:color w:val="auto"/>
        </w:rPr>
        <w:t>5.01</w:t>
      </w:r>
      <w:r>
        <w:rPr>
          <w:sz w:val="20"/>
          <w:szCs w:val="20"/>
          <w:color w:val="auto"/>
        </w:rPr>
        <w:tab/>
      </w:r>
      <w:r>
        <w:rPr>
          <w:rFonts w:ascii="Arial" w:cs="Arial" w:eastAsia="Arial" w:hAnsi="Arial"/>
          <w:sz w:val="16"/>
          <w:szCs w:val="16"/>
          <w:b w:val="1"/>
          <w:bCs w:val="1"/>
          <w:u w:val="single" w:color="auto"/>
          <w:color w:val="auto"/>
        </w:rPr>
        <w:t>Existence, Qualification and Power</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Each Loan Party and each of its Subsidiaries (a) is (i) duly organized or formed and validly existing and (ii) as applicable, in good standing, in each case,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(other than with respect to the Borrower and, solely on the Closing Date, any other Loan Party) </w:t>
      </w:r>
      <w:r>
        <w:rPr>
          <w:rFonts w:ascii="Arial" w:cs="Arial" w:eastAsia="Arial" w:hAnsi="Arial"/>
          <w:sz w:val="19"/>
          <w:szCs w:val="19"/>
          <w:u w:val="single" w:color="auto"/>
          <w:color w:val="auto"/>
        </w:rPr>
        <w:t>clause (b)(i</w:t>
      </w:r>
      <w:r>
        <w:rPr>
          <w:rFonts w:ascii="Arial" w:cs="Arial" w:eastAsia="Arial" w:hAnsi="Arial"/>
          <w:sz w:val="19"/>
          <w:szCs w:val="19"/>
          <w:color w:val="auto"/>
        </w:rPr>
        <w:t>) or (</w:t>
      </w:r>
      <w:r>
        <w:rPr>
          <w:rFonts w:ascii="Arial" w:cs="Arial" w:eastAsia="Arial" w:hAnsi="Arial"/>
          <w:sz w:val="19"/>
          <w:szCs w:val="19"/>
          <w:u w:val="single" w:color="auto"/>
          <w:color w:val="auto"/>
        </w:rPr>
        <w:t>c</w:t>
      </w:r>
      <w:r>
        <w:rPr>
          <w:rFonts w:ascii="Arial" w:cs="Arial" w:eastAsia="Arial" w:hAnsi="Arial"/>
          <w:sz w:val="19"/>
          <w:szCs w:val="19"/>
          <w:color w:val="auto"/>
        </w:rPr>
        <w:t>), to the extent that failure to do so could not reasonably be expected to have a Material Adverse Effect.</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5.02</w:t>
      </w:r>
      <w:r>
        <w:rPr>
          <w:sz w:val="20"/>
          <w:szCs w:val="20"/>
          <w:color w:val="auto"/>
        </w:rPr>
        <w:tab/>
      </w:r>
      <w:r>
        <w:rPr>
          <w:rFonts w:ascii="Arial" w:cs="Arial" w:eastAsia="Arial" w:hAnsi="Arial"/>
          <w:sz w:val="18"/>
          <w:szCs w:val="18"/>
          <w:b w:val="1"/>
          <w:bCs w:val="1"/>
          <w:u w:val="single" w:color="auto"/>
          <w:color w:val="auto"/>
        </w:rPr>
        <w:t>Authorization; No Contravention.</w:t>
      </w:r>
    </w:p>
    <w:p>
      <w:pPr>
        <w:spacing w:after="0" w:line="22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The execution, delivery and performance by each Loan Party of each Loan Document to which such Person is a party have been duly authorized by all necessary corporate or other organizational action, and do not (a) contravene the terms of any of such Person’s Organization Documents; (b) conflict with or result in any breach or contravention of, or the creation of any Lien (other than a Permitted Lien) under, or require any payment to be made under (i) any Contractual Obligation to which such Person is a party or affecting such Person or the properties of such Person or any of its Subsidiaries or (ii) any material order, injunction, writ or decree of any Governmental Authority or any material arbitral award to which such Person or its property is subject; or (c) violate any Applicable Law, except in any case referred to in clause (b)(i), to the extent that such conflict, breach, contravention or payment (but not creation of Liens) would not reasonably be expected to have a Material Adverse Effect.</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5.03</w:t>
      </w:r>
      <w:r>
        <w:rPr>
          <w:sz w:val="20"/>
          <w:szCs w:val="20"/>
          <w:color w:val="auto"/>
        </w:rPr>
        <w:tab/>
      </w:r>
      <w:r>
        <w:rPr>
          <w:rFonts w:ascii="Arial" w:cs="Arial" w:eastAsia="Arial" w:hAnsi="Arial"/>
          <w:sz w:val="18"/>
          <w:szCs w:val="18"/>
          <w:b w:val="1"/>
          <w:bCs w:val="1"/>
          <w:u w:val="single" w:color="auto"/>
          <w:color w:val="auto"/>
        </w:rPr>
        <w:t>Governmental Authorization; Other Consents.</w:t>
      </w:r>
    </w:p>
    <w:p>
      <w:pPr>
        <w:spacing w:after="0" w:line="22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or are required for the exercise by the Administrative Agent or any Lender of remedies in respect of Collateral pursuant to the Collateral Documents in the ordinary course, (ii) filings to perfect the Liens created by the Collateral Documents, and (iii) those approvals, consents, exemptions, authorizations, filings or other actions or notices the failure of which to obtain or make could not, either individually or in the aggregate, reasonably be expected to have a Material Adverse Effect.</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5.04</w:t>
      </w:r>
      <w:r>
        <w:rPr>
          <w:sz w:val="20"/>
          <w:szCs w:val="20"/>
          <w:color w:val="auto"/>
        </w:rPr>
        <w:tab/>
      </w:r>
      <w:r>
        <w:rPr>
          <w:rFonts w:ascii="Arial" w:cs="Arial" w:eastAsia="Arial" w:hAnsi="Arial"/>
          <w:sz w:val="18"/>
          <w:szCs w:val="18"/>
          <w:b w:val="1"/>
          <w:bCs w:val="1"/>
          <w:u w:val="single" w:color="auto"/>
          <w:color w:val="auto"/>
        </w:rPr>
        <w:t>Binding Effect.</w:t>
      </w:r>
    </w:p>
    <w:p>
      <w:pPr>
        <w:spacing w:after="0" w:line="22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subject to applicable bankruptcy, insolvency, reorganization, moratorium or other laws affecting creditors’ rights generally and the enforcement thereof and subject to general principals of equity.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1" w:name="page172"/>
    <w:bookmarkEnd w:id="171"/>
    <w:p>
      <w:pPr>
        <w:ind w:left="880"/>
        <w:spacing w:after="0"/>
        <w:tabs>
          <w:tab w:leader="none" w:pos="184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8"/>
          <w:szCs w:val="18"/>
          <w:b w:val="1"/>
          <w:bCs w:val="1"/>
          <w:u w:val="single" w:color="auto"/>
          <w:color w:val="auto"/>
        </w:rPr>
        <w:t>Financial Statements; No Material Adverse Effect.</w:t>
      </w:r>
    </w:p>
    <w:p>
      <w:pPr>
        <w:spacing w:after="0" w:line="222" w:lineRule="exact"/>
        <w:rPr>
          <w:sz w:val="20"/>
          <w:szCs w:val="20"/>
          <w:color w:val="auto"/>
        </w:rPr>
      </w:pPr>
    </w:p>
    <w:p>
      <w:pPr>
        <w:jc w:val="both"/>
        <w:ind w:left="880" w:firstLine="789"/>
        <w:spacing w:after="0" w:line="276" w:lineRule="auto"/>
        <w:tabs>
          <w:tab w:leader="none" w:pos="254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of the Borrower and its Subsidiaries required to be set forth therein in accordance with GAAP.</w:t>
      </w:r>
    </w:p>
    <w:p>
      <w:pPr>
        <w:spacing w:after="0" w:line="164" w:lineRule="exact"/>
        <w:rPr>
          <w:rFonts w:ascii="Arial" w:cs="Arial" w:eastAsia="Arial" w:hAnsi="Arial"/>
          <w:sz w:val="18"/>
          <w:szCs w:val="18"/>
          <w:color w:val="auto"/>
        </w:rPr>
      </w:pPr>
    </w:p>
    <w:p>
      <w:pPr>
        <w:jc w:val="both"/>
        <w:ind w:left="880" w:firstLine="789"/>
        <w:spacing w:after="0" w:line="243" w:lineRule="auto"/>
        <w:tabs>
          <w:tab w:leader="none" w:pos="2556"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Quarterly Financial Statements</w:t>
      </w:r>
      <w:r>
        <w:rPr>
          <w:rFonts w:ascii="Arial" w:cs="Arial" w:eastAsia="Arial" w:hAnsi="Arial"/>
          <w:sz w:val="20"/>
          <w:szCs w:val="20"/>
          <w:color w:val="auto"/>
        </w:rPr>
        <w:t>. The unaudited Consolidated balance sheet of the Borrower and its Subsidiaries dated June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cash flows and changes in Shareholders’ Equity for the period covered thereby, subject to the absence of footnotes and to normal year-end and audit adjustments.</w:t>
      </w:r>
    </w:p>
    <w:p>
      <w:pPr>
        <w:spacing w:after="0" w:line="192" w:lineRule="exact"/>
        <w:rPr>
          <w:rFonts w:ascii="Arial" w:cs="Arial" w:eastAsia="Arial" w:hAnsi="Arial"/>
          <w:sz w:val="20"/>
          <w:szCs w:val="20"/>
          <w:color w:val="auto"/>
        </w:rPr>
      </w:pPr>
    </w:p>
    <w:p>
      <w:pPr>
        <w:ind w:left="880" w:firstLine="789"/>
        <w:spacing w:after="0" w:line="287" w:lineRule="auto"/>
        <w:tabs>
          <w:tab w:leader="none" w:pos="2545"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Since December 31, 2020, there has been no event or circumstance, either individually or in the aggregate, that has had or could reasonably be expected to have a Material Adverse Effect.</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5.06</w:t>
      </w:r>
      <w:r>
        <w:rPr>
          <w:sz w:val="20"/>
          <w:szCs w:val="20"/>
          <w:color w:val="auto"/>
        </w:rPr>
        <w:tab/>
      </w:r>
      <w:r>
        <w:rPr>
          <w:rFonts w:ascii="Arial" w:cs="Arial" w:eastAsia="Arial" w:hAnsi="Arial"/>
          <w:sz w:val="18"/>
          <w:szCs w:val="18"/>
          <w:b w:val="1"/>
          <w:bCs w:val="1"/>
          <w:u w:val="single" w:color="auto"/>
          <w:color w:val="auto"/>
        </w:rPr>
        <w:t>Litigation.</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There are no actions, suits, proceedings, claims or disputes pending or, to the knowledge of the Loan Parties, threatened in writing, at law, in equity, in arbitration or before any Governmental Authority, by or against any Loan Party or any Subsidiary or against any of their properties or revenues (a) on the Closing Date that purport to affect or pertain to this Agreement or any other Loan Document or any of the transactions contemplated hereby, or (b) that either individually or in the aggregate could reasonably be expected to have a Material Adverse Effect.</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5.07</w:t>
      </w:r>
      <w:r>
        <w:rPr>
          <w:sz w:val="20"/>
          <w:szCs w:val="20"/>
          <w:color w:val="auto"/>
        </w:rPr>
        <w:tab/>
      </w:r>
      <w:r>
        <w:rPr>
          <w:rFonts w:ascii="Arial" w:cs="Arial" w:eastAsia="Arial" w:hAnsi="Arial"/>
          <w:sz w:val="18"/>
          <w:szCs w:val="18"/>
          <w:b w:val="1"/>
          <w:bCs w:val="1"/>
          <w:u w:val="single" w:color="auto"/>
          <w:color w:val="auto"/>
        </w:rPr>
        <w:t>No Default.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5.08</w:t>
      </w:r>
      <w:r>
        <w:rPr>
          <w:sz w:val="20"/>
          <w:szCs w:val="20"/>
          <w:color w:val="auto"/>
        </w:rPr>
        <w:tab/>
      </w:r>
      <w:r>
        <w:rPr>
          <w:rFonts w:ascii="Arial" w:cs="Arial" w:eastAsia="Arial" w:hAnsi="Arial"/>
          <w:sz w:val="18"/>
          <w:szCs w:val="18"/>
          <w:b w:val="1"/>
          <w:bCs w:val="1"/>
          <w:u w:val="single" w:color="auto"/>
          <w:color w:val="auto"/>
        </w:rPr>
        <w:t>Ownership of Property</w:t>
      </w:r>
      <w:r>
        <w:rPr>
          <w:rFonts w:ascii="Arial" w:cs="Arial" w:eastAsia="Arial" w:hAnsi="Arial"/>
          <w:sz w:val="18"/>
          <w:szCs w:val="18"/>
          <w:color w:val="auto"/>
        </w:rPr>
        <w:t>.</w:t>
      </w:r>
    </w:p>
    <w:p>
      <w:pPr>
        <w:spacing w:after="0" w:line="22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5.09</w:t>
      </w:r>
      <w:r>
        <w:rPr>
          <w:sz w:val="20"/>
          <w:szCs w:val="20"/>
          <w:color w:val="auto"/>
        </w:rPr>
        <w:tab/>
      </w:r>
      <w:r>
        <w:rPr>
          <w:rFonts w:ascii="Arial" w:cs="Arial" w:eastAsia="Arial" w:hAnsi="Arial"/>
          <w:sz w:val="18"/>
          <w:szCs w:val="18"/>
          <w:b w:val="1"/>
          <w:bCs w:val="1"/>
          <w:u w:val="single" w:color="auto"/>
          <w:color w:val="auto"/>
        </w:rPr>
        <w:t>Environmental Compliance.</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The Borrower has reasonably concluded that the Loan Parties and their Subsidiaries are not in violation of Environmental Laws and there are no claims against the Loan Parties or their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2" w:name="page173"/>
    <w:bookmarkEnd w:id="172"/>
    <w:p>
      <w:pPr>
        <w:jc w:val="both"/>
        <w:spacing w:after="0" w:line="260" w:lineRule="auto"/>
        <w:rPr>
          <w:sz w:val="20"/>
          <w:szCs w:val="20"/>
          <w:color w:val="auto"/>
        </w:rPr>
      </w:pPr>
      <w:r>
        <w:rPr>
          <w:rFonts w:ascii="Arial" w:cs="Arial" w:eastAsia="Arial" w:hAnsi="Arial"/>
          <w:sz w:val="20"/>
          <w:szCs w:val="20"/>
          <w:color w:val="auto"/>
        </w:rPr>
        <w:t>alleging violations of Environmental Law that in either case would, individually or in the aggregate, reasonably be expected to have a Material Adverse Effect.</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6"/>
          <w:szCs w:val="16"/>
          <w:b w:val="1"/>
          <w:bCs w:val="1"/>
          <w:u w:val="single" w:color="auto"/>
          <w:color w:val="auto"/>
        </w:rPr>
        <w:t>Insurance.</w:t>
      </w:r>
    </w:p>
    <w:p>
      <w:pPr>
        <w:spacing w:after="0" w:line="22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The properties of the Borrower and its Subsidiaries are insured with insurance companies not Affiliates of the Borrower that, to the Borrower’s knowledge, are financially sound and reputable,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6"/>
          <w:szCs w:val="16"/>
          <w:b w:val="1"/>
          <w:bCs w:val="1"/>
          <w:u w:val="single" w:color="auto"/>
          <w:color w:val="auto"/>
        </w:rPr>
        <w:t>Taxes.</w:t>
      </w:r>
    </w:p>
    <w:p>
      <w:pPr>
        <w:spacing w:after="0" w:line="2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Each Loan Party and its Subsidiaries have filed all material federal, state and other tax returns and reports required to be filed, and have paid all material federal, state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could reasonably be expected to have a Material Adverse Effect, nor is there any tax sharing agreement applicable to the Borrower or any Subsidiary (other than any such agreements among the same).</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u w:val="single" w:color="auto"/>
          <w:color w:val="auto"/>
        </w:rPr>
        <w:t>ERISA Compliance.</w:t>
      </w:r>
    </w:p>
    <w:p>
      <w:pPr>
        <w:spacing w:after="0" w:line="222" w:lineRule="exact"/>
        <w:rPr>
          <w:sz w:val="20"/>
          <w:szCs w:val="20"/>
          <w:color w:val="auto"/>
        </w:rPr>
      </w:pPr>
    </w:p>
    <w:p>
      <w:pPr>
        <w:jc w:val="both"/>
        <w:ind w:left="880" w:firstLine="789"/>
        <w:spacing w:after="0" w:line="242" w:lineRule="auto"/>
        <w:tabs>
          <w:tab w:leader="none" w:pos="2545" w:val="left"/>
        </w:tabs>
        <w:numPr>
          <w:ilvl w:val="0"/>
          <w:numId w:val="153"/>
        </w:numPr>
        <w:rPr>
          <w:rFonts w:ascii="Arial" w:cs="Arial" w:eastAsia="Arial" w:hAnsi="Arial"/>
          <w:sz w:val="20"/>
          <w:szCs w:val="20"/>
          <w:color w:val="auto"/>
        </w:rPr>
      </w:pPr>
      <w:r>
        <w:rPr>
          <w:rFonts w:ascii="Arial" w:cs="Arial" w:eastAsia="Arial" w:hAnsi="Arial"/>
          <w:sz w:val="20"/>
          <w:szCs w:val="20"/>
          <w:color w:val="auto"/>
        </w:rPr>
        <w:t>Except as could not reasonably be expected, either individually or in the aggregate, to have a Material Adverse Effect, each Plan is in compliance in all material respects with the applicable provisions of ERISA, the Code and other federal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Borrower, nothing has occurred that would reasonably be expected to prevent or cause the loss of such tax-qualified status.</w:t>
      </w:r>
    </w:p>
    <w:p>
      <w:pPr>
        <w:spacing w:after="0" w:line="196" w:lineRule="exact"/>
        <w:rPr>
          <w:rFonts w:ascii="Arial" w:cs="Arial" w:eastAsia="Arial" w:hAnsi="Arial"/>
          <w:sz w:val="20"/>
          <w:szCs w:val="20"/>
          <w:color w:val="auto"/>
        </w:rPr>
      </w:pPr>
    </w:p>
    <w:p>
      <w:pPr>
        <w:jc w:val="both"/>
        <w:ind w:left="880" w:firstLine="789"/>
        <w:spacing w:after="0" w:line="246" w:lineRule="auto"/>
        <w:tabs>
          <w:tab w:leader="none" w:pos="2556"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1" w:lineRule="exact"/>
        <w:rPr>
          <w:rFonts w:ascii="Arial" w:cs="Arial" w:eastAsia="Arial" w:hAnsi="Arial"/>
          <w:sz w:val="20"/>
          <w:szCs w:val="20"/>
          <w:color w:val="auto"/>
        </w:rPr>
      </w:pPr>
    </w:p>
    <w:p>
      <w:pPr>
        <w:jc w:val="both"/>
        <w:ind w:left="880" w:firstLine="789"/>
        <w:spacing w:after="0" w:line="269" w:lineRule="auto"/>
        <w:tabs>
          <w:tab w:leader="none" w:pos="254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Except as would not reasonably be expected to result in a Material Adverse Effect, no ERISA Event has occurred, and neither the Borrower nor any ERISA Affiliate is aware of any fact, event or circumstance that could reasonably be expected to constitute or result in an ERISA Event with respect to any Pension Plan or Multiemployer Plan.</w:t>
      </w:r>
    </w:p>
    <w:p>
      <w:pPr>
        <w:spacing w:after="0" w:line="169" w:lineRule="exact"/>
        <w:rPr>
          <w:rFonts w:ascii="Arial" w:cs="Arial" w:eastAsia="Arial" w:hAnsi="Arial"/>
          <w:sz w:val="19"/>
          <w:szCs w:val="19"/>
          <w:color w:val="auto"/>
        </w:rPr>
      </w:pPr>
    </w:p>
    <w:p>
      <w:pPr>
        <w:jc w:val="both"/>
        <w:ind w:left="880" w:firstLine="789"/>
        <w:spacing w:after="0" w:line="282" w:lineRule="auto"/>
        <w:tabs>
          <w:tab w:leader="none" w:pos="25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3" w:name="page174"/>
    <w:bookmarkEnd w:id="173"/>
    <w:p>
      <w:pPr>
        <w:jc w:val="both"/>
        <w:ind w:left="880"/>
        <w:spacing w:after="0" w:line="246" w:lineRule="auto"/>
        <w:rPr>
          <w:sz w:val="20"/>
          <w:szCs w:val="20"/>
          <w:color w:val="auto"/>
        </w:rPr>
      </w:pPr>
      <w:r>
        <w:rPr>
          <w:rFonts w:ascii="Arial" w:cs="Arial" w:eastAsia="Arial" w:hAnsi="Arial"/>
          <w:sz w:val="20"/>
          <w:szCs w:val="20"/>
          <w:color w:val="auto"/>
        </w:rPr>
        <w:t>recent valuation date; (ii) neither the Borrower nor any ERISA Affiliate has incurred any liability to the PBGC other than for the payment of premiums, and there are no premium payments which have become due that are unpaid; and (iii) neither the Borrower nor any ERISA Affiliate has engaged in a transaction that could reasonably be expected to be subject to Section 4069 or Section 4212(c) of ERISA.</w:t>
      </w:r>
    </w:p>
    <w:p>
      <w:pPr>
        <w:spacing w:after="0" w:line="191" w:lineRule="exact"/>
        <w:rPr>
          <w:sz w:val="20"/>
          <w:szCs w:val="20"/>
          <w:color w:val="auto"/>
        </w:rPr>
      </w:pPr>
    </w:p>
    <w:p>
      <w:pPr>
        <w:jc w:val="both"/>
        <w:ind w:left="880" w:firstLine="789"/>
        <w:spacing w:after="0" w:line="246" w:lineRule="auto"/>
        <w:tabs>
          <w:tab w:leader="none" w:pos="2545"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Borrower represents and warrants as of the Closing Date that the Borrower is not and will not be using “plan assets” (within the meaning of Section 3(42) of ERISA) of one or more Benefit Plans with respect to the Borrower’s entrance into, participation in, administration of and performance of the Loans, the Letters of Credit, the Commitments or this Agreement.</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5.13</w:t>
      </w:r>
      <w:r>
        <w:rPr>
          <w:sz w:val="20"/>
          <w:szCs w:val="20"/>
          <w:color w:val="auto"/>
        </w:rPr>
        <w:tab/>
      </w:r>
      <w:r>
        <w:rPr>
          <w:rFonts w:ascii="Arial" w:cs="Arial" w:eastAsia="Arial" w:hAnsi="Arial"/>
          <w:sz w:val="18"/>
          <w:szCs w:val="18"/>
          <w:b w:val="1"/>
          <w:bCs w:val="1"/>
          <w:u w:val="single" w:color="auto"/>
          <w:color w:val="auto"/>
        </w:rPr>
        <w:t>Margin Regulations; Investment Company Act.</w:t>
      </w:r>
    </w:p>
    <w:p>
      <w:pPr>
        <w:spacing w:after="0" w:line="222" w:lineRule="exact"/>
        <w:rPr>
          <w:sz w:val="20"/>
          <w:szCs w:val="20"/>
          <w:color w:val="auto"/>
        </w:rPr>
      </w:pPr>
    </w:p>
    <w:p>
      <w:pPr>
        <w:jc w:val="both"/>
        <w:ind w:left="880" w:firstLine="789"/>
        <w:spacing w:after="0" w:line="242" w:lineRule="auto"/>
        <w:tabs>
          <w:tab w:leader="none" w:pos="2545"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Margin Regulations</w:t>
      </w:r>
      <w:r>
        <w:rPr>
          <w:rFonts w:ascii="Arial" w:cs="Arial" w:eastAsia="Arial" w:hAnsi="Arial"/>
          <w:sz w:val="20"/>
          <w:szCs w:val="20"/>
          <w:color w:val="auto"/>
        </w:rPr>
        <w:t xml:space="preserve">. Neither the Borrower nor any of its Subsidiaries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or subject to any restriction contained in any agreement or instrument between the Borrower or any of its Subsidiaries and any Lender or any Affiliate of any Lender relating to Indebtedness and within the scope of </w:t>
      </w:r>
      <w:r>
        <w:rPr>
          <w:rFonts w:ascii="Arial" w:cs="Arial" w:eastAsia="Arial" w:hAnsi="Arial"/>
          <w:sz w:val="20"/>
          <w:szCs w:val="20"/>
          <w:u w:val="single" w:color="auto"/>
          <w:color w:val="auto"/>
        </w:rPr>
        <w:t>Section 8.01(e</w:t>
      </w:r>
      <w:r>
        <w:rPr>
          <w:rFonts w:ascii="Arial" w:cs="Arial" w:eastAsia="Arial" w:hAnsi="Arial"/>
          <w:sz w:val="20"/>
          <w:szCs w:val="20"/>
          <w:color w:val="auto"/>
        </w:rPr>
        <w:t>) will be margin stock.</w:t>
      </w:r>
    </w:p>
    <w:p>
      <w:pPr>
        <w:spacing w:after="0" w:line="196"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None of the Borrower or any Subsidiary is or is required to be registered as an “investment company” under the Investment Company Act of 1940.</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6"/>
          <w:szCs w:val="16"/>
          <w:b w:val="1"/>
          <w:bCs w:val="1"/>
          <w:u w:val="single" w:color="auto"/>
          <w:color w:val="auto"/>
        </w:rPr>
        <w:t>Disclosure.</w:t>
      </w:r>
    </w:p>
    <w:p>
      <w:pPr>
        <w:spacing w:after="0" w:line="22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all taken as a whole, contains any material misstatement of fact or omits to state any material fact necessary to make the statements therein, in the light of the circumstances under which they were made, not misleading in any material respect;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projected financial information, each Loan Party represents only that such information was prepared in good faith based upon assumptions believed to be reasonable at the time (it being understood that projections are subject to certain contingencies and assumptions beyond the control of the Borrower and its Subsidiaries, and no assurance can be given that such projections will be realized).</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5.15</w:t>
      </w:r>
      <w:r>
        <w:rPr>
          <w:sz w:val="20"/>
          <w:szCs w:val="20"/>
          <w:color w:val="auto"/>
        </w:rPr>
        <w:tab/>
      </w:r>
      <w:r>
        <w:rPr>
          <w:rFonts w:ascii="Arial" w:cs="Arial" w:eastAsia="Arial" w:hAnsi="Arial"/>
          <w:sz w:val="18"/>
          <w:szCs w:val="18"/>
          <w:b w:val="1"/>
          <w:bCs w:val="1"/>
          <w:u w:val="single" w:color="auto"/>
          <w:color w:val="auto"/>
        </w:rPr>
        <w:t>Compliance with Laws.</w:t>
      </w:r>
    </w:p>
    <w:p>
      <w:pPr>
        <w:spacing w:after="0" w:line="22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Each Loan Party and each Subsidiary thereof is in compliance with the requirements of all Applicable Laws and all orders, writs, injunctions and decrees applicable to it or to its properties, except in such instances in which (a) such requirement of Law or order, writ, injunction or decree is being contested in good faith by appropriate proceedings or other action diligently conducted or (b) the failure to comply therewith, either individually or in the aggregate, could not reasonably be expected to have a Material Adverse Effect.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4" w:name="page175"/>
    <w:bookmarkEnd w:id="174"/>
    <w:p>
      <w:pPr>
        <w:ind w:left="880"/>
        <w:spacing w:after="0"/>
        <w:tabs>
          <w:tab w:leader="none" w:pos="1840" w:val="left"/>
        </w:tabs>
        <w:rPr>
          <w:sz w:val="20"/>
          <w:szCs w:val="20"/>
          <w:color w:val="auto"/>
        </w:rPr>
      </w:pPr>
      <w:r>
        <w:rPr>
          <w:rFonts w:ascii="Arial" w:cs="Arial" w:eastAsia="Arial" w:hAnsi="Arial"/>
          <w:sz w:val="20"/>
          <w:szCs w:val="20"/>
          <w:b w:val="1"/>
          <w:bCs w:val="1"/>
          <w:color w:val="auto"/>
        </w:rPr>
        <w:t>5.16</w:t>
      </w:r>
      <w:r>
        <w:rPr>
          <w:sz w:val="20"/>
          <w:szCs w:val="20"/>
          <w:color w:val="auto"/>
        </w:rPr>
        <w:tab/>
      </w:r>
      <w:r>
        <w:rPr>
          <w:rFonts w:ascii="Arial" w:cs="Arial" w:eastAsia="Arial" w:hAnsi="Arial"/>
          <w:sz w:val="16"/>
          <w:szCs w:val="16"/>
          <w:b w:val="1"/>
          <w:bCs w:val="1"/>
          <w:u w:val="single" w:color="auto"/>
          <w:color w:val="auto"/>
        </w:rPr>
        <w:t>Solvency.</w:t>
      </w:r>
    </w:p>
    <w:p>
      <w:pPr>
        <w:spacing w:after="0" w:line="222"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On and as of the Closing Date, after giving effect to the transactions occurring on the Closing Date, the Borrower and its Subsidiaries, taken as a whole on a Consolidated basis, are Solvent.</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5.17</w:t>
      </w:r>
      <w:r>
        <w:rPr>
          <w:sz w:val="20"/>
          <w:szCs w:val="20"/>
          <w:color w:val="auto"/>
        </w:rPr>
        <w:tab/>
      </w:r>
      <w:r>
        <w:rPr>
          <w:rFonts w:ascii="Arial" w:cs="Arial" w:eastAsia="Arial" w:hAnsi="Arial"/>
          <w:sz w:val="16"/>
          <w:szCs w:val="16"/>
          <w:b w:val="1"/>
          <w:bCs w:val="1"/>
          <w:u w:val="single" w:color="auto"/>
          <w:color w:val="auto"/>
        </w:rPr>
        <w:t>Sanctions Concerns and Anti-Corruption Laws.</w:t>
      </w:r>
    </w:p>
    <w:p>
      <w:pPr>
        <w:spacing w:after="0" w:line="222" w:lineRule="exact"/>
        <w:rPr>
          <w:sz w:val="20"/>
          <w:szCs w:val="20"/>
          <w:color w:val="auto"/>
        </w:rPr>
      </w:pPr>
    </w:p>
    <w:p>
      <w:pPr>
        <w:jc w:val="both"/>
        <w:ind w:left="880" w:firstLine="789"/>
        <w:spacing w:after="0" w:line="274" w:lineRule="auto"/>
        <w:tabs>
          <w:tab w:leader="none" w:pos="2545"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Sanctions Concerns</w:t>
      </w:r>
      <w:r>
        <w:rPr>
          <w:rFonts w:ascii="Arial" w:cs="Arial" w:eastAsia="Arial" w:hAnsi="Arial"/>
          <w:sz w:val="18"/>
          <w:szCs w:val="18"/>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68" w:lineRule="exact"/>
        <w:rPr>
          <w:rFonts w:ascii="Arial" w:cs="Arial" w:eastAsia="Arial" w:hAnsi="Arial"/>
          <w:sz w:val="18"/>
          <w:szCs w:val="18"/>
          <w:color w:val="auto"/>
        </w:rPr>
      </w:pPr>
    </w:p>
    <w:p>
      <w:pPr>
        <w:jc w:val="both"/>
        <w:ind w:left="880" w:firstLine="789"/>
        <w:spacing w:after="0" w:line="246" w:lineRule="auto"/>
        <w:tabs>
          <w:tab w:leader="none" w:pos="2556"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Anti-Corruption Laws</w:t>
      </w:r>
      <w:r>
        <w:rPr>
          <w:rFonts w:ascii="Arial" w:cs="Arial" w:eastAsia="Arial" w:hAnsi="Arial"/>
          <w:sz w:val="20"/>
          <w:szCs w:val="20"/>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5.18</w:t>
      </w:r>
      <w:r>
        <w:rPr>
          <w:sz w:val="20"/>
          <w:szCs w:val="20"/>
          <w:color w:val="auto"/>
        </w:rPr>
        <w:tab/>
      </w:r>
      <w:r>
        <w:rPr>
          <w:rFonts w:ascii="Arial" w:cs="Arial" w:eastAsia="Arial" w:hAnsi="Arial"/>
          <w:sz w:val="16"/>
          <w:szCs w:val="16"/>
          <w:b w:val="1"/>
          <w:bCs w:val="1"/>
          <w:u w:val="single" w:color="auto"/>
          <w:color w:val="auto"/>
        </w:rPr>
        <w:t>Subsidiaries; Equity Interests; Loan Parties</w:t>
      </w:r>
      <w:r>
        <w:rPr>
          <w:rFonts w:ascii="Arial" w:cs="Arial" w:eastAsia="Arial" w:hAnsi="Arial"/>
          <w:sz w:val="16"/>
          <w:szCs w:val="16"/>
          <w:color w:val="auto"/>
        </w:rPr>
        <w:t>.</w:t>
      </w:r>
    </w:p>
    <w:p>
      <w:pPr>
        <w:spacing w:after="0" w:line="222" w:lineRule="exact"/>
        <w:rPr>
          <w:sz w:val="20"/>
          <w:szCs w:val="20"/>
          <w:color w:val="auto"/>
        </w:rPr>
      </w:pPr>
    </w:p>
    <w:p>
      <w:pPr>
        <w:jc w:val="both"/>
        <w:ind w:left="880" w:firstLine="789"/>
        <w:spacing w:after="0" w:line="255" w:lineRule="auto"/>
        <w:tabs>
          <w:tab w:leader="none" w:pos="2545"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Subsidiaries, Joint Ventures, Partnerships and Equity Investments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5.18(a</w:t>
      </w:r>
      <w:r>
        <w:rPr>
          <w:rFonts w:ascii="Arial" w:cs="Arial" w:eastAsia="Arial" w:hAnsi="Arial"/>
          <w:sz w:val="19"/>
          <w:szCs w:val="19"/>
          <w:color w:val="auto"/>
        </w:rPr>
        <w:t>) is the following information which is true and complete in all respects as of the Closing Date: (i) a complete and accurate list of all Subsidiaries, joint ventures and partnerships and other equity investments of the Loan Parties as of the Closing Date, (ii) the number of shares of each class of Equity Interests in each Subsidiary outstanding, (iii) the number and percentage of outstanding shares of each class of Equity Interests owned by the Loan Parties and their Subsidiaries, (iv) the class or nature of such Equity Interests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voting, non-voting, preferred, etc.), and (v) whether each Subsidiary is a Material Subsidiary as of the Closing Date. The outstanding Equity Interests in all Subsidiaries are validly issued, fully paid and non-assessable and are owned free and clear of all Liens (other than Permitted Liens). There are no outstanding subscriptions, options, warrants, calls, rights or other agreements or commitments (other than stock options granted to employees or directors and directors’ qualifying shares) of any nature relating to the Equity Interests of any Loan Party (other than the Borrower) or any Subsidiary thereof, except as not prohibited under the Loan Documents.</w:t>
      </w:r>
    </w:p>
    <w:p>
      <w:pPr>
        <w:spacing w:after="0" w:line="186" w:lineRule="exact"/>
        <w:rPr>
          <w:rFonts w:ascii="Arial" w:cs="Arial" w:eastAsia="Arial" w:hAnsi="Arial"/>
          <w:sz w:val="19"/>
          <w:szCs w:val="19"/>
          <w:color w:val="auto"/>
        </w:rPr>
      </w:pPr>
    </w:p>
    <w:p>
      <w:pPr>
        <w:jc w:val="both"/>
        <w:ind w:left="880" w:firstLine="789"/>
        <w:spacing w:after="0" w:line="242" w:lineRule="auto"/>
        <w:tabs>
          <w:tab w:leader="none" w:pos="2556"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Loan Parties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5.18(b</w:t>
      </w:r>
      <w:r>
        <w:rPr>
          <w:rFonts w:ascii="Arial" w:cs="Arial" w:eastAsia="Arial" w:hAnsi="Arial"/>
          <w:sz w:val="20"/>
          <w:szCs w:val="20"/>
          <w:color w:val="auto"/>
        </w:rPr>
        <w:t>) is a complete and accurate list of all Loan Parties, showing as of the Closing Date (as to each Loan Party) (i) the exact legal name, (ii) any former legal names of such Loan Party in the four (4) months prior to the Closing Date, (iii) the jurisdiction of its incorporation or organization, as applicable, (iv) the type of organization, (v) the address of its chief executive office, (vi) the address of its principal place of business, (vii) its U.S. federal taxpayer identification number or, in the case of any non-U.S. Loan Party that does not have a U.S. taxpayer identification number, if applicable, its unique identification number issued to it by the jurisdiction of its incorporation or organization, (viii) the organization identification number, and (ix) ownership information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publicly held or if private or partnership, the owners and partners of each of the Loan Parties).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5" w:name="page176"/>
    <w:bookmarkEnd w:id="175"/>
    <w:p>
      <w:pPr>
        <w:ind w:left="880"/>
        <w:spacing w:after="0"/>
        <w:tabs>
          <w:tab w:leader="none" w:pos="1840" w:val="left"/>
        </w:tabs>
        <w:rPr>
          <w:sz w:val="20"/>
          <w:szCs w:val="20"/>
          <w:color w:val="auto"/>
        </w:rPr>
      </w:pPr>
      <w:r>
        <w:rPr>
          <w:rFonts w:ascii="Arial" w:cs="Arial" w:eastAsia="Arial" w:hAnsi="Arial"/>
          <w:sz w:val="20"/>
          <w:szCs w:val="20"/>
          <w:b w:val="1"/>
          <w:bCs w:val="1"/>
          <w:color w:val="auto"/>
        </w:rPr>
        <w:t>5.19</w:t>
      </w:r>
      <w:r>
        <w:rPr>
          <w:sz w:val="20"/>
          <w:szCs w:val="20"/>
          <w:color w:val="auto"/>
        </w:rPr>
        <w:tab/>
      </w:r>
      <w:r>
        <w:rPr>
          <w:rFonts w:ascii="Arial" w:cs="Arial" w:eastAsia="Arial" w:hAnsi="Arial"/>
          <w:sz w:val="16"/>
          <w:szCs w:val="16"/>
          <w:b w:val="1"/>
          <w:bCs w:val="1"/>
          <w:u w:val="single" w:color="auto"/>
          <w:color w:val="auto"/>
        </w:rPr>
        <w:t>Collateral Representations.</w:t>
      </w:r>
    </w:p>
    <w:p>
      <w:pPr>
        <w:spacing w:after="0" w:line="222" w:lineRule="exact"/>
        <w:rPr>
          <w:sz w:val="20"/>
          <w:szCs w:val="20"/>
          <w:color w:val="auto"/>
        </w:rPr>
      </w:pPr>
    </w:p>
    <w:p>
      <w:pPr>
        <w:jc w:val="both"/>
        <w:ind w:left="880" w:firstLine="789"/>
        <w:spacing w:after="0" w:line="244" w:lineRule="auto"/>
        <w:tabs>
          <w:tab w:leader="none" w:pos="2545"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Collateral Documents</w:t>
      </w:r>
      <w:r>
        <w:rPr>
          <w:rFonts w:ascii="Arial" w:cs="Arial" w:eastAsia="Arial" w:hAnsi="Arial"/>
          <w:sz w:val="20"/>
          <w:szCs w:val="20"/>
          <w:color w:val="auto"/>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spacing w:after="0" w:line="194" w:lineRule="exact"/>
        <w:rPr>
          <w:rFonts w:ascii="Arial" w:cs="Arial" w:eastAsia="Arial" w:hAnsi="Arial"/>
          <w:sz w:val="20"/>
          <w:szCs w:val="20"/>
          <w:color w:val="auto"/>
        </w:rPr>
      </w:pPr>
    </w:p>
    <w:p>
      <w:pPr>
        <w:jc w:val="both"/>
        <w:ind w:left="880" w:firstLine="789"/>
        <w:spacing w:after="0" w:line="282" w:lineRule="auto"/>
        <w:tabs>
          <w:tab w:leader="none" w:pos="255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5.19(b)</w:t>
      </w:r>
      <w:r>
        <w:rPr>
          <w:rFonts w:ascii="Arial" w:cs="Arial" w:eastAsia="Arial" w:hAnsi="Arial"/>
          <w:sz w:val="18"/>
          <w:szCs w:val="18"/>
          <w:color w:val="auto"/>
        </w:rPr>
        <w:t>, as of the Closing Date, is a list of all U.S. federally registered or issued Intellectual Property (including all applications for registration and issuance) owned by each of the Loan Parties or that each of the Loan Parties has the right to (including the name/title, current owner, registration or application number, and registration or application date and such other information as reasonably requested by the Administrative Agent).</w:t>
      </w:r>
    </w:p>
    <w:p>
      <w:pPr>
        <w:spacing w:after="0" w:line="161" w:lineRule="exact"/>
        <w:rPr>
          <w:rFonts w:ascii="Arial" w:cs="Arial" w:eastAsia="Arial" w:hAnsi="Arial"/>
          <w:sz w:val="18"/>
          <w:szCs w:val="18"/>
          <w:color w:val="auto"/>
        </w:rPr>
      </w:pPr>
    </w:p>
    <w:p>
      <w:pPr>
        <w:jc w:val="both"/>
        <w:ind w:left="880" w:firstLine="789"/>
        <w:spacing w:after="0" w:line="291" w:lineRule="auto"/>
        <w:tabs>
          <w:tab w:leader="none" w:pos="2545"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5.19(c)</w:t>
      </w:r>
      <w:r>
        <w:rPr>
          <w:rFonts w:ascii="Arial" w:cs="Arial" w:eastAsia="Arial" w:hAnsi="Arial"/>
          <w:sz w:val="18"/>
          <w:szCs w:val="18"/>
          <w:color w:val="auto"/>
        </w:rPr>
        <w:t>, as of the Closing Date, is a list of all real property located in the United States that is owned or leased by any Loan Party (in each case, including (i) the name of the Loan Party owning (or leasing) such property, (ii) the property address, and (iii) the city, county, state and zip code which such property is located).</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5.20</w:t>
      </w:r>
      <w:r>
        <w:rPr>
          <w:sz w:val="20"/>
          <w:szCs w:val="20"/>
          <w:color w:val="auto"/>
        </w:rPr>
        <w:tab/>
      </w:r>
      <w:r>
        <w:rPr>
          <w:rFonts w:ascii="Arial" w:cs="Arial" w:eastAsia="Arial" w:hAnsi="Arial"/>
          <w:sz w:val="16"/>
          <w:szCs w:val="16"/>
          <w:b w:val="1"/>
          <w:bCs w:val="1"/>
          <w:u w:val="single" w:color="auto"/>
          <w:color w:val="auto"/>
        </w:rPr>
        <w:t>Affected Financial Institutions.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 Loan Party is an Affected Financial Institution.</w:t>
      </w:r>
    </w:p>
    <w:p>
      <w:pPr>
        <w:spacing w:after="0" w:line="21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5.21</w:t>
      </w:r>
      <w:r>
        <w:rPr>
          <w:sz w:val="20"/>
          <w:szCs w:val="20"/>
          <w:color w:val="auto"/>
        </w:rPr>
        <w:tab/>
      </w:r>
      <w:r>
        <w:rPr>
          <w:rFonts w:ascii="Arial" w:cs="Arial" w:eastAsia="Arial" w:hAnsi="Arial"/>
          <w:sz w:val="16"/>
          <w:szCs w:val="16"/>
          <w:b w:val="1"/>
          <w:bCs w:val="1"/>
          <w:u w:val="single" w:color="auto"/>
          <w:color w:val="auto"/>
        </w:rPr>
        <w:t>Covered Entities.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 Loan Party is a Covered Entity.</w:t>
      </w:r>
    </w:p>
    <w:p>
      <w:pPr>
        <w:spacing w:after="0" w:line="21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5.22</w:t>
      </w:r>
      <w:r>
        <w:rPr>
          <w:sz w:val="20"/>
          <w:szCs w:val="20"/>
          <w:color w:val="auto"/>
        </w:rPr>
        <w:tab/>
      </w:r>
      <w:r>
        <w:rPr>
          <w:rFonts w:ascii="Arial" w:cs="Arial" w:eastAsia="Arial" w:hAnsi="Arial"/>
          <w:sz w:val="18"/>
          <w:szCs w:val="18"/>
          <w:b w:val="1"/>
          <w:bCs w:val="1"/>
          <w:u w:val="single" w:color="auto"/>
          <w:color w:val="auto"/>
        </w:rPr>
        <w:t>Beneficial Ownership Certification.</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Closing Date, the information included in the Beneficial Ownership Certification, if applicable, is true and correct in all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respects.</w:t>
      </w:r>
    </w:p>
    <w:p>
      <w:pPr>
        <w:spacing w:after="0" w:line="194"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22"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Each of the Loan Parties hereby covenants and agrees that on the Closing Date and thereafter until the Facility Termination Date, such Loan Party shall, and shall cause each of its Subsidiaries to:</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Deliver to the Administrative Agent (which shall provide to each Lender):</w:t>
      </w:r>
    </w:p>
    <w:p>
      <w:pPr>
        <w:spacing w:after="0" w:line="216" w:lineRule="exact"/>
        <w:rPr>
          <w:sz w:val="20"/>
          <w:szCs w:val="20"/>
          <w:color w:val="auto"/>
        </w:rPr>
      </w:pPr>
    </w:p>
    <w:p>
      <w:pPr>
        <w:jc w:val="both"/>
        <w:ind w:left="880" w:firstLine="789"/>
        <w:spacing w:after="0" w:line="260" w:lineRule="auto"/>
        <w:tabs>
          <w:tab w:leader="none" w:pos="2545"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Within ninety (90) days after the end of each fiscal year of the Borrower (or, if earlier, when required to be filed with the SEC), commencing in respect of the fiscal year ending December 31, 2021,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6" w:name="page177"/>
    <w:bookmarkEnd w:id="176"/>
    <w:p>
      <w:pPr>
        <w:jc w:val="both"/>
        <w:ind w:left="880"/>
        <w:spacing w:after="0" w:line="276" w:lineRule="auto"/>
        <w:rPr>
          <w:sz w:val="20"/>
          <w:szCs w:val="20"/>
          <w:color w:val="auto"/>
        </w:rPr>
      </w:pPr>
      <w:r>
        <w:rPr>
          <w:rFonts w:ascii="Arial" w:cs="Arial" w:eastAsia="Arial" w:hAnsi="Arial"/>
          <w:sz w:val="18"/>
          <w:szCs w:val="18"/>
          <w:color w:val="auto"/>
        </w:rPr>
        <w:t>prepared in accordance with GAAP, such Consolidated statements to be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(other than such exception or qualification that is with respect to, or expressly resulting solely from the occurrence of the Maturity Date under this Agreement that is scheduled to occur within one (1) year from the time such report and opinion are delivered).</w:t>
      </w:r>
    </w:p>
    <w:p>
      <w:pPr>
        <w:spacing w:after="0" w:line="165" w:lineRule="exact"/>
        <w:rPr>
          <w:sz w:val="20"/>
          <w:szCs w:val="20"/>
          <w:color w:val="auto"/>
        </w:rPr>
      </w:pPr>
    </w:p>
    <w:p>
      <w:pPr>
        <w:jc w:val="both"/>
        <w:ind w:left="880" w:firstLine="789"/>
        <w:spacing w:after="0" w:line="271" w:lineRule="auto"/>
        <w:tabs>
          <w:tab w:leader="none" w:pos="255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Within forty-five (45) days after the end of each of the first three (3) fiscal quarters of each fiscal year of the Borrower (or, if earlier, when required to be filed with the SEC), commencing in respect of the fiscal quarter ending September 31, 2021),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such Consolidated statements to be certified by the chief executive officer, chief financial officer, treasurer or controller who is a Responsible Officer of the Borrower as fairly presenting in all material respects the financial condition, results of operations, Shareholders’ Equity and cash flows of the Borrower and its Subsidiaries, subject to normal year-end and audit adjustments and the absence of footnotes.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the Borrower shall not be separately required to furnish such information under </w:t>
      </w:r>
      <w:r>
        <w:rPr>
          <w:rFonts w:ascii="Arial" w:cs="Arial" w:eastAsia="Arial" w:hAnsi="Arial"/>
          <w:sz w:val="19"/>
          <w:szCs w:val="19"/>
          <w:u w:val="single" w:color="auto"/>
          <w:color w:val="auto"/>
        </w:rPr>
        <w:t>Section 6.01(a</w:t>
      </w:r>
      <w:r>
        <w:rPr>
          <w:rFonts w:ascii="Arial" w:cs="Arial" w:eastAsia="Arial" w:hAnsi="Arial"/>
          <w:sz w:val="19"/>
          <w:szCs w:val="19"/>
          <w:color w:val="auto"/>
        </w:rPr>
        <w:t>)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but the foregoing shall not be in derogation of the obligation of the Borrower to furnish the information and materials described in </w:t>
      </w:r>
      <w:r>
        <w:rPr>
          <w:rFonts w:ascii="Arial" w:cs="Arial" w:eastAsia="Arial" w:hAnsi="Arial"/>
          <w:sz w:val="19"/>
          <w:szCs w:val="19"/>
          <w:u w:val="single" w:color="auto"/>
          <w:color w:val="auto"/>
        </w:rPr>
        <w:t>Sections 6.01(a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above at the times specified therein.</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6.02</w:t>
      </w:r>
      <w:r>
        <w:rPr>
          <w:sz w:val="20"/>
          <w:szCs w:val="20"/>
          <w:color w:val="auto"/>
        </w:rPr>
        <w:tab/>
      </w:r>
      <w:r>
        <w:rPr>
          <w:rFonts w:ascii="Arial" w:cs="Arial" w:eastAsia="Arial" w:hAnsi="Arial"/>
          <w:sz w:val="18"/>
          <w:szCs w:val="18"/>
          <w:b w:val="1"/>
          <w:bCs w:val="1"/>
          <w:u w:val="single" w:color="auto"/>
          <w:color w:val="auto"/>
        </w:rPr>
        <w:t>Certificates; Other Information.</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Deliver to the Administrative Agent (which shall provide to each Lender):</w:t>
      </w:r>
    </w:p>
    <w:p>
      <w:pPr>
        <w:spacing w:after="0" w:line="216" w:lineRule="exact"/>
        <w:rPr>
          <w:sz w:val="20"/>
          <w:szCs w:val="20"/>
          <w:color w:val="auto"/>
        </w:rPr>
      </w:pPr>
    </w:p>
    <w:p>
      <w:pPr>
        <w:jc w:val="both"/>
        <w:ind w:left="880" w:firstLine="789"/>
        <w:spacing w:after="0" w:line="278" w:lineRule="auto"/>
        <w:tabs>
          <w:tab w:leader="none" w:pos="2545"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Within the time period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due, a duly completed Compliance Certificate signed by a Responsible Officer of the Borrower. Except to the extent, if any, the Administrative Agent or (through the Administrative Agent) a Lender requests (at least ten (10) Business Days prior to the due date thereof) executed originals, delivery of the Compliance Certificate may be by electronic communication including fax or email and shall be deemed to be an original and authentic counterpart thereof for all purposes.</w:t>
      </w:r>
    </w:p>
    <w:p>
      <w:pPr>
        <w:spacing w:after="0" w:line="164" w:lineRule="exact"/>
        <w:rPr>
          <w:rFonts w:ascii="Arial" w:cs="Arial" w:eastAsia="Arial" w:hAnsi="Arial"/>
          <w:sz w:val="18"/>
          <w:szCs w:val="18"/>
          <w:color w:val="auto"/>
        </w:rPr>
      </w:pPr>
    </w:p>
    <w:p>
      <w:pPr>
        <w:jc w:val="both"/>
        <w:ind w:left="880" w:firstLine="789"/>
        <w:spacing w:after="0" w:line="244" w:lineRule="auto"/>
        <w:tabs>
          <w:tab w:leader="none" w:pos="2556"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Audit Reports; Management Letters; Recommendations</w:t>
      </w:r>
      <w:r>
        <w:rPr>
          <w:rFonts w:ascii="Arial" w:cs="Arial" w:eastAsia="Arial" w:hAnsi="Arial"/>
          <w:sz w:val="20"/>
          <w:szCs w:val="20"/>
          <w:color w:val="auto"/>
        </w:rPr>
        <w:t>. Promptly after any request by the Administrative Agent or (through the Administrative Agent)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94" w:lineRule="exact"/>
        <w:rPr>
          <w:rFonts w:ascii="Arial" w:cs="Arial" w:eastAsia="Arial" w:hAnsi="Arial"/>
          <w:sz w:val="20"/>
          <w:szCs w:val="20"/>
          <w:color w:val="auto"/>
        </w:rPr>
      </w:pPr>
    </w:p>
    <w:p>
      <w:pPr>
        <w:jc w:val="both"/>
        <w:ind w:left="880" w:firstLine="789"/>
        <w:spacing w:after="0" w:line="246" w:lineRule="auto"/>
        <w:tabs>
          <w:tab w:leader="none" w:pos="2545"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Annual Reports; Etc</w:t>
      </w:r>
      <w:r>
        <w:rPr>
          <w:rFonts w:ascii="Arial" w:cs="Arial" w:eastAsia="Arial" w:hAnsi="Arial"/>
          <w:sz w:val="20"/>
          <w:szCs w:val="20"/>
          <w:color w:val="auto"/>
        </w:rPr>
        <w:t>.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7" w:name="page178"/>
    <w:bookmarkEnd w:id="177"/>
    <w:p>
      <w:pPr>
        <w:ind w:left="880" w:right="20"/>
        <w:spacing w:after="0" w:line="260" w:lineRule="auto"/>
        <w:rPr>
          <w:sz w:val="20"/>
          <w:szCs w:val="20"/>
          <w:color w:val="auto"/>
        </w:rPr>
      </w:pPr>
      <w:r>
        <w:rPr>
          <w:rFonts w:ascii="Arial" w:cs="Arial" w:eastAsia="Arial" w:hAnsi="Arial"/>
          <w:sz w:val="20"/>
          <w:szCs w:val="20"/>
          <w:color w:val="auto"/>
        </w:rPr>
        <w:t>15(d) of the Securities Exchange Act of 1934, or with any national securities exchange, and in any case not otherwise required to be delivered to the Administrative Agent pursuant hereto.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(d)</w:t>
            </w:r>
          </w:p>
        </w:tc>
        <w:tc>
          <w:tcPr>
            <w:tcW w:w="40" w:type="dxa"/>
            <w:vAlign w:val="bottom"/>
          </w:tcPr>
          <w:p>
            <w:pPr>
              <w:spacing w:after="0"/>
              <w:rPr>
                <w:sz w:val="19"/>
                <w:szCs w:val="19"/>
                <w:color w:val="auto"/>
              </w:rPr>
            </w:pPr>
          </w:p>
        </w:tc>
        <w:tc>
          <w:tcPr>
            <w:tcW w:w="8720" w:type="dxa"/>
            <w:vAlign w:val="bottom"/>
            <w:gridSpan w:val="9"/>
          </w:tcPr>
          <w:p>
            <w:pPr>
              <w:jc w:val="right"/>
              <w:ind w:right="20"/>
              <w:spacing w:after="0"/>
              <w:rPr>
                <w:sz w:val="20"/>
                <w:szCs w:val="20"/>
                <w:color w:val="auto"/>
              </w:rPr>
            </w:pPr>
            <w:r>
              <w:rPr>
                <w:rFonts w:ascii="Arial" w:cs="Arial" w:eastAsia="Arial" w:hAnsi="Arial"/>
                <w:sz w:val="20"/>
                <w:szCs w:val="20"/>
                <w:color w:val="auto"/>
                <w:w w:val="97"/>
              </w:rPr>
              <w:t>Debt Securities Statements and Reports. Promptly after the furnishing thereof, copies of any material</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1"/>
              </w:rPr>
              <w:t>statement or report furnished to any holder of debt securities of any Loan Party or of any of its Subsidiaries pursuant to the terms</w:t>
            </w:r>
          </w:p>
        </w:tc>
      </w:tr>
      <w:tr>
        <w:trPr>
          <w:trHeight w:val="229"/>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7"/>
              </w:rPr>
              <w:t>of any indenture, loan or credit or similar agreement, in each case, with an outstanding principal amount in excess of the</w:t>
            </w:r>
          </w:p>
        </w:tc>
      </w:tr>
      <w:tr>
        <w:trPr>
          <w:trHeight w:val="206"/>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80" w:type="dxa"/>
            <w:vAlign w:val="bottom"/>
            <w:gridSpan w:val="14"/>
          </w:tcPr>
          <w:p>
            <w:pPr>
              <w:spacing w:after="0" w:line="206" w:lineRule="exact"/>
              <w:rPr>
                <w:sz w:val="20"/>
                <w:szCs w:val="20"/>
                <w:color w:val="auto"/>
              </w:rPr>
            </w:pPr>
            <w:r>
              <w:rPr>
                <w:rFonts w:ascii="Arial" w:cs="Arial" w:eastAsia="Arial" w:hAnsi="Arial"/>
                <w:sz w:val="20"/>
                <w:szCs w:val="20"/>
                <w:color w:val="auto"/>
                <w:w w:val="91"/>
              </w:rPr>
              <w:t>Threshold Amount and not otherwise required to be furnished to the Lenders pursuant to Section 6.01 or any other clause of this</w:t>
            </w:r>
          </w:p>
        </w:tc>
      </w:tr>
      <w:tr>
        <w:trPr>
          <w:trHeight w:val="210"/>
        </w:trPr>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spacing w:after="0" w:line="209" w:lineRule="exact"/>
              <w:rPr>
                <w:sz w:val="20"/>
                <w:szCs w:val="20"/>
                <w:color w:val="auto"/>
              </w:rPr>
            </w:pPr>
            <w:r>
              <w:rPr>
                <w:rFonts w:ascii="Arial" w:cs="Arial" w:eastAsia="Arial" w:hAnsi="Arial"/>
                <w:sz w:val="20"/>
                <w:szCs w:val="20"/>
                <w:color w:val="auto"/>
              </w:rPr>
              <w:t>Section 6.02.</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425"/>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(e)</w:t>
            </w:r>
          </w:p>
        </w:tc>
        <w:tc>
          <w:tcPr>
            <w:tcW w:w="40" w:type="dxa"/>
            <w:vAlign w:val="bottom"/>
          </w:tcPr>
          <w:p>
            <w:pPr>
              <w:spacing w:after="0"/>
              <w:rPr>
                <w:sz w:val="24"/>
                <w:szCs w:val="24"/>
                <w:color w:val="auto"/>
              </w:rPr>
            </w:pPr>
          </w:p>
        </w:tc>
        <w:tc>
          <w:tcPr>
            <w:tcW w:w="8720" w:type="dxa"/>
            <w:vAlign w:val="bottom"/>
            <w:gridSpan w:val="9"/>
          </w:tcPr>
          <w:p>
            <w:pPr>
              <w:jc w:val="right"/>
              <w:ind w:right="20"/>
              <w:spacing w:after="0"/>
              <w:rPr>
                <w:sz w:val="20"/>
                <w:szCs w:val="20"/>
                <w:color w:val="auto"/>
              </w:rPr>
            </w:pPr>
            <w:r>
              <w:rPr>
                <w:rFonts w:ascii="Arial" w:cs="Arial" w:eastAsia="Arial" w:hAnsi="Arial"/>
                <w:sz w:val="20"/>
                <w:szCs w:val="20"/>
                <w:color w:val="auto"/>
                <w:w w:val="94"/>
              </w:rPr>
              <w:t>SEC Notices. Promptly, and in any event within five (5) Business Days after receipt thereof by any Loan</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auto"/>
            </w:tcBorders>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0"/>
              </w:rPr>
              <w:t>Party or any Subsidiary thereof (or such longer period as is acceptable to the Administrative Agent), copies of each material notice</w:t>
            </w:r>
          </w:p>
        </w:tc>
      </w:tr>
      <w:tr>
        <w:trPr>
          <w:trHeight w:val="229"/>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1"/>
              </w:rPr>
              <w:t>or other material correspondence received from the SEC (or comparable agency of competent jurisdiction in any applicable non-</w:t>
            </w:r>
          </w:p>
        </w:tc>
      </w:tr>
      <w:tr>
        <w:trPr>
          <w:trHeight w:val="230"/>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1"/>
              </w:rPr>
              <w:t>U.S. jurisdiction) concerning any material investigation or possible material investigation or other material inquiry by such agency</w:t>
            </w:r>
          </w:p>
        </w:tc>
      </w:tr>
      <w:tr>
        <w:trPr>
          <w:trHeight w:val="250"/>
        </w:trPr>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rPr>
              <w:t>regarding financial or other operational results of any Loan Party or any Subsidiary thereof.</w:t>
            </w:r>
          </w:p>
        </w:tc>
      </w:tr>
      <w:tr>
        <w:trPr>
          <w:trHeight w:val="401"/>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(f)</w:t>
            </w:r>
          </w:p>
        </w:tc>
        <w:tc>
          <w:tcPr>
            <w:tcW w:w="40" w:type="dxa"/>
            <w:vAlign w:val="bottom"/>
          </w:tcPr>
          <w:p>
            <w:pPr>
              <w:spacing w:after="0"/>
              <w:rPr>
                <w:sz w:val="24"/>
                <w:szCs w:val="24"/>
                <w:color w:val="auto"/>
              </w:rPr>
            </w:pPr>
          </w:p>
        </w:tc>
        <w:tc>
          <w:tcPr>
            <w:tcW w:w="8720" w:type="dxa"/>
            <w:vAlign w:val="bottom"/>
            <w:gridSpan w:val="9"/>
          </w:tcPr>
          <w:p>
            <w:pPr>
              <w:jc w:val="right"/>
              <w:ind w:right="20"/>
              <w:spacing w:after="0"/>
              <w:rPr>
                <w:sz w:val="20"/>
                <w:szCs w:val="20"/>
                <w:color w:val="auto"/>
              </w:rPr>
            </w:pPr>
            <w:r>
              <w:rPr>
                <w:rFonts w:ascii="Arial" w:cs="Arial" w:eastAsia="Arial" w:hAnsi="Arial"/>
                <w:sz w:val="20"/>
                <w:szCs w:val="20"/>
                <w:color w:val="auto"/>
                <w:w w:val="92"/>
              </w:rPr>
              <w:t>Notices. (i) Promptly after receipt thereof by any Loan Party or any Subsidiary thereof, copies of all written</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auto"/>
            </w:tcBorders>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1"/>
              </w:rPr>
              <w:t>notices of default or event of default received under or pursuant to any instrument, indenture, loan or credit or similar agreement</w:t>
            </w:r>
          </w:p>
        </w:tc>
      </w:tr>
      <w:tr>
        <w:trPr>
          <w:trHeight w:val="229"/>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3"/>
              </w:rPr>
              <w:t>with an outstanding principal amount in excess of the Threshold Amount, (ii) promptly after execution or effectiveness thereof,</w:t>
            </w:r>
          </w:p>
        </w:tc>
      </w:tr>
      <w:tr>
        <w:trPr>
          <w:trHeight w:val="230"/>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1"/>
              </w:rPr>
              <w:t>copies of any amendment, waiver or other modification in respect of any such indenture, loan or credit or similar agreement with</w:t>
            </w:r>
          </w:p>
        </w:tc>
      </w:tr>
      <w:tr>
        <w:trPr>
          <w:trHeight w:val="229"/>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rPr>
              <w:t>an outstanding principal amount in excess of the Threshold Amount, and (iii) from time to time upon request by the</w:t>
            </w:r>
          </w:p>
        </w:tc>
      </w:tr>
      <w:tr>
        <w:trPr>
          <w:trHeight w:val="229"/>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6"/>
              </w:rPr>
              <w:t>Administrative Agent, such information and reports regarding such instruments, indentures and loan and credit and similar</w:t>
            </w:r>
          </w:p>
        </w:tc>
      </w:tr>
      <w:tr>
        <w:trPr>
          <w:trHeight w:val="230"/>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0"/>
              </w:rPr>
              <w:t>agreements with an outstanding principal amount in excess of the Threshold Amount as the Administrative Agent may reasonably</w:t>
            </w:r>
          </w:p>
        </w:tc>
      </w:tr>
      <w:tr>
        <w:trPr>
          <w:trHeight w:val="250"/>
        </w:trPr>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4"/>
          </w:tcPr>
          <w:p>
            <w:pPr>
              <w:spacing w:after="0"/>
              <w:rPr>
                <w:sz w:val="20"/>
                <w:szCs w:val="20"/>
                <w:color w:val="auto"/>
              </w:rPr>
            </w:pPr>
            <w:r>
              <w:rPr>
                <w:rFonts w:ascii="Arial" w:cs="Arial" w:eastAsia="Arial" w:hAnsi="Arial"/>
                <w:sz w:val="20"/>
                <w:szCs w:val="20"/>
                <w:color w:val="auto"/>
              </w:rPr>
              <w:t>request.</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01"/>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(g)</w:t>
            </w:r>
          </w:p>
        </w:tc>
        <w:tc>
          <w:tcPr>
            <w:tcW w:w="40" w:type="dxa"/>
            <w:vAlign w:val="bottom"/>
          </w:tcPr>
          <w:p>
            <w:pPr>
              <w:spacing w:after="0"/>
              <w:rPr>
                <w:sz w:val="24"/>
                <w:szCs w:val="24"/>
                <w:color w:val="auto"/>
              </w:rPr>
            </w:pPr>
          </w:p>
        </w:tc>
        <w:tc>
          <w:tcPr>
            <w:tcW w:w="8720" w:type="dxa"/>
            <w:vAlign w:val="bottom"/>
            <w:gridSpan w:val="9"/>
          </w:tcPr>
          <w:p>
            <w:pPr>
              <w:jc w:val="right"/>
              <w:ind w:right="20"/>
              <w:spacing w:after="0"/>
              <w:rPr>
                <w:sz w:val="20"/>
                <w:szCs w:val="20"/>
                <w:color w:val="auto"/>
              </w:rPr>
            </w:pPr>
            <w:r>
              <w:rPr>
                <w:rFonts w:ascii="Arial" w:cs="Arial" w:eastAsia="Arial" w:hAnsi="Arial"/>
                <w:sz w:val="20"/>
                <w:szCs w:val="20"/>
                <w:color w:val="auto"/>
                <w:w w:val="95"/>
              </w:rPr>
              <w:t>Environmental Notice. Promptly after the written assertion or occurrence thereof, notice of any action or</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7"/>
              </w:rPr>
              <w:t>proceeding against or of any noncompliance by any Loan Party or any of its Subsidiaries with any Environmental Law or</w:t>
            </w:r>
          </w:p>
        </w:tc>
      </w:tr>
      <w:tr>
        <w:trPr>
          <w:trHeight w:val="250"/>
        </w:trPr>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rPr>
              <w:t>Environmental Permit that could reasonably be expected to have a Material Adverse Effect.</w:t>
            </w:r>
          </w:p>
        </w:tc>
      </w:tr>
      <w:tr>
        <w:trPr>
          <w:trHeight w:val="401"/>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(h)</w:t>
            </w:r>
          </w:p>
        </w:tc>
        <w:tc>
          <w:tcPr>
            <w:tcW w:w="40" w:type="dxa"/>
            <w:vAlign w:val="bottom"/>
          </w:tcPr>
          <w:p>
            <w:pPr>
              <w:spacing w:after="0"/>
              <w:rPr>
                <w:sz w:val="24"/>
                <w:szCs w:val="24"/>
                <w:color w:val="auto"/>
              </w:rPr>
            </w:pPr>
          </w:p>
        </w:tc>
        <w:tc>
          <w:tcPr>
            <w:tcW w:w="8720" w:type="dxa"/>
            <w:vAlign w:val="bottom"/>
            <w:gridSpan w:val="9"/>
          </w:tcPr>
          <w:p>
            <w:pPr>
              <w:jc w:val="right"/>
              <w:ind w:right="20"/>
              <w:spacing w:after="0"/>
              <w:rPr>
                <w:sz w:val="20"/>
                <w:szCs w:val="20"/>
                <w:color w:val="auto"/>
              </w:rPr>
            </w:pPr>
            <w:r>
              <w:rPr>
                <w:rFonts w:ascii="Arial" w:cs="Arial" w:eastAsia="Arial" w:hAnsi="Arial"/>
                <w:sz w:val="20"/>
                <w:szCs w:val="20"/>
                <w:color w:val="auto"/>
                <w:w w:val="94"/>
              </w:rPr>
              <w:t>Anti-Money-Laundering;  Beneficial  Ownership  Regulation.  Promptly  following  any  request  therefor,</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3260" w:type="dxa"/>
            <w:vAlign w:val="bottom"/>
            <w:gridSpan w:val="3"/>
            <w:shd w:val="clear" w:color="auto" w:fill="000000"/>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4"/>
              </w:rPr>
              <w:t>information and documentation reasonably requested by the Administrative Agent or (through the Administrative Agent) any</w:t>
            </w:r>
          </w:p>
        </w:tc>
      </w:tr>
      <w:tr>
        <w:trPr>
          <w:trHeight w:val="230"/>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5"/>
              </w:rPr>
              <w:t>Lender for purposes of compliance with applicable “know your customer” and anti-money-laundering rules and regulations,</w:t>
            </w:r>
          </w:p>
        </w:tc>
      </w:tr>
      <w:tr>
        <w:trPr>
          <w:trHeight w:val="250"/>
        </w:trPr>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rPr>
              <w:t>including, without limitation, the Patriot Act.</w:t>
            </w:r>
          </w:p>
        </w:tc>
      </w:tr>
      <w:tr>
        <w:trPr>
          <w:trHeight w:val="401"/>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20"/>
                <w:szCs w:val="20"/>
                <w:color w:val="auto"/>
              </w:rPr>
              <w:t>(i)</w:t>
            </w:r>
          </w:p>
        </w:tc>
        <w:tc>
          <w:tcPr>
            <w:tcW w:w="8760" w:type="dxa"/>
            <w:vAlign w:val="bottom"/>
            <w:gridSpan w:val="10"/>
          </w:tcPr>
          <w:p>
            <w:pPr>
              <w:jc w:val="right"/>
              <w:ind w:right="20"/>
              <w:spacing w:after="0"/>
              <w:rPr>
                <w:sz w:val="20"/>
                <w:szCs w:val="20"/>
                <w:color w:val="auto"/>
              </w:rPr>
            </w:pPr>
            <w:r>
              <w:rPr>
                <w:rFonts w:ascii="Arial" w:cs="Arial" w:eastAsia="Arial" w:hAnsi="Arial"/>
                <w:sz w:val="20"/>
                <w:szCs w:val="20"/>
                <w:color w:val="auto"/>
                <w:w w:val="92"/>
              </w:rPr>
              <w:t>Beneficial Ownership. To the extent the Borrower qualifies as a “legal entity customer” under the Beneficial</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1"/>
              </w:rPr>
              <w:t>Ownership Regulation, an updated Beneficial Ownership Certification promptly following any change in the information provided</w:t>
            </w:r>
          </w:p>
        </w:tc>
      </w:tr>
      <w:tr>
        <w:trPr>
          <w:trHeight w:val="230"/>
        </w:trPr>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w w:val="92"/>
              </w:rPr>
              <w:t>in the Beneficial Ownership Certification delivered to any Lender in relation to such Loan Party that would result in a change to</w:t>
            </w:r>
          </w:p>
        </w:tc>
      </w:tr>
      <w:tr>
        <w:trPr>
          <w:trHeight w:val="250"/>
        </w:trPr>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80" w:type="dxa"/>
            <w:vAlign w:val="bottom"/>
            <w:gridSpan w:val="14"/>
          </w:tcPr>
          <w:p>
            <w:pPr>
              <w:spacing w:after="0"/>
              <w:rPr>
                <w:sz w:val="20"/>
                <w:szCs w:val="20"/>
                <w:color w:val="auto"/>
              </w:rPr>
            </w:pPr>
            <w:r>
              <w:rPr>
                <w:rFonts w:ascii="Arial" w:cs="Arial" w:eastAsia="Arial" w:hAnsi="Arial"/>
                <w:sz w:val="20"/>
                <w:szCs w:val="20"/>
                <w:color w:val="auto"/>
              </w:rPr>
              <w:t>the list of beneficial owners identified in such certification.</w:t>
            </w:r>
          </w:p>
        </w:tc>
      </w:tr>
      <w:tr>
        <w:trPr>
          <w:trHeight w:val="401"/>
        </w:trPr>
        <w:tc>
          <w:tcPr>
            <w:tcW w:w="560" w:type="dxa"/>
            <w:vAlign w:val="bottom"/>
          </w:tcPr>
          <w:p>
            <w:pPr>
              <w:ind w:left="80"/>
              <w:spacing w:after="0"/>
              <w:rPr>
                <w:sz w:val="20"/>
                <w:szCs w:val="20"/>
                <w:color w:val="auto"/>
              </w:rPr>
            </w:pPr>
            <w:r>
              <w:rPr>
                <w:rFonts w:ascii="Arial" w:cs="Arial" w:eastAsia="Arial" w:hAnsi="Arial"/>
                <w:sz w:val="20"/>
                <w:szCs w:val="20"/>
                <w:color w:val="auto"/>
              </w:rPr>
              <w:t>(j)</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0" w:type="dxa"/>
            <w:vAlign w:val="bottom"/>
            <w:gridSpan w:val="12"/>
          </w:tcPr>
          <w:p>
            <w:pPr>
              <w:spacing w:after="0"/>
              <w:rPr>
                <w:sz w:val="20"/>
                <w:szCs w:val="20"/>
                <w:color w:val="auto"/>
              </w:rPr>
            </w:pPr>
            <w:r>
              <w:rPr>
                <w:rFonts w:ascii="Arial" w:cs="Arial" w:eastAsia="Arial" w:hAnsi="Arial"/>
                <w:sz w:val="20"/>
                <w:szCs w:val="20"/>
                <w:color w:val="auto"/>
                <w:w w:val="96"/>
              </w:rPr>
              <w:t>Additional Information. Promptly, such additional information regarding the business, financial, legal or corporate</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5"/>
            <w:shd w:val="clear" w:color="auto" w:fill="000000"/>
          </w:tcPr>
          <w:p>
            <w:pPr>
              <w:spacing w:after="0" w:line="20" w:lineRule="exact"/>
              <w:rPr>
                <w:sz w:val="1"/>
                <w:szCs w:val="1"/>
                <w:color w:val="auto"/>
              </w:rPr>
            </w:pPr>
          </w:p>
        </w:tc>
        <w:tc>
          <w:tcPr>
            <w:tcW w:w="7720" w:type="dxa"/>
            <w:vAlign w:val="bottom"/>
            <w:gridSpan w:val="7"/>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p>
        </w:tc>
        <w:tc>
          <w:tcPr>
            <w:tcW w:w="10700" w:type="dxa"/>
            <w:vAlign w:val="bottom"/>
            <w:gridSpan w:val="16"/>
          </w:tcPr>
          <w:p>
            <w:pPr>
              <w:ind w:left="300"/>
              <w:spacing w:after="0"/>
              <w:rPr>
                <w:sz w:val="20"/>
                <w:szCs w:val="20"/>
                <w:color w:val="auto"/>
              </w:rPr>
            </w:pPr>
            <w:r>
              <w:rPr>
                <w:rFonts w:ascii="Arial" w:cs="Arial" w:eastAsia="Arial" w:hAnsi="Arial"/>
                <w:sz w:val="20"/>
                <w:szCs w:val="20"/>
                <w:color w:val="auto"/>
                <w:w w:val="92"/>
              </w:rPr>
              <w:t>affairs of any Loan Party or any Subsidiary thereof, or compliance with the terms of the Loan Documents, as the Administrative</w:t>
            </w:r>
          </w:p>
        </w:tc>
      </w:tr>
      <w:tr>
        <w:trPr>
          <w:trHeight w:val="229"/>
        </w:trPr>
        <w:tc>
          <w:tcPr>
            <w:tcW w:w="560" w:type="dxa"/>
            <w:vAlign w:val="bottom"/>
          </w:tcPr>
          <w:p>
            <w:pPr>
              <w:spacing w:after="0"/>
              <w:rPr>
                <w:sz w:val="19"/>
                <w:szCs w:val="19"/>
                <w:color w:val="auto"/>
              </w:rPr>
            </w:pPr>
          </w:p>
        </w:tc>
        <w:tc>
          <w:tcPr>
            <w:tcW w:w="10700" w:type="dxa"/>
            <w:vAlign w:val="bottom"/>
            <w:gridSpan w:val="16"/>
          </w:tcPr>
          <w:p>
            <w:pPr>
              <w:ind w:left="300"/>
              <w:spacing w:after="0"/>
              <w:rPr>
                <w:sz w:val="20"/>
                <w:szCs w:val="20"/>
                <w:color w:val="auto"/>
              </w:rPr>
            </w:pPr>
            <w:r>
              <w:rPr>
                <w:rFonts w:ascii="Arial" w:cs="Arial" w:eastAsia="Arial" w:hAnsi="Arial"/>
                <w:sz w:val="20"/>
                <w:szCs w:val="20"/>
                <w:color w:val="auto"/>
                <w:w w:val="92"/>
              </w:rPr>
              <w:t xml:space="preserve">Agent or (through the Administrative Agent) any Lender may from time to time reasonably request; </w:t>
            </w:r>
            <w:r>
              <w:rPr>
                <w:rFonts w:ascii="Arial" w:cs="Arial" w:eastAsia="Arial" w:hAnsi="Arial"/>
                <w:sz w:val="20"/>
                <w:szCs w:val="20"/>
                <w:i w:val="1"/>
                <w:iCs w:val="1"/>
                <w:color w:val="auto"/>
                <w:w w:val="92"/>
              </w:rPr>
              <w:t>provided</w:t>
            </w:r>
            <w:r>
              <w:rPr>
                <w:rFonts w:ascii="Arial" w:cs="Arial" w:eastAsia="Arial" w:hAnsi="Arial"/>
                <w:sz w:val="20"/>
                <w:szCs w:val="20"/>
                <w:color w:val="auto"/>
                <w:w w:val="92"/>
              </w:rPr>
              <w:t xml:space="preserve"> that nothing in this</w:t>
            </w:r>
          </w:p>
        </w:tc>
      </w:tr>
      <w:tr>
        <w:trPr>
          <w:trHeight w:val="206"/>
        </w:trPr>
        <w:tc>
          <w:tcPr>
            <w:tcW w:w="560" w:type="dxa"/>
            <w:vAlign w:val="bottom"/>
          </w:tcPr>
          <w:p>
            <w:pPr>
              <w:spacing w:after="0"/>
              <w:rPr>
                <w:sz w:val="17"/>
                <w:szCs w:val="17"/>
                <w:color w:val="auto"/>
              </w:rPr>
            </w:pPr>
          </w:p>
        </w:tc>
        <w:tc>
          <w:tcPr>
            <w:tcW w:w="10700" w:type="dxa"/>
            <w:vAlign w:val="bottom"/>
            <w:gridSpan w:val="16"/>
          </w:tcPr>
          <w:p>
            <w:pPr>
              <w:ind w:left="300"/>
              <w:spacing w:after="0" w:line="206" w:lineRule="exact"/>
              <w:rPr>
                <w:sz w:val="20"/>
                <w:szCs w:val="20"/>
                <w:color w:val="auto"/>
              </w:rPr>
            </w:pPr>
            <w:r>
              <w:rPr>
                <w:rFonts w:ascii="Arial" w:cs="Arial" w:eastAsia="Arial" w:hAnsi="Arial"/>
                <w:sz w:val="20"/>
                <w:szCs w:val="20"/>
                <w:color w:val="auto"/>
              </w:rPr>
              <w:t>clause (j) shall require any Loan Party or Subsidiary to take any action that would violate</w:t>
            </w:r>
          </w:p>
        </w:tc>
      </w:tr>
      <w:tr>
        <w:trPr>
          <w:trHeight w:val="668"/>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80" w:type="dxa"/>
            <w:vAlign w:val="bottom"/>
            <w:gridSpan w:val="6"/>
          </w:tcPr>
          <w:p>
            <w:pPr>
              <w:jc w:val="right"/>
              <w:ind w:right="120"/>
              <w:spacing w:after="0"/>
              <w:rPr>
                <w:sz w:val="20"/>
                <w:szCs w:val="20"/>
                <w:color w:val="auto"/>
              </w:rPr>
            </w:pPr>
            <w:r>
              <w:rPr>
                <w:rFonts w:ascii="Arial" w:cs="Arial" w:eastAsia="Arial" w:hAnsi="Arial"/>
                <w:sz w:val="18"/>
                <w:szCs w:val="18"/>
                <w:color w:val="auto"/>
              </w:rPr>
              <w:t>100</w:t>
            </w: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1"/>
        </w:trPr>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6" w:right="319" w:bottom="1440" w:gutter="0" w:footer="0" w:header="0"/>
        </w:sectPr>
      </w:pPr>
    </w:p>
    <w:bookmarkStart w:id="178" w:name="page179"/>
    <w:bookmarkEnd w:id="178"/>
    <w:p>
      <w:pPr>
        <w:ind w:left="860" w:firstLine="798"/>
        <w:spacing w:after="0" w:line="287" w:lineRule="auto"/>
        <w:rPr>
          <w:sz w:val="20"/>
          <w:szCs w:val="20"/>
          <w:color w:val="auto"/>
        </w:rPr>
      </w:pPr>
      <w:r>
        <w:rPr>
          <w:rFonts w:ascii="Arial" w:cs="Arial" w:eastAsia="Arial" w:hAnsi="Arial"/>
          <w:sz w:val="19"/>
          <w:szCs w:val="19"/>
          <w:color w:val="auto"/>
        </w:rPr>
        <w:t xml:space="preserve">any third party customary confidentiality agreement with any Person that is not an Affiliate or waive any attorney client or similar privilege or otherwise not be required to be disclosed pursuant to the last sentence of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Section 6.03(d) (to the extent any such documents, notice or other items are included in materials otherwise filed with the SEC) may be delivered electronically and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1.01(a</w:t>
      </w:r>
      <w:r>
        <w:rPr>
          <w:rFonts w:ascii="Arial" w:cs="Arial" w:eastAsia="Arial" w:hAnsi="Arial"/>
          <w:sz w:val="19"/>
          <w:szCs w:val="19"/>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notify the Administrative Agent (by fax transmission or e-mail transmission) of the posting thereof.</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Arial" w:cs="Arial" w:eastAsia="Arial" w:hAnsi="Arial"/>
          <w:sz w:val="18"/>
          <w:szCs w:val="18"/>
          <w:i w:val="1"/>
          <w:iCs w:val="1"/>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(the “</w:t>
      </w:r>
      <w:r>
        <w:rPr>
          <w:rFonts w:ascii="Arial" w:cs="Arial" w:eastAsia="Arial" w:hAnsi="Arial"/>
          <w:sz w:val="18"/>
          <w:szCs w:val="18"/>
          <w:i w:val="1"/>
          <w:iCs w:val="1"/>
          <w:u w:val="single" w:color="auto"/>
          <w:color w:val="auto"/>
        </w:rPr>
        <w:t>Platform</w:t>
      </w:r>
      <w:r>
        <w:rPr>
          <w:rFonts w:ascii="Arial" w:cs="Arial" w:eastAsia="Arial" w:hAnsi="Arial"/>
          <w:sz w:val="18"/>
          <w:szCs w:val="18"/>
          <w:color w:val="auto"/>
        </w:rPr>
        <w:t>”) and (ii) certain of the Lenders (each, a “</w:t>
      </w:r>
      <w:r>
        <w:rPr>
          <w:rFonts w:ascii="Arial" w:cs="Arial" w:eastAsia="Arial" w:hAnsi="Arial"/>
          <w:sz w:val="18"/>
          <w:szCs w:val="18"/>
          <w:i w:val="1"/>
          <w:iCs w:val="1"/>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w:t>
      </w:r>
    </w:p>
    <w:p>
      <w:pPr>
        <w:spacing w:after="0" w:line="5" w:lineRule="exact"/>
        <w:rPr>
          <w:sz w:val="20"/>
          <w:szCs w:val="20"/>
          <w:color w:val="auto"/>
        </w:rPr>
      </w:pPr>
    </w:p>
    <w:p>
      <w:pPr>
        <w:jc w:val="both"/>
        <w:ind w:firstLine="8"/>
        <w:spacing w:after="0" w:line="254" w:lineRule="auto"/>
        <w:tabs>
          <w:tab w:leader="none" w:pos="35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11.07</w:t>
      </w:r>
      <w:r>
        <w:rPr>
          <w:rFonts w:ascii="Arial" w:cs="Arial" w:eastAsia="Arial" w:hAnsi="Arial"/>
          <w:sz w:val="19"/>
          <w:szCs w:val="19"/>
          <w:color w:val="auto"/>
        </w:rPr>
        <w:t>); (C) all Borrower Materials marked “PUBLIC” are permitted to be made available through a portion of the Platform designated “Public Side Information;” and (D) the Administrative Agent and any Affiliate thereof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6"/>
          <w:szCs w:val="16"/>
          <w:b w:val="1"/>
          <w:bCs w:val="1"/>
          <w:u w:val="single" w:color="auto"/>
          <w:color w:val="auto"/>
        </w:rPr>
        <w:t>Notices.</w:t>
      </w:r>
    </w:p>
    <w:p>
      <w:pPr>
        <w:spacing w:after="0" w:line="222" w:lineRule="exact"/>
        <w:rPr>
          <w:sz w:val="20"/>
          <w:szCs w:val="20"/>
          <w:color w:val="auto"/>
        </w:rPr>
      </w:pPr>
    </w:p>
    <w:p>
      <w:pPr>
        <w:ind w:right="20" w:firstLine="864"/>
        <w:spacing w:after="0" w:line="316" w:lineRule="auto"/>
        <w:rPr>
          <w:sz w:val="20"/>
          <w:szCs w:val="20"/>
          <w:color w:val="auto"/>
        </w:rPr>
      </w:pPr>
      <w:r>
        <w:rPr>
          <w:rFonts w:ascii="Arial" w:cs="Arial" w:eastAsia="Arial" w:hAnsi="Arial"/>
          <w:sz w:val="18"/>
          <w:szCs w:val="18"/>
          <w:color w:val="auto"/>
        </w:rPr>
        <w:t xml:space="preserve">Promptly, but in any event within five (5) Business Days (except that, with respect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only, such time period shall be three (3) Business Days) of a Responsible Officer of the Borrower obtaining knowledge thereof) notify the Administrative Agent:</w:t>
      </w:r>
    </w:p>
    <w:p>
      <w:pPr>
        <w:spacing w:after="0" w:line="130" w:lineRule="exact"/>
        <w:rPr>
          <w:sz w:val="20"/>
          <w:szCs w:val="20"/>
          <w:color w:val="auto"/>
        </w:rPr>
      </w:pPr>
    </w:p>
    <w:p>
      <w:pPr>
        <w:ind w:left="2540" w:hanging="871"/>
        <w:spacing w:after="0"/>
        <w:tabs>
          <w:tab w:leader="none" w:pos="25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 Adverse Effect;</w:t>
      </w:r>
    </w:p>
    <w:p>
      <w:pPr>
        <w:spacing w:after="0" w:line="227" w:lineRule="exact"/>
        <w:rPr>
          <w:rFonts w:ascii="Arial" w:cs="Arial" w:eastAsia="Arial" w:hAnsi="Arial"/>
          <w:sz w:val="19"/>
          <w:szCs w:val="19"/>
          <w:color w:val="auto"/>
        </w:rPr>
      </w:pPr>
    </w:p>
    <w:p>
      <w:pPr>
        <w:ind w:left="2540" w:hanging="871"/>
        <w:spacing w:after="0"/>
        <w:tabs>
          <w:tab w:leader="none" w:pos="2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of the occurrence of any ERISA Event that could reasonably be expected to result in a Material Adverse</w:t>
      </w:r>
    </w:p>
    <w:p>
      <w:pPr>
        <w:spacing w:after="0" w:line="3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Effect;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9" w:name="page180"/>
    <w:bookmarkEnd w:id="179"/>
    <w:p>
      <w:pPr>
        <w:ind w:left="880" w:firstLine="789"/>
        <w:spacing w:after="0" w:line="260" w:lineRule="auto"/>
        <w:tabs>
          <w:tab w:leader="none" w:pos="255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of any material change in accounting policies or financial reporting practices by any Loan Party or any Subsidiary thereof, including any determination by the Borrower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880" w:firstLine="789"/>
        <w:spacing w:after="0" w:line="250" w:lineRule="auto"/>
        <w:tabs>
          <w:tab w:leader="none" w:pos="2545"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of any (i) occurrence of any Disposition of property or assets for which the Borrower is required to make a mandatory prepayment pursuant to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and (ii) Debt issuance for which the Borrower is required to make a mandatory prepayment pursuant to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shall describe with particularity any and all provisions of this Agreement and any other Loan Document that have been breached.</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6.04</w:t>
      </w:r>
      <w:r>
        <w:rPr>
          <w:sz w:val="20"/>
          <w:szCs w:val="20"/>
          <w:color w:val="auto"/>
        </w:rPr>
        <w:tab/>
      </w:r>
      <w:r>
        <w:rPr>
          <w:rFonts w:ascii="Arial" w:cs="Arial" w:eastAsia="Arial" w:hAnsi="Arial"/>
          <w:sz w:val="16"/>
          <w:szCs w:val="16"/>
          <w:b w:val="1"/>
          <w:bCs w:val="1"/>
          <w:u w:val="single" w:color="auto"/>
          <w:color w:val="auto"/>
        </w:rPr>
        <w:t>Payment of Taxes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Pay and discharge as the same shall become due and payable,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6.05</w:t>
      </w:r>
      <w:r>
        <w:rPr>
          <w:sz w:val="20"/>
          <w:szCs w:val="20"/>
          <w:color w:val="auto"/>
        </w:rPr>
        <w:tab/>
      </w:r>
      <w:r>
        <w:rPr>
          <w:rFonts w:ascii="Arial" w:cs="Arial" w:eastAsia="Arial" w:hAnsi="Arial"/>
          <w:sz w:val="16"/>
          <w:szCs w:val="16"/>
          <w:b w:val="1"/>
          <w:bCs w:val="1"/>
          <w:u w:val="single" w:color="auto"/>
          <w:color w:val="auto"/>
        </w:rPr>
        <w:t>Preservation of Existence, Etc</w:t>
      </w:r>
      <w:r>
        <w:rPr>
          <w:rFonts w:ascii="Arial" w:cs="Arial" w:eastAsia="Arial" w:hAnsi="Arial"/>
          <w:sz w:val="16"/>
          <w:szCs w:val="16"/>
          <w:color w:val="auto"/>
        </w:rPr>
        <w:t>.</w:t>
      </w:r>
    </w:p>
    <w:p>
      <w:pPr>
        <w:spacing w:after="0" w:line="222" w:lineRule="exact"/>
        <w:rPr>
          <w:sz w:val="20"/>
          <w:szCs w:val="20"/>
          <w:color w:val="auto"/>
        </w:rPr>
      </w:pPr>
    </w:p>
    <w:p>
      <w:pPr>
        <w:jc w:val="both"/>
        <w:ind w:left="880" w:firstLine="789"/>
        <w:spacing w:after="0" w:line="263" w:lineRule="auto"/>
        <w:tabs>
          <w:tab w:leader="none" w:pos="254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Preserve, renew and maintain in full force and effect its legal existence and good standing under the Laws of the jurisdiction of its organization except in a transaction permitted by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unless (other than with respect to the preservation of the legal existence of the Loan Parties and the good standing of the Borrower) the failure to do so could not reasonably be expected to have, individually or in the aggregate, a Material Adverse Effect;</w:t>
      </w:r>
    </w:p>
    <w:p>
      <w:pPr>
        <w:spacing w:after="0" w:line="176" w:lineRule="exact"/>
        <w:rPr>
          <w:rFonts w:ascii="Arial" w:cs="Arial" w:eastAsia="Arial" w:hAnsi="Arial"/>
          <w:sz w:val="19"/>
          <w:szCs w:val="19"/>
          <w:color w:val="auto"/>
        </w:rPr>
      </w:pPr>
    </w:p>
    <w:p>
      <w:pPr>
        <w:jc w:val="both"/>
        <w:ind w:left="880" w:firstLine="789"/>
        <w:spacing w:after="0" w:line="250" w:lineRule="auto"/>
        <w:tabs>
          <w:tab w:leader="none" w:pos="255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185" w:lineRule="exact"/>
        <w:rPr>
          <w:rFonts w:ascii="Arial" w:cs="Arial" w:eastAsia="Arial" w:hAnsi="Arial"/>
          <w:sz w:val="20"/>
          <w:szCs w:val="20"/>
          <w:color w:val="auto"/>
        </w:rPr>
      </w:pPr>
    </w:p>
    <w:p>
      <w:pPr>
        <w:ind w:left="880" w:firstLine="789"/>
        <w:spacing w:after="0" w:line="260" w:lineRule="auto"/>
        <w:tabs>
          <w:tab w:leader="none" w:pos="254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preserve or renew all of its registered patents, trademarks, trade names and service marks, the non-preservation of which could reasonably be expected to have a Material Adverse Effect.</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6.06</w:t>
      </w:r>
      <w:r>
        <w:rPr>
          <w:sz w:val="20"/>
          <w:szCs w:val="20"/>
          <w:color w:val="auto"/>
        </w:rPr>
        <w:tab/>
      </w:r>
      <w:r>
        <w:rPr>
          <w:rFonts w:ascii="Arial" w:cs="Arial" w:eastAsia="Arial" w:hAnsi="Arial"/>
          <w:sz w:val="16"/>
          <w:szCs w:val="16"/>
          <w:b w:val="1"/>
          <w:bCs w:val="1"/>
          <w:u w:val="single" w:color="auto"/>
          <w:color w:val="auto"/>
        </w:rPr>
        <w:t>Maintenance of Properties</w:t>
      </w:r>
      <w:r>
        <w:rPr>
          <w:rFonts w:ascii="Arial" w:cs="Arial" w:eastAsia="Arial" w:hAnsi="Arial"/>
          <w:sz w:val="16"/>
          <w:szCs w:val="16"/>
          <w:color w:val="auto"/>
        </w:rPr>
        <w:t>.</w:t>
      </w:r>
    </w:p>
    <w:p>
      <w:pPr>
        <w:spacing w:after="0" w:line="222" w:lineRule="exact"/>
        <w:rPr>
          <w:sz w:val="20"/>
          <w:szCs w:val="20"/>
          <w:color w:val="auto"/>
        </w:rPr>
      </w:pPr>
    </w:p>
    <w:p>
      <w:pPr>
        <w:jc w:val="both"/>
        <w:ind w:left="880" w:firstLine="789"/>
        <w:spacing w:after="0" w:line="250" w:lineRule="auto"/>
        <w:tabs>
          <w:tab w:leader="none" w:pos="254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Maintain, preserve and protect all of its material properties and equipment necessary in the operation of its business in good working order and condition, ordinary wear and tear excepted, except to the extent failure to do so could reasonably be expected to have a Material Adverse Effect; and</w:t>
      </w:r>
    </w:p>
    <w:p>
      <w:pPr>
        <w:spacing w:after="0" w:line="185" w:lineRule="exact"/>
        <w:rPr>
          <w:rFonts w:ascii="Arial" w:cs="Arial" w:eastAsia="Arial" w:hAnsi="Arial"/>
          <w:sz w:val="20"/>
          <w:szCs w:val="20"/>
          <w:color w:val="auto"/>
        </w:rPr>
      </w:pPr>
    </w:p>
    <w:p>
      <w:pPr>
        <w:ind w:left="880" w:right="20" w:firstLine="789"/>
        <w:spacing w:after="0" w:line="260" w:lineRule="auto"/>
        <w:tabs>
          <w:tab w:leader="none" w:pos="25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make all necessary repairs thereto and renewals and replacements thereof except where the failure to do so could not reasonably be expected to have a Material Adverse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0" w:name="page181"/>
    <w:bookmarkEnd w:id="180"/>
    <w:p>
      <w:pPr>
        <w:ind w:left="880"/>
        <w:spacing w:after="0"/>
        <w:tabs>
          <w:tab w:leader="none" w:pos="1840" w:val="left"/>
        </w:tabs>
        <w:rPr>
          <w:sz w:val="20"/>
          <w:szCs w:val="20"/>
          <w:color w:val="auto"/>
        </w:rPr>
      </w:pPr>
      <w:r>
        <w:rPr>
          <w:rFonts w:ascii="Arial" w:cs="Arial" w:eastAsia="Arial" w:hAnsi="Arial"/>
          <w:sz w:val="20"/>
          <w:szCs w:val="20"/>
          <w:b w:val="1"/>
          <w:bCs w:val="1"/>
          <w:color w:val="auto"/>
        </w:rPr>
        <w:t>6.07</w:t>
      </w:r>
      <w:r>
        <w:rPr>
          <w:sz w:val="20"/>
          <w:szCs w:val="20"/>
          <w:color w:val="auto"/>
        </w:rPr>
        <w:tab/>
      </w:r>
      <w:r>
        <w:rPr>
          <w:rFonts w:ascii="Arial" w:cs="Arial" w:eastAsia="Arial" w:hAnsi="Arial"/>
          <w:sz w:val="16"/>
          <w:szCs w:val="16"/>
          <w:b w:val="1"/>
          <w:bCs w:val="1"/>
          <w:u w:val="single" w:color="auto"/>
          <w:color w:val="auto"/>
        </w:rPr>
        <w:t>Maintenance of Insurance.</w:t>
      </w:r>
    </w:p>
    <w:p>
      <w:pPr>
        <w:spacing w:after="0" w:line="222" w:lineRule="exact"/>
        <w:rPr>
          <w:sz w:val="20"/>
          <w:szCs w:val="20"/>
          <w:color w:val="auto"/>
        </w:rPr>
      </w:pPr>
    </w:p>
    <w:p>
      <w:pPr>
        <w:jc w:val="both"/>
        <w:ind w:left="880" w:firstLine="789"/>
        <w:spacing w:after="0" w:line="273" w:lineRule="auto"/>
        <w:tabs>
          <w:tab w:leader="none" w:pos="254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with insurance companies not Affiliates of the Borrower believed by the Borrower to be financially sound and reputable,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with any such property or general liability insurance to (i) provide for not less than thirty (30) days’ prior notice to the Administrative Agent of termination, lapse or cancellation of such insurance (or ten (10) days’ prior notice in the case of cancellation due to the nonpayment of premiums), and (ii) name the Administrative Agent as mortgagee (in the case of property insurance) or additional insured on behalf of the Secured Parties (in the case of liability insurance) or loss payee (in the case of property insurance), as applicable.</w:t>
      </w:r>
    </w:p>
    <w:p>
      <w:pPr>
        <w:spacing w:after="0" w:line="168" w:lineRule="exact"/>
        <w:rPr>
          <w:rFonts w:ascii="Arial" w:cs="Arial" w:eastAsia="Arial" w:hAnsi="Arial"/>
          <w:sz w:val="18"/>
          <w:szCs w:val="18"/>
          <w:color w:val="auto"/>
        </w:rPr>
      </w:pPr>
    </w:p>
    <w:p>
      <w:pPr>
        <w:jc w:val="both"/>
        <w:ind w:left="880" w:firstLine="789"/>
        <w:spacing w:after="0" w:line="273" w:lineRule="auto"/>
        <w:tabs>
          <w:tab w:leader="none" w:pos="255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Flood Insurance</w:t>
      </w:r>
      <w:r>
        <w:rPr>
          <w:rFonts w:ascii="Arial" w:cs="Arial" w:eastAsia="Arial" w:hAnsi="Arial"/>
          <w:sz w:val="18"/>
          <w:szCs w:val="18"/>
          <w:color w:val="auto"/>
        </w:rPr>
        <w:t>.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(v)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 The Borrower shall promptly notify the Administrative Agent of any Mortgaged Property that is, or becomes, a Flood Hazard Property.</w:t>
      </w:r>
    </w:p>
    <w:p>
      <w:pPr>
        <w:spacing w:after="0" w:line="168" w:lineRule="exact"/>
        <w:rPr>
          <w:rFonts w:ascii="Arial" w:cs="Arial" w:eastAsia="Arial" w:hAnsi="Arial"/>
          <w:sz w:val="18"/>
          <w:szCs w:val="18"/>
          <w:color w:val="auto"/>
        </w:rPr>
      </w:pPr>
    </w:p>
    <w:p>
      <w:pPr>
        <w:jc w:val="both"/>
        <w:ind w:left="880" w:firstLine="789"/>
        <w:spacing w:after="0" w:line="257" w:lineRule="auto"/>
        <w:tabs>
          <w:tab w:leader="none" w:pos="2545"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Evidence of Insurance</w:t>
      </w:r>
      <w:r>
        <w:rPr>
          <w:rFonts w:ascii="Arial" w:cs="Arial" w:eastAsia="Arial" w:hAnsi="Arial"/>
          <w:sz w:val="19"/>
          <w:szCs w:val="19"/>
          <w:color w:val="auto"/>
        </w:rPr>
        <w:t>. Cause the Administrative Agent to be named as lenders’ loss payable, loss payee or mortgagee, as its interest may appear, and/or additional insured with respect of any such insurance providing general liability or property coverage,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As requested by the Administrative Agent, the Loan Parties agree to deliver to the Administrative Agent an Authorization to Share Insurance Information, in a form acceptable to the Administrative Agent.</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6.08</w:t>
      </w:r>
      <w:r>
        <w:rPr>
          <w:sz w:val="20"/>
          <w:szCs w:val="20"/>
          <w:color w:val="auto"/>
        </w:rPr>
        <w:tab/>
      </w:r>
      <w:r>
        <w:rPr>
          <w:rFonts w:ascii="Arial" w:cs="Arial" w:eastAsia="Arial" w:hAnsi="Arial"/>
          <w:sz w:val="18"/>
          <w:szCs w:val="18"/>
          <w:b w:val="1"/>
          <w:bCs w:val="1"/>
          <w:u w:val="single" w:color="auto"/>
          <w:color w:val="auto"/>
        </w:rPr>
        <w:t>Compliance with Laws.</w:t>
      </w:r>
    </w:p>
    <w:p>
      <w:pPr>
        <w:spacing w:after="0" w:line="22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Comply with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or other action diligently conducted; or (b) the failure to comply therewith could not reasonably be expected to have a Material Adverse Effect.</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360" w:type="dxa"/>
            <w:vAlign w:val="bottom"/>
          </w:tcPr>
          <w:p>
            <w:pPr>
              <w:jc w:val="right"/>
              <w:ind w:right="121"/>
              <w:spacing w:after="0"/>
              <w:rPr>
                <w:sz w:val="20"/>
                <w:szCs w:val="20"/>
                <w:color w:val="auto"/>
              </w:rPr>
            </w:pPr>
            <w:r>
              <w:rPr>
                <w:rFonts w:ascii="Arial" w:cs="Arial" w:eastAsia="Arial" w:hAnsi="Arial"/>
                <w:sz w:val="20"/>
                <w:szCs w:val="20"/>
                <w:b w:val="1"/>
                <w:bCs w:val="1"/>
                <w:color w:val="auto"/>
              </w:rPr>
              <w:t>6.09</w:t>
            </w:r>
          </w:p>
        </w:tc>
        <w:tc>
          <w:tcPr>
            <w:tcW w:w="4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20"/>
                <w:szCs w:val="20"/>
                <w:b w:val="1"/>
                <w:bCs w:val="1"/>
                <w:color w:val="auto"/>
              </w:rPr>
              <w:t>Books and Records.</w:t>
            </w:r>
          </w:p>
        </w:tc>
      </w:tr>
      <w:tr>
        <w:trPr>
          <w:trHeight w:val="20"/>
        </w:trPr>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465"/>
        </w:trPr>
        <w:tc>
          <w:tcPr>
            <w:tcW w:w="1360" w:type="dxa"/>
            <w:vAlign w:val="bottom"/>
          </w:tcPr>
          <w:p>
            <w:pPr>
              <w:jc w:val="right"/>
              <w:ind w:right="1041"/>
              <w:spacing w:after="0"/>
              <w:rPr>
                <w:sz w:val="20"/>
                <w:szCs w:val="20"/>
                <w:color w:val="auto"/>
              </w:rPr>
            </w:pPr>
            <w:r>
              <w:rPr>
                <w:rFonts w:ascii="Arial" w:cs="Arial" w:eastAsia="Arial" w:hAnsi="Arial"/>
                <w:sz w:val="20"/>
                <w:szCs w:val="20"/>
                <w:color w:val="auto"/>
                <w:w w:val="81"/>
              </w:rPr>
              <w:t>(a)</w:t>
            </w:r>
          </w:p>
        </w:tc>
        <w:tc>
          <w:tcPr>
            <w:tcW w:w="9800" w:type="dxa"/>
            <w:vAlign w:val="bottom"/>
            <w:gridSpan w:val="3"/>
          </w:tcPr>
          <w:p>
            <w:pPr>
              <w:ind w:left="220"/>
              <w:spacing w:after="0"/>
              <w:rPr>
                <w:sz w:val="20"/>
                <w:szCs w:val="20"/>
                <w:color w:val="auto"/>
              </w:rPr>
            </w:pPr>
            <w:r>
              <w:rPr>
                <w:rFonts w:ascii="Arial" w:cs="Arial" w:eastAsia="Arial" w:hAnsi="Arial"/>
                <w:sz w:val="20"/>
                <w:szCs w:val="20"/>
                <w:color w:val="auto"/>
                <w:w w:val="90"/>
              </w:rPr>
              <w:t>Maintain proper books of record and account, in which full, true and correct entries in conformity in all material respects</w:t>
            </w:r>
          </w:p>
        </w:tc>
      </w:tr>
    </w:tbl>
    <w:p>
      <w:pPr>
        <w:ind w:left="860"/>
        <w:spacing w:after="0" w:line="244" w:lineRule="auto"/>
        <w:rPr>
          <w:sz w:val="20"/>
          <w:szCs w:val="20"/>
          <w:color w:val="auto"/>
        </w:rPr>
      </w:pPr>
      <w:r>
        <w:rPr>
          <w:rFonts w:ascii="Arial" w:cs="Arial" w:eastAsia="Arial" w:hAnsi="Arial"/>
          <w:sz w:val="20"/>
          <w:szCs w:val="20"/>
          <w:color w:val="auto"/>
        </w:rPr>
        <w:t>with GAAP consistently applied shall be made of all financial transactions and matters involving the assets and business of such Loan Party or such Subsidiary, as the case may be;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1" w:name="page182"/>
    <w:bookmarkEnd w:id="181"/>
    <w:p>
      <w:pPr>
        <w:ind w:left="880" w:right="20" w:firstLine="789"/>
        <w:spacing w:after="0" w:line="287" w:lineRule="auto"/>
        <w:tabs>
          <w:tab w:leader="none" w:pos="254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6.10</w:t>
      </w:r>
      <w:r>
        <w:rPr>
          <w:sz w:val="20"/>
          <w:szCs w:val="20"/>
          <w:color w:val="auto"/>
        </w:rPr>
        <w:tab/>
      </w:r>
      <w:r>
        <w:rPr>
          <w:rFonts w:ascii="Arial" w:cs="Arial" w:eastAsia="Arial" w:hAnsi="Arial"/>
          <w:sz w:val="16"/>
          <w:szCs w:val="16"/>
          <w:b w:val="1"/>
          <w:bCs w:val="1"/>
          <w:u w:val="single" w:color="auto"/>
          <w:color w:val="auto"/>
        </w:rPr>
        <w:t>Inspection Rights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Permit representatives and independent contractors of the Administrative Agent (which may be accompanied by representatives and independent contractors of one or more Lenders) to visit and inspect any of its properties, to examine its corporate, financial and operating records, and make copies thereof or abstracts therefrom, and to discuss its affairs, finances and accounts with its directors, officers, and independent public accountants (to the extent the Borrower’s officers are afforded a reasonable opportunity to participate), all at such reasonable times during normal business hours and as often as may be reasonably desired,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so long as no Event of Default then exists, except for one collective visit per calendar year (which shall be at the reasonable expense of the Borrower), all such visits and inspections shall be at the sole expense of the Administrative Agent and participating Lenders and such visits and inspections shall occur no more frequently than semi-annually, (ii) when an Event of Default exists the Administrative Agent (which may be accompanied by one or more Lenders) (or any of their respective representatives or independent contractors) may do any of the foregoing at the reasonable expense of the Borrower at any time during normal business hours and without advance notice and (iii) in respect of any such discussions with any independent accountants, the Borrower or such Subsidiary, as the case may be, must receive reasonable advance notice thereof and a reasonable opportunity to participate therein and such discussions will be subject to the execution of any non-reliance letter or other customary requirements of such accountants. Notwithstanding anything to the contrary in this </w:t>
      </w:r>
      <w:r>
        <w:rPr>
          <w:rFonts w:ascii="Arial" w:cs="Arial" w:eastAsia="Arial" w:hAnsi="Arial"/>
          <w:sz w:val="18"/>
          <w:szCs w:val="18"/>
          <w:u w:val="single" w:color="auto"/>
          <w:color w:val="auto"/>
        </w:rPr>
        <w:t>Section 6.10</w:t>
      </w:r>
      <w:r>
        <w:rPr>
          <w:rFonts w:ascii="Arial" w:cs="Arial" w:eastAsia="Arial" w:hAnsi="Arial"/>
          <w:sz w:val="18"/>
          <w:szCs w:val="18"/>
          <w:color w:val="auto"/>
        </w:rPr>
        <w:t>, no Loan Party or Subsidiary will be required to disclose or permit the inspection or discussion of, any document, information or other matter (x) that constitutes non-financial trade secrets, (y) in respect of which disclosure to the Administrative Agent or any Lender (or their respective representatives or contractors) is prohibited by requirements of Law or any binding agreement (not entered into in contemplation hereof), or (z) that is subject to attorney client privilege or constitutes attorney work product.</w:t>
      </w:r>
    </w:p>
    <w:p>
      <w:pPr>
        <w:spacing w:after="0" w:line="16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6.11</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Use the proceeds (a) of the Term Facility and Revolving Facility to (i) refinance certain existing indebtedness of the Borrower and its subsidiaries; (ii) pay fees and expenses incurred in connection with the transactions contemplated in this Agreement; and (iii) provide ongoing working capital and for other general corporate purposes of the Loan Parties and their subsidiaries; and (b) and of any Incremental Facility for any general corporate purpose of the Borrower agreed to by the lenders thereof (including for Permitted Acquisitions and other permitted Investments, permitted Restricted Payments, Permitted Refinancings and any other transaction not prohibited by this Agreement or any other Loan Document); in each case, not in contravention of any Law or of any Loan Document.</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6"/>
          <w:szCs w:val="16"/>
          <w:b w:val="1"/>
          <w:bCs w:val="1"/>
          <w:u w:val="single" w:color="auto"/>
          <w:color w:val="auto"/>
        </w:rPr>
        <w:t>Covenant to Guarantee Obligations.</w:t>
      </w:r>
    </w:p>
    <w:p>
      <w:pPr>
        <w:spacing w:after="0" w:line="22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Within forty-five (45) days (or such longer period of time as is agreed to by the Administrative Agent in its sole discretion) after the acquisition or formation of any Subsidiary (other than an Excluded Subsidiary), or the designation by the Borrower in its sole discretion of a Foreign Subsidiary to become a Designated Foreign Subsidiary Guarantor or an Immaterial Subsidiary as not being an Excluded Subsidiary, (a) cause such Person to become a Guarantor hereunder by way of execution of a Joinder Agreement or, in the case of a Designated Foreign Subsidiary Guarantor, such other documentation as may be reasonably requested by the Administrative Agent for such Foreign Subsidiary to become a Guarantor, all such documentation to be in form and substance reasonably satisfactory to the Administrative Agent, and (b)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2" w:name="page183"/>
    <w:bookmarkEnd w:id="182"/>
    <w:p>
      <w:pPr>
        <w:jc w:val="both"/>
        <w:spacing w:after="0" w:line="272" w:lineRule="auto"/>
        <w:rPr>
          <w:sz w:val="20"/>
          <w:szCs w:val="20"/>
          <w:color w:val="auto"/>
        </w:rPr>
      </w:pPr>
      <w:r>
        <w:rPr>
          <w:rFonts w:ascii="Arial" w:cs="Arial" w:eastAsia="Arial" w:hAnsi="Arial"/>
          <w:sz w:val="18"/>
          <w:szCs w:val="18"/>
          <w:color w:val="auto"/>
        </w:rPr>
        <w:t xml:space="preserve">provide all other documentation and other information reasonably requested by the Administrative Agent or (through the Administrative Agent) any Lender to satisfy applicable “know your customer” and anti-money laundering rules and regulations, including the Patriot Act, all in form, content and scope reasonably satisfactory to the Administrative Agent. In connection with the foregoing, the Loan Parties shall deliver to the Administrative Agent, with respect to each new Guarantor to the extent applicable, substantially the same documentation required pursuant to </w:t>
      </w:r>
      <w:r>
        <w:rPr>
          <w:rFonts w:ascii="Arial" w:cs="Arial" w:eastAsia="Arial" w:hAnsi="Arial"/>
          <w:sz w:val="18"/>
          <w:szCs w:val="18"/>
          <w:u w:val="single" w:color="auto"/>
          <w:color w:val="auto"/>
        </w:rPr>
        <w:t>Sections 4.01(b)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and favorable opinions of counsel to such Person (which should cover, among other things, the legality, binding effect and enforceability) and, with respect to any Designated Foreign Subsidiary Guarantor, the Loan Parties shall deliver such other documentation and deliverables, and take such other actions, as reasonably requested by the Administrative Agent, in each case, as are customary in the applicable jurisdiction in connection with the making of a Guarantee or granting of a security interest by a Person in such jurisdiction, all in form, content and scope reasonably satisfactory to the Administrative Agent.</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6"/>
          <w:szCs w:val="16"/>
          <w:b w:val="1"/>
          <w:bCs w:val="1"/>
          <w:u w:val="single" w:color="auto"/>
          <w:color w:val="auto"/>
        </w:rPr>
        <w:t>Covenant to Give Security.</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Except with respect to Excluded Property:</w:t>
      </w:r>
    </w:p>
    <w:p>
      <w:pPr>
        <w:spacing w:after="0" w:line="216" w:lineRule="exact"/>
        <w:rPr>
          <w:sz w:val="20"/>
          <w:szCs w:val="20"/>
          <w:color w:val="auto"/>
        </w:rPr>
      </w:pPr>
    </w:p>
    <w:p>
      <w:pPr>
        <w:jc w:val="both"/>
        <w:ind w:left="880" w:firstLine="789"/>
        <w:spacing w:after="0" w:line="255" w:lineRule="auto"/>
        <w:tabs>
          <w:tab w:leader="none" w:pos="2545" w:val="left"/>
        </w:tabs>
        <w:numPr>
          <w:ilvl w:val="1"/>
          <w:numId w:val="169"/>
        </w:numPr>
        <w:rPr>
          <w:rFonts w:ascii="Arial" w:cs="Arial" w:eastAsia="Arial" w:hAnsi="Arial"/>
          <w:sz w:val="19"/>
          <w:szCs w:val="19"/>
          <w:color w:val="auto"/>
        </w:rPr>
      </w:pPr>
      <w:r>
        <w:rPr>
          <w:rFonts w:ascii="Arial" w:cs="Arial" w:eastAsia="Arial" w:hAnsi="Arial"/>
          <w:sz w:val="19"/>
          <w:szCs w:val="19"/>
          <w:u w:val="single" w:color="auto"/>
          <w:color w:val="auto"/>
        </w:rPr>
        <w:t>Equity Interests and Personal Property</w:t>
      </w:r>
      <w:r>
        <w:rPr>
          <w:rFonts w:ascii="Arial" w:cs="Arial" w:eastAsia="Arial" w:hAnsi="Arial"/>
          <w:sz w:val="19"/>
          <w:szCs w:val="19"/>
          <w:color w:val="auto"/>
        </w:rPr>
        <w:t>. Within forty-five (45) days (or such longer period of time as is agreed to by the Administrative Agent in its sole discretion) after the formation or acquisition of any Subsidiary (other than an Excluded Subsidiary) by any Loan Party, or of any Subsidiary no longer constituting an Excluded Subsidiary, cause (i) one hundred percent (100%) of the issued and outstanding Equity Interests of each Material Wholly Owned Domestic Subsidiary (other than any FSHCO) and (ii) sixty-five percent (65%) (or such greater percentage that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of each Material Wholly Owned Foreign Subsidiary or Material Wholly Owned Domestic Subsidiary that is a FSHCO, in each case, directly owned by any Loan Party to be subject at all times to a first priority, perfected Lien in favor of the Administrative Agent pursuant to the terms and conditions of the Collateral Documents, and, in connection with the foregoing, deliver to the Administrative Agent such other documentation as the Administrative Agent may reasonably request, including any filings and deliveries to perfect such Liens and favorable opinions of counsel all in form and substance reasonably satisfactory to the Administrative Agent.</w:t>
      </w:r>
    </w:p>
    <w:p>
      <w:pPr>
        <w:spacing w:after="0" w:line="181" w:lineRule="exact"/>
        <w:rPr>
          <w:rFonts w:ascii="Arial" w:cs="Arial" w:eastAsia="Arial" w:hAnsi="Arial"/>
          <w:sz w:val="19"/>
          <w:szCs w:val="19"/>
          <w:color w:val="auto"/>
        </w:rPr>
      </w:pPr>
    </w:p>
    <w:p>
      <w:pPr>
        <w:jc w:val="both"/>
        <w:ind w:left="880" w:firstLine="789"/>
        <w:spacing w:after="0" w:line="270" w:lineRule="auto"/>
        <w:tabs>
          <w:tab w:leader="none" w:pos="2556"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Other Property</w:t>
      </w:r>
      <w:r>
        <w:rPr>
          <w:rFonts w:ascii="Arial" w:cs="Arial" w:eastAsia="Arial" w:hAnsi="Arial"/>
          <w:sz w:val="18"/>
          <w:szCs w:val="18"/>
          <w:color w:val="auto"/>
        </w:rPr>
        <w:t>. With respect to any property (other than Excluded Property) acquired by any Loan Party after the Closing Date that is not subject to a Lien thereunder, but in any event subject to the terms, conditions and limitations thereunder, within sixty (60) days after the acquisition thereof (or, in the case of real property, one hundred twenty (120) days) (or, in each case, such longer period of time as is agreed to by the Administrative Agent in its sole discretion), such Loan Party shall</w:t>
      </w:r>
    </w:p>
    <w:p>
      <w:pPr>
        <w:spacing w:after="0" w:line="2" w:lineRule="exact"/>
        <w:rPr>
          <w:rFonts w:ascii="Arial" w:cs="Arial" w:eastAsia="Arial" w:hAnsi="Arial"/>
          <w:sz w:val="18"/>
          <w:szCs w:val="18"/>
          <w:color w:val="auto"/>
        </w:rPr>
      </w:pPr>
    </w:p>
    <w:p>
      <w:pPr>
        <w:jc w:val="both"/>
        <w:ind w:left="880" w:hanging="8"/>
        <w:spacing w:after="0" w:line="255" w:lineRule="auto"/>
        <w:tabs>
          <w:tab w:leader="none" w:pos="112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cause all such property to be subject to first priority, perfected and, in the case of real property, title insured Liens in favor of the Administrative Agent to secure the Secured Obligations pursuant to the Collateral Documents to the extent required thereunder and, (ii) in connection with the foregoing, upon the Administrative Agent’s reasonable request, deliver to the Administrative Agent such other documentation, including filings and deliveries necessary to perfect such Liens, Organization Documents, resolutions, Mortgages, Mortgaged Property Support Documents and favorable opinions of counsel to such Person, all in form, content and scope reasonably satisfactory to the Administrative Agent.</w:t>
      </w:r>
    </w:p>
    <w:p>
      <w:pPr>
        <w:spacing w:after="0" w:line="184" w:lineRule="exact"/>
        <w:rPr>
          <w:rFonts w:ascii="Arial" w:cs="Arial" w:eastAsia="Arial" w:hAnsi="Arial"/>
          <w:sz w:val="19"/>
          <w:szCs w:val="19"/>
          <w:color w:val="auto"/>
        </w:rPr>
      </w:pPr>
    </w:p>
    <w:p>
      <w:pPr>
        <w:ind w:left="2540" w:hanging="871"/>
        <w:spacing w:after="0"/>
        <w:tabs>
          <w:tab w:leader="none" w:pos="2540" w:val="left"/>
        </w:tabs>
        <w:numPr>
          <w:ilvl w:val="1"/>
          <w:numId w:val="170"/>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3" w:name="page184"/>
    <w:bookmarkEnd w:id="183"/>
    <w:p>
      <w:pPr>
        <w:jc w:val="both"/>
        <w:ind w:left="1740" w:firstLine="726"/>
        <w:spacing w:after="0" w:line="273" w:lineRule="auto"/>
        <w:tabs>
          <w:tab w:leader="none" w:pos="330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6.13</w:t>
      </w:r>
      <w:r>
        <w:rPr>
          <w:rFonts w:ascii="Arial" w:cs="Arial" w:eastAsia="Arial" w:hAnsi="Arial"/>
          <w:sz w:val="18"/>
          <w:szCs w:val="18"/>
          <w:color w:val="auto"/>
        </w:rPr>
        <w:t>, the Loan Parties shall not be required, nor shall the Administrative Agent be authorized to take, absent agreement of the Borrower, any action in any jurisdiction outside of the United States (other than, with respect to any Designated Foreign Subsidiary Guarantor, the Approved Jurisdiction in which such Designated Foreign Subsidiary Guarantor is organized) to create or perfect any security interest with respect to any assets located outside of the United States (it being understood that, absent agreement of the Borrower, there shall be no security agreements or pledge agreements governed under the laws of any jurisdiction outside the United States (other than, with respect to any Designated Foreign Subsidiary Guarantor, the Approved Jurisdiction in which such Designated Foreign Subsidiary Guarantor is organized)).</w:t>
      </w:r>
    </w:p>
    <w:p>
      <w:pPr>
        <w:spacing w:after="0" w:line="168" w:lineRule="exact"/>
        <w:rPr>
          <w:rFonts w:ascii="Arial" w:cs="Arial" w:eastAsia="Arial" w:hAnsi="Arial"/>
          <w:sz w:val="18"/>
          <w:szCs w:val="18"/>
          <w:color w:val="auto"/>
        </w:rPr>
      </w:pPr>
    </w:p>
    <w:p>
      <w:pPr>
        <w:jc w:val="both"/>
        <w:ind w:left="1740" w:firstLine="726"/>
        <w:spacing w:after="0" w:line="242" w:lineRule="auto"/>
        <w:tabs>
          <w:tab w:leader="none" w:pos="33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If, at any Loan Party following the pledge by any Loan Party in favor of the Administrative Agent of greater than sixty-five percent (65%) of the issued and outstanding Equity Interests entitled to vote (within the meaning of Treas. Reg. Section 1.956-2(c)(2)) of any Material Wholly Owned Foreign Subsidiary or Material Wholly Owned Domestic Subsidiary that is a FSHCO directly owned by such Loan Party, the Borrower determines in its reasonable business judgment that such pledge is reasonably expected to cause any material adverse tax consequences to the Borrower or its Subsidiaries, the Administrative Agent shall, upon the request of the Borrower, reasonably promptly release and discharge its Lien on such Equity Interests to the extent exceeding sixty-five percent (65%) thereof, and the Administrative Agent agrees to take all actions reasonably requested by the Borrower to evidence such discharge and release.</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6.14</w:t>
      </w:r>
      <w:r>
        <w:rPr>
          <w:sz w:val="20"/>
          <w:szCs w:val="20"/>
          <w:color w:val="auto"/>
        </w:rPr>
        <w:tab/>
      </w:r>
      <w:r>
        <w:rPr>
          <w:rFonts w:ascii="Arial" w:cs="Arial" w:eastAsia="Arial" w:hAnsi="Arial"/>
          <w:sz w:val="18"/>
          <w:szCs w:val="18"/>
          <w:b w:val="1"/>
          <w:bCs w:val="1"/>
          <w:u w:val="single" w:color="auto"/>
          <w:color w:val="auto"/>
        </w:rPr>
        <w:t>Anti-Corruption Laws; Sanctions.</w:t>
      </w:r>
    </w:p>
    <w:p>
      <w:pPr>
        <w:spacing w:after="0" w:line="22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6.15</w:t>
      </w:r>
      <w:r>
        <w:rPr>
          <w:sz w:val="20"/>
          <w:szCs w:val="20"/>
          <w:color w:val="auto"/>
        </w:rPr>
        <w:tab/>
      </w:r>
      <w:r>
        <w:rPr>
          <w:rFonts w:ascii="Arial" w:cs="Arial" w:eastAsia="Arial" w:hAnsi="Arial"/>
          <w:sz w:val="16"/>
          <w:szCs w:val="16"/>
          <w:b w:val="1"/>
          <w:bCs w:val="1"/>
          <w:u w:val="single" w:color="auto"/>
          <w:color w:val="auto"/>
        </w:rPr>
        <w:t>Further Assurances.</w:t>
      </w:r>
    </w:p>
    <w:p>
      <w:pPr>
        <w:spacing w:after="0" w:line="22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Promptly upon reasonable request by the Administrative Agent, or any Lender through the Administrative Agent, (a) cooperate in the correction of any material defect or error discovered in any Loan Document or in the execution, acknowledgment, filing or recordation thereof, and (b) subject to </w:t>
      </w:r>
      <w:r>
        <w:rPr>
          <w:rFonts w:ascii="Arial" w:cs="Arial" w:eastAsia="Arial" w:hAnsi="Arial"/>
          <w:sz w:val="18"/>
          <w:szCs w:val="18"/>
          <w:u w:val="single" w:color="auto"/>
          <w:color w:val="auto"/>
        </w:rPr>
        <w:t>Section 6.13(c)</w:t>
      </w:r>
      <w:r>
        <w:rPr>
          <w:rFonts w:ascii="Arial" w:cs="Arial" w:eastAsia="Arial" w:hAnsi="Arial"/>
          <w:sz w:val="18"/>
          <w:szCs w:val="18"/>
          <w:color w:val="auto"/>
        </w:rPr>
        <w: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4" w:name="page185"/>
    <w:bookmarkEnd w:id="184"/>
    <w:p>
      <w:pPr>
        <w:ind w:left="880"/>
        <w:spacing w:after="0"/>
        <w:tabs>
          <w:tab w:leader="none" w:pos="1840" w:val="left"/>
        </w:tabs>
        <w:rPr>
          <w:sz w:val="20"/>
          <w:szCs w:val="20"/>
          <w:color w:val="auto"/>
        </w:rPr>
      </w:pPr>
      <w:r>
        <w:rPr>
          <w:rFonts w:ascii="Arial" w:cs="Arial" w:eastAsia="Arial" w:hAnsi="Arial"/>
          <w:sz w:val="20"/>
          <w:szCs w:val="20"/>
          <w:b w:val="1"/>
          <w:bCs w:val="1"/>
          <w:color w:val="auto"/>
        </w:rPr>
        <w:t>6.16</w:t>
      </w:r>
      <w:r>
        <w:rPr>
          <w:sz w:val="20"/>
          <w:szCs w:val="20"/>
          <w:color w:val="auto"/>
        </w:rPr>
        <w:tab/>
      </w:r>
      <w:r>
        <w:rPr>
          <w:rFonts w:ascii="Arial" w:cs="Arial" w:eastAsia="Arial" w:hAnsi="Arial"/>
          <w:sz w:val="16"/>
          <w:szCs w:val="16"/>
          <w:b w:val="1"/>
          <w:bCs w:val="1"/>
          <w:u w:val="single" w:color="auto"/>
          <w:color w:val="auto"/>
        </w:rPr>
        <w:t>Post-Closing Covenant.</w:t>
      </w:r>
    </w:p>
    <w:p>
      <w:pPr>
        <w:spacing w:after="0" w:line="22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The Loan Parties shall comply with their obligations described in </w:t>
      </w:r>
      <w:r>
        <w:rPr>
          <w:rFonts w:ascii="Arial" w:cs="Arial" w:eastAsia="Arial" w:hAnsi="Arial"/>
          <w:sz w:val="20"/>
          <w:szCs w:val="20"/>
          <w:u w:val="single" w:color="auto"/>
          <w:color w:val="auto"/>
        </w:rPr>
        <w:t>Schedule 6.16</w:t>
      </w:r>
      <w:r>
        <w:rPr>
          <w:rFonts w:ascii="Arial" w:cs="Arial" w:eastAsia="Arial" w:hAnsi="Arial"/>
          <w:sz w:val="20"/>
          <w:szCs w:val="20"/>
          <w:color w:val="auto"/>
        </w:rPr>
        <w:t>, in each case, within the applicable periods of time specified in such Schedule with respect to the relevant item (or such longer periods as the Administrative Agent may agree in its reasonable discretion). Notwithstanding anything to the contrary contained in this Agreement or any other Loan Document, the parties hereto acknowledge and agree that all conditions precedent and representations and covenants contained in this Agreement and the other Loan Documents shall be deemed modified to the extent appropriate to permit such actions within such time frames set forth on Schedule 6.16 rather than on the Closing Date.</w:t>
      </w:r>
    </w:p>
    <w:p>
      <w:pPr>
        <w:spacing w:after="0" w:line="190"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NEGATIVE COVENANTS</w:t>
      </w:r>
    </w:p>
    <w:p>
      <w:pPr>
        <w:spacing w:after="0" w:line="22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Each of the Loan Parties hereby covenants and agrees that on the Closing Date and thereafter until the Facility Termination Date, no Loan Party shall, nor shall it permit any Subsidiary to, directly or indirectly:</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7.01</w:t>
      </w:r>
      <w:r>
        <w:rPr>
          <w:sz w:val="20"/>
          <w:szCs w:val="20"/>
          <w:color w:val="auto"/>
        </w:rPr>
        <w:tab/>
      </w:r>
      <w:r>
        <w:rPr>
          <w:rFonts w:ascii="Arial" w:cs="Arial" w:eastAsia="Arial" w:hAnsi="Arial"/>
          <w:sz w:val="16"/>
          <w:szCs w:val="16"/>
          <w:b w:val="1"/>
          <w:bCs w:val="1"/>
          <w:u w:val="single" w:color="auto"/>
          <w:color w:val="auto"/>
        </w:rPr>
        <w:t>Liens.</w:t>
      </w:r>
    </w:p>
    <w:p>
      <w:pPr>
        <w:spacing w:after="0" w:line="22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Create, incur, assume or suffer to exist any Lien upon any of its property, assets or revenues, whether now owned or hereafter acquired, except for the following (the “</w:t>
      </w:r>
      <w:r>
        <w:rPr>
          <w:rFonts w:ascii="Arial" w:cs="Arial" w:eastAsia="Arial" w:hAnsi="Arial"/>
          <w:sz w:val="20"/>
          <w:szCs w:val="20"/>
          <w:i w:val="1"/>
          <w:iCs w:val="1"/>
          <w:u w:val="single" w:color="auto"/>
          <w:color w:val="auto"/>
        </w:rPr>
        <w:t>Permitted Liens</w:t>
      </w:r>
      <w:r>
        <w:rPr>
          <w:rFonts w:ascii="Arial" w:cs="Arial" w:eastAsia="Arial" w:hAnsi="Arial"/>
          <w:sz w:val="20"/>
          <w:szCs w:val="20"/>
          <w:color w:val="auto"/>
        </w:rPr>
        <w:t>”):</w:t>
      </w:r>
    </w:p>
    <w:p>
      <w:pPr>
        <w:spacing w:after="0" w:line="177" w:lineRule="exact"/>
        <w:rPr>
          <w:sz w:val="20"/>
          <w:szCs w:val="20"/>
          <w:color w:val="auto"/>
        </w:rPr>
      </w:pPr>
    </w:p>
    <w:p>
      <w:pPr>
        <w:ind w:left="2540" w:hanging="871"/>
        <w:spacing w:after="0"/>
        <w:tabs>
          <w:tab w:leader="none" w:pos="25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15" w:lineRule="exact"/>
        <w:rPr>
          <w:rFonts w:ascii="Arial" w:cs="Arial" w:eastAsia="Arial" w:hAnsi="Arial"/>
          <w:sz w:val="20"/>
          <w:szCs w:val="20"/>
          <w:color w:val="auto"/>
        </w:rPr>
      </w:pPr>
    </w:p>
    <w:p>
      <w:pPr>
        <w:jc w:val="both"/>
        <w:ind w:left="880" w:firstLine="789"/>
        <w:spacing w:after="0" w:line="243" w:lineRule="auto"/>
        <w:tabs>
          <w:tab w:leader="none" w:pos="255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Liens existing on the Closing Date and listed on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and any modifications, replacements, renewals, restructurings, refinancings or extensions thereof;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 any such Lien does not encumber any property other than (A) property encumbered on the Closing Date, (B) after-acquired property that is affixed or incorporated into the property covered by such Lien on the Closing Date and (C) proceeds and products thereof and (ii) the modification, replacement, renewal, restructuring, refinancing or extension of the obligations secured or benefited by such Liens, to the extent constituting Indebtedness, is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left="880" w:firstLine="789"/>
        <w:spacing w:after="0" w:line="250" w:lineRule="auto"/>
        <w:tabs>
          <w:tab w:leader="none" w:pos="254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inchoate Liens for Taxes not yet delinquent for more than thirty (30) days or which are being contested in good faith and by appropriate proceedings or other action diligently conducted, if adequate reserves with respect thereto are maintained on the books of the applicable Person in accordance with GAAP;</w:t>
      </w:r>
    </w:p>
    <w:p>
      <w:pPr>
        <w:spacing w:after="0" w:line="185" w:lineRule="exact"/>
        <w:rPr>
          <w:rFonts w:ascii="Arial" w:cs="Arial" w:eastAsia="Arial" w:hAnsi="Arial"/>
          <w:sz w:val="20"/>
          <w:szCs w:val="20"/>
          <w:color w:val="auto"/>
        </w:rPr>
      </w:pPr>
    </w:p>
    <w:p>
      <w:pPr>
        <w:jc w:val="both"/>
        <w:ind w:left="880" w:firstLine="789"/>
        <w:spacing w:after="0" w:line="246" w:lineRule="auto"/>
        <w:tabs>
          <w:tab w:leader="none" w:pos="255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statutory Liens such as carriers’, warehousemen’s, mechanics’, materialmen’s, repairmen’s or other like Liens arising in the ordinary course of business which are not overdue for a period of more than sixty (60) days or which are being contested in good faith and by appropriate proceedings or other action diligently conducted; </w:t>
      </w:r>
      <w:r>
        <w:rPr>
          <w:rFonts w:ascii="Arial" w:cs="Arial" w:eastAsia="Arial" w:hAnsi="Arial"/>
          <w:sz w:val="20"/>
          <w:szCs w:val="20"/>
          <w:i w:val="1"/>
          <w:iCs w:val="1"/>
          <w:color w:val="auto"/>
        </w:rPr>
        <w:t>provided, that</w:t>
      </w:r>
      <w:r>
        <w:rPr>
          <w:rFonts w:ascii="Arial" w:cs="Arial" w:eastAsia="Arial" w:hAnsi="Arial"/>
          <w:sz w:val="20"/>
          <w:szCs w:val="20"/>
          <w:color w:val="auto"/>
        </w:rPr>
        <w:t>, adequate reserves with respect thereto are maintained on the books of the applicable Person;</w:t>
      </w:r>
    </w:p>
    <w:p>
      <w:pPr>
        <w:spacing w:after="0" w:line="191" w:lineRule="exact"/>
        <w:rPr>
          <w:rFonts w:ascii="Arial" w:cs="Arial" w:eastAsia="Arial" w:hAnsi="Arial"/>
          <w:sz w:val="20"/>
          <w:szCs w:val="20"/>
          <w:color w:val="auto"/>
        </w:rPr>
      </w:pPr>
    </w:p>
    <w:p>
      <w:pPr>
        <w:jc w:val="both"/>
        <w:ind w:left="880" w:firstLine="789"/>
        <w:spacing w:after="0" w:line="259" w:lineRule="auto"/>
        <w:tabs>
          <w:tab w:leader="none" w:pos="254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Liens (other than any Lien imposed by ERISA) (i) imposed by requirements of Law or deposits made in connection therewith in the ordinary course of business in connection with workers’ compensation, unemployment insurance and other types of social security legislation, (ii) incurred in the ordinary course of business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 (iii) arising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5" w:name="page186"/>
    <w:bookmarkEnd w:id="185"/>
    <w:p>
      <w:pPr>
        <w:ind w:left="8"/>
        <w:spacing w:after="0"/>
        <w:rPr>
          <w:sz w:val="20"/>
          <w:szCs w:val="20"/>
          <w:color w:val="auto"/>
        </w:rPr>
      </w:pPr>
      <w:r>
        <w:rPr>
          <w:rFonts w:ascii="Arial" w:cs="Arial" w:eastAsia="Arial" w:hAnsi="Arial"/>
          <w:sz w:val="18"/>
          <w:szCs w:val="18"/>
          <w:color w:val="auto"/>
        </w:rPr>
        <w:t xml:space="preserve">by virtue of deposits made in the ordinary course of business to secure liability for premiums to insurance carriers;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39" w:lineRule="exact"/>
        <w:rPr>
          <w:sz w:val="20"/>
          <w:szCs w:val="20"/>
          <w:color w:val="auto"/>
        </w:rPr>
      </w:pPr>
    </w:p>
    <w:p>
      <w:pPr>
        <w:jc w:val="both"/>
        <w:ind w:left="8" w:hanging="8"/>
        <w:spacing w:after="0"/>
        <w:tabs>
          <w:tab w:leader="none" w:pos="33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with respect to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such Liens are for amounts not yet due and payable or delinquent or, to the extent such amounts are so due and payable, such amounts are being contested in good faith by appropriate proceedings for which adequate reserves have been established in accordance with GAAP and (B) to the extent such Liens are not imposed by requirements of Law, such Liens shall in no event encumber any property other than cash and Cash Equivalents issued to support payment of such obligations;</w:t>
      </w:r>
    </w:p>
    <w:p>
      <w:pPr>
        <w:spacing w:after="0" w:line="197" w:lineRule="exact"/>
        <w:rPr>
          <w:rFonts w:ascii="Arial" w:cs="Arial" w:eastAsia="Arial" w:hAnsi="Arial"/>
          <w:sz w:val="20"/>
          <w:szCs w:val="20"/>
          <w:color w:val="auto"/>
        </w:rPr>
      </w:pPr>
    </w:p>
    <w:p>
      <w:pPr>
        <w:jc w:val="both"/>
        <w:ind w:left="8" w:firstLine="789"/>
        <w:spacing w:after="0" w:line="260" w:lineRule="auto"/>
        <w:tabs>
          <w:tab w:leader="none" w:pos="1651" w:val="left"/>
        </w:tabs>
        <w:numPr>
          <w:ilvl w:val="1"/>
          <w:numId w:val="173"/>
        </w:numPr>
        <w:rPr>
          <w:rFonts w:ascii="Arial" w:cs="Arial" w:eastAsia="Arial" w:hAnsi="Arial"/>
          <w:sz w:val="19"/>
          <w:szCs w:val="19"/>
          <w:color w:val="auto"/>
        </w:rPr>
      </w:pPr>
      <w:r>
        <w:rPr>
          <w:rFonts w:ascii="Arial" w:cs="Arial" w:eastAsia="Arial" w:hAnsi="Arial"/>
          <w:sz w:val="19"/>
          <w:szCs w:val="19"/>
          <w:color w:val="auto"/>
        </w:rPr>
        <w:t>easements, rights-of-way, restrictions (including zoning restrictions), covenants, licenses, encroachments, protrusions and other similar charges or encumbrances, and minor title deficiencies on or with respect to any real property, in each case whether now or hereafter in existence, not (i) securing Indebtedness, (ii) individually or in the aggregate materially impairing the value or marketability of such real property or (iii) individually or in the aggregate materially interfering with the ordinary conduct of the business of the Borrower at such real property;</w:t>
      </w:r>
    </w:p>
    <w:p>
      <w:pPr>
        <w:spacing w:after="0" w:line="180" w:lineRule="exact"/>
        <w:rPr>
          <w:rFonts w:ascii="Arial" w:cs="Arial" w:eastAsia="Arial" w:hAnsi="Arial"/>
          <w:sz w:val="19"/>
          <w:szCs w:val="19"/>
          <w:color w:val="auto"/>
        </w:rPr>
      </w:pPr>
    </w:p>
    <w:p>
      <w:pPr>
        <w:jc w:val="both"/>
        <w:ind w:left="8" w:firstLine="789"/>
        <w:spacing w:after="0" w:line="250" w:lineRule="auto"/>
        <w:tabs>
          <w:tab w:leader="none" w:pos="1684" w:val="left"/>
        </w:tabs>
        <w:numPr>
          <w:ilvl w:val="1"/>
          <w:numId w:val="173"/>
        </w:numPr>
        <w:rPr>
          <w:rFonts w:ascii="Arial" w:cs="Arial" w:eastAsia="Arial" w:hAnsi="Arial"/>
          <w:sz w:val="20"/>
          <w:szCs w:val="20"/>
          <w:color w:val="auto"/>
        </w:rPr>
      </w:pPr>
      <w:r>
        <w:rPr>
          <w:rFonts w:ascii="Arial" w:cs="Arial" w:eastAsia="Arial" w:hAnsi="Arial"/>
          <w:sz w:val="20"/>
          <w:szCs w:val="20"/>
          <w:color w:val="auto"/>
        </w:rPr>
        <w:t>Liens arising out of judgments, attachments or awards not resulting in an Event of Default and notices of lis pendens and associated rights related to litigation being contested in good faith by appropriate proceedings or other action and for which adequate reserves have been made;</w:t>
      </w:r>
    </w:p>
    <w:p>
      <w:pPr>
        <w:spacing w:after="0" w:line="185" w:lineRule="exact"/>
        <w:rPr>
          <w:rFonts w:ascii="Arial" w:cs="Arial" w:eastAsia="Arial" w:hAnsi="Arial"/>
          <w:sz w:val="20"/>
          <w:szCs w:val="20"/>
          <w:color w:val="auto"/>
        </w:rPr>
      </w:pPr>
    </w:p>
    <w:p>
      <w:pPr>
        <w:jc w:val="both"/>
        <w:ind w:left="8" w:firstLine="789"/>
        <w:spacing w:after="0" w:line="257" w:lineRule="auto"/>
        <w:tabs>
          <w:tab w:leader="none" w:pos="1684"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7.02(c)</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(i) such Liens do not at any time encumber any property other than the property financed by or leased pursuant to such Indebtedness together with any accessions or additions thereto, any proceeds and replacements thereof, and customary security deposits (it being understood that individual financings of equipment provided by one lender may be cross collateralized to other financings of equipment provided by such lender), (ii) the Indebtedness secured thereby does not exceed the cost of acquiring, constructing or improving such fixed or capital assets plus the amount of any fees or other expenses incurred in connection therewith and (iii) such Liens attach to such property concurrently with or within two hundred seventy (270) days after the acquisition, construction, repair or lease thereof or improvement thereon, as the case may be;</w:t>
      </w:r>
    </w:p>
    <w:p>
      <w:pPr>
        <w:spacing w:after="0" w:line="180" w:lineRule="exact"/>
        <w:rPr>
          <w:rFonts w:ascii="Arial" w:cs="Arial" w:eastAsia="Arial" w:hAnsi="Arial"/>
          <w:sz w:val="19"/>
          <w:szCs w:val="19"/>
          <w:color w:val="auto"/>
        </w:rPr>
      </w:pPr>
    </w:p>
    <w:p>
      <w:pPr>
        <w:jc w:val="both"/>
        <w:ind w:left="8" w:firstLine="789"/>
        <w:spacing w:after="0" w:line="260" w:lineRule="auto"/>
        <w:tabs>
          <w:tab w:leader="none" w:pos="16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pursuant to </w:t>
      </w:r>
      <w:r>
        <w:rPr>
          <w:rFonts w:ascii="Arial" w:cs="Arial" w:eastAsia="Arial" w:hAnsi="Arial"/>
          <w:sz w:val="19"/>
          <w:szCs w:val="19"/>
          <w:u w:val="single" w:color="auto"/>
          <w:color w:val="auto"/>
        </w:rPr>
        <w:t>Section 7.02(d)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 such Lien is not created in contemplation of or in connection with such acquisition, (ii) such Lien shall not apply to any other property of the Borrower or any other Subsidiary (other than improvements on the property subject thereto, accessions thereto and proceeds thereof), and (iii) such Lien shall secure only those obligations it secures on the date of acquisition, and any renewals, replacements, refinancings, restructurings or extensions thereof so long as permitted under </w:t>
      </w:r>
      <w:r>
        <w:rPr>
          <w:rFonts w:ascii="Arial" w:cs="Arial" w:eastAsia="Arial" w:hAnsi="Arial"/>
          <w:sz w:val="19"/>
          <w:szCs w:val="19"/>
          <w:u w:val="single" w:color="auto"/>
          <w:color w:val="auto"/>
        </w:rPr>
        <w:t>Section 7.02(d)</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8" w:firstLine="789"/>
        <w:spacing w:after="0" w:line="263" w:lineRule="auto"/>
        <w:tabs>
          <w:tab w:leader="none" w:pos="16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leases of the properties of the Borrower or any Subsidiary granted by the Borrower or such Subsidiary to third parties, in each case entered into in the ordinary course of business so long no such leases, individually or in the aggregate, interfere in any material respect with the ordinary conduct of the business of the Borrower and its Subsidiaries or materially impair the use (for its intended purposes) or the value of the property subject thereto;</w:t>
      </w:r>
    </w:p>
    <w:p>
      <w:pPr>
        <w:spacing w:after="0" w:line="176" w:lineRule="exact"/>
        <w:rPr>
          <w:rFonts w:ascii="Arial" w:cs="Arial" w:eastAsia="Arial" w:hAnsi="Arial"/>
          <w:sz w:val="19"/>
          <w:szCs w:val="19"/>
          <w:color w:val="auto"/>
        </w:rPr>
      </w:pPr>
    </w:p>
    <w:p>
      <w:pPr>
        <w:ind w:left="8" w:right="20" w:firstLine="789"/>
        <w:spacing w:after="0" w:line="260" w:lineRule="auto"/>
        <w:tabs>
          <w:tab w:leader="none" w:pos="1684" w:val="left"/>
        </w:tabs>
        <w:numPr>
          <w:ilvl w:val="1"/>
          <w:numId w:val="173"/>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by the Borrower or any Subsidiary in the ordinary course of business;</w:t>
      </w:r>
    </w:p>
    <w:p>
      <w:pPr>
        <w:spacing w:after="0" w:line="176" w:lineRule="exact"/>
        <w:rPr>
          <w:rFonts w:ascii="Arial" w:cs="Arial" w:eastAsia="Arial" w:hAnsi="Arial"/>
          <w:sz w:val="20"/>
          <w:szCs w:val="20"/>
          <w:color w:val="auto"/>
        </w:rPr>
      </w:pPr>
    </w:p>
    <w:p>
      <w:pPr>
        <w:jc w:val="both"/>
        <w:ind w:left="8" w:firstLine="789"/>
        <w:spacing w:after="0" w:line="250" w:lineRule="auto"/>
        <w:tabs>
          <w:tab w:leader="none" w:pos="164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bankers’ Liens, rights of setoff and other similar Liens existing solely with respect to cash and Cash Equivalents on deposit in one or more accounts maintained by the Borrower or any Subsidiary, in each case granted in the ordinary course of business in favor of the bank or banks</w:t>
      </w:r>
    </w:p>
    <w:p>
      <w:pPr>
        <w:spacing w:after="0" w:line="188"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186" w:name="page187"/>
    <w:bookmarkEnd w:id="186"/>
    <w:p>
      <w:pPr>
        <w:jc w:val="both"/>
        <w:spacing w:after="0" w:line="246" w:lineRule="auto"/>
        <w:rPr>
          <w:sz w:val="20"/>
          <w:szCs w:val="20"/>
          <w:color w:val="auto"/>
        </w:rPr>
      </w:pPr>
      <w:r>
        <w:rPr>
          <w:rFonts w:ascii="Arial" w:cs="Arial" w:eastAsia="Arial" w:hAnsi="Arial"/>
          <w:sz w:val="20"/>
          <w:szCs w:val="20"/>
          <w:color w:val="auto"/>
        </w:rPr>
        <w:t xml:space="preserve">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unless such Liens are non-consensual and arise by operation of law, in no case shall any such Liens secure (either directly or indirectly) the repayment of any Indebtedness;</w:t>
      </w:r>
    </w:p>
    <w:p>
      <w:pPr>
        <w:spacing w:after="0" w:line="191" w:lineRule="exact"/>
        <w:rPr>
          <w:sz w:val="20"/>
          <w:szCs w:val="20"/>
          <w:color w:val="auto"/>
        </w:rPr>
      </w:pPr>
    </w:p>
    <w:p>
      <w:pPr>
        <w:ind w:firstLine="789"/>
        <w:spacing w:after="0" w:line="316" w:lineRule="auto"/>
        <w:tabs>
          <w:tab w:leader="none" w:pos="173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non-exclusive licenses and sublicenses of Intellectual Property granted by the Borrower or any Subsidiary in the ordinary course of business and not interfering in any material respect with the ordinary conduct of business of the Borrower;</w:t>
      </w:r>
    </w:p>
    <w:p>
      <w:pPr>
        <w:spacing w:after="0" w:line="129" w:lineRule="exact"/>
        <w:rPr>
          <w:rFonts w:ascii="Arial" w:cs="Arial" w:eastAsia="Arial" w:hAnsi="Arial"/>
          <w:sz w:val="18"/>
          <w:szCs w:val="18"/>
          <w:color w:val="auto"/>
        </w:rPr>
      </w:pPr>
    </w:p>
    <w:p>
      <w:pPr>
        <w:ind w:firstLine="789"/>
        <w:spacing w:after="0" w:line="260" w:lineRule="auto"/>
        <w:tabs>
          <w:tab w:leader="none" w:pos="167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filing of UCC financing statements solely as a precautionary measure in connection with operating leases or consignment of goods;</w:t>
      </w:r>
    </w:p>
    <w:p>
      <w:pPr>
        <w:spacing w:after="0" w:line="176" w:lineRule="exact"/>
        <w:rPr>
          <w:rFonts w:ascii="Arial" w:cs="Arial" w:eastAsia="Arial" w:hAnsi="Arial"/>
          <w:sz w:val="20"/>
          <w:szCs w:val="20"/>
          <w:color w:val="auto"/>
        </w:rPr>
      </w:pPr>
    </w:p>
    <w:p>
      <w:pPr>
        <w:ind w:firstLine="789"/>
        <w:spacing w:after="0" w:line="260" w:lineRule="auto"/>
        <w:tabs>
          <w:tab w:leader="none" w:pos="167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Liens attached to cash earnest money deposits made by a Loan Party in connection with any letter of intent or purchase agreement entered into by a Loan Party;</w:t>
      </w:r>
    </w:p>
    <w:p>
      <w:pPr>
        <w:spacing w:after="0" w:line="176" w:lineRule="exact"/>
        <w:rPr>
          <w:rFonts w:ascii="Arial" w:cs="Arial" w:eastAsia="Arial" w:hAnsi="Arial"/>
          <w:sz w:val="20"/>
          <w:szCs w:val="20"/>
          <w:color w:val="auto"/>
        </w:rPr>
      </w:pPr>
    </w:p>
    <w:p>
      <w:pPr>
        <w:jc w:val="both"/>
        <w:ind w:firstLine="789"/>
        <w:spacing w:after="0" w:line="246" w:lineRule="auto"/>
        <w:tabs>
          <w:tab w:leader="none" w:pos="167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Liens on Equity Interests of a Foreign Subsidiary or assets to be sold pursuant to an agreement entered into for the Disposition of all or substantially all the Equity Interests or assets of a Foreign Subsidiary, in each case to the extent permitted by the terms hereof, pending the closing of such Disposition;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in no case shall any such Liens secure (either directly or indirectly) the repayment of any Indebtedness;</w:t>
      </w:r>
    </w:p>
    <w:p>
      <w:pPr>
        <w:spacing w:after="0" w:line="191" w:lineRule="exact"/>
        <w:rPr>
          <w:rFonts w:ascii="Arial" w:cs="Arial" w:eastAsia="Arial" w:hAnsi="Arial"/>
          <w:sz w:val="20"/>
          <w:szCs w:val="20"/>
          <w:color w:val="auto"/>
        </w:rPr>
      </w:pPr>
    </w:p>
    <w:p>
      <w:pPr>
        <w:ind w:firstLine="789"/>
        <w:spacing w:after="0" w:line="260" w:lineRule="auto"/>
        <w:tabs>
          <w:tab w:leader="none" w:pos="167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ind w:firstLine="789"/>
        <w:spacing w:after="0" w:line="260" w:lineRule="auto"/>
        <w:tabs>
          <w:tab w:leader="none" w:pos="164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Liens on Equity Interests of any Foreign Subsidiary or on the property of any Foreign Subsidiary, in each case, that arise by operation of law;</w:t>
      </w:r>
    </w:p>
    <w:p>
      <w:pPr>
        <w:spacing w:after="0" w:line="176" w:lineRule="exact"/>
        <w:rPr>
          <w:rFonts w:ascii="Arial" w:cs="Arial" w:eastAsia="Arial" w:hAnsi="Arial"/>
          <w:sz w:val="20"/>
          <w:szCs w:val="20"/>
          <w:color w:val="auto"/>
        </w:rPr>
      </w:pPr>
    </w:p>
    <w:p>
      <w:pPr>
        <w:ind w:right="20" w:firstLine="789"/>
        <w:spacing w:after="0" w:line="260" w:lineRule="auto"/>
        <w:tabs>
          <w:tab w:leader="none" w:pos="165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the deposit or other pledge of cash collateral pursuant to the terms of, and to secure obligations under, Swap Contracts permitted under </w:t>
      </w:r>
      <w:r>
        <w:rPr>
          <w:rFonts w:ascii="Arial" w:cs="Arial" w:eastAsia="Arial" w:hAnsi="Arial"/>
          <w:sz w:val="20"/>
          <w:szCs w:val="20"/>
          <w:u w:val="single" w:color="auto"/>
          <w:color w:val="auto"/>
        </w:rPr>
        <w:t>Section 7.02(j)</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789"/>
        <w:spacing w:after="0" w:line="250" w:lineRule="auto"/>
        <w:tabs>
          <w:tab w:leader="none" w:pos="163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Liens on the property of Subsidiaries that are not Loan Parties securing Indebtedness of such Subsidiaries permitted under </w:t>
      </w:r>
      <w:r>
        <w:rPr>
          <w:rFonts w:ascii="Arial" w:cs="Arial" w:eastAsia="Arial" w:hAnsi="Arial"/>
          <w:sz w:val="20"/>
          <w:szCs w:val="20"/>
          <w:u w:val="single" w:color="auto"/>
          <w:color w:val="auto"/>
        </w:rPr>
        <w:t>Section 7.02(n)</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such Liens are limited to the property of any such Subsidiary that is not a Loan Party; and</w:t>
      </w:r>
    </w:p>
    <w:p>
      <w:pPr>
        <w:spacing w:after="0" w:line="185" w:lineRule="exact"/>
        <w:rPr>
          <w:rFonts w:ascii="Arial" w:cs="Arial" w:eastAsia="Arial" w:hAnsi="Arial"/>
          <w:sz w:val="20"/>
          <w:szCs w:val="20"/>
          <w:color w:val="auto"/>
        </w:rPr>
      </w:pPr>
    </w:p>
    <w:p>
      <w:pPr>
        <w:jc w:val="both"/>
        <w:ind w:firstLine="789"/>
        <w:spacing w:after="0" w:line="250" w:lineRule="auto"/>
        <w:tabs>
          <w:tab w:leader="none" w:pos="167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other Liens not permitted by the foregoing clauses of this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securing Indebtedness or other obligations permitted pursuant to this Agreement in an aggregate principal amount not to exceed $10,000,000 at any one time outstanding.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7.02</w:t>
      </w:r>
      <w:r>
        <w:rPr>
          <w:sz w:val="20"/>
          <w:szCs w:val="20"/>
          <w:color w:val="auto"/>
        </w:rPr>
        <w:tab/>
      </w:r>
      <w:r>
        <w:rPr>
          <w:rFonts w:ascii="Arial" w:cs="Arial" w:eastAsia="Arial" w:hAnsi="Arial"/>
          <w:sz w:val="16"/>
          <w:szCs w:val="16"/>
          <w:b w:val="1"/>
          <w:bCs w:val="1"/>
          <w:u w:val="single" w:color="auto"/>
          <w:color w:val="auto"/>
        </w:rPr>
        <w:t>Indebtedness.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Create, incur, assume or suffer to exist any Indebtedness, except:</w:t>
      </w:r>
    </w:p>
    <w:p>
      <w:pPr>
        <w:spacing w:after="0" w:line="216" w:lineRule="exact"/>
        <w:rPr>
          <w:sz w:val="20"/>
          <w:szCs w:val="20"/>
          <w:color w:val="auto"/>
        </w:rPr>
      </w:pPr>
    </w:p>
    <w:p>
      <w:pPr>
        <w:ind w:left="1660" w:hanging="871"/>
        <w:spacing w:after="0"/>
        <w:tabs>
          <w:tab w:leader="none" w:pos="166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215" w:lineRule="exact"/>
        <w:rPr>
          <w:rFonts w:ascii="Arial" w:cs="Arial" w:eastAsia="Arial" w:hAnsi="Arial"/>
          <w:sz w:val="20"/>
          <w:szCs w:val="20"/>
          <w:color w:val="auto"/>
        </w:rPr>
      </w:pPr>
    </w:p>
    <w:p>
      <w:pPr>
        <w:ind w:left="1660" w:hanging="871"/>
        <w:spacing w:after="0"/>
        <w:tabs>
          <w:tab w:leader="none" w:pos="1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Indebtedness outstanding on the date hereof and listed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any Permitted Refinancing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789"/>
        <w:spacing w:after="0" w:line="250" w:lineRule="auto"/>
        <w:tabs>
          <w:tab w:leader="none" w:pos="1665"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Indebtedness in respect of Capitalized Leases, Synthetic Lease Obligations and purchase money obligations incurred by the Borrower and its Subsidiaries to finance the purchase, lease, construction, repair or improvement of fixed or capital assets, and renewals, refinancings and</w:t>
      </w:r>
    </w:p>
    <w:p>
      <w:pPr>
        <w:spacing w:after="0" w:line="18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87" w:name="page188"/>
    <w:bookmarkEnd w:id="187"/>
    <w:p>
      <w:pPr>
        <w:ind w:left="880" w:right="20"/>
        <w:spacing w:after="0" w:line="260" w:lineRule="auto"/>
        <w:rPr>
          <w:sz w:val="20"/>
          <w:szCs w:val="20"/>
          <w:color w:val="auto"/>
        </w:rPr>
      </w:pPr>
      <w:r>
        <w:rPr>
          <w:rFonts w:ascii="Arial" w:cs="Arial" w:eastAsia="Arial" w:hAnsi="Arial"/>
          <w:sz w:val="20"/>
          <w:szCs w:val="20"/>
          <w:color w:val="auto"/>
        </w:rPr>
        <w:t xml:space="preserve">extensions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the total of all such Indebtedness for all such Persons taken together at any one time outstanding shall not exceed an aggregate principal amount equal to $10,000,000;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620" w:type="dxa"/>
            <w:vAlign w:val="bottom"/>
          </w:tcPr>
          <w:p>
            <w:pPr>
              <w:ind w:left="1080"/>
              <w:spacing w:after="0"/>
              <w:rPr>
                <w:sz w:val="20"/>
                <w:szCs w:val="20"/>
                <w:color w:val="auto"/>
              </w:rPr>
            </w:pPr>
            <w:r>
              <w:rPr>
                <w:rFonts w:ascii="Arial" w:cs="Arial" w:eastAsia="Arial" w:hAnsi="Arial"/>
                <w:sz w:val="20"/>
                <w:szCs w:val="20"/>
                <w:color w:val="auto"/>
              </w:rPr>
              <w:t>(d)</w:t>
            </w:r>
          </w:p>
        </w:tc>
        <w:tc>
          <w:tcPr>
            <w:tcW w:w="9060" w:type="dxa"/>
            <w:vAlign w:val="bottom"/>
            <w:gridSpan w:val="6"/>
          </w:tcPr>
          <w:p>
            <w:pPr>
              <w:jc w:val="right"/>
              <w:ind w:right="20"/>
              <w:spacing w:after="0"/>
              <w:rPr>
                <w:sz w:val="20"/>
                <w:szCs w:val="20"/>
                <w:color w:val="auto"/>
              </w:rPr>
            </w:pPr>
            <w:r>
              <w:rPr>
                <w:rFonts w:ascii="Arial" w:cs="Arial" w:eastAsia="Arial" w:hAnsi="Arial"/>
                <w:sz w:val="20"/>
                <w:szCs w:val="20"/>
                <w:color w:val="auto"/>
                <w:w w:val="93"/>
              </w:rPr>
              <w:t>Indebtedness (and any Permitted Refinancing thereof) of any Target acquired after the Closing Date or of any</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89"/>
              </w:rPr>
              <w:t>Person that becomes a Subsidiary, in each case, in a Permitted Acquisition, to the extent such Indebtedness is existing at the time</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6"/>
              </w:rPr>
              <w:t xml:space="preserve">of such Permitted Acquisition; </w:t>
            </w:r>
            <w:r>
              <w:rPr>
                <w:rFonts w:ascii="Arial" w:cs="Arial" w:eastAsia="Arial" w:hAnsi="Arial"/>
                <w:sz w:val="20"/>
                <w:szCs w:val="20"/>
                <w:i w:val="1"/>
                <w:iCs w:val="1"/>
                <w:color w:val="auto"/>
                <w:w w:val="96"/>
              </w:rPr>
              <w:t>provided</w:t>
            </w:r>
            <w:r>
              <w:rPr>
                <w:rFonts w:ascii="Arial" w:cs="Arial" w:eastAsia="Arial" w:hAnsi="Arial"/>
                <w:sz w:val="20"/>
                <w:szCs w:val="20"/>
                <w:color w:val="auto"/>
                <w:w w:val="96"/>
              </w:rPr>
              <w:t xml:space="preserve">, </w:t>
            </w:r>
            <w:r>
              <w:rPr>
                <w:rFonts w:ascii="Arial" w:cs="Arial" w:eastAsia="Arial" w:hAnsi="Arial"/>
                <w:sz w:val="20"/>
                <w:szCs w:val="20"/>
                <w:i w:val="1"/>
                <w:iCs w:val="1"/>
                <w:color w:val="auto"/>
                <w:w w:val="96"/>
              </w:rPr>
              <w:t>that</w:t>
            </w:r>
            <w:r>
              <w:rPr>
                <w:rFonts w:ascii="Arial" w:cs="Arial" w:eastAsia="Arial" w:hAnsi="Arial"/>
                <w:sz w:val="20"/>
                <w:szCs w:val="20"/>
                <w:color w:val="auto"/>
                <w:w w:val="96"/>
              </w:rPr>
              <w:t>, (i) such Indebtedness shall not have been incurred in contemplation of such</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0"/>
              </w:rPr>
              <w:t>Permitted Acquisition, and (ii) after giving effect to the acquisition of any such Indebtedness, the aggregate principal amount of all</w:t>
            </w:r>
          </w:p>
        </w:tc>
      </w:tr>
      <w:tr>
        <w:trPr>
          <w:trHeight w:val="206"/>
        </w:trPr>
        <w:tc>
          <w:tcPr>
            <w:tcW w:w="580" w:type="dxa"/>
            <w:vAlign w:val="bottom"/>
          </w:tcPr>
          <w:p>
            <w:pPr>
              <w:spacing w:after="0"/>
              <w:rPr>
                <w:sz w:val="17"/>
                <w:szCs w:val="17"/>
                <w:color w:val="auto"/>
              </w:rPr>
            </w:pPr>
          </w:p>
        </w:tc>
        <w:tc>
          <w:tcPr>
            <w:tcW w:w="10680" w:type="dxa"/>
            <w:vAlign w:val="bottom"/>
            <w:gridSpan w:val="7"/>
          </w:tcPr>
          <w:p>
            <w:pPr>
              <w:ind w:left="300"/>
              <w:spacing w:after="0" w:line="206" w:lineRule="exact"/>
              <w:rPr>
                <w:sz w:val="20"/>
                <w:szCs w:val="20"/>
                <w:color w:val="auto"/>
              </w:rPr>
            </w:pPr>
            <w:r>
              <w:rPr>
                <w:rFonts w:ascii="Arial" w:cs="Arial" w:eastAsia="Arial" w:hAnsi="Arial"/>
                <w:sz w:val="20"/>
                <w:szCs w:val="20"/>
                <w:color w:val="auto"/>
              </w:rPr>
              <w:t>Indebtedness acquired and outstanding pursuant to this clause (d) shall not exceed at any one time $10,000,000;</w:t>
            </w:r>
          </w:p>
        </w:tc>
      </w:tr>
      <w:tr>
        <w:trPr>
          <w:trHeight w:val="20"/>
        </w:trPr>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49"/>
        </w:trPr>
        <w:tc>
          <w:tcPr>
            <w:tcW w:w="58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20"/>
                <w:szCs w:val="20"/>
                <w:color w:val="auto"/>
              </w:rPr>
              <w:t>(e)</w:t>
            </w:r>
          </w:p>
        </w:tc>
        <w:tc>
          <w:tcPr>
            <w:tcW w:w="9060" w:type="dxa"/>
            <w:vAlign w:val="bottom"/>
            <w:gridSpan w:val="6"/>
          </w:tcPr>
          <w:p>
            <w:pPr>
              <w:jc w:val="right"/>
              <w:ind w:right="20"/>
              <w:spacing w:after="0"/>
              <w:rPr>
                <w:sz w:val="20"/>
                <w:szCs w:val="20"/>
                <w:color w:val="auto"/>
              </w:rPr>
            </w:pPr>
            <w:r>
              <w:rPr>
                <w:rFonts w:ascii="Arial" w:cs="Arial" w:eastAsia="Arial" w:hAnsi="Arial"/>
                <w:sz w:val="20"/>
                <w:szCs w:val="20"/>
                <w:color w:val="auto"/>
                <w:w w:val="98"/>
              </w:rPr>
              <w:t>Indebtedness in respect of bid, performance or surety bonds, completion guarantees and appeal bonds,</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0"/>
              </w:rPr>
              <w:t>workers’ compensation claims, self-insurance obligations and bankers acceptances issued for the account of the Borrower and its</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4"/>
              </w:rPr>
              <w:t>Subsidiaries in the ordinary course of business, including guarantees or obligations of the Borrower and its Subsidiaries with</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1"/>
              </w:rPr>
              <w:t>respect to letters of credit supporting such bid, performance or surety bonds, completion guarantees and appeal bonds, workers’</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2"/>
              </w:rPr>
              <w:t>compensation claims, self-insurance obligations and bankers acceptances (in each case other than for an obligation for money</w:t>
            </w:r>
          </w:p>
        </w:tc>
      </w:tr>
      <w:tr>
        <w:trPr>
          <w:trHeight w:val="250"/>
        </w:trPr>
        <w:tc>
          <w:tcPr>
            <w:tcW w:w="580" w:type="dxa"/>
            <w:vAlign w:val="bottom"/>
          </w:tcPr>
          <w:p>
            <w:pPr>
              <w:spacing w:after="0"/>
              <w:rPr>
                <w:sz w:val="21"/>
                <w:szCs w:val="21"/>
                <w:color w:val="auto"/>
              </w:rPr>
            </w:pPr>
          </w:p>
        </w:tc>
        <w:tc>
          <w:tcPr>
            <w:tcW w:w="1620" w:type="dxa"/>
            <w:vAlign w:val="bottom"/>
          </w:tcPr>
          <w:p>
            <w:pPr>
              <w:ind w:left="300"/>
              <w:spacing w:after="0"/>
              <w:rPr>
                <w:sz w:val="20"/>
                <w:szCs w:val="20"/>
                <w:color w:val="auto"/>
              </w:rPr>
            </w:pPr>
            <w:r>
              <w:rPr>
                <w:rFonts w:ascii="Arial" w:cs="Arial" w:eastAsia="Arial" w:hAnsi="Arial"/>
                <w:sz w:val="20"/>
                <w:szCs w:val="20"/>
                <w:color w:val="auto"/>
              </w:rPr>
              <w:t>borrowed);</w:t>
            </w:r>
          </w:p>
        </w:tc>
        <w:tc>
          <w:tcPr>
            <w:tcW w:w="3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25"/>
        </w:trPr>
        <w:tc>
          <w:tcPr>
            <w:tcW w:w="58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20"/>
                <w:szCs w:val="20"/>
                <w:color w:val="auto"/>
              </w:rPr>
              <w:t>(f)</w:t>
            </w:r>
          </w:p>
        </w:tc>
        <w:tc>
          <w:tcPr>
            <w:tcW w:w="9060" w:type="dxa"/>
            <w:vAlign w:val="bottom"/>
            <w:gridSpan w:val="6"/>
          </w:tcPr>
          <w:p>
            <w:pPr>
              <w:jc w:val="right"/>
              <w:ind w:right="20"/>
              <w:spacing w:after="0"/>
              <w:rPr>
                <w:sz w:val="20"/>
                <w:szCs w:val="20"/>
                <w:color w:val="auto"/>
              </w:rPr>
            </w:pPr>
            <w:r>
              <w:rPr>
                <w:rFonts w:ascii="Arial" w:cs="Arial" w:eastAsia="Arial" w:hAnsi="Arial"/>
                <w:sz w:val="20"/>
                <w:szCs w:val="20"/>
                <w:color w:val="auto"/>
                <w:w w:val="95"/>
              </w:rPr>
              <w:t>(i) Indebtedness arising from the honoring by a bank or other financial institution of a check, draft or similar</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3"/>
              </w:rPr>
              <w:t>instrument inadvertently (except in the case of daylight overdrafts) drawn against insufficient funds and other Indebtedness in</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4"/>
              </w:rPr>
              <w:t>respect of netting services, overdraft protections and similar arrangements, in each case, in the ordinary course of business;</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i w:val="1"/>
                <w:iCs w:val="1"/>
                <w:color w:val="auto"/>
                <w:w w:val="92"/>
              </w:rPr>
              <w:t>provided</w:t>
            </w:r>
            <w:r>
              <w:rPr>
                <w:rFonts w:ascii="Arial" w:cs="Arial" w:eastAsia="Arial" w:hAnsi="Arial"/>
                <w:sz w:val="20"/>
                <w:szCs w:val="20"/>
                <w:color w:val="auto"/>
                <w:w w:val="92"/>
              </w:rPr>
              <w:t>,</w:t>
            </w:r>
            <w:r>
              <w:rPr>
                <w:rFonts w:ascii="Arial" w:cs="Arial" w:eastAsia="Arial" w:hAnsi="Arial"/>
                <w:sz w:val="20"/>
                <w:szCs w:val="20"/>
                <w:i w:val="1"/>
                <w:iCs w:val="1"/>
                <w:color w:val="auto"/>
                <w:w w:val="92"/>
              </w:rPr>
              <w:t xml:space="preserve"> that</w:t>
            </w:r>
            <w:r>
              <w:rPr>
                <w:rFonts w:ascii="Arial" w:cs="Arial" w:eastAsia="Arial" w:hAnsi="Arial"/>
                <w:sz w:val="20"/>
                <w:szCs w:val="20"/>
                <w:color w:val="auto"/>
                <w:w w:val="92"/>
              </w:rPr>
              <w:t>, such Indebtedness is extinguished within sixty (60) days of incurrence and (ii) Indebtedness under any Secured</w:t>
            </w:r>
          </w:p>
        </w:tc>
      </w:tr>
      <w:tr>
        <w:trPr>
          <w:trHeight w:val="250"/>
        </w:trPr>
        <w:tc>
          <w:tcPr>
            <w:tcW w:w="580" w:type="dxa"/>
            <w:vAlign w:val="bottom"/>
          </w:tcPr>
          <w:p>
            <w:pPr>
              <w:spacing w:after="0"/>
              <w:rPr>
                <w:sz w:val="21"/>
                <w:szCs w:val="21"/>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rPr>
              <w:t>Cash Management Agreement entered into in the ordinary course of business;</w:t>
            </w:r>
          </w:p>
        </w:tc>
      </w:tr>
      <w:tr>
        <w:trPr>
          <w:trHeight w:val="425"/>
        </w:trPr>
        <w:tc>
          <w:tcPr>
            <w:tcW w:w="58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20"/>
                <w:szCs w:val="20"/>
                <w:color w:val="auto"/>
              </w:rPr>
              <w:t>(g)</w:t>
            </w:r>
          </w:p>
        </w:tc>
        <w:tc>
          <w:tcPr>
            <w:tcW w:w="9060" w:type="dxa"/>
            <w:vAlign w:val="bottom"/>
            <w:gridSpan w:val="6"/>
          </w:tcPr>
          <w:p>
            <w:pPr>
              <w:jc w:val="right"/>
              <w:ind w:right="20"/>
              <w:spacing w:after="0"/>
              <w:rPr>
                <w:sz w:val="20"/>
                <w:szCs w:val="20"/>
                <w:color w:val="auto"/>
              </w:rPr>
            </w:pPr>
            <w:r>
              <w:rPr>
                <w:rFonts w:ascii="Arial" w:cs="Arial" w:eastAsia="Arial" w:hAnsi="Arial"/>
                <w:sz w:val="20"/>
                <w:szCs w:val="20"/>
                <w:color w:val="auto"/>
                <w:w w:val="97"/>
              </w:rPr>
              <w:t>Indebtedness arising in connection with endorsement of instruments for deposit in the ordinary course of</w:t>
            </w:r>
          </w:p>
        </w:tc>
      </w:tr>
      <w:tr>
        <w:trPr>
          <w:trHeight w:val="250"/>
        </w:trPr>
        <w:tc>
          <w:tcPr>
            <w:tcW w:w="580" w:type="dxa"/>
            <w:vAlign w:val="bottom"/>
          </w:tcPr>
          <w:p>
            <w:pPr>
              <w:spacing w:after="0"/>
              <w:rPr>
                <w:sz w:val="21"/>
                <w:szCs w:val="21"/>
                <w:color w:val="auto"/>
              </w:rPr>
            </w:pPr>
          </w:p>
        </w:tc>
        <w:tc>
          <w:tcPr>
            <w:tcW w:w="1620" w:type="dxa"/>
            <w:vAlign w:val="bottom"/>
          </w:tcPr>
          <w:p>
            <w:pPr>
              <w:ind w:left="300"/>
              <w:spacing w:after="0"/>
              <w:rPr>
                <w:sz w:val="20"/>
                <w:szCs w:val="20"/>
                <w:color w:val="auto"/>
              </w:rPr>
            </w:pPr>
            <w:r>
              <w:rPr>
                <w:rFonts w:ascii="Arial" w:cs="Arial" w:eastAsia="Arial" w:hAnsi="Arial"/>
                <w:sz w:val="20"/>
                <w:szCs w:val="20"/>
                <w:color w:val="auto"/>
              </w:rPr>
              <w:t>business;</w:t>
            </w:r>
          </w:p>
        </w:tc>
        <w:tc>
          <w:tcPr>
            <w:tcW w:w="3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46"/>
        </w:trPr>
        <w:tc>
          <w:tcPr>
            <w:tcW w:w="58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20"/>
                <w:szCs w:val="20"/>
                <w:color w:val="auto"/>
              </w:rPr>
              <w:t>(h)</w:t>
            </w:r>
          </w:p>
        </w:tc>
        <w:tc>
          <w:tcPr>
            <w:tcW w:w="9060" w:type="dxa"/>
            <w:vAlign w:val="bottom"/>
            <w:gridSpan w:val="6"/>
          </w:tcPr>
          <w:p>
            <w:pPr>
              <w:jc w:val="right"/>
              <w:ind w:right="900"/>
              <w:spacing w:after="0"/>
              <w:rPr>
                <w:sz w:val="20"/>
                <w:szCs w:val="20"/>
                <w:color w:val="auto"/>
              </w:rPr>
            </w:pPr>
            <w:r>
              <w:rPr>
                <w:rFonts w:ascii="Arial" w:cs="Arial" w:eastAsia="Arial" w:hAnsi="Arial"/>
                <w:sz w:val="20"/>
                <w:szCs w:val="20"/>
                <w:color w:val="auto"/>
                <w:w w:val="93"/>
              </w:rPr>
              <w:t>Indebtedness consisting of the financing of insurance premiums in the ordinary course of business;</w:t>
            </w:r>
          </w:p>
        </w:tc>
      </w:tr>
      <w:tr>
        <w:trPr>
          <w:trHeight w:val="401"/>
        </w:trPr>
        <w:tc>
          <w:tcPr>
            <w:tcW w:w="58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20"/>
                <w:szCs w:val="20"/>
                <w:color w:val="auto"/>
              </w:rPr>
              <w:t>(i)</w:t>
            </w:r>
          </w:p>
        </w:tc>
        <w:tc>
          <w:tcPr>
            <w:tcW w:w="9060" w:type="dxa"/>
            <w:vAlign w:val="bottom"/>
            <w:gridSpan w:val="6"/>
          </w:tcPr>
          <w:p>
            <w:pPr>
              <w:jc w:val="right"/>
              <w:ind w:right="20"/>
              <w:spacing w:after="0"/>
              <w:rPr>
                <w:sz w:val="20"/>
                <w:szCs w:val="20"/>
                <w:color w:val="auto"/>
              </w:rPr>
            </w:pPr>
            <w:r>
              <w:rPr>
                <w:rFonts w:ascii="Arial" w:cs="Arial" w:eastAsia="Arial" w:hAnsi="Arial"/>
                <w:sz w:val="20"/>
                <w:szCs w:val="20"/>
                <w:color w:val="auto"/>
                <w:w w:val="92"/>
              </w:rPr>
              <w:t>intercompany Indebtedness permitted under Section 7.03 (other than by reference to this Section 7.02 (or any</w:t>
            </w:r>
          </w:p>
        </w:tc>
      </w:tr>
      <w:tr>
        <w:trPr>
          <w:trHeight w:val="20"/>
        </w:trPr>
        <w:tc>
          <w:tcPr>
            <w:tcW w:w="58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3"/>
        </w:trPr>
        <w:tc>
          <w:tcPr>
            <w:tcW w:w="580" w:type="dxa"/>
            <w:vAlign w:val="bottom"/>
          </w:tcPr>
          <w:p>
            <w:pPr>
              <w:spacing w:after="0"/>
              <w:rPr>
                <w:sz w:val="20"/>
                <w:szCs w:val="20"/>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4"/>
              </w:rPr>
              <w:t xml:space="preserve">clause hereof)); </w:t>
            </w:r>
            <w:r>
              <w:rPr>
                <w:rFonts w:ascii="Arial" w:cs="Arial" w:eastAsia="Arial" w:hAnsi="Arial"/>
                <w:sz w:val="20"/>
                <w:szCs w:val="20"/>
                <w:i w:val="1"/>
                <w:iCs w:val="1"/>
                <w:color w:val="auto"/>
                <w:w w:val="94"/>
              </w:rPr>
              <w:t>provided</w:t>
            </w:r>
            <w:r>
              <w:rPr>
                <w:rFonts w:ascii="Arial" w:cs="Arial" w:eastAsia="Arial" w:hAnsi="Arial"/>
                <w:sz w:val="20"/>
                <w:szCs w:val="20"/>
                <w:color w:val="auto"/>
                <w:w w:val="94"/>
              </w:rPr>
              <w:t xml:space="preserve">, </w:t>
            </w:r>
            <w:r>
              <w:rPr>
                <w:rFonts w:ascii="Arial" w:cs="Arial" w:eastAsia="Arial" w:hAnsi="Arial"/>
                <w:sz w:val="20"/>
                <w:szCs w:val="20"/>
                <w:i w:val="1"/>
                <w:iCs w:val="1"/>
                <w:color w:val="auto"/>
                <w:w w:val="94"/>
              </w:rPr>
              <w:t>that</w:t>
            </w:r>
            <w:r>
              <w:rPr>
                <w:rFonts w:ascii="Arial" w:cs="Arial" w:eastAsia="Arial" w:hAnsi="Arial"/>
                <w:sz w:val="20"/>
                <w:szCs w:val="20"/>
                <w:color w:val="auto"/>
                <w:w w:val="94"/>
              </w:rPr>
              <w:t>, in the case of Indebtedness owing by a Loan Party to any Subsidiary that is not a Loan Party,</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8"/>
              </w:rPr>
              <w:t>promptly upon the written request of the Administrative Agent, such Indebtedness shall be subordinated to the Secured</w:t>
            </w:r>
          </w:p>
        </w:tc>
      </w:tr>
      <w:tr>
        <w:trPr>
          <w:trHeight w:val="250"/>
        </w:trPr>
        <w:tc>
          <w:tcPr>
            <w:tcW w:w="580" w:type="dxa"/>
            <w:vAlign w:val="bottom"/>
          </w:tcPr>
          <w:p>
            <w:pPr>
              <w:spacing w:after="0"/>
              <w:rPr>
                <w:sz w:val="21"/>
                <w:szCs w:val="21"/>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rPr>
              <w:t>Obligations in a manner and to the extent acceptable to the Administrative Agent;</w:t>
            </w:r>
          </w:p>
        </w:tc>
      </w:tr>
      <w:tr>
        <w:trPr>
          <w:trHeight w:val="425"/>
        </w:trPr>
        <w:tc>
          <w:tcPr>
            <w:tcW w:w="580" w:type="dxa"/>
            <w:vAlign w:val="bottom"/>
          </w:tcPr>
          <w:p>
            <w:pPr>
              <w:spacing w:after="0"/>
              <w:rPr>
                <w:sz w:val="24"/>
                <w:szCs w:val="24"/>
                <w:color w:val="auto"/>
              </w:rPr>
            </w:pPr>
          </w:p>
        </w:tc>
        <w:tc>
          <w:tcPr>
            <w:tcW w:w="1620" w:type="dxa"/>
            <w:vAlign w:val="bottom"/>
          </w:tcPr>
          <w:p>
            <w:pPr>
              <w:ind w:left="1080"/>
              <w:spacing w:after="0"/>
              <w:rPr>
                <w:sz w:val="20"/>
                <w:szCs w:val="20"/>
                <w:color w:val="auto"/>
              </w:rPr>
            </w:pPr>
            <w:r>
              <w:rPr>
                <w:rFonts w:ascii="Arial" w:cs="Arial" w:eastAsia="Arial" w:hAnsi="Arial"/>
                <w:sz w:val="20"/>
                <w:szCs w:val="20"/>
                <w:color w:val="auto"/>
              </w:rPr>
              <w:t>(j)</w:t>
            </w:r>
          </w:p>
        </w:tc>
        <w:tc>
          <w:tcPr>
            <w:tcW w:w="9060" w:type="dxa"/>
            <w:vAlign w:val="bottom"/>
            <w:gridSpan w:val="6"/>
          </w:tcPr>
          <w:p>
            <w:pPr>
              <w:jc w:val="right"/>
              <w:ind w:right="40"/>
              <w:spacing w:after="0"/>
              <w:rPr>
                <w:sz w:val="20"/>
                <w:szCs w:val="20"/>
                <w:color w:val="auto"/>
              </w:rPr>
            </w:pPr>
            <w:r>
              <w:rPr>
                <w:rFonts w:ascii="Arial" w:cs="Arial" w:eastAsia="Arial" w:hAnsi="Arial"/>
                <w:sz w:val="20"/>
                <w:szCs w:val="20"/>
                <w:color w:val="auto"/>
              </w:rPr>
              <w:t xml:space="preserve">obligations (contingent or otherwise) existing or arising under any Swap Contract;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such</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6"/>
              </w:rPr>
              <w:t>obligations are (or were) entered into by such Person in the ordinary course of business for the purpose of mitigating risks</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5"/>
              </w:rPr>
              <w:t>associated with liabilities, commitments, investments, assets, or property held or reasonably anticipated by such Person, or</w:t>
            </w:r>
          </w:p>
        </w:tc>
      </w:tr>
      <w:tr>
        <w:trPr>
          <w:trHeight w:val="250"/>
        </w:trPr>
        <w:tc>
          <w:tcPr>
            <w:tcW w:w="580" w:type="dxa"/>
            <w:vAlign w:val="bottom"/>
          </w:tcPr>
          <w:p>
            <w:pPr>
              <w:spacing w:after="0"/>
              <w:rPr>
                <w:sz w:val="21"/>
                <w:szCs w:val="21"/>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8"/>
              </w:rPr>
              <w:t>changes in the value of securities issued by such Person, and not for purposes of speculation or taking a “market view”;</w:t>
            </w:r>
          </w:p>
        </w:tc>
      </w:tr>
      <w:tr>
        <w:trPr>
          <w:trHeight w:val="445"/>
        </w:trPr>
        <w:tc>
          <w:tcPr>
            <w:tcW w:w="580" w:type="dxa"/>
            <w:vAlign w:val="bottom"/>
          </w:tcPr>
          <w:p>
            <w:pPr>
              <w:ind w:left="80"/>
              <w:spacing w:after="0"/>
              <w:rPr>
                <w:sz w:val="20"/>
                <w:szCs w:val="20"/>
                <w:color w:val="auto"/>
              </w:rPr>
            </w:pPr>
            <w:r>
              <w:rPr>
                <w:rFonts w:ascii="Arial" w:cs="Arial" w:eastAsia="Arial" w:hAnsi="Arial"/>
                <w:sz w:val="20"/>
                <w:szCs w:val="20"/>
                <w:color w:val="auto"/>
              </w:rPr>
              <w:t>(k)</w:t>
            </w:r>
          </w:p>
        </w:tc>
        <w:tc>
          <w:tcPr>
            <w:tcW w:w="10680" w:type="dxa"/>
            <w:vAlign w:val="bottom"/>
            <w:gridSpan w:val="7"/>
          </w:tcPr>
          <w:p>
            <w:pPr>
              <w:ind w:left="1080"/>
              <w:spacing w:after="0"/>
              <w:rPr>
                <w:sz w:val="20"/>
                <w:szCs w:val="20"/>
                <w:color w:val="auto"/>
              </w:rPr>
            </w:pPr>
            <w:r>
              <w:rPr>
                <w:rFonts w:ascii="Arial" w:cs="Arial" w:eastAsia="Arial" w:hAnsi="Arial"/>
                <w:sz w:val="20"/>
                <w:szCs w:val="20"/>
                <w:color w:val="auto"/>
                <w:w w:val="94"/>
              </w:rPr>
              <w:t>to the extent constituting Indebtedness, Earn Out Obligations incurred in connection with any Permitted Acquisition;</w:t>
            </w:r>
          </w:p>
        </w:tc>
      </w:tr>
      <w:tr>
        <w:trPr>
          <w:trHeight w:val="425"/>
        </w:trPr>
        <w:tc>
          <w:tcPr>
            <w:tcW w:w="580" w:type="dxa"/>
            <w:vAlign w:val="bottom"/>
          </w:tcPr>
          <w:p>
            <w:pPr>
              <w:ind w:left="80"/>
              <w:spacing w:after="0"/>
              <w:rPr>
                <w:sz w:val="20"/>
                <w:szCs w:val="20"/>
                <w:color w:val="auto"/>
              </w:rPr>
            </w:pPr>
            <w:r>
              <w:rPr>
                <w:rFonts w:ascii="Arial" w:cs="Arial" w:eastAsia="Arial" w:hAnsi="Arial"/>
                <w:sz w:val="20"/>
                <w:szCs w:val="20"/>
                <w:color w:val="auto"/>
              </w:rPr>
              <w:t>(k)</w:t>
            </w:r>
          </w:p>
        </w:tc>
        <w:tc>
          <w:tcPr>
            <w:tcW w:w="10680" w:type="dxa"/>
            <w:vAlign w:val="bottom"/>
            <w:gridSpan w:val="7"/>
          </w:tcPr>
          <w:p>
            <w:pPr>
              <w:ind w:left="1080"/>
              <w:spacing w:after="0"/>
              <w:rPr>
                <w:sz w:val="20"/>
                <w:szCs w:val="20"/>
                <w:color w:val="auto"/>
              </w:rPr>
            </w:pPr>
            <w:r>
              <w:rPr>
                <w:rFonts w:ascii="Arial" w:cs="Arial" w:eastAsia="Arial" w:hAnsi="Arial"/>
                <w:sz w:val="20"/>
                <w:szCs w:val="20"/>
                <w:color w:val="auto"/>
                <w:w w:val="94"/>
              </w:rPr>
              <w:t>Indebtedness consisting of promissory notes issued by the Borrower or any Subsidiary to current or former officers,</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20"/>
                <w:szCs w:val="20"/>
                <w:color w:val="auto"/>
                <w:w w:val="90"/>
              </w:rPr>
              <w:t>employees or directors of the Borrower or any Subsidiary (or any of their respective estates, heirs, spouses or former spouses) to</w:t>
            </w:r>
          </w:p>
        </w:tc>
      </w:tr>
      <w:tr>
        <w:trPr>
          <w:trHeight w:val="250"/>
        </w:trPr>
        <w:tc>
          <w:tcPr>
            <w:tcW w:w="580" w:type="dxa"/>
            <w:vAlign w:val="bottom"/>
          </w:tcPr>
          <w:p>
            <w:pPr>
              <w:spacing w:after="0"/>
              <w:rPr>
                <w:sz w:val="21"/>
                <w:szCs w:val="21"/>
                <w:color w:val="auto"/>
              </w:rPr>
            </w:pPr>
          </w:p>
        </w:tc>
        <w:tc>
          <w:tcPr>
            <w:tcW w:w="10680" w:type="dxa"/>
            <w:vAlign w:val="bottom"/>
            <w:gridSpan w:val="7"/>
          </w:tcPr>
          <w:p>
            <w:pPr>
              <w:ind w:left="280"/>
              <w:spacing w:after="0"/>
              <w:rPr>
                <w:sz w:val="20"/>
                <w:szCs w:val="20"/>
                <w:color w:val="auto"/>
              </w:rPr>
            </w:pPr>
            <w:r>
              <w:rPr>
                <w:rFonts w:ascii="Arial" w:cs="Arial" w:eastAsia="Arial" w:hAnsi="Arial"/>
                <w:sz w:val="20"/>
                <w:szCs w:val="20"/>
                <w:color w:val="auto"/>
              </w:rPr>
              <w:t>finance the purchase or</w:t>
            </w:r>
          </w:p>
        </w:tc>
      </w:tr>
      <w:tr>
        <w:trPr>
          <w:trHeight w:val="644"/>
        </w:trPr>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6" w:right="319" w:bottom="1440" w:gutter="0" w:footer="0" w:header="0"/>
        </w:sectPr>
      </w:pPr>
    </w:p>
    <w:bookmarkStart w:id="188" w:name="page189"/>
    <w:bookmarkEnd w:id="188"/>
    <w:p>
      <w:pPr>
        <w:jc w:val="both"/>
        <w:ind w:left="780" w:firstLine="798"/>
        <w:spacing w:after="0" w:line="250" w:lineRule="auto"/>
        <w:rPr>
          <w:sz w:val="20"/>
          <w:szCs w:val="20"/>
          <w:color w:val="auto"/>
        </w:rPr>
      </w:pPr>
      <w:r>
        <w:rPr>
          <w:rFonts w:ascii="Arial" w:cs="Arial" w:eastAsia="Arial" w:hAnsi="Arial"/>
          <w:sz w:val="20"/>
          <w:szCs w:val="20"/>
          <w:color w:val="auto"/>
        </w:rPr>
        <w:t xml:space="preserve">redemption of Qualified Equity Interests of the Borrower, in each case, so long as (k) the corresponding purchase or redemption is permitted by </w:t>
      </w:r>
      <w:r>
        <w:rPr>
          <w:rFonts w:ascii="Arial" w:cs="Arial" w:eastAsia="Arial" w:hAnsi="Arial"/>
          <w:sz w:val="20"/>
          <w:szCs w:val="20"/>
          <w:u w:val="single" w:color="auto"/>
          <w:color w:val="auto"/>
        </w:rPr>
        <w:t>Section 7.06(g)</w:t>
      </w:r>
      <w:r>
        <w:rPr>
          <w:rFonts w:ascii="Arial" w:cs="Arial" w:eastAsia="Arial" w:hAnsi="Arial"/>
          <w:sz w:val="20"/>
          <w:szCs w:val="20"/>
          <w:color w:val="auto"/>
        </w:rPr>
        <w:t xml:space="preserve"> and (k) the aggregate amount of all such Indebtedness does not exceed $10,000,000 at any one time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20"/>
                <w:szCs w:val="20"/>
                <w:color w:val="auto"/>
              </w:rPr>
              <w:t>(m)</w:t>
            </w:r>
          </w:p>
        </w:tc>
        <w:tc>
          <w:tcPr>
            <w:tcW w:w="10140" w:type="dxa"/>
            <w:vAlign w:val="bottom"/>
            <w:gridSpan w:val="3"/>
          </w:tcPr>
          <w:p>
            <w:pPr>
              <w:ind w:left="560"/>
              <w:spacing w:after="0"/>
              <w:rPr>
                <w:sz w:val="20"/>
                <w:szCs w:val="20"/>
                <w:color w:val="auto"/>
              </w:rPr>
            </w:pPr>
            <w:r>
              <w:rPr>
                <w:rFonts w:ascii="Arial" w:cs="Arial" w:eastAsia="Arial" w:hAnsi="Arial"/>
                <w:sz w:val="20"/>
                <w:szCs w:val="20"/>
                <w:color w:val="auto"/>
                <w:w w:val="99"/>
              </w:rPr>
              <w:t>Indebtedness incurred by any Loan Party constituting indemnification, adjustment of purchase price or similar</w:t>
            </w:r>
          </w:p>
        </w:tc>
      </w:tr>
      <w:tr>
        <w:trPr>
          <w:trHeight w:val="229"/>
        </w:trPr>
        <w:tc>
          <w:tcPr>
            <w:tcW w:w="11160" w:type="dxa"/>
            <w:vAlign w:val="bottom"/>
            <w:gridSpan w:val="4"/>
          </w:tcPr>
          <w:p>
            <w:pPr>
              <w:ind w:left="780"/>
              <w:spacing w:after="0"/>
              <w:rPr>
                <w:sz w:val="20"/>
                <w:szCs w:val="20"/>
                <w:color w:val="auto"/>
              </w:rPr>
            </w:pPr>
            <w:r>
              <w:rPr>
                <w:rFonts w:ascii="Arial" w:cs="Arial" w:eastAsia="Arial" w:hAnsi="Arial"/>
                <w:sz w:val="20"/>
                <w:szCs w:val="20"/>
                <w:color w:val="auto"/>
                <w:w w:val="91"/>
              </w:rPr>
              <w:t>obligations, in each case, in connection with Permitted Acquisitions, any other similar Investment permitted hereunder (including</w:t>
            </w:r>
          </w:p>
        </w:tc>
      </w:tr>
      <w:tr>
        <w:trPr>
          <w:trHeight w:val="250"/>
        </w:trPr>
        <w:tc>
          <w:tcPr>
            <w:tcW w:w="11160" w:type="dxa"/>
            <w:vAlign w:val="bottom"/>
            <w:gridSpan w:val="4"/>
          </w:tcPr>
          <w:p>
            <w:pPr>
              <w:ind w:left="780"/>
              <w:spacing w:after="0"/>
              <w:rPr>
                <w:sz w:val="20"/>
                <w:szCs w:val="20"/>
                <w:color w:val="auto"/>
              </w:rPr>
            </w:pPr>
            <w:r>
              <w:rPr>
                <w:rFonts w:ascii="Arial" w:cs="Arial" w:eastAsia="Arial" w:hAnsi="Arial"/>
                <w:sz w:val="20"/>
                <w:szCs w:val="20"/>
                <w:color w:val="auto"/>
              </w:rPr>
              <w:t>through a merger) or any disposition permitted hereunder;</w:t>
            </w:r>
          </w:p>
        </w:tc>
      </w:tr>
      <w:tr>
        <w:trPr>
          <w:trHeight w:val="425"/>
        </w:trPr>
        <w:tc>
          <w:tcPr>
            <w:tcW w:w="1020" w:type="dxa"/>
            <w:vAlign w:val="bottom"/>
          </w:tcPr>
          <w:p>
            <w:pPr>
              <w:spacing w:after="0"/>
              <w:rPr>
                <w:sz w:val="20"/>
                <w:szCs w:val="20"/>
                <w:color w:val="auto"/>
              </w:rPr>
            </w:pPr>
            <w:r>
              <w:rPr>
                <w:rFonts w:ascii="Arial" w:cs="Arial" w:eastAsia="Arial" w:hAnsi="Arial"/>
                <w:sz w:val="20"/>
                <w:szCs w:val="20"/>
                <w:color w:val="auto"/>
              </w:rPr>
              <w:t>(n)</w:t>
            </w:r>
          </w:p>
        </w:tc>
        <w:tc>
          <w:tcPr>
            <w:tcW w:w="10140" w:type="dxa"/>
            <w:vAlign w:val="bottom"/>
            <w:gridSpan w:val="3"/>
          </w:tcPr>
          <w:p>
            <w:pPr>
              <w:ind w:left="560"/>
              <w:spacing w:after="0"/>
              <w:rPr>
                <w:sz w:val="20"/>
                <w:szCs w:val="20"/>
                <w:color w:val="auto"/>
              </w:rPr>
            </w:pPr>
            <w:r>
              <w:rPr>
                <w:rFonts w:ascii="Arial" w:cs="Arial" w:eastAsia="Arial" w:hAnsi="Arial"/>
                <w:sz w:val="20"/>
                <w:szCs w:val="20"/>
                <w:color w:val="auto"/>
                <w:w w:val="90"/>
              </w:rPr>
              <w:t>Indebtedness of Subsidiaries that are not Loan Parties in an aggregate amount for all such Indebtedness not to exceed</w:t>
            </w:r>
          </w:p>
        </w:tc>
      </w:tr>
      <w:tr>
        <w:trPr>
          <w:trHeight w:val="250"/>
        </w:trPr>
        <w:tc>
          <w:tcPr>
            <w:tcW w:w="11160" w:type="dxa"/>
            <w:vAlign w:val="bottom"/>
            <w:gridSpan w:val="4"/>
          </w:tcPr>
          <w:p>
            <w:pPr>
              <w:ind w:left="780"/>
              <w:spacing w:after="0"/>
              <w:rPr>
                <w:sz w:val="20"/>
                <w:szCs w:val="20"/>
                <w:color w:val="auto"/>
              </w:rPr>
            </w:pPr>
            <w:r>
              <w:rPr>
                <w:rFonts w:ascii="Arial" w:cs="Arial" w:eastAsia="Arial" w:hAnsi="Arial"/>
                <w:sz w:val="20"/>
                <w:szCs w:val="20"/>
                <w:color w:val="auto"/>
              </w:rPr>
              <w:t>$10,000,000 at any one time outstanding;</w:t>
            </w:r>
          </w:p>
        </w:tc>
      </w:tr>
      <w:tr>
        <w:trPr>
          <w:trHeight w:val="425"/>
        </w:trPr>
        <w:tc>
          <w:tcPr>
            <w:tcW w:w="1020" w:type="dxa"/>
            <w:vAlign w:val="bottom"/>
          </w:tcPr>
          <w:p>
            <w:pPr>
              <w:spacing w:after="0"/>
              <w:rPr>
                <w:sz w:val="20"/>
                <w:szCs w:val="20"/>
                <w:color w:val="auto"/>
              </w:rPr>
            </w:pPr>
            <w:r>
              <w:rPr>
                <w:rFonts w:ascii="Arial" w:cs="Arial" w:eastAsia="Arial" w:hAnsi="Arial"/>
                <w:sz w:val="20"/>
                <w:szCs w:val="20"/>
                <w:color w:val="auto"/>
              </w:rPr>
              <w:t>(o)</w:t>
            </w:r>
          </w:p>
        </w:tc>
        <w:tc>
          <w:tcPr>
            <w:tcW w:w="10140" w:type="dxa"/>
            <w:vAlign w:val="bottom"/>
            <w:gridSpan w:val="3"/>
          </w:tcPr>
          <w:p>
            <w:pPr>
              <w:ind w:left="560"/>
              <w:spacing w:after="0"/>
              <w:rPr>
                <w:sz w:val="20"/>
                <w:szCs w:val="20"/>
                <w:color w:val="auto"/>
              </w:rPr>
            </w:pPr>
            <w:r>
              <w:rPr>
                <w:rFonts w:ascii="Arial" w:cs="Arial" w:eastAsia="Arial" w:hAnsi="Arial"/>
                <w:sz w:val="20"/>
                <w:szCs w:val="20"/>
                <w:color w:val="auto"/>
                <w:w w:val="89"/>
              </w:rPr>
              <w:t>Indebtedness representing deferred compensation to employees of the Borrower (or any direct or indirect parent thereof)</w:t>
            </w:r>
          </w:p>
        </w:tc>
      </w:tr>
      <w:tr>
        <w:trPr>
          <w:trHeight w:val="250"/>
        </w:trPr>
        <w:tc>
          <w:tcPr>
            <w:tcW w:w="11160" w:type="dxa"/>
            <w:vAlign w:val="bottom"/>
            <w:gridSpan w:val="4"/>
          </w:tcPr>
          <w:p>
            <w:pPr>
              <w:ind w:left="780"/>
              <w:spacing w:after="0"/>
              <w:rPr>
                <w:sz w:val="20"/>
                <w:szCs w:val="20"/>
                <w:color w:val="auto"/>
              </w:rPr>
            </w:pPr>
            <w:r>
              <w:rPr>
                <w:rFonts w:ascii="Arial" w:cs="Arial" w:eastAsia="Arial" w:hAnsi="Arial"/>
                <w:sz w:val="20"/>
                <w:szCs w:val="20"/>
                <w:color w:val="auto"/>
              </w:rPr>
              <w:t>and its Subsidiaries incurred in the ordinary course of business;</w:t>
            </w:r>
          </w:p>
        </w:tc>
      </w:tr>
      <w:tr>
        <w:trPr>
          <w:trHeight w:val="446"/>
        </w:trPr>
        <w:tc>
          <w:tcPr>
            <w:tcW w:w="1020" w:type="dxa"/>
            <w:vAlign w:val="bottom"/>
          </w:tcPr>
          <w:p>
            <w:pPr>
              <w:spacing w:after="0"/>
              <w:rPr>
                <w:sz w:val="20"/>
                <w:szCs w:val="20"/>
                <w:color w:val="auto"/>
              </w:rPr>
            </w:pPr>
            <w:r>
              <w:rPr>
                <w:rFonts w:ascii="Arial" w:cs="Arial" w:eastAsia="Arial" w:hAnsi="Arial"/>
                <w:sz w:val="20"/>
                <w:szCs w:val="20"/>
                <w:color w:val="auto"/>
              </w:rPr>
              <w:t>(p)</w:t>
            </w:r>
          </w:p>
        </w:tc>
        <w:tc>
          <w:tcPr>
            <w:tcW w:w="10140" w:type="dxa"/>
            <w:vAlign w:val="bottom"/>
            <w:gridSpan w:val="3"/>
          </w:tcPr>
          <w:p>
            <w:pPr>
              <w:ind w:left="560"/>
              <w:spacing w:after="0"/>
              <w:rPr>
                <w:sz w:val="20"/>
                <w:szCs w:val="20"/>
                <w:color w:val="auto"/>
              </w:rPr>
            </w:pPr>
            <w:r>
              <w:rPr>
                <w:rFonts w:ascii="Arial" w:cs="Arial" w:eastAsia="Arial" w:hAnsi="Arial"/>
                <w:sz w:val="20"/>
                <w:szCs w:val="20"/>
                <w:color w:val="auto"/>
              </w:rPr>
              <w:t>to the extent constituting Indebtedness, any Permitted Warrant Transaction;</w:t>
            </w:r>
          </w:p>
        </w:tc>
      </w:tr>
      <w:tr>
        <w:trPr>
          <w:trHeight w:val="445"/>
        </w:trPr>
        <w:tc>
          <w:tcPr>
            <w:tcW w:w="1020" w:type="dxa"/>
            <w:vAlign w:val="bottom"/>
          </w:tcPr>
          <w:p>
            <w:pPr>
              <w:spacing w:after="0"/>
              <w:rPr>
                <w:sz w:val="20"/>
                <w:szCs w:val="20"/>
                <w:color w:val="auto"/>
              </w:rPr>
            </w:pPr>
            <w:r>
              <w:rPr>
                <w:rFonts w:ascii="Arial" w:cs="Arial" w:eastAsia="Arial" w:hAnsi="Arial"/>
                <w:sz w:val="20"/>
                <w:szCs w:val="20"/>
                <w:color w:val="auto"/>
              </w:rPr>
              <w:t>(q)</w:t>
            </w:r>
          </w:p>
        </w:tc>
        <w:tc>
          <w:tcPr>
            <w:tcW w:w="10140" w:type="dxa"/>
            <w:vAlign w:val="bottom"/>
            <w:gridSpan w:val="3"/>
          </w:tcPr>
          <w:p>
            <w:pPr>
              <w:ind w:left="560"/>
              <w:spacing w:after="0"/>
              <w:rPr>
                <w:sz w:val="20"/>
                <w:szCs w:val="20"/>
                <w:color w:val="auto"/>
              </w:rPr>
            </w:pPr>
            <w:r>
              <w:rPr>
                <w:rFonts w:ascii="Arial" w:cs="Arial" w:eastAsia="Arial" w:hAnsi="Arial"/>
                <w:sz w:val="20"/>
                <w:szCs w:val="20"/>
                <w:color w:val="auto"/>
              </w:rPr>
              <w:t>Permitted Subordinated Debt;</w:t>
            </w:r>
          </w:p>
        </w:tc>
      </w:tr>
      <w:tr>
        <w:trPr>
          <w:trHeight w:val="401"/>
        </w:trPr>
        <w:tc>
          <w:tcPr>
            <w:tcW w:w="1020" w:type="dxa"/>
            <w:vAlign w:val="bottom"/>
          </w:tcPr>
          <w:p>
            <w:pPr>
              <w:spacing w:after="0"/>
              <w:rPr>
                <w:sz w:val="20"/>
                <w:szCs w:val="20"/>
                <w:color w:val="auto"/>
              </w:rPr>
            </w:pPr>
            <w:r>
              <w:rPr>
                <w:rFonts w:ascii="Arial" w:cs="Arial" w:eastAsia="Arial" w:hAnsi="Arial"/>
                <w:sz w:val="20"/>
                <w:szCs w:val="20"/>
                <w:color w:val="auto"/>
              </w:rPr>
              <w:t>(r)</w:t>
            </w:r>
          </w:p>
        </w:tc>
        <w:tc>
          <w:tcPr>
            <w:tcW w:w="10140" w:type="dxa"/>
            <w:vAlign w:val="bottom"/>
            <w:gridSpan w:val="3"/>
          </w:tcPr>
          <w:p>
            <w:pPr>
              <w:ind w:left="560"/>
              <w:spacing w:after="0"/>
              <w:rPr>
                <w:sz w:val="20"/>
                <w:szCs w:val="20"/>
                <w:color w:val="auto"/>
              </w:rPr>
            </w:pPr>
            <w:r>
              <w:rPr>
                <w:rFonts w:ascii="Arial" w:cs="Arial" w:eastAsia="Arial" w:hAnsi="Arial"/>
                <w:sz w:val="20"/>
                <w:szCs w:val="20"/>
                <w:color w:val="auto"/>
                <w:w w:val="89"/>
              </w:rPr>
              <w:t xml:space="preserve">Guarantees with respect to Indebtedness otherwise permitted to be incurred pursuant to this Section 7.02; </w:t>
            </w:r>
            <w:r>
              <w:rPr>
                <w:rFonts w:ascii="Arial" w:cs="Arial" w:eastAsia="Arial" w:hAnsi="Arial"/>
                <w:sz w:val="20"/>
                <w:szCs w:val="20"/>
                <w:i w:val="1"/>
                <w:iCs w:val="1"/>
                <w:color w:val="auto"/>
                <w:w w:val="89"/>
              </w:rPr>
              <w:t>provided</w:t>
            </w:r>
            <w:r>
              <w:rPr>
                <w:rFonts w:ascii="Arial" w:cs="Arial" w:eastAsia="Arial" w:hAnsi="Arial"/>
                <w:sz w:val="20"/>
                <w:szCs w:val="20"/>
                <w:color w:val="auto"/>
                <w:w w:val="89"/>
              </w:rPr>
              <w:t xml:space="preserve">, </w:t>
            </w:r>
            <w:r>
              <w:rPr>
                <w:rFonts w:ascii="Arial" w:cs="Arial" w:eastAsia="Arial" w:hAnsi="Arial"/>
                <w:sz w:val="20"/>
                <w:szCs w:val="20"/>
                <w:i w:val="1"/>
                <w:iCs w:val="1"/>
                <w:color w:val="auto"/>
                <w:w w:val="89"/>
              </w:rPr>
              <w:t>that</w:t>
            </w:r>
            <w:r>
              <w:rPr>
                <w:rFonts w:ascii="Arial" w:cs="Arial" w:eastAsia="Arial" w:hAnsi="Arial"/>
                <w:sz w:val="20"/>
                <w:szCs w:val="20"/>
                <w:color w:val="auto"/>
                <w:w w:val="89"/>
              </w:rPr>
              <w:t>,</w:t>
            </w:r>
          </w:p>
        </w:tc>
      </w:tr>
      <w:tr>
        <w:trPr>
          <w:trHeight w:val="20"/>
        </w:trPr>
        <w:tc>
          <w:tcPr>
            <w:tcW w:w="10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9"/>
        </w:trPr>
        <w:tc>
          <w:tcPr>
            <w:tcW w:w="1020" w:type="dxa"/>
            <w:vAlign w:val="bottom"/>
          </w:tcPr>
          <w:p>
            <w:pPr>
              <w:ind w:left="780"/>
              <w:spacing w:after="0"/>
              <w:rPr>
                <w:sz w:val="20"/>
                <w:szCs w:val="20"/>
                <w:color w:val="auto"/>
              </w:rPr>
            </w:pPr>
            <w:r>
              <w:rPr>
                <w:rFonts w:ascii="Arial" w:cs="Arial" w:eastAsia="Arial" w:hAnsi="Arial"/>
                <w:sz w:val="20"/>
                <w:szCs w:val="20"/>
                <w:color w:val="auto"/>
              </w:rPr>
              <w:t>(i)</w:t>
            </w:r>
          </w:p>
        </w:tc>
        <w:tc>
          <w:tcPr>
            <w:tcW w:w="10140" w:type="dxa"/>
            <w:vAlign w:val="bottom"/>
            <w:gridSpan w:val="3"/>
          </w:tcPr>
          <w:p>
            <w:pPr>
              <w:ind w:left="40"/>
              <w:spacing w:after="0"/>
              <w:rPr>
                <w:sz w:val="20"/>
                <w:szCs w:val="20"/>
                <w:color w:val="auto"/>
              </w:rPr>
            </w:pPr>
            <w:r>
              <w:rPr>
                <w:rFonts w:ascii="Arial" w:cs="Arial" w:eastAsia="Arial" w:hAnsi="Arial"/>
                <w:sz w:val="20"/>
                <w:szCs w:val="20"/>
                <w:color w:val="auto"/>
                <w:w w:val="95"/>
              </w:rPr>
              <w:t>if such Indebtedness is subordinated to the Secured Obligations, such Guarantee shall be subordinated to the Secured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 w:type="dxa"/>
            <w:vAlign w:val="bottom"/>
          </w:tcPr>
          <w:p>
            <w:pPr>
              <w:spacing w:after="0"/>
              <w:rPr>
                <w:sz w:val="18"/>
                <w:szCs w:val="18"/>
                <w:color w:val="auto"/>
              </w:rPr>
            </w:pPr>
          </w:p>
        </w:tc>
        <w:tc>
          <w:tcPr>
            <w:tcW w:w="10660" w:type="dxa"/>
            <w:vAlign w:val="bottom"/>
            <w:gridSpan w:val="7"/>
          </w:tcPr>
          <w:p>
            <w:pPr>
              <w:ind w:left="280"/>
              <w:spacing w:after="0" w:line="213" w:lineRule="exact"/>
              <w:rPr>
                <w:sz w:val="20"/>
                <w:szCs w:val="20"/>
                <w:color w:val="auto"/>
              </w:rPr>
            </w:pPr>
            <w:r>
              <w:rPr>
                <w:rFonts w:ascii="Arial" w:cs="Arial" w:eastAsia="Arial" w:hAnsi="Arial"/>
                <w:sz w:val="20"/>
                <w:szCs w:val="20"/>
                <w:color w:val="auto"/>
                <w:w w:val="90"/>
              </w:rPr>
              <w:t>Obligations on terms, taken as a whole, at least as favorable to the Lenders (as determined in the Borrower’s good faith judgment</w:t>
            </w:r>
          </w:p>
        </w:tc>
      </w:tr>
      <w:tr>
        <w:trPr>
          <w:trHeight w:val="230"/>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Arial" w:cs="Arial" w:eastAsia="Arial" w:hAnsi="Arial"/>
                <w:sz w:val="20"/>
                <w:szCs w:val="20"/>
                <w:color w:val="auto"/>
                <w:w w:val="89"/>
              </w:rPr>
              <w:t>in consultation with the Administrative Agent) as those contained in the subordination of such Indebtedness, taken as a whole, and</w:t>
            </w:r>
          </w:p>
        </w:tc>
      </w:tr>
      <w:tr>
        <w:trPr>
          <w:trHeight w:val="206"/>
        </w:trPr>
        <w:tc>
          <w:tcPr>
            <w:tcW w:w="500" w:type="dxa"/>
            <w:vAlign w:val="bottom"/>
          </w:tcPr>
          <w:p>
            <w:pPr>
              <w:spacing w:after="0"/>
              <w:rPr>
                <w:sz w:val="17"/>
                <w:szCs w:val="17"/>
                <w:color w:val="auto"/>
              </w:rPr>
            </w:pPr>
          </w:p>
        </w:tc>
        <w:tc>
          <w:tcPr>
            <w:tcW w:w="10660" w:type="dxa"/>
            <w:vAlign w:val="bottom"/>
            <w:gridSpan w:val="7"/>
          </w:tcPr>
          <w:p>
            <w:pPr>
              <w:ind w:left="280"/>
              <w:spacing w:after="0" w:line="206" w:lineRule="exact"/>
              <w:rPr>
                <w:sz w:val="20"/>
                <w:szCs w:val="20"/>
                <w:color w:val="auto"/>
              </w:rPr>
            </w:pPr>
            <w:r>
              <w:rPr>
                <w:rFonts w:ascii="Arial" w:cs="Arial" w:eastAsia="Arial" w:hAnsi="Arial"/>
                <w:sz w:val="20"/>
                <w:szCs w:val="20"/>
                <w:color w:val="auto"/>
              </w:rPr>
              <w:t>(ii) such Guarantee is otherwise permitted as an Investment under Section 7.03 (other than Section 7.03(s));</w:t>
            </w:r>
          </w:p>
        </w:tc>
      </w:tr>
      <w:tr>
        <w:trPr>
          <w:trHeight w:val="20"/>
        </w:trPr>
        <w:tc>
          <w:tcPr>
            <w:tcW w:w="5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25"/>
        </w:trPr>
        <w:tc>
          <w:tcPr>
            <w:tcW w:w="500" w:type="dxa"/>
            <w:vAlign w:val="bottom"/>
          </w:tcPr>
          <w:p>
            <w:pPr>
              <w:spacing w:after="0"/>
              <w:rPr>
                <w:sz w:val="20"/>
                <w:szCs w:val="20"/>
                <w:color w:val="auto"/>
              </w:rPr>
            </w:pPr>
            <w:r>
              <w:rPr>
                <w:rFonts w:ascii="Arial" w:cs="Arial" w:eastAsia="Arial" w:hAnsi="Arial"/>
                <w:sz w:val="20"/>
                <w:szCs w:val="20"/>
                <w:color w:val="auto"/>
              </w:rPr>
              <w:t>(s)</w:t>
            </w:r>
          </w:p>
        </w:tc>
        <w:tc>
          <w:tcPr>
            <w:tcW w:w="10660" w:type="dxa"/>
            <w:vAlign w:val="bottom"/>
            <w:gridSpan w:val="7"/>
          </w:tcPr>
          <w:p>
            <w:pPr>
              <w:ind w:left="1080"/>
              <w:spacing w:after="0"/>
              <w:rPr>
                <w:sz w:val="20"/>
                <w:szCs w:val="20"/>
                <w:color w:val="auto"/>
              </w:rPr>
            </w:pPr>
            <w:r>
              <w:rPr>
                <w:rFonts w:ascii="Arial" w:cs="Arial" w:eastAsia="Arial" w:hAnsi="Arial"/>
                <w:sz w:val="20"/>
                <w:szCs w:val="20"/>
                <w:color w:val="auto"/>
                <w:w w:val="90"/>
              </w:rPr>
              <w:t>other Indebtedness not permitted by any of the foregoing clauses of this Section 7.02, in an aggregate principal amount</w:t>
            </w:r>
          </w:p>
        </w:tc>
      </w:tr>
      <w:tr>
        <w:trPr>
          <w:trHeight w:val="254"/>
        </w:trPr>
        <w:tc>
          <w:tcPr>
            <w:tcW w:w="500" w:type="dxa"/>
            <w:vAlign w:val="bottom"/>
          </w:tcPr>
          <w:p>
            <w:pPr>
              <w:spacing w:after="0"/>
              <w:rPr>
                <w:sz w:val="22"/>
                <w:szCs w:val="22"/>
                <w:color w:val="auto"/>
              </w:rPr>
            </w:pPr>
          </w:p>
        </w:tc>
        <w:tc>
          <w:tcPr>
            <w:tcW w:w="6900" w:type="dxa"/>
            <w:vAlign w:val="bottom"/>
            <w:gridSpan w:val="3"/>
          </w:tcPr>
          <w:p>
            <w:pPr>
              <w:ind w:left="280"/>
              <w:spacing w:after="0"/>
              <w:rPr>
                <w:sz w:val="20"/>
                <w:szCs w:val="20"/>
                <w:color w:val="auto"/>
              </w:rPr>
            </w:pPr>
            <w:r>
              <w:rPr>
                <w:rFonts w:ascii="Arial" w:cs="Arial" w:eastAsia="Arial" w:hAnsi="Arial"/>
                <w:sz w:val="20"/>
                <w:szCs w:val="20"/>
                <w:color w:val="auto"/>
              </w:rPr>
              <w:t>not to exceed at any one time outstanding $10,000,000; and</w:t>
            </w:r>
          </w:p>
        </w:tc>
        <w:tc>
          <w:tcPr>
            <w:tcW w:w="1000" w:type="dxa"/>
            <w:vAlign w:val="bottom"/>
            <w:tcBorders>
              <w:top w:val="single" w:sz="8" w:color="auto"/>
            </w:tcBorders>
            <w:gridSpan w:val="2"/>
          </w:tcPr>
          <w:p>
            <w:pPr>
              <w:spacing w:after="0"/>
              <w:rPr>
                <w:sz w:val="22"/>
                <w:szCs w:val="22"/>
                <w:color w:val="auto"/>
              </w:rPr>
            </w:pPr>
          </w:p>
        </w:tc>
        <w:tc>
          <w:tcPr>
            <w:tcW w:w="2760" w:type="dxa"/>
            <w:vAlign w:val="bottom"/>
            <w:gridSpan w:val="2"/>
          </w:tcPr>
          <w:p>
            <w:pPr>
              <w:spacing w:after="0"/>
              <w:rPr>
                <w:sz w:val="22"/>
                <w:szCs w:val="22"/>
                <w:color w:val="auto"/>
              </w:rPr>
            </w:pPr>
          </w:p>
        </w:tc>
      </w:tr>
      <w:tr>
        <w:trPr>
          <w:trHeight w:val="441"/>
        </w:trPr>
        <w:tc>
          <w:tcPr>
            <w:tcW w:w="500" w:type="dxa"/>
            <w:vAlign w:val="bottom"/>
          </w:tcPr>
          <w:p>
            <w:pPr>
              <w:spacing w:after="0"/>
              <w:rPr>
                <w:sz w:val="20"/>
                <w:szCs w:val="20"/>
                <w:color w:val="auto"/>
              </w:rPr>
            </w:pPr>
            <w:r>
              <w:rPr>
                <w:rFonts w:ascii="Arial" w:cs="Arial" w:eastAsia="Arial" w:hAnsi="Arial"/>
                <w:sz w:val="20"/>
                <w:szCs w:val="20"/>
                <w:color w:val="auto"/>
              </w:rPr>
              <w:t>(t)</w:t>
            </w:r>
          </w:p>
        </w:tc>
        <w:tc>
          <w:tcPr>
            <w:tcW w:w="10660" w:type="dxa"/>
            <w:vAlign w:val="bottom"/>
            <w:gridSpan w:val="7"/>
          </w:tcPr>
          <w:p>
            <w:pPr>
              <w:ind w:left="1080"/>
              <w:spacing w:after="0"/>
              <w:rPr>
                <w:sz w:val="20"/>
                <w:szCs w:val="20"/>
                <w:color w:val="auto"/>
              </w:rPr>
            </w:pPr>
            <w:r>
              <w:rPr>
                <w:rFonts w:ascii="Arial" w:cs="Arial" w:eastAsia="Arial" w:hAnsi="Arial"/>
                <w:sz w:val="20"/>
                <w:szCs w:val="20"/>
                <w:color w:val="auto"/>
                <w:w w:val="95"/>
              </w:rPr>
              <w:t>to the extent constituting Indebtedness, all premiums (if any), interest (including post-petition interest and interest</w:t>
            </w:r>
          </w:p>
        </w:tc>
      </w:tr>
    </w:tbl>
    <w:p>
      <w:pPr>
        <w:ind w:left="780"/>
        <w:spacing w:after="0" w:line="244" w:lineRule="auto"/>
        <w:rPr>
          <w:sz w:val="20"/>
          <w:szCs w:val="20"/>
          <w:color w:val="auto"/>
        </w:rPr>
      </w:pPr>
      <w:r>
        <w:rPr>
          <w:rFonts w:ascii="Arial" w:cs="Arial" w:eastAsia="Arial" w:hAnsi="Arial"/>
          <w:sz w:val="20"/>
          <w:szCs w:val="20"/>
          <w:color w:val="auto"/>
        </w:rPr>
        <w:t xml:space="preserve">accreted to principal), fees, expenses, charges and additional or contingent interest on obligations described in any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(s)</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85"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0"/>
          <w:szCs w:val="20"/>
          <w:b w:val="1"/>
          <w:bCs w:val="1"/>
          <w:color w:val="auto"/>
        </w:rPr>
        <w:t>7.03</w:t>
      </w:r>
      <w:r>
        <w:rPr>
          <w:sz w:val="20"/>
          <w:szCs w:val="20"/>
          <w:color w:val="auto"/>
        </w:rPr>
        <w:tab/>
      </w:r>
      <w:r>
        <w:rPr>
          <w:rFonts w:ascii="Arial" w:cs="Arial" w:eastAsia="Arial" w:hAnsi="Arial"/>
          <w:sz w:val="16"/>
          <w:szCs w:val="16"/>
          <w:b w:val="1"/>
          <w:bCs w:val="1"/>
          <w:u w:val="single" w:color="auto"/>
          <w:color w:val="auto"/>
        </w:rPr>
        <w:t>Investments.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Make or hold any Investments, except:</w:t>
      </w:r>
    </w:p>
    <w:p>
      <w:pPr>
        <w:spacing w:after="0" w:line="216" w:lineRule="exact"/>
        <w:rPr>
          <w:sz w:val="20"/>
          <w:szCs w:val="20"/>
          <w:color w:val="auto"/>
        </w:rPr>
      </w:pPr>
    </w:p>
    <w:p>
      <w:pPr>
        <w:jc w:val="both"/>
        <w:ind w:left="800" w:firstLine="789"/>
        <w:spacing w:after="0" w:line="309" w:lineRule="auto"/>
        <w:tabs>
          <w:tab w:leader="none" w:pos="2465"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Investments existing as of the Closing Date and set forth on </w:t>
      </w:r>
      <w:r>
        <w:rPr>
          <w:rFonts w:ascii="Arial" w:cs="Arial" w:eastAsia="Arial" w:hAnsi="Arial"/>
          <w:sz w:val="16"/>
          <w:szCs w:val="16"/>
          <w:u w:val="single" w:color="auto"/>
          <w:color w:val="auto"/>
        </w:rPr>
        <w:t>Schedule 7.03</w:t>
      </w:r>
      <w:r>
        <w:rPr>
          <w:rFonts w:ascii="Arial" w:cs="Arial" w:eastAsia="Arial" w:hAnsi="Arial"/>
          <w:sz w:val="16"/>
          <w:szCs w:val="16"/>
          <w:color w:val="auto"/>
        </w:rPr>
        <w:t xml:space="preserve"> any modifications, replacements, renewals, reinvestments or extensions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amount of any such Investment permitted pursuant to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800" w:hanging="8"/>
        <w:spacing w:after="0" w:line="244" w:lineRule="auto"/>
        <w:tabs>
          <w:tab w:leader="none" w:pos="1092" w:val="left"/>
        </w:tabs>
        <w:numPr>
          <w:ilvl w:val="0"/>
          <w:numId w:val="178"/>
        </w:numPr>
        <w:rPr>
          <w:rFonts w:ascii="Arial" w:cs="Arial" w:eastAsia="Arial" w:hAnsi="Arial"/>
          <w:sz w:val="20"/>
          <w:szCs w:val="20"/>
          <w:u w:val="single" w:color="auto"/>
          <w:color w:val="auto"/>
        </w:rPr>
      </w:pPr>
      <w:r>
        <w:rPr>
          <w:rFonts w:ascii="Arial" w:cs="Arial" w:eastAsia="Arial" w:hAnsi="Arial"/>
          <w:sz w:val="20"/>
          <w:szCs w:val="20"/>
          <w:color w:val="auto"/>
        </w:rPr>
        <w:t xml:space="preserve">is not increased from the amount of such Investment on the Closing Date except to the extent such increase is incurred in reliance on another clause of this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91" w:lineRule="exact"/>
        <w:rPr>
          <w:rFonts w:ascii="Arial" w:cs="Arial" w:eastAsia="Arial" w:hAnsi="Arial"/>
          <w:sz w:val="20"/>
          <w:szCs w:val="20"/>
          <w:u w:val="single" w:color="auto"/>
          <w:color w:val="auto"/>
        </w:rPr>
      </w:pPr>
    </w:p>
    <w:p>
      <w:pPr>
        <w:jc w:val="both"/>
        <w:ind w:left="800" w:firstLine="789"/>
        <w:spacing w:after="0" w:line="250" w:lineRule="auto"/>
        <w:tabs>
          <w:tab w:leader="none" w:pos="2476"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Investments (i) between and among the Loan Parties and (ii) Investments by any Loan Party in any Subsidiary that is not a Loan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such Investments made in reliance on this </w:t>
      </w:r>
      <w:r>
        <w:rPr>
          <w:rFonts w:ascii="Arial" w:cs="Arial" w:eastAsia="Arial" w:hAnsi="Arial"/>
          <w:sz w:val="20"/>
          <w:szCs w:val="20"/>
          <w:u w:val="single" w:color="auto"/>
          <w:color w:val="auto"/>
        </w:rPr>
        <w:t>clause (b)(ii)</w:t>
      </w:r>
      <w:r>
        <w:rPr>
          <w:rFonts w:ascii="Arial" w:cs="Arial" w:eastAsia="Arial" w:hAnsi="Arial"/>
          <w:sz w:val="20"/>
          <w:szCs w:val="20"/>
          <w:color w:val="auto"/>
        </w:rPr>
        <w:t xml:space="preserve"> shall not exceed at any one time outstanding $25,000,000;</w:t>
      </w:r>
    </w:p>
    <w:p>
      <w:pPr>
        <w:spacing w:after="0" w:line="185" w:lineRule="exact"/>
        <w:rPr>
          <w:rFonts w:ascii="Arial" w:cs="Arial" w:eastAsia="Arial" w:hAnsi="Arial"/>
          <w:sz w:val="20"/>
          <w:szCs w:val="20"/>
          <w:color w:val="auto"/>
        </w:rPr>
      </w:pPr>
    </w:p>
    <w:p>
      <w:pPr>
        <w:ind w:left="800" w:firstLine="789"/>
        <w:spacing w:after="0" w:line="260" w:lineRule="auto"/>
        <w:tabs>
          <w:tab w:leader="none" w:pos="2465"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Investments made by any Subsidiary that is not a Loan Party in (i) any other Subsidiary that is not a Loan Party or (ii) any Loan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to the extent that any such</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207645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66" w:right="339" w:bottom="1440" w:gutter="0" w:footer="0" w:header="0"/>
        </w:sectPr>
      </w:pPr>
    </w:p>
    <w:bookmarkStart w:id="189" w:name="page190"/>
    <w:bookmarkEnd w:id="189"/>
    <w:p>
      <w:pPr>
        <w:jc w:val="both"/>
        <w:spacing w:after="0" w:line="269" w:lineRule="auto"/>
        <w:rPr>
          <w:sz w:val="20"/>
          <w:szCs w:val="20"/>
          <w:color w:val="auto"/>
        </w:rPr>
      </w:pPr>
      <w:r>
        <w:rPr>
          <w:rFonts w:ascii="Arial" w:cs="Arial" w:eastAsia="Arial" w:hAnsi="Arial"/>
          <w:sz w:val="19"/>
          <w:szCs w:val="19"/>
          <w:color w:val="auto"/>
        </w:rPr>
        <w:t xml:space="preserve">Investment incurred in reliance on this </w:t>
      </w:r>
      <w:r>
        <w:rPr>
          <w:rFonts w:ascii="Arial" w:cs="Arial" w:eastAsia="Arial" w:hAnsi="Arial"/>
          <w:sz w:val="19"/>
          <w:szCs w:val="19"/>
          <w:u w:val="single" w:color="auto"/>
          <w:color w:val="auto"/>
        </w:rPr>
        <w:t>clause (c)(ii)</w:t>
      </w:r>
      <w:r>
        <w:rPr>
          <w:rFonts w:ascii="Arial" w:cs="Arial" w:eastAsia="Arial" w:hAnsi="Arial"/>
          <w:sz w:val="19"/>
          <w:szCs w:val="19"/>
          <w:color w:val="auto"/>
        </w:rPr>
        <w:t xml:space="preserve"> constitutes loans or advances made to any Loan Party, promptly upon the written request of the Administrative Agent, such loans or advances shall be subordinated in right of payment to the Secured Obligations pursuant to subordination provisions reasonably acceptable to the Administrative Agent;</w:t>
      </w:r>
    </w:p>
    <w:p>
      <w:pPr>
        <w:spacing w:after="0" w:line="170" w:lineRule="exact"/>
        <w:rPr>
          <w:sz w:val="20"/>
          <w:szCs w:val="20"/>
          <w:color w:val="auto"/>
        </w:rPr>
      </w:pPr>
    </w:p>
    <w:p>
      <w:pPr>
        <w:jc w:val="both"/>
        <w:ind w:firstLine="789"/>
        <w:spacing w:after="0" w:line="243" w:lineRule="auto"/>
        <w:tabs>
          <w:tab w:leader="none" w:pos="167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Borrower and its Subsidiaries may (i) acquire and hold accounts receivables owing to any of them if created or acquired in the ordinary course of business and payable or dischargeable in accordance with customary terms, provided that such trade terms may include such concessionary trade terms in the ordinary course of business as the Borrower and its Subsidiaries deem reasonable under the circumstances, (ii) invest in, acquire and hold cash and Cash Equivalents, (iii) endorse negotiable instruments held for collection in the ordinary course of business or (iv) make lease, utility and other similar deposits in the ordinary course of business;</w:t>
      </w:r>
    </w:p>
    <w:p>
      <w:pPr>
        <w:spacing w:after="0" w:line="195" w:lineRule="exact"/>
        <w:rPr>
          <w:rFonts w:ascii="Arial" w:cs="Arial" w:eastAsia="Arial" w:hAnsi="Arial"/>
          <w:sz w:val="20"/>
          <w:szCs w:val="20"/>
          <w:color w:val="auto"/>
        </w:rPr>
      </w:pPr>
    </w:p>
    <w:p>
      <w:pPr>
        <w:jc w:val="both"/>
        <w:ind w:firstLine="789"/>
        <w:spacing w:after="0" w:line="243" w:lineRule="auto"/>
        <w:tabs>
          <w:tab w:leader="none" w:pos="166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(i) ordinary course of business advances, loans or extensions of credit (A) by the Borrower or any Subsidiary in compliance with applicable Laws to directors, members, employees and officers of the Borrower or any Subsidiary for travel, entertainment or relocation, out of pocket or other business-related expenses in the ordinary course of business or (B) constituting advances of payroll payments or commissions payments to employees and (ii) for purposes not described in the foregoing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u w:val="single" w:color="auto"/>
          <w:color w:val="auto"/>
        </w:rPr>
        <w:t>(e)(i)</w:t>
      </w:r>
      <w:r>
        <w:rPr>
          <w:rFonts w:ascii="Arial" w:cs="Arial" w:eastAsia="Arial" w:hAnsi="Arial"/>
          <w:sz w:val="20"/>
          <w:szCs w:val="20"/>
          <w:color w:val="auto"/>
        </w:rPr>
        <w:t>, loans and advances to directors, members, employees and officers of the Borrower and its Subsidiaries for bona fide business purposes, including the purchase of Qualified Equity Interests of the Borrower, in an aggregate amount not to exceed $2,000,000 at any one time outstanding;</w:t>
      </w:r>
    </w:p>
    <w:p>
      <w:pPr>
        <w:spacing w:after="0" w:line="192" w:lineRule="exact"/>
        <w:rPr>
          <w:rFonts w:ascii="Arial" w:cs="Arial" w:eastAsia="Arial" w:hAnsi="Arial"/>
          <w:sz w:val="20"/>
          <w:szCs w:val="20"/>
          <w:color w:val="auto"/>
        </w:rPr>
      </w:pPr>
    </w:p>
    <w:p>
      <w:pPr>
        <w:ind w:left="1640" w:hanging="851"/>
        <w:spacing w:after="0"/>
        <w:tabs>
          <w:tab w:leader="none" w:pos="164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 Permitted Acquisitions and (ii) the Specified Acquisition;</w:t>
      </w:r>
    </w:p>
    <w:p>
      <w:pPr>
        <w:spacing w:after="0" w:line="215" w:lineRule="exact"/>
        <w:rPr>
          <w:rFonts w:ascii="Arial" w:cs="Arial" w:eastAsia="Arial" w:hAnsi="Arial"/>
          <w:sz w:val="20"/>
          <w:szCs w:val="20"/>
          <w:color w:val="auto"/>
        </w:rPr>
      </w:pPr>
    </w:p>
    <w:p>
      <w:pPr>
        <w:jc w:val="both"/>
        <w:ind w:firstLine="789"/>
        <w:spacing w:after="0" w:line="246" w:lineRule="auto"/>
        <w:tabs>
          <w:tab w:leader="none" w:pos="167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Investments in securities of trade creditors or customers in the ordinary course of business received in connection with the settlement of debts, the satisfaction of judgments, settlements, compromises or resolutions of litigation, arbitration or other disputes, upon foreclosure or pursuant to any plan of reorganization or liquidation or similar arrangement upon the bankruptcy or insolvency of such trade creditors or customers;</w:t>
      </w:r>
    </w:p>
    <w:p>
      <w:pPr>
        <w:spacing w:after="0" w:line="191" w:lineRule="exact"/>
        <w:rPr>
          <w:rFonts w:ascii="Arial" w:cs="Arial" w:eastAsia="Arial" w:hAnsi="Arial"/>
          <w:sz w:val="20"/>
          <w:szCs w:val="20"/>
          <w:color w:val="auto"/>
        </w:rPr>
      </w:pPr>
    </w:p>
    <w:p>
      <w:pPr>
        <w:jc w:val="both"/>
        <w:ind w:firstLine="789"/>
        <w:spacing w:after="0" w:line="246" w:lineRule="auto"/>
        <w:tabs>
          <w:tab w:leader="none" w:pos="167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Investments to the extent that such Investments are made with the net proceeds of the issuance of Qualified Equity Interests of the Borrower after the Closing Date or proceeds of an equity contribution made to the Borrower after the Closing Date, in each case, to the extent not resulting in a Change of Control and to the extent such proceeds are Not Otherwise Applied;</w:t>
      </w:r>
    </w:p>
    <w:p>
      <w:pPr>
        <w:spacing w:after="0" w:line="191" w:lineRule="exact"/>
        <w:rPr>
          <w:rFonts w:ascii="Arial" w:cs="Arial" w:eastAsia="Arial" w:hAnsi="Arial"/>
          <w:sz w:val="20"/>
          <w:szCs w:val="20"/>
          <w:color w:val="auto"/>
        </w:rPr>
      </w:pPr>
    </w:p>
    <w:p>
      <w:pPr>
        <w:jc w:val="both"/>
        <w:ind w:firstLine="789"/>
        <w:spacing w:after="0" w:line="250" w:lineRule="auto"/>
        <w:tabs>
          <w:tab w:leader="none" w:pos="163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Investments consisting of prepaid expenses, negotiable instruments held for collection and lease, utility and workers’ compensation, performance and other similar deposits made in the ordinary course of business of the Borrower and its Subsidiaries;</w:t>
      </w:r>
    </w:p>
    <w:p>
      <w:pPr>
        <w:spacing w:after="0" w:line="185" w:lineRule="exact"/>
        <w:rPr>
          <w:rFonts w:ascii="Arial" w:cs="Arial" w:eastAsia="Arial" w:hAnsi="Arial"/>
          <w:sz w:val="20"/>
          <w:szCs w:val="20"/>
          <w:color w:val="auto"/>
        </w:rPr>
      </w:pPr>
    </w:p>
    <w:p>
      <w:pPr>
        <w:ind w:left="1620" w:hanging="831"/>
        <w:spacing w:after="0"/>
        <w:tabs>
          <w:tab w:leader="none" w:pos="162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Investments consisting of cash earnest money deposits in connection with a Permitted Acquisition;</w:t>
      </w:r>
    </w:p>
    <w:p>
      <w:pPr>
        <w:spacing w:after="0" w:line="215" w:lineRule="exact"/>
        <w:rPr>
          <w:rFonts w:ascii="Arial" w:cs="Arial" w:eastAsia="Arial" w:hAnsi="Arial"/>
          <w:sz w:val="20"/>
          <w:szCs w:val="20"/>
          <w:color w:val="auto"/>
        </w:rPr>
      </w:pPr>
    </w:p>
    <w:p>
      <w:pPr>
        <w:ind w:firstLine="789"/>
        <w:spacing w:after="0" w:line="260" w:lineRule="auto"/>
        <w:tabs>
          <w:tab w:leader="none" w:pos="167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advances to suppliers of amounts provided by customers for the purchase of materials and the preparation of goods and inventory in respect of customer contracts entered into in the ordinary course of business;</w:t>
      </w:r>
    </w:p>
    <w:p>
      <w:pPr>
        <w:spacing w:after="0" w:line="176" w:lineRule="exact"/>
        <w:rPr>
          <w:rFonts w:ascii="Arial" w:cs="Arial" w:eastAsia="Arial" w:hAnsi="Arial"/>
          <w:sz w:val="20"/>
          <w:szCs w:val="20"/>
          <w:color w:val="auto"/>
        </w:rPr>
      </w:pPr>
    </w:p>
    <w:p>
      <w:pPr>
        <w:jc w:val="both"/>
        <w:ind w:firstLine="789"/>
        <w:spacing w:after="0" w:line="250" w:lineRule="auto"/>
        <w:tabs>
          <w:tab w:leader="none" w:pos="163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Investments held by a Person acquired or merged into a Loan Party so long as such Investments (i) were not acquired in contemplation of such acquisition or merger and (ii) do not require any additional capital contributions to be made by the Borrower or any Subsidiary;</w:t>
      </w:r>
    </w:p>
    <w:p>
      <w:pPr>
        <w:spacing w:after="0" w:line="18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190" w:name="page191"/>
    <w:bookmarkEnd w:id="190"/>
    <w:p>
      <w:pPr>
        <w:ind w:left="2600" w:hanging="931"/>
        <w:spacing w:after="0"/>
        <w:tabs>
          <w:tab w:leader="none" w:pos="26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Investments consisting of Swap Contracts permitted under </w:t>
      </w:r>
      <w:r>
        <w:rPr>
          <w:rFonts w:ascii="Arial" w:cs="Arial" w:eastAsia="Arial" w:hAnsi="Arial"/>
          <w:sz w:val="20"/>
          <w:szCs w:val="20"/>
          <w:u w:val="single" w:color="auto"/>
          <w:color w:val="auto"/>
        </w:rPr>
        <w:t>Section 7.02(j)</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291" w:lineRule="auto"/>
        <w:tabs>
          <w:tab w:leader="none" w:pos="255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asset purchases (including purchases of inventory, supplies and materials) and the non-exclusive licensing or contribution of intellectual property or software in the ordinary course of business consistent with past practices pursuant to joint development, joint commercialization, joint marketing or other collaboration arrangements with other Persons;</w:t>
      </w:r>
    </w:p>
    <w:p>
      <w:pPr>
        <w:spacing w:after="0" w:line="151" w:lineRule="exact"/>
        <w:rPr>
          <w:rFonts w:ascii="Arial" w:cs="Arial" w:eastAsia="Arial" w:hAnsi="Arial"/>
          <w:sz w:val="18"/>
          <w:szCs w:val="18"/>
          <w:color w:val="auto"/>
        </w:rPr>
      </w:pPr>
    </w:p>
    <w:p>
      <w:pPr>
        <w:jc w:val="both"/>
        <w:ind w:left="880" w:firstLine="789"/>
        <w:spacing w:after="0" w:line="250" w:lineRule="auto"/>
        <w:tabs>
          <w:tab w:leader="none" w:pos="25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contributions to a “rabbi” trust pursuant to a deferred compensation plan of the Borrower or any of its Subsidiaries for the benefit of employees or other grantor trust subject to claims of creditors in the case of a bankruptcy of the Borrower;</w:t>
      </w:r>
    </w:p>
    <w:p>
      <w:pPr>
        <w:spacing w:after="0" w:line="185" w:lineRule="exact"/>
        <w:rPr>
          <w:rFonts w:ascii="Arial" w:cs="Arial" w:eastAsia="Arial" w:hAnsi="Arial"/>
          <w:sz w:val="20"/>
          <w:szCs w:val="20"/>
          <w:color w:val="auto"/>
        </w:rPr>
      </w:pPr>
    </w:p>
    <w:p>
      <w:pPr>
        <w:jc w:val="both"/>
        <w:ind w:left="880" w:firstLine="789"/>
        <w:spacing w:after="0" w:line="263" w:lineRule="auto"/>
        <w:tabs>
          <w:tab w:leader="none" w:pos="255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Investments consisting of Liens, Indebtedness, fundamental changes, Dispositions, Restricted Payments and prepayments of Indebtedness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7.13</w:t>
      </w:r>
      <w:r>
        <w:rPr>
          <w:rFonts w:ascii="Arial" w:cs="Arial" w:eastAsia="Arial" w:hAnsi="Arial"/>
          <w:sz w:val="19"/>
          <w:szCs w:val="19"/>
          <w:color w:val="auto"/>
        </w:rPr>
        <w:t xml:space="preserve">, respectively, and sales, transfers, leases, licenses or other dispositions not constituting a “Disposition” (in each case, permitted other than by reference to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any clause hereof));</w:t>
      </w:r>
    </w:p>
    <w:p>
      <w:pPr>
        <w:spacing w:after="0" w:line="176" w:lineRule="exact"/>
        <w:rPr>
          <w:rFonts w:ascii="Arial" w:cs="Arial" w:eastAsia="Arial" w:hAnsi="Arial"/>
          <w:sz w:val="19"/>
          <w:szCs w:val="19"/>
          <w:color w:val="auto"/>
        </w:rPr>
      </w:pPr>
    </w:p>
    <w:p>
      <w:pPr>
        <w:jc w:val="both"/>
        <w:ind w:left="880" w:firstLine="789"/>
        <w:spacing w:after="0" w:line="246" w:lineRule="auto"/>
        <w:tabs>
          <w:tab w:leader="none" w:pos="25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the exercise of any put or call arrangement in connection with the Specified Acquisition;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the exercise of any such put or call arrangement constitutes an Investment by a Loan Party in a Subsidiary that is not a Loan Party in excess of $50,000,000, such Investment in excess of $50,000,000 must be otherwise permitted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(without reference to this </w:t>
      </w:r>
      <w:r>
        <w:rPr>
          <w:rFonts w:ascii="Arial" w:cs="Arial" w:eastAsia="Arial" w:hAnsi="Arial"/>
          <w:sz w:val="20"/>
          <w:szCs w:val="20"/>
          <w:u w:val="single" w:color="auto"/>
          <w:color w:val="auto"/>
        </w:rPr>
        <w:t>clause (q)</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880" w:firstLine="789"/>
        <w:spacing w:after="0" w:line="260" w:lineRule="auto"/>
        <w:tabs>
          <w:tab w:leader="none" w:pos="252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to the extent constituting Investments, any Permitted Bond Hedge Transaction entered into in connection with Permitted Convertible Indebtedness permitted by </w:t>
      </w:r>
      <w:r>
        <w:rPr>
          <w:rFonts w:ascii="Arial" w:cs="Arial" w:eastAsia="Arial" w:hAnsi="Arial"/>
          <w:sz w:val="20"/>
          <w:szCs w:val="20"/>
          <w:u w:val="single" w:color="auto"/>
          <w:color w:val="auto"/>
        </w:rPr>
        <w:t>Section 7.02(q)</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2520" w:hanging="851"/>
        <w:spacing w:after="0"/>
        <w:tabs>
          <w:tab w:leader="none" w:pos="2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by reference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any clause hereof));</w:t>
      </w:r>
    </w:p>
    <w:p>
      <w:pPr>
        <w:spacing w:after="0" w:line="238" w:lineRule="exact"/>
        <w:rPr>
          <w:rFonts w:ascii="Arial" w:cs="Arial" w:eastAsia="Arial" w:hAnsi="Arial"/>
          <w:sz w:val="18"/>
          <w:szCs w:val="18"/>
          <w:color w:val="auto"/>
        </w:rPr>
      </w:pPr>
    </w:p>
    <w:p>
      <w:pPr>
        <w:jc w:val="both"/>
        <w:ind w:left="880" w:firstLine="789"/>
        <w:spacing w:after="0" w:line="243" w:lineRule="auto"/>
        <w:tabs>
          <w:tab w:leader="none" w:pos="251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any other Investment;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(i)(A) to the extent that such Investment is made in connection with a Limited Condition Acquisition, (1) no Event of Default shall exist as of the date the definitive acquisition agreement for such Limited Condition Acquisition is entered into and (2) immediately prior to, and after giving effect to such Investment, no Specified Event of Default shall have occurred and be continuing or would result therefrom and (B) in the case of any other Investment, no Event of Default shall then exist or would exist immediately after giving effect thereto and (ii) the Consolidated Total Net Leverage Ratio is less than 2.50 to 1.0, calculated as of the most recent Measurement Period after giving effect to such Investment on a Pro Forma Basis;</w:t>
      </w:r>
    </w:p>
    <w:p>
      <w:pPr>
        <w:spacing w:after="0" w:line="192"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Guarantees of the Borrower or any Subsidiary in respect of leases (other than Capital Leases) or other obligations of the Borrower or any other Subsidiary that do not constitute Indebtedness, in each case entered into in the ordinary course of business; and</w:t>
      </w:r>
    </w:p>
    <w:p>
      <w:pPr>
        <w:spacing w:after="0" w:line="185" w:lineRule="exact"/>
        <w:rPr>
          <w:rFonts w:ascii="Arial" w:cs="Arial" w:eastAsia="Arial" w:hAnsi="Arial"/>
          <w:sz w:val="20"/>
          <w:szCs w:val="20"/>
          <w:color w:val="auto"/>
        </w:rPr>
      </w:pPr>
    </w:p>
    <w:p>
      <w:pPr>
        <w:ind w:left="880" w:firstLine="789"/>
        <w:spacing w:after="0" w:line="316" w:lineRule="auto"/>
        <w:tabs>
          <w:tab w:leader="none" w:pos="255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other Investments in an aggregate amount at any one time outstanding not to exceed $10,000,000;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no Event of Default shall have occurred and be continuing at the time of such Investment or would result therefrom.</w:t>
      </w:r>
    </w:p>
    <w:p>
      <w:pPr>
        <w:spacing w:after="0" w:line="12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7.04</w:t>
      </w:r>
      <w:r>
        <w:rPr>
          <w:sz w:val="20"/>
          <w:szCs w:val="20"/>
          <w:color w:val="auto"/>
        </w:rPr>
        <w:tab/>
      </w:r>
      <w:r>
        <w:rPr>
          <w:rFonts w:ascii="Arial" w:cs="Arial" w:eastAsia="Arial" w:hAnsi="Arial"/>
          <w:sz w:val="16"/>
          <w:szCs w:val="16"/>
          <w:b w:val="1"/>
          <w:bCs w:val="1"/>
          <w:u w:val="single" w:color="auto"/>
          <w:color w:val="auto"/>
        </w:rPr>
        <w:t>Fundamental Changes.</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notwithstanding the foregoing provisions of this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1" w:name="page192"/>
    <w:bookmarkEnd w:id="191"/>
    <w:p>
      <w:pPr>
        <w:jc w:val="both"/>
        <w:spacing w:after="0" w:line="256" w:lineRule="auto"/>
        <w:rPr>
          <w:sz w:val="20"/>
          <w:szCs w:val="20"/>
          <w:color w:val="auto"/>
        </w:rPr>
      </w:pP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but subject to the terms of </w:t>
      </w:r>
      <w:r>
        <w:rPr>
          <w:rFonts w:ascii="Arial" w:cs="Arial" w:eastAsia="Arial" w:hAnsi="Arial"/>
          <w:sz w:val="19"/>
          <w:szCs w:val="19"/>
          <w:u w:val="single" w:color="auto"/>
          <w:color w:val="auto"/>
        </w:rPr>
        <w:t>Sections 6.12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(a) the Borrower may merge or consolidate with any of its Subsidiaries provided that the Borrower shall be the continuing or surviving Person, (b) any Loan Party other than the Borrower may merge or consolidate with any other Loan Party other than the Borrower, (c) any Subsidiary that is not a Loan Party may be merged or consolidated with or into any Loan Party provided that such Loan Party shall be the continuing or surviving Person, (d) any Subsidiary that is not a Loan Party may be merged or consolidated with or into any other Subsidiary that is not a Loan Party, and (e) any Subsidiary may dissolve, liquidate or wind up its affairs at any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(i) such dissolution, liquidation or winding up, as applicable, could not reasonably be expected to have a Material Adverse Effect and (ii) any assets of such Subsidiary or any distribution from such dissolution, liquidation or winding up, as applicable, are distributed to one or more Loan Parties, or if such Subsidiary is owned by a non-Loan Party and is itself not a Loan Party, distributed to any other Subsidiary.</w:t>
      </w:r>
    </w:p>
    <w:p>
      <w:pPr>
        <w:spacing w:after="0" w:line="17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7.05</w:t>
      </w:r>
      <w:r>
        <w:rPr>
          <w:sz w:val="20"/>
          <w:szCs w:val="20"/>
          <w:color w:val="auto"/>
        </w:rPr>
        <w:tab/>
      </w:r>
      <w:r>
        <w:rPr>
          <w:rFonts w:ascii="Arial" w:cs="Arial" w:eastAsia="Arial" w:hAnsi="Arial"/>
          <w:sz w:val="16"/>
          <w:szCs w:val="16"/>
          <w:b w:val="1"/>
          <w:bCs w:val="1"/>
          <w:u w:val="single" w:color="auto"/>
          <w:color w:val="auto"/>
        </w:rPr>
        <w:t>Dispositions.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Make any Disposition except for Permitted Transfers.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ind w:left="880"/>
              <w:spacing w:after="0"/>
              <w:rPr>
                <w:sz w:val="20"/>
                <w:szCs w:val="20"/>
                <w:color w:val="auto"/>
              </w:rPr>
            </w:pPr>
            <w:r>
              <w:rPr>
                <w:rFonts w:ascii="Arial" w:cs="Arial" w:eastAsia="Arial" w:hAnsi="Arial"/>
                <w:sz w:val="20"/>
                <w:szCs w:val="20"/>
                <w:b w:val="1"/>
                <w:bCs w:val="1"/>
                <w:color w:val="auto"/>
              </w:rPr>
              <w:t>7.06</w:t>
            </w:r>
          </w:p>
        </w:tc>
        <w:tc>
          <w:tcPr>
            <w:tcW w:w="420" w:type="dxa"/>
            <w:vAlign w:val="bottom"/>
          </w:tcPr>
          <w:p>
            <w:pPr>
              <w:spacing w:after="0"/>
              <w:rPr>
                <w:sz w:val="19"/>
                <w:szCs w:val="19"/>
                <w:color w:val="auto"/>
              </w:rPr>
            </w:pPr>
          </w:p>
        </w:tc>
        <w:tc>
          <w:tcPr>
            <w:tcW w:w="9380" w:type="dxa"/>
            <w:vAlign w:val="bottom"/>
            <w:gridSpan w:val="3"/>
          </w:tcPr>
          <w:p>
            <w:pPr>
              <w:jc w:val="right"/>
              <w:ind w:right="7580"/>
              <w:spacing w:after="0"/>
              <w:rPr>
                <w:sz w:val="20"/>
                <w:szCs w:val="20"/>
                <w:color w:val="auto"/>
              </w:rPr>
            </w:pPr>
            <w:r>
              <w:rPr>
                <w:rFonts w:ascii="Arial" w:cs="Arial" w:eastAsia="Arial" w:hAnsi="Arial"/>
                <w:sz w:val="20"/>
                <w:szCs w:val="20"/>
                <w:b w:val="1"/>
                <w:bCs w:val="1"/>
                <w:color w:val="auto"/>
                <w:w w:val="87"/>
              </w:rPr>
              <w:t>Restricted Payments</w:t>
            </w:r>
            <w:r>
              <w:rPr>
                <w:rFonts w:ascii="Arial" w:cs="Arial" w:eastAsia="Arial" w:hAnsi="Arial"/>
                <w:sz w:val="20"/>
                <w:szCs w:val="20"/>
                <w:color w:val="auto"/>
                <w:w w:val="87"/>
              </w:rPr>
              <w:t>.</w:t>
            </w:r>
          </w:p>
        </w:tc>
      </w:tr>
      <w:tr>
        <w:trPr>
          <w:trHeight w:val="20"/>
        </w:trPr>
        <w:tc>
          <w:tcPr>
            <w:tcW w:w="1860" w:type="dxa"/>
            <w:vAlign w:val="bottom"/>
            <w:gridSpan w:val="2"/>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49"/>
        </w:trPr>
        <w:tc>
          <w:tcPr>
            <w:tcW w:w="11240" w:type="dxa"/>
            <w:vAlign w:val="bottom"/>
            <w:gridSpan w:val="5"/>
          </w:tcPr>
          <w:p>
            <w:pPr>
              <w:ind w:left="880"/>
              <w:spacing w:after="0"/>
              <w:rPr>
                <w:sz w:val="20"/>
                <w:szCs w:val="20"/>
                <w:color w:val="auto"/>
              </w:rPr>
            </w:pPr>
            <w:r>
              <w:rPr>
                <w:rFonts w:ascii="Arial" w:cs="Arial" w:eastAsia="Arial" w:hAnsi="Arial"/>
                <w:sz w:val="20"/>
                <w:szCs w:val="20"/>
                <w:color w:val="auto"/>
                <w:w w:val="91"/>
              </w:rPr>
              <w:t>Declare or make, directly or indirectly, any Restricted Payment, or incur any obligation (contingent or otherwise) to do so, except</w:t>
            </w:r>
          </w:p>
        </w:tc>
      </w:tr>
      <w:tr>
        <w:trPr>
          <w:trHeight w:val="250"/>
        </w:trPr>
        <w:tc>
          <w:tcPr>
            <w:tcW w:w="1440" w:type="dxa"/>
            <w:vAlign w:val="bottom"/>
          </w:tcPr>
          <w:p>
            <w:pPr>
              <w:spacing w:after="0"/>
              <w:rPr>
                <w:sz w:val="20"/>
                <w:szCs w:val="20"/>
                <w:color w:val="auto"/>
              </w:rPr>
            </w:pPr>
            <w:r>
              <w:rPr>
                <w:rFonts w:ascii="Arial" w:cs="Arial" w:eastAsia="Arial" w:hAnsi="Arial"/>
                <w:sz w:val="20"/>
                <w:szCs w:val="20"/>
                <w:color w:val="auto"/>
              </w:rPr>
              <w:t>that: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40" w:type="dxa"/>
            <w:vAlign w:val="bottom"/>
          </w:tcPr>
          <w:p>
            <w:pPr>
              <w:spacing w:after="0"/>
              <w:rPr>
                <w:sz w:val="21"/>
                <w:szCs w:val="21"/>
                <w:color w:val="auto"/>
              </w:rPr>
            </w:pPr>
          </w:p>
        </w:tc>
      </w:tr>
      <w:tr>
        <w:trPr>
          <w:trHeight w:val="425"/>
        </w:trPr>
        <w:tc>
          <w:tcPr>
            <w:tcW w:w="1440" w:type="dxa"/>
            <w:vAlign w:val="bottom"/>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Arial" w:cs="Arial" w:eastAsia="Arial" w:hAnsi="Arial"/>
                <w:sz w:val="20"/>
                <w:szCs w:val="20"/>
                <w:color w:val="auto"/>
              </w:rPr>
              <w:t>(a)</w:t>
            </w:r>
          </w:p>
        </w:tc>
        <w:tc>
          <w:tcPr>
            <w:tcW w:w="9020" w:type="dxa"/>
            <w:vAlign w:val="bottom"/>
            <w:gridSpan w:val="2"/>
          </w:tcPr>
          <w:p>
            <w:pPr>
              <w:jc w:val="right"/>
              <w:ind w:right="20"/>
              <w:spacing w:after="0"/>
              <w:rPr>
                <w:sz w:val="20"/>
                <w:szCs w:val="20"/>
                <w:color w:val="auto"/>
              </w:rPr>
            </w:pPr>
            <w:r>
              <w:rPr>
                <w:rFonts w:ascii="Arial" w:cs="Arial" w:eastAsia="Arial" w:hAnsi="Arial"/>
                <w:sz w:val="20"/>
                <w:szCs w:val="20"/>
                <w:color w:val="auto"/>
                <w:w w:val="99"/>
              </w:rPr>
              <w:t>each Subsidiary may make Restricted Payments to the Borrower or any other Person that owns Equity</w:t>
            </w:r>
          </w:p>
        </w:tc>
      </w:tr>
      <w:tr>
        <w:trPr>
          <w:trHeight w:val="229"/>
        </w:trPr>
        <w:tc>
          <w:tcPr>
            <w:tcW w:w="11240" w:type="dxa"/>
            <w:vAlign w:val="bottom"/>
            <w:gridSpan w:val="5"/>
          </w:tcPr>
          <w:p>
            <w:pPr>
              <w:ind w:left="880"/>
              <w:spacing w:after="0"/>
              <w:rPr>
                <w:sz w:val="20"/>
                <w:szCs w:val="20"/>
                <w:color w:val="auto"/>
              </w:rPr>
            </w:pPr>
            <w:r>
              <w:rPr>
                <w:rFonts w:ascii="Arial" w:cs="Arial" w:eastAsia="Arial" w:hAnsi="Arial"/>
                <w:sz w:val="20"/>
                <w:szCs w:val="20"/>
                <w:color w:val="auto"/>
                <w:w w:val="91"/>
              </w:rPr>
              <w:t>Interests in such Subsidiary, ratably according to their respective holdings of the type of Equity Interest in respect of which such</w:t>
            </w:r>
          </w:p>
        </w:tc>
      </w:tr>
      <w:tr>
        <w:trPr>
          <w:trHeight w:val="250"/>
        </w:trPr>
        <w:tc>
          <w:tcPr>
            <w:tcW w:w="11240" w:type="dxa"/>
            <w:vAlign w:val="bottom"/>
            <w:gridSpan w:val="5"/>
          </w:tcPr>
          <w:p>
            <w:pPr>
              <w:ind w:left="880"/>
              <w:spacing w:after="0"/>
              <w:rPr>
                <w:sz w:val="20"/>
                <w:szCs w:val="20"/>
                <w:color w:val="auto"/>
              </w:rPr>
            </w:pPr>
            <w:r>
              <w:rPr>
                <w:rFonts w:ascii="Arial" w:cs="Arial" w:eastAsia="Arial" w:hAnsi="Arial"/>
                <w:sz w:val="20"/>
                <w:szCs w:val="20"/>
                <w:color w:val="auto"/>
              </w:rPr>
              <w:t>Restricted Payment is being made;</w:t>
            </w:r>
          </w:p>
        </w:tc>
      </w:tr>
      <w:tr>
        <w:trPr>
          <w:trHeight w:val="425"/>
        </w:trPr>
        <w:tc>
          <w:tcPr>
            <w:tcW w:w="1440" w:type="dxa"/>
            <w:vAlign w:val="bottom"/>
          </w:tcPr>
          <w:p>
            <w:pPr>
              <w:ind w:left="80"/>
              <w:spacing w:after="0"/>
              <w:rPr>
                <w:sz w:val="20"/>
                <w:szCs w:val="20"/>
                <w:color w:val="auto"/>
              </w:rPr>
            </w:pPr>
            <w:r>
              <w:rPr>
                <w:rFonts w:ascii="Arial" w:cs="Arial" w:eastAsia="Arial" w:hAnsi="Arial"/>
                <w:sz w:val="20"/>
                <w:szCs w:val="20"/>
                <w:color w:val="auto"/>
              </w:rPr>
              <w:t>(b)</w:t>
            </w:r>
          </w:p>
        </w:tc>
        <w:tc>
          <w:tcPr>
            <w:tcW w:w="9800" w:type="dxa"/>
            <w:vAlign w:val="bottom"/>
            <w:gridSpan w:val="4"/>
          </w:tcPr>
          <w:p>
            <w:pPr>
              <w:jc w:val="right"/>
              <w:ind w:right="20"/>
              <w:spacing w:after="0"/>
              <w:rPr>
                <w:sz w:val="20"/>
                <w:szCs w:val="20"/>
                <w:color w:val="auto"/>
              </w:rPr>
            </w:pPr>
            <w:r>
              <w:rPr>
                <w:rFonts w:ascii="Arial" w:cs="Arial" w:eastAsia="Arial" w:hAnsi="Arial"/>
                <w:sz w:val="20"/>
                <w:szCs w:val="20"/>
                <w:color w:val="auto"/>
                <w:w w:val="99"/>
              </w:rPr>
              <w:t>the Borrower may declare and make dividend payments or other distributions payable solely in Qualified Equity</w:t>
            </w:r>
          </w:p>
        </w:tc>
      </w:tr>
      <w:tr>
        <w:trPr>
          <w:trHeight w:val="250"/>
        </w:trPr>
        <w:tc>
          <w:tcPr>
            <w:tcW w:w="11240" w:type="dxa"/>
            <w:vAlign w:val="bottom"/>
            <w:gridSpan w:val="5"/>
          </w:tcPr>
          <w:p>
            <w:pPr>
              <w:ind w:left="860"/>
              <w:spacing w:after="0"/>
              <w:rPr>
                <w:sz w:val="20"/>
                <w:szCs w:val="20"/>
                <w:color w:val="auto"/>
              </w:rPr>
            </w:pPr>
            <w:r>
              <w:rPr>
                <w:rFonts w:ascii="Arial" w:cs="Arial" w:eastAsia="Arial" w:hAnsi="Arial"/>
                <w:sz w:val="20"/>
                <w:szCs w:val="20"/>
                <w:color w:val="auto"/>
              </w:rPr>
              <w:t>Interests of such Person;</w:t>
            </w:r>
          </w:p>
        </w:tc>
      </w:tr>
      <w:tr>
        <w:trPr>
          <w:trHeight w:val="441"/>
        </w:trPr>
        <w:tc>
          <w:tcPr>
            <w:tcW w:w="1440" w:type="dxa"/>
            <w:vAlign w:val="bottom"/>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Arial" w:cs="Arial" w:eastAsia="Arial" w:hAnsi="Arial"/>
                <w:sz w:val="20"/>
                <w:szCs w:val="20"/>
                <w:color w:val="auto"/>
              </w:rPr>
              <w:t>(b)</w:t>
            </w:r>
          </w:p>
        </w:tc>
        <w:tc>
          <w:tcPr>
            <w:tcW w:w="9020" w:type="dxa"/>
            <w:vAlign w:val="bottom"/>
            <w:gridSpan w:val="2"/>
          </w:tcPr>
          <w:p>
            <w:pPr>
              <w:jc w:val="right"/>
              <w:spacing w:after="0"/>
              <w:rPr>
                <w:sz w:val="20"/>
                <w:szCs w:val="20"/>
                <w:color w:val="auto"/>
              </w:rPr>
            </w:pPr>
            <w:r>
              <w:rPr>
                <w:rFonts w:ascii="Arial" w:cs="Arial" w:eastAsia="Arial" w:hAnsi="Arial"/>
                <w:sz w:val="20"/>
                <w:szCs w:val="20"/>
                <w:color w:val="auto"/>
                <w:w w:val="97"/>
              </w:rPr>
              <w:t>the Borrower may make cashless repurchases of its Equity Interests deemed to occur upon the exercise,</w:t>
            </w:r>
          </w:p>
        </w:tc>
      </w:tr>
    </w:tbl>
    <w:p>
      <w:pPr>
        <w:jc w:val="both"/>
        <w:ind w:left="880"/>
        <w:spacing w:after="0" w:line="269" w:lineRule="auto"/>
        <w:rPr>
          <w:sz w:val="20"/>
          <w:szCs w:val="20"/>
          <w:color w:val="auto"/>
        </w:rPr>
      </w:pPr>
      <w:r>
        <w:rPr>
          <w:rFonts w:ascii="Arial" w:cs="Arial" w:eastAsia="Arial" w:hAnsi="Arial"/>
          <w:sz w:val="19"/>
          <w:szCs w:val="19"/>
          <w:color w:val="auto"/>
        </w:rPr>
        <w:t>purchase or settlement of stock options or other stock-based equity awards if such Equity Interests represent a portion of the exercise or purchase price and any applicable tax withholdings of such options or other stock-based equity awards;</w:t>
      </w:r>
    </w:p>
    <w:p>
      <w:pPr>
        <w:spacing w:after="0" w:line="169" w:lineRule="exact"/>
        <w:rPr>
          <w:sz w:val="20"/>
          <w:szCs w:val="20"/>
          <w:color w:val="auto"/>
        </w:rPr>
      </w:pPr>
    </w:p>
    <w:p>
      <w:pPr>
        <w:jc w:val="both"/>
        <w:ind w:left="880" w:firstLine="797"/>
        <w:spacing w:after="0" w:line="260" w:lineRule="auto"/>
        <w:rPr>
          <w:sz w:val="20"/>
          <w:szCs w:val="20"/>
          <w:color w:val="auto"/>
        </w:rPr>
      </w:pPr>
      <w:r>
        <w:rPr>
          <w:rFonts w:ascii="Arial" w:cs="Arial" w:eastAsia="Arial" w:hAnsi="Arial"/>
          <w:sz w:val="20"/>
          <w:szCs w:val="20"/>
          <w:color w:val="auto"/>
        </w:rPr>
        <w:t>(c) the Borrower may make cash payments in lieu of the issuance of fractional shares in connection with the exercise of warrants, options or other securities convertible into or exchangeable for Equity Interests of the Borrower;</w:t>
      </w:r>
    </w:p>
    <w:p>
      <w:pPr>
        <w:spacing w:after="0" w:line="177" w:lineRule="exact"/>
        <w:rPr>
          <w:sz w:val="20"/>
          <w:szCs w:val="20"/>
          <w:color w:val="auto"/>
        </w:rPr>
      </w:pPr>
    </w:p>
    <w:p>
      <w:pPr>
        <w:jc w:val="both"/>
        <w:ind w:left="880" w:firstLine="797"/>
        <w:spacing w:after="0" w:line="268" w:lineRule="auto"/>
        <w:rPr>
          <w:sz w:val="20"/>
          <w:szCs w:val="20"/>
          <w:color w:val="auto"/>
        </w:rPr>
      </w:pPr>
      <w:r>
        <w:rPr>
          <w:rFonts w:ascii="Arial" w:cs="Arial" w:eastAsia="Arial" w:hAnsi="Arial"/>
          <w:sz w:val="18"/>
          <w:szCs w:val="18"/>
          <w:color w:val="auto"/>
        </w:rPr>
        <w:t xml:space="preserve">(d) the Borrower may make other Restricted Payments in an aggregate amount not to exceed $250,000,000 during the term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no Default shall have occurred and be continuing at the time of such Restricted Payment or would result therefrom;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after the Borrower has made $250,000,000 of Restricted Payments in reliance on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the Borrower may make additional Restricted Payments in reliance on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in an aggregate amount during the term of this Agreement not to exceed seventy-five percent (75%) of Consolidated EBITDA for the four (4) fiscal quarter period most recently ended for which financial statements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so long as (x) no Default shall have occurred and be continuing at the time of such Restricted Payment or would result therefrom and</w:t>
      </w:r>
    </w:p>
    <w:p>
      <w:pPr>
        <w:spacing w:after="0" w:line="5" w:lineRule="exact"/>
        <w:rPr>
          <w:sz w:val="20"/>
          <w:szCs w:val="20"/>
          <w:color w:val="auto"/>
        </w:rPr>
      </w:pPr>
    </w:p>
    <w:p>
      <w:pPr>
        <w:jc w:val="both"/>
        <w:ind w:left="880"/>
        <w:spacing w:after="0" w:line="244" w:lineRule="auto"/>
        <w:rPr>
          <w:sz w:val="20"/>
          <w:szCs w:val="20"/>
          <w:color w:val="auto"/>
        </w:rPr>
      </w:pPr>
      <w:r>
        <w:rPr>
          <w:rFonts w:ascii="Arial" w:cs="Arial" w:eastAsia="Arial" w:hAnsi="Arial"/>
          <w:sz w:val="20"/>
          <w:szCs w:val="20"/>
          <w:color w:val="auto"/>
        </w:rPr>
        <w:t>(y) the Consolidated Total Net Leverage Ratio is less than 2.25 to 1.0, calculated as of the most recent Measurement Period after giving effect to such Restricted Payment on a Pro Forma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2" w:name="page193"/>
    <w:bookmarkEnd w:id="192"/>
    <w:p>
      <w:pPr>
        <w:jc w:val="both"/>
        <w:ind w:left="880" w:firstLine="789"/>
        <w:spacing w:after="0" w:line="250" w:lineRule="auto"/>
        <w:tabs>
          <w:tab w:leader="none" w:pos="2545"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to the extent constituting Restricted Payments, the Borrower or any Subsidiary may enter into and consummate transactions expressly permitted by any provision of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(in each case, permitted other than by reference to this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(or any clause hereof));</w:t>
      </w:r>
    </w:p>
    <w:p>
      <w:pPr>
        <w:spacing w:after="0" w:line="185" w:lineRule="exact"/>
        <w:rPr>
          <w:rFonts w:ascii="Arial" w:cs="Arial" w:eastAsia="Arial" w:hAnsi="Arial"/>
          <w:sz w:val="20"/>
          <w:szCs w:val="20"/>
          <w:color w:val="auto"/>
        </w:rPr>
      </w:pPr>
    </w:p>
    <w:p>
      <w:pPr>
        <w:jc w:val="both"/>
        <w:ind w:left="880" w:firstLine="789"/>
        <w:spacing w:after="0" w:line="273" w:lineRule="auto"/>
        <w:tabs>
          <w:tab w:leader="none" w:pos="25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Borrower and each Subsidiary may redeem or repurchase Equity Interests or other stock-based awards under any stock option plan, incentive plan, compensation plan or other benefit plan from officers, employees, consultants and directors of the Borrower or any of its Subsidiaries (or their estates, spouses or former spouses) upon the death, permanent disability, retirement or termination of service of any such Person or otherwise, so long as (i) no Default shall have occurred and be continuing at the time of such Restricted Payment or would result therefrom and (ii) the aggregate amount of Restricted Payments made in reliance on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in any fiscal year does not exceed the sum of (x) $10,000,000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net cash proceeds received by the Borrower or any Subsidiary of any “key-man” life insurance policies of the Borrower or any Subsidiary that have not been used to make any Restricted Payments under this </w:t>
      </w:r>
      <w:r>
        <w:rPr>
          <w:rFonts w:ascii="Arial" w:cs="Arial" w:eastAsia="Arial" w:hAnsi="Arial"/>
          <w:sz w:val="18"/>
          <w:szCs w:val="18"/>
          <w:u w:val="single" w:color="auto"/>
          <w:color w:val="auto"/>
        </w:rPr>
        <w:t>Section 7.06(g)</w:t>
      </w:r>
      <w:r>
        <w:rPr>
          <w:rFonts w:ascii="Arial" w:cs="Arial" w:eastAsia="Arial" w:hAnsi="Arial"/>
          <w:sz w:val="18"/>
          <w:szCs w:val="18"/>
          <w:color w:val="auto"/>
        </w:rPr>
        <w:t xml:space="preserve"> and are Not Otherwise Applied;</w:t>
      </w:r>
    </w:p>
    <w:p>
      <w:pPr>
        <w:spacing w:after="0" w:line="168" w:lineRule="exact"/>
        <w:rPr>
          <w:rFonts w:ascii="Arial" w:cs="Arial" w:eastAsia="Arial" w:hAnsi="Arial"/>
          <w:sz w:val="18"/>
          <w:szCs w:val="18"/>
          <w:color w:val="auto"/>
        </w:rPr>
      </w:pPr>
    </w:p>
    <w:p>
      <w:pPr>
        <w:jc w:val="both"/>
        <w:ind w:left="880" w:firstLine="789"/>
        <w:spacing w:after="0" w:line="269" w:lineRule="auto"/>
        <w:tabs>
          <w:tab w:leader="none" w:pos="255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Borrower may make cashless repurchases of its Equity Interests in the ordinary course of business deemed to occur upon the exercise of stock options or warrants if such Equity Interests are applied in payment of all or a portion of the exercise price of such options or warrants or tax withholding obligations with respect thereto; and</w:t>
      </w:r>
    </w:p>
    <w:p>
      <w:pPr>
        <w:spacing w:after="0" w:line="169" w:lineRule="exact"/>
        <w:rPr>
          <w:rFonts w:ascii="Arial" w:cs="Arial" w:eastAsia="Arial" w:hAnsi="Arial"/>
          <w:sz w:val="19"/>
          <w:szCs w:val="19"/>
          <w:color w:val="auto"/>
        </w:rPr>
      </w:pPr>
    </w:p>
    <w:p>
      <w:pPr>
        <w:jc w:val="both"/>
        <w:ind w:left="880" w:firstLine="789"/>
        <w:spacing w:after="0" w:line="250" w:lineRule="auto"/>
        <w:tabs>
          <w:tab w:leader="none" w:pos="255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the Borrower may pay cash dividends to the holders of its Equity Interests within sixty (60) days after the date of their declaration if such dividends could have been paid on the date of their declaration in compliance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7.06</w:t>
      </w:r>
      <w:r>
        <w:rPr>
          <w:rFonts w:ascii="Arial" w:cs="Arial" w:eastAsia="Arial" w:hAnsi="Arial"/>
          <w:sz w:val="20"/>
          <w:szCs w:val="20"/>
          <w:color w:val="auto"/>
        </w:rPr>
        <w:t>.</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7.07</w:t>
      </w:r>
      <w:r>
        <w:rPr>
          <w:sz w:val="20"/>
          <w:szCs w:val="20"/>
          <w:color w:val="auto"/>
        </w:rPr>
        <w:tab/>
      </w:r>
      <w:r>
        <w:rPr>
          <w:rFonts w:ascii="Arial" w:cs="Arial" w:eastAsia="Arial" w:hAnsi="Arial"/>
          <w:sz w:val="16"/>
          <w:szCs w:val="16"/>
          <w:b w:val="1"/>
          <w:bCs w:val="1"/>
          <w:u w:val="single" w:color="auto"/>
          <w:color w:val="auto"/>
        </w:rPr>
        <w:t>Change in Nature of Business.</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Engage in any material line of business substantially different from those lines of business conducted by the Borrower and its Subsidiaries on the Closing Date, similar, related, ancillary or complementary (including synergistically) businesses and reasonable extensions, developments and expansions thereof.</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7.08</w:t>
      </w:r>
      <w:r>
        <w:rPr>
          <w:sz w:val="20"/>
          <w:szCs w:val="20"/>
          <w:color w:val="auto"/>
        </w:rPr>
        <w:tab/>
      </w:r>
      <w:r>
        <w:rPr>
          <w:rFonts w:ascii="Arial" w:cs="Arial" w:eastAsia="Arial" w:hAnsi="Arial"/>
          <w:sz w:val="16"/>
          <w:szCs w:val="16"/>
          <w:b w:val="1"/>
          <w:bCs w:val="1"/>
          <w:u w:val="single" w:color="auto"/>
          <w:color w:val="auto"/>
        </w:rPr>
        <w:t>Transactions with Affiliates.</w:t>
      </w:r>
    </w:p>
    <w:p>
      <w:pPr>
        <w:spacing w:after="0" w:line="2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Enter into or permit to exist any transaction or series of transactions with any officer, director or Affiliate of such Person (other than (a) transactions solely between or among Loan Parties (including any entity that becomes a Guarantor as a result of such transaction) and (b) transactions solely between or among Subsidiaries that are not Loan Parties) other than upon fair and reasonable terms and conditions not materially less favorable to such Person (or, in the case of a transaction between a Loan Party and a Subsidiary that is not a Loan Party, such Loan Party) than would be obtained by such Person in a comparable arm’s length transaction with a Person other than an officer, director or Affiliate, except that the following shall be permitted:</w:t>
      </w:r>
    </w:p>
    <w:p>
      <w:pPr>
        <w:spacing w:after="0" w:line="178" w:lineRule="exact"/>
        <w:rPr>
          <w:sz w:val="20"/>
          <w:szCs w:val="20"/>
          <w:color w:val="auto"/>
        </w:rPr>
      </w:pPr>
    </w:p>
    <w:p>
      <w:pPr>
        <w:ind w:left="2540" w:hanging="871"/>
        <w:spacing w:after="0"/>
        <w:tabs>
          <w:tab w:leader="none" w:pos="25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intercompany transactions expressly permitted by this Agreement;</w:t>
      </w:r>
    </w:p>
    <w:p>
      <w:pPr>
        <w:spacing w:after="0" w:line="215"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182"/>
        </w:numPr>
        <w:rPr>
          <w:rFonts w:ascii="Arial" w:cs="Arial" w:eastAsia="Arial" w:hAnsi="Arial"/>
          <w:sz w:val="20"/>
          <w:szCs w:val="20"/>
          <w:color w:val="auto"/>
        </w:rPr>
      </w:pPr>
      <w:r>
        <w:rPr>
          <w:rFonts w:ascii="Arial" w:cs="Arial" w:eastAsia="Arial" w:hAnsi="Arial"/>
          <w:sz w:val="20"/>
          <w:szCs w:val="20"/>
          <w:color w:val="auto"/>
        </w:rPr>
        <w:t>reasonable and customary compensation and reimbursement of expenses of officers, directors and employees (including bonuses) and other benefits (including, without limitation, retirement, health, stock option and other benefit plans), indemnification arrangements and severance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3" w:name="page194"/>
    <w:bookmarkEnd w:id="193"/>
    <w:p>
      <w:pPr>
        <w:jc w:val="both"/>
        <w:ind w:left="880" w:firstLine="789"/>
        <w:spacing w:after="0" w:line="250" w:lineRule="auto"/>
        <w:tabs>
          <w:tab w:leader="none" w:pos="254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reasonable and customary indemnities provided to, and reasonable and customary fees and reimbursements paid to, members of the board of directors, board of managers or equivalent governing body, as applicable, of the Borrower and any Subsidiary;</w:t>
      </w:r>
    </w:p>
    <w:p>
      <w:pPr>
        <w:spacing w:after="0" w:line="185" w:lineRule="exact"/>
        <w:rPr>
          <w:rFonts w:ascii="Arial" w:cs="Arial" w:eastAsia="Arial" w:hAnsi="Arial"/>
          <w:sz w:val="20"/>
          <w:szCs w:val="20"/>
          <w:color w:val="auto"/>
        </w:rPr>
      </w:pPr>
    </w:p>
    <w:p>
      <w:pPr>
        <w:ind w:left="2540" w:hanging="871"/>
        <w:spacing w:after="0"/>
        <w:tabs>
          <w:tab w:leader="none" w:pos="25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transactions set forth on </w:t>
      </w:r>
      <w:r>
        <w:rPr>
          <w:rFonts w:ascii="Arial" w:cs="Arial" w:eastAsia="Arial" w:hAnsi="Arial"/>
          <w:sz w:val="20"/>
          <w:szCs w:val="20"/>
          <w:u w:val="single" w:color="auto"/>
          <w:color w:val="auto"/>
        </w:rPr>
        <w:t>Schedule 7.08</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jc w:val="both"/>
        <w:ind w:left="880" w:firstLine="789"/>
        <w:spacing w:after="0" w:line="246" w:lineRule="auto"/>
        <w:tabs>
          <w:tab w:leader="none" w:pos="254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issuances, repurchases, redemptions, retirements or other acquisitions or retirement of Equity Interests of the Borrower or any Subsidiary and other Restricted Payments to the extent permitted under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and loans, and other transactions by and among the Borrower and/or one or more Subsidiaries, in each case, to the extent otherwise permitted under, and subject to the limitations otherwise contained in,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7.09</w:t>
      </w:r>
      <w:r>
        <w:rPr>
          <w:sz w:val="20"/>
          <w:szCs w:val="20"/>
          <w:color w:val="auto"/>
        </w:rPr>
        <w:tab/>
      </w:r>
      <w:r>
        <w:rPr>
          <w:rFonts w:ascii="Arial" w:cs="Arial" w:eastAsia="Arial" w:hAnsi="Arial"/>
          <w:sz w:val="16"/>
          <w:szCs w:val="16"/>
          <w:b w:val="1"/>
          <w:bCs w:val="1"/>
          <w:u w:val="single" w:color="auto"/>
          <w:color w:val="auto"/>
        </w:rPr>
        <w:t>Burdensome Agreements.</w:t>
      </w:r>
    </w:p>
    <w:p>
      <w:pPr>
        <w:spacing w:after="0" w:line="22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8"/>
          <w:szCs w:val="18"/>
          <w:color w:val="auto"/>
        </w:rPr>
        <w:t xml:space="preserve">Enter into, or permit to exist, any Contractual Obligation that encumbers or restricts the ability of any such Person to (a) make Restricted Payments to any Loan Party, (b) pay any Indebtedness or other obligations owed to any Loan Party, (c) make loans or advances to any Loan Party, (d) transfer any of its property to any Loan Party, (e) pledge its property pursuant to the Loan Documents or any renewals, refinancings, exchanges, refundings or extension thereof or (f) act as a Loan Party pursuant to the Loan Documents or any renewals, refinancings, exchanges, refundings or extension thereof, except (in respect of any of the matters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 for (1) this Agreement and the other Loan Documents, (2) customary provisions restricting subletting or assignment of any lease governing a leasehold interest of a Subsidiary, (3) customary restrictions and conditions contained in any agreement relating to the sale of any property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pending the consummation of such sale, (4) any agreement in effect at the time a Subsidiary becomes a Subsidiary, so long as such agreement was not entered into in connection with or in contemplation of such person becoming a Subsidiary, (5) without affecting the Loan Parties’ obligations under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customary provisions in Organization Documents, joint venture agreements, other similar agreements applicable to joint ventures and other non-Wholly Owned Subsidiaries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and applicable solely to such joint venture or non-Wholly Owned subsidiary and its equity, asset sale and stock sale agreements and other similar agreements entered into in the ordinary course of business, in each case, that restrict the transfer of ownership interests in or other rights in respect of such Person, (6) restrictions on cash or other deposits or net worth imposed by suppliers, landlords, customers, insurance and surety or bonding companies under contracts entered into in the ordinary course of business, (7) any instrument governing Indebtedness assumed in connection with any Permitted Acquisition, which encumbrance or restriction is not applicable to any Person, or the properties or assets of any Person, other than the Person or the properties or assets of the Person so acquired, (8) any agreement relating to Indebtedness incurred pursuant to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to the extent that such restrictions apply only to the property or assets securing such Indebtedness, (9) customary restrictions regarding licensing or sublicensing by the Borrower and its Subsidiaries of intellectual property in the ordinary course of business, (10) restrictions on cash earnest money deposits in favor of sellers in connection with acquisitions not prohibited hereunder, (11) restrictions in any agreement relating to Indebtedness of a Foreign Subsidiary that is not a Loan Party that is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which does not apply to any Loan Party or any Domestic Subsidiary, so long as such restrictions do not impair the ability of the Loan Parties to perform their obligations under this Agreement and (12) solely in respect of the matters referenced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to the extent such restrictions and conditions apply only to Subsidiaries constituting Excluded Subsidiaries (other than a Subsidiary constituting an Excluded Subsidiary solely by virtue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restrictions and conditions arising pursuant to an agreement or instrument relating to any Indebtedness permitted to be incurred after the Closing Date to the extent such restrictions and conditions are not materially more restrictive, taken as a whole, to the Borrower and its Subsidiaries, than the restrictions and conditions in the Loan Documents (except for (A) covenants and events of default applicable only to periods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4" w:name="page195"/>
    <w:bookmarkEnd w:id="194"/>
    <w:p>
      <w:pPr>
        <w:jc w:val="both"/>
        <w:spacing w:after="0" w:line="316" w:lineRule="auto"/>
        <w:rPr>
          <w:sz w:val="20"/>
          <w:szCs w:val="20"/>
          <w:color w:val="auto"/>
        </w:rPr>
      </w:pPr>
      <w:r>
        <w:rPr>
          <w:rFonts w:ascii="Arial" w:cs="Arial" w:eastAsia="Arial" w:hAnsi="Arial"/>
          <w:sz w:val="18"/>
          <w:szCs w:val="18"/>
          <w:color w:val="auto"/>
        </w:rPr>
        <w:t>after the then Latest Maturity Date or (B) unless the Borrower enters into an amendment to this Agreement with the Administrative Agent (which amendment shall not require the consent of any other Lender) to add such more restrictive terms for the benefit of the Lenders).</w:t>
      </w:r>
    </w:p>
    <w:p>
      <w:pPr>
        <w:spacing w:after="0" w:line="12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7.10</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7.11</w:t>
      </w:r>
      <w:r>
        <w:rPr>
          <w:sz w:val="20"/>
          <w:szCs w:val="20"/>
          <w:color w:val="auto"/>
        </w:rPr>
        <w:tab/>
      </w:r>
      <w:r>
        <w:rPr>
          <w:rFonts w:ascii="Arial" w:cs="Arial" w:eastAsia="Arial" w:hAnsi="Arial"/>
          <w:sz w:val="16"/>
          <w:szCs w:val="16"/>
          <w:b w:val="1"/>
          <w:bCs w:val="1"/>
          <w:u w:val="single" w:color="auto"/>
          <w:color w:val="auto"/>
        </w:rPr>
        <w:t>Financial Covenants.</w:t>
      </w:r>
    </w:p>
    <w:p>
      <w:pPr>
        <w:spacing w:after="0" w:line="222" w:lineRule="exact"/>
        <w:rPr>
          <w:sz w:val="20"/>
          <w:szCs w:val="20"/>
          <w:color w:val="auto"/>
        </w:rPr>
      </w:pPr>
    </w:p>
    <w:p>
      <w:pPr>
        <w:ind w:left="880" w:right="20" w:firstLine="789"/>
        <w:spacing w:after="0" w:line="287" w:lineRule="auto"/>
        <w:tabs>
          <w:tab w:leader="none" w:pos="2545"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Consolidated Interest Coverage Ratio</w:t>
      </w:r>
      <w:r>
        <w:rPr>
          <w:rFonts w:ascii="Arial" w:cs="Arial" w:eastAsia="Arial" w:hAnsi="Arial"/>
          <w:sz w:val="19"/>
          <w:szCs w:val="19"/>
          <w:color w:val="auto"/>
        </w:rPr>
        <w:t>. Permit the Consolidated Interest Coverage Ratio as of the end of any Measurement Period ending as of the end of any fiscal quarter of the Borrower to be less than 3.00 to 1.00.</w:t>
      </w:r>
    </w:p>
    <w:p>
      <w:pPr>
        <w:spacing w:after="0" w:line="152" w:lineRule="exact"/>
        <w:rPr>
          <w:rFonts w:ascii="Arial" w:cs="Arial" w:eastAsia="Arial" w:hAnsi="Arial"/>
          <w:sz w:val="19"/>
          <w:szCs w:val="19"/>
          <w:color w:val="auto"/>
        </w:rPr>
      </w:pPr>
    </w:p>
    <w:p>
      <w:pPr>
        <w:jc w:val="both"/>
        <w:ind w:left="880" w:firstLine="789"/>
        <w:spacing w:after="0" w:line="268" w:lineRule="auto"/>
        <w:tabs>
          <w:tab w:leader="none" w:pos="2556"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Consolidated Total Net Leverage Ratio</w:t>
      </w:r>
      <w:r>
        <w:rPr>
          <w:rFonts w:ascii="Arial" w:cs="Arial" w:eastAsia="Arial" w:hAnsi="Arial"/>
          <w:sz w:val="18"/>
          <w:szCs w:val="18"/>
          <w:color w:val="auto"/>
        </w:rPr>
        <w:t xml:space="preserve">. Permit the Consolidated Total Net Leverage Ratio as of the end of any Measurement Period ending as of the end of any fiscal quarter of the Borrower to be greater than 3.00 to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upon the occurrence of a Qualified Acquisition, for each of the four (4) fiscal quarters of the Borrower immediately following such Qualified Acquisition (including the fiscal quarter in which such Qualified Acquisition was consummated), the maximum Consolidated Total Net Leverage Ratio permitted pursuant to this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shall be increased to 3.50 to 1.00 (a “</w:t>
      </w:r>
      <w:r>
        <w:rPr>
          <w:rFonts w:ascii="Arial" w:cs="Arial" w:eastAsia="Arial" w:hAnsi="Arial"/>
          <w:sz w:val="18"/>
          <w:szCs w:val="18"/>
          <w:b w:val="1"/>
          <w:bCs w:val="1"/>
          <w:i w:val="1"/>
          <w:iCs w:val="1"/>
          <w:color w:val="auto"/>
        </w:rPr>
        <w:t>Leverage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Increase Period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 following the expiration of any Leverage Increase Period, the maximum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Total Net Leverage Ratio cannot be subsequently increased again as a result of a subsequent Qualified Acquisition (and a subsequent Leverage Increase Period cannot commence) until the Borrower has delivered Compliance Certificates for two</w:t>
      </w:r>
    </w:p>
    <w:p>
      <w:pPr>
        <w:spacing w:after="0" w:line="2" w:lineRule="exact"/>
        <w:rPr>
          <w:rFonts w:ascii="Arial" w:cs="Arial" w:eastAsia="Arial" w:hAnsi="Arial"/>
          <w:sz w:val="18"/>
          <w:szCs w:val="18"/>
          <w:color w:val="auto"/>
        </w:rPr>
      </w:pPr>
    </w:p>
    <w:p>
      <w:pPr>
        <w:jc w:val="both"/>
        <w:ind w:left="880" w:hanging="8"/>
        <w:spacing w:after="0" w:line="241" w:lineRule="auto"/>
        <w:tabs>
          <w:tab w:leader="none" w:pos="1171" w:val="left"/>
        </w:tabs>
        <w:numPr>
          <w:ilvl w:val="0"/>
          <w:numId w:val="185"/>
        </w:numPr>
        <w:rPr>
          <w:rFonts w:ascii="Arial" w:cs="Arial" w:eastAsia="Arial" w:hAnsi="Arial"/>
          <w:sz w:val="20"/>
          <w:szCs w:val="20"/>
          <w:color w:val="auto"/>
        </w:rPr>
      </w:pPr>
      <w:r>
        <w:rPr>
          <w:rFonts w:ascii="Arial" w:cs="Arial" w:eastAsia="Arial" w:hAnsi="Arial"/>
          <w:sz w:val="20"/>
          <w:szCs w:val="20"/>
          <w:color w:val="auto"/>
        </w:rPr>
        <w:t>consecutive fiscal quarters evidencing that the Consolidated Total Net Leverage Ratio was not greater than 3.00 to 1.00 as of the end of each such fiscal quarter, (y) there shall be no more than three (3) Leverage Increase Periods exercised during the term of this Agreement, and (z) each Leverage Increase Period shall only apply with respect to the calculation of this financial maintenance covenant and not for any other purpose.</w:t>
      </w:r>
    </w:p>
    <w:p>
      <w:pPr>
        <w:spacing w:after="0" w:line="188"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color w:val="auto"/>
        </w:rPr>
        <w:t xml:space="preserve">7.12 </w:t>
      </w:r>
      <w:r>
        <w:rPr>
          <w:rFonts w:ascii="Arial" w:cs="Arial" w:eastAsia="Arial" w:hAnsi="Arial"/>
          <w:sz w:val="20"/>
          <w:szCs w:val="20"/>
          <w:b w:val="1"/>
          <w:bCs w:val="1"/>
          <w:u w:val="single" w:color="auto"/>
          <w:color w:val="auto"/>
        </w:rPr>
        <w:t>Amendments of Organization Documents; Fiscal Year; Legal Name, State of Formation; Form of Entity 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Accounting Changes.</w:t>
      </w:r>
    </w:p>
    <w:p>
      <w:pPr>
        <w:spacing w:after="0" w:line="169" w:lineRule="exact"/>
        <w:rPr>
          <w:sz w:val="20"/>
          <w:szCs w:val="20"/>
          <w:color w:val="auto"/>
        </w:rPr>
      </w:pPr>
    </w:p>
    <w:p>
      <w:pPr>
        <w:ind w:left="2540" w:hanging="871"/>
        <w:spacing w:after="0"/>
        <w:tabs>
          <w:tab w:leader="none" w:pos="25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Amend any of its Organization Documents in a manner materially adverse to the Lenders;</w:t>
      </w:r>
    </w:p>
    <w:p>
      <w:pPr>
        <w:spacing w:after="0" w:line="215" w:lineRule="exact"/>
        <w:rPr>
          <w:rFonts w:ascii="Arial" w:cs="Arial" w:eastAsia="Arial" w:hAnsi="Arial"/>
          <w:sz w:val="20"/>
          <w:szCs w:val="20"/>
          <w:color w:val="auto"/>
        </w:rPr>
      </w:pPr>
    </w:p>
    <w:p>
      <w:pPr>
        <w:jc w:val="both"/>
        <w:ind w:left="880" w:firstLine="789"/>
        <w:spacing w:after="0" w:line="263" w:lineRule="auto"/>
        <w:tabs>
          <w:tab w:leader="none" w:pos="2556" w:val="left"/>
        </w:tabs>
        <w:numPr>
          <w:ilvl w:val="0"/>
          <w:numId w:val="186"/>
        </w:numPr>
        <w:rPr>
          <w:rFonts w:ascii="Arial" w:cs="Arial" w:eastAsia="Arial" w:hAnsi="Arial"/>
          <w:sz w:val="19"/>
          <w:szCs w:val="19"/>
          <w:color w:val="auto"/>
        </w:rPr>
      </w:pPr>
      <w:r>
        <w:rPr>
          <w:rFonts w:ascii="Arial" w:cs="Arial" w:eastAsia="Arial" w:hAnsi="Arial"/>
          <w:sz w:val="19"/>
          <w:szCs w:val="19"/>
          <w:color w:val="auto"/>
        </w:rPr>
        <w:t>without the consent of the Administrative Agent (such consent not to be unreasonably withheld, conditioned or delayed), change its fiscal year (it being understood that if such fiscal year is so changed, the Borrower and the Administrative Agent shall, and are hereby authorized by the Lenders to, make any amendments to this Agreement that are necessary, in the judgment of the Administrative Agent and the Borrower to reflect such change in fiscal year);</w:t>
      </w:r>
    </w:p>
    <w:p>
      <w:pPr>
        <w:spacing w:after="0" w:line="176" w:lineRule="exact"/>
        <w:rPr>
          <w:rFonts w:ascii="Arial" w:cs="Arial" w:eastAsia="Arial" w:hAnsi="Arial"/>
          <w:sz w:val="19"/>
          <w:szCs w:val="19"/>
          <w:color w:val="auto"/>
        </w:rPr>
      </w:pPr>
    </w:p>
    <w:p>
      <w:pPr>
        <w:jc w:val="both"/>
        <w:ind w:left="880" w:firstLine="789"/>
        <w:spacing w:after="0" w:line="250" w:lineRule="auto"/>
        <w:tabs>
          <w:tab w:leader="none" w:pos="2545" w:val="left"/>
        </w:tabs>
        <w:numPr>
          <w:ilvl w:val="0"/>
          <w:numId w:val="186"/>
        </w:numPr>
        <w:rPr>
          <w:rFonts w:ascii="Arial" w:cs="Arial" w:eastAsia="Arial" w:hAnsi="Arial"/>
          <w:sz w:val="20"/>
          <w:szCs w:val="20"/>
          <w:color w:val="auto"/>
        </w:rPr>
      </w:pPr>
      <w:r>
        <w:rPr>
          <w:rFonts w:ascii="Arial" w:cs="Arial" w:eastAsia="Arial" w:hAnsi="Arial"/>
          <w:sz w:val="20"/>
          <w:szCs w:val="20"/>
          <w:color w:val="auto"/>
        </w:rPr>
        <w:t>without giving written notice thereof to the Administrative Agent within fifteen (15) days after the occurrence thereof (or such extended period of time as agreed to by the Administrative Agent), change its name, state of formation, form of organization or principal place of business;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5" w:name="page196"/>
    <w:bookmarkEnd w:id="195"/>
    <w:p>
      <w:pPr>
        <w:ind w:left="880" w:firstLine="789"/>
        <w:spacing w:after="0" w:line="260" w:lineRule="auto"/>
        <w:tabs>
          <w:tab w:leader="none" w:pos="255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make any change in accounting policies or reporting practices, in each case, except as required by GAAP or in a manner not materially adverse to the Lenders.</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7.13</w:t>
      </w:r>
      <w:r>
        <w:rPr>
          <w:sz w:val="20"/>
          <w:szCs w:val="20"/>
          <w:color w:val="auto"/>
        </w:rPr>
        <w:tab/>
      </w:r>
      <w:r>
        <w:rPr>
          <w:rFonts w:ascii="Arial" w:cs="Arial" w:eastAsia="Arial" w:hAnsi="Arial"/>
          <w:sz w:val="16"/>
          <w:szCs w:val="16"/>
          <w:b w:val="1"/>
          <w:bCs w:val="1"/>
          <w:u w:val="single" w:color="auto"/>
          <w:color w:val="auto"/>
        </w:rPr>
        <w:t>Prepayments, Etc. of Indebtedness; Payment of Earn Out Obligations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Make any voluntary or optional payment or prepayment or redemption or acquisition for value of (including without limitation, by way of depositing money or securities with the trustee with respect thereto before due for the purpose of paying when due), refund, refinance or exchange of (x) any Indebtedness of any Loan Party or any Subsidiary that is expressly subordinated in right of payment to the Secured Obligations (including, for the avoidance of doubt, any Permitted Subordinated Debt) or (y) any Indebtedness secured by Liens on the Collateral junior to those created under the Collateral Documents (any such Indebtedness described in </w:t>
      </w:r>
      <w:r>
        <w:rPr>
          <w:rFonts w:ascii="Arial" w:cs="Arial" w:eastAsia="Arial" w:hAnsi="Arial"/>
          <w:sz w:val="20"/>
          <w:szCs w:val="20"/>
          <w:u w:val="single" w:color="auto"/>
          <w:color w:val="auto"/>
        </w:rPr>
        <w:t>clauses (x)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(y)</w:t>
      </w:r>
      <w:r>
        <w:rPr>
          <w:rFonts w:ascii="Arial" w:cs="Arial" w:eastAsia="Arial" w:hAnsi="Arial"/>
          <w:sz w:val="20"/>
          <w:szCs w:val="20"/>
          <w:color w:val="auto"/>
        </w:rPr>
        <w:t xml:space="preserve"> being a “</w:t>
      </w:r>
      <w:r>
        <w:rPr>
          <w:rFonts w:ascii="Arial" w:cs="Arial" w:eastAsia="Arial" w:hAnsi="Arial"/>
          <w:sz w:val="20"/>
          <w:szCs w:val="20"/>
          <w:i w:val="1"/>
          <w:iCs w:val="1"/>
          <w:u w:val="single" w:color="auto"/>
          <w:color w:val="auto"/>
        </w:rPr>
        <w:t>Junior</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Financing</w:t>
      </w:r>
      <w:r>
        <w:rPr>
          <w:rFonts w:ascii="Arial" w:cs="Arial" w:eastAsia="Arial" w:hAnsi="Arial"/>
          <w:sz w:val="20"/>
          <w:szCs w:val="20"/>
          <w:color w:val="auto"/>
        </w:rPr>
        <w:t>”), except:</w:t>
      </w:r>
    </w:p>
    <w:p>
      <w:pPr>
        <w:spacing w:after="0" w:line="192" w:lineRule="exact"/>
        <w:rPr>
          <w:sz w:val="20"/>
          <w:szCs w:val="20"/>
          <w:color w:val="auto"/>
        </w:rPr>
      </w:pPr>
    </w:p>
    <w:p>
      <w:pPr>
        <w:ind w:left="880" w:firstLine="789"/>
        <w:spacing w:after="0" w:line="260" w:lineRule="auto"/>
        <w:tabs>
          <w:tab w:leader="none" w:pos="254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the Borrower and its Subsidiaries may consummate any Permitted Refinancing permitted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w:t>
      </w:r>
      <w:r>
        <w:rPr>
          <w:rFonts w:ascii="Arial" w:cs="Arial" w:eastAsia="Arial" w:hAnsi="Arial"/>
          <w:sz w:val="20"/>
          <w:szCs w:val="20"/>
          <w:color w:val="auto"/>
        </w:rPr>
        <w:t xml:space="preserve"> of a Junior Financing;</w:t>
      </w:r>
    </w:p>
    <w:p>
      <w:pPr>
        <w:spacing w:after="0" w:line="176"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Borrower may convert or exchange any Junior Financing into or for, as the case may be, Qualified Equity Interests of the Borrower and, in the case of a conversion of Permitted Convertible Indebtedness, the payment of any cash in lieu of fractional shares of the Qualified Equity Interests of the Borrower;</w:t>
      </w:r>
    </w:p>
    <w:p>
      <w:pPr>
        <w:spacing w:after="0" w:line="185" w:lineRule="exact"/>
        <w:rPr>
          <w:rFonts w:ascii="Arial" w:cs="Arial" w:eastAsia="Arial" w:hAnsi="Arial"/>
          <w:sz w:val="20"/>
          <w:szCs w:val="20"/>
          <w:color w:val="auto"/>
        </w:rPr>
      </w:pPr>
    </w:p>
    <w:p>
      <w:pPr>
        <w:jc w:val="both"/>
        <w:ind w:left="880" w:firstLine="789"/>
        <w:spacing w:after="0" w:line="244" w:lineRule="auto"/>
        <w:tabs>
          <w:tab w:leader="none" w:pos="254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provided no Default shall have occurred and be continuing or shall be caused thereby, the Borrower and its Subsidiaries may make prepayments, redemptions, purchases, defeasances and other payments in respect of any Junior Financing (other than any such payment constituting a Restricted Payment) prior to its scheduled maturity, in an aggregate amount for all such prepayments, redemptions, purchases, defeasances and other payments made in reliance on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not to exceed $15,000,000 in any fiscal year; and</w:t>
      </w:r>
    </w:p>
    <w:p>
      <w:pPr>
        <w:spacing w:after="0" w:line="194" w:lineRule="exact"/>
        <w:rPr>
          <w:rFonts w:ascii="Arial" w:cs="Arial" w:eastAsia="Arial" w:hAnsi="Arial"/>
          <w:sz w:val="20"/>
          <w:szCs w:val="20"/>
          <w:color w:val="auto"/>
        </w:rPr>
      </w:pPr>
    </w:p>
    <w:p>
      <w:pPr>
        <w:jc w:val="both"/>
        <w:ind w:left="880" w:firstLine="789"/>
        <w:spacing w:after="0" w:line="274" w:lineRule="auto"/>
        <w:tabs>
          <w:tab w:leader="none" w:pos="255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make any prepayments, redemptions, purchases, defeasances and other payments in respect of Junior Financings (other than any such payment constituting a Restricted Payment) prior to the scheduled maturity thereof provided the Consolidated Total Net Leverage Ratio is less than 2.25 to 1.0 calculated as of the most recent Measurement Period after giving effect to such prepayment, redemption, defeasance or other payment on a Pro Forma Basis;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w:t>
      </w:r>
      <w:r>
        <w:rPr>
          <w:rFonts w:ascii="Arial" w:cs="Arial" w:eastAsia="Arial" w:hAnsi="Arial"/>
          <w:sz w:val="18"/>
          <w:szCs w:val="18"/>
          <w:i w:val="1"/>
          <w:iCs w:val="1"/>
          <w:color w:val="auto"/>
        </w:rPr>
        <w:t xml:space="preserve"> that</w:t>
      </w:r>
      <w:r>
        <w:rPr>
          <w:rFonts w:ascii="Arial" w:cs="Arial" w:eastAsia="Arial" w:hAnsi="Arial"/>
          <w:sz w:val="18"/>
          <w:szCs w:val="18"/>
          <w:color w:val="auto"/>
        </w:rPr>
        <w:t>, (i) no Default shall have occurred and be continuing or shall be caused thereby and (ii)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of all such prepayments, redemptions, purchases, defeasances and other payments in respect of Junior Financings made in reliance on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shall not exceed $100,000,000 during the term of this Agreement.</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7.14</w:t>
      </w:r>
      <w:r>
        <w:rPr>
          <w:sz w:val="20"/>
          <w:szCs w:val="20"/>
          <w:color w:val="auto"/>
        </w:rPr>
        <w:tab/>
      </w:r>
      <w:r>
        <w:rPr>
          <w:rFonts w:ascii="Arial" w:cs="Arial" w:eastAsia="Arial" w:hAnsi="Arial"/>
          <w:sz w:val="16"/>
          <w:szCs w:val="16"/>
          <w:b w:val="1"/>
          <w:bCs w:val="1"/>
          <w:u w:val="single" w:color="auto"/>
          <w:color w:val="auto"/>
        </w:rPr>
        <w:t>Sale and Leaseback Transactions.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Enter into any Sale and Leaseback Transaction (other than any Permitted Sale and Leaseback Transaction).</w:t>
      </w:r>
    </w:p>
    <w:p>
      <w:pPr>
        <w:spacing w:after="0" w:line="21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7.15</w:t>
      </w:r>
      <w:r>
        <w:rPr>
          <w:sz w:val="20"/>
          <w:szCs w:val="20"/>
          <w:color w:val="auto"/>
        </w:rPr>
        <w:tab/>
      </w:r>
      <w:r>
        <w:rPr>
          <w:rFonts w:ascii="Arial" w:cs="Arial" w:eastAsia="Arial" w:hAnsi="Arial"/>
          <w:sz w:val="16"/>
          <w:szCs w:val="16"/>
          <w:b w:val="1"/>
          <w:bCs w:val="1"/>
          <w:u w:val="single" w:color="auto"/>
          <w:color w:val="auto"/>
        </w:rPr>
        <w:t>Sanctions.</w:t>
      </w:r>
    </w:p>
    <w:p>
      <w:pPr>
        <w:spacing w:after="0" w:line="22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or otherwise) of Sanctions.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6" w:name="page197"/>
    <w:bookmarkEnd w:id="196"/>
    <w:p>
      <w:pPr>
        <w:ind w:left="880"/>
        <w:spacing w:after="0"/>
        <w:tabs>
          <w:tab w:leader="none" w:pos="1840" w:val="left"/>
        </w:tabs>
        <w:rPr>
          <w:sz w:val="20"/>
          <w:szCs w:val="20"/>
          <w:color w:val="auto"/>
        </w:rPr>
      </w:pPr>
      <w:r>
        <w:rPr>
          <w:rFonts w:ascii="Arial" w:cs="Arial" w:eastAsia="Arial" w:hAnsi="Arial"/>
          <w:sz w:val="20"/>
          <w:szCs w:val="20"/>
          <w:b w:val="1"/>
          <w:bCs w:val="1"/>
          <w:color w:val="auto"/>
        </w:rPr>
        <w:t>7.16</w:t>
      </w:r>
      <w:r>
        <w:rPr>
          <w:sz w:val="20"/>
          <w:szCs w:val="20"/>
          <w:color w:val="auto"/>
        </w:rPr>
        <w:tab/>
      </w:r>
      <w:r>
        <w:rPr>
          <w:rFonts w:ascii="Arial" w:cs="Arial" w:eastAsia="Arial" w:hAnsi="Arial"/>
          <w:sz w:val="18"/>
          <w:szCs w:val="18"/>
          <w:b w:val="1"/>
          <w:bCs w:val="1"/>
          <w:u w:val="single" w:color="auto"/>
          <w:color w:val="auto"/>
        </w:rPr>
        <w:t>Anti-Corruption Laws.</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Directly or indirectly, use any Credit Extension or the proceeds of any Credit Extension for any purpose that would breach the United States Foreign Corrupt Practices Act of 1977, the UK Bribery Act 2010 and other similar anti-corruption legislation in other jurisdictions applicable to the Borrower or its Subsidiaries.</w:t>
      </w:r>
    </w:p>
    <w:p>
      <w:pPr>
        <w:spacing w:after="0" w:line="180"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EVENTS OF DEFAULT AND REMEDIES</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6"/>
          <w:szCs w:val="16"/>
          <w:b w:val="1"/>
          <w:bCs w:val="1"/>
          <w:u w:val="single" w:color="auto"/>
          <w:color w:val="auto"/>
        </w:rPr>
        <w:t>Events of Default.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Any of the following shall constitute an event of default (each, an “</w:t>
      </w:r>
      <w:r>
        <w:rPr>
          <w:rFonts w:ascii="Arial" w:cs="Arial" w:eastAsia="Arial" w:hAnsi="Arial"/>
          <w:sz w:val="20"/>
          <w:szCs w:val="20"/>
          <w:i w:val="1"/>
          <w:iCs w:val="1"/>
          <w:u w:val="single" w:color="auto"/>
          <w:color w:val="auto"/>
        </w:rPr>
        <w:t>Event of Default</w:t>
      </w:r>
      <w:r>
        <w:rPr>
          <w:rFonts w:ascii="Arial" w:cs="Arial" w:eastAsia="Arial" w:hAnsi="Arial"/>
          <w:sz w:val="20"/>
          <w:szCs w:val="20"/>
          <w:color w:val="auto"/>
        </w:rPr>
        <w:t>”):</w:t>
      </w:r>
    </w:p>
    <w:p>
      <w:pPr>
        <w:spacing w:after="0" w:line="216" w:lineRule="exact"/>
        <w:rPr>
          <w:sz w:val="20"/>
          <w:szCs w:val="20"/>
          <w:color w:val="auto"/>
        </w:rPr>
      </w:pPr>
    </w:p>
    <w:p>
      <w:pPr>
        <w:jc w:val="both"/>
        <w:ind w:left="880" w:firstLine="789"/>
        <w:spacing w:after="0" w:line="244" w:lineRule="auto"/>
        <w:tabs>
          <w:tab w:leader="none" w:pos="2545"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or any other Loan Party fails to pay (i) when and as required to be paid herein, any amount of principal of any Loan or any L/C Obligation or deposit any funds as Cash Collateral in respect of L/C Obligations, or (ii) within three (3) Business Days after the same becomes due, any interest on any Loan or on any L/C Obligation, or any fee due hereunder, or (iii) within five (5) Business Days after the same becomes due, any other amount payable hereunder or under any other Loan Document; or</w:t>
      </w:r>
    </w:p>
    <w:p>
      <w:pPr>
        <w:spacing w:after="0" w:line="194"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Any Loan Party fails to perform or observe any term, covenant or agreement contained in any of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6.05(a)</w:t>
      </w:r>
      <w:r>
        <w:rPr>
          <w:rFonts w:ascii="Arial" w:cs="Arial" w:eastAsia="Arial" w:hAnsi="Arial"/>
          <w:sz w:val="20"/>
          <w:szCs w:val="20"/>
          <w:color w:val="auto"/>
        </w:rPr>
        <w:t xml:space="preserve"> (solely with respect to the legal existence of the Borrower), </w:t>
      </w:r>
      <w:r>
        <w:rPr>
          <w:rFonts w:ascii="Arial" w:cs="Arial" w:eastAsia="Arial" w:hAnsi="Arial"/>
          <w:sz w:val="20"/>
          <w:szCs w:val="20"/>
          <w:u w:val="single" w:color="auto"/>
          <w:color w:val="auto"/>
        </w:rPr>
        <w:t>6.08</w:t>
      </w:r>
      <w:r>
        <w:rPr>
          <w:rFonts w:ascii="Arial" w:cs="Arial" w:eastAsia="Arial" w:hAnsi="Arial"/>
          <w:sz w:val="20"/>
          <w:szCs w:val="20"/>
          <w:color w:val="auto"/>
        </w:rPr>
        <w:t xml:space="preserve">,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X</w:t>
      </w:r>
      <w:r>
        <w:rPr>
          <w:rFonts w:ascii="Arial" w:cs="Arial" w:eastAsia="Arial" w:hAnsi="Arial"/>
          <w:sz w:val="20"/>
          <w:szCs w:val="20"/>
          <w:color w:val="auto"/>
        </w:rPr>
        <w:t>; or</w:t>
      </w:r>
    </w:p>
    <w:p>
      <w:pPr>
        <w:spacing w:after="0" w:line="185" w:lineRule="exact"/>
        <w:rPr>
          <w:rFonts w:ascii="Arial" w:cs="Arial" w:eastAsia="Arial" w:hAnsi="Arial"/>
          <w:sz w:val="20"/>
          <w:szCs w:val="20"/>
          <w:color w:val="auto"/>
        </w:rPr>
      </w:pPr>
    </w:p>
    <w:p>
      <w:pPr>
        <w:jc w:val="both"/>
        <w:ind w:left="880" w:firstLine="789"/>
        <w:spacing w:after="0" w:line="246" w:lineRule="auto"/>
        <w:tabs>
          <w:tab w:leader="none" w:pos="2545"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or (</w:t>
      </w:r>
      <w:r>
        <w:rPr>
          <w:rFonts w:ascii="Arial" w:cs="Arial" w:eastAsia="Arial" w:hAnsi="Arial"/>
          <w:sz w:val="20"/>
          <w:szCs w:val="20"/>
          <w:u w:val="single" w:color="auto"/>
          <w:color w:val="auto"/>
        </w:rPr>
        <w:t>b</w:t>
      </w:r>
      <w:r>
        <w:rPr>
          <w:rFonts w:ascii="Arial" w:cs="Arial" w:eastAsia="Arial" w:hAnsi="Arial"/>
          <w:sz w:val="20"/>
          <w:szCs w:val="20"/>
          <w:color w:val="auto"/>
        </w:rPr>
        <w:t>) above) contained in any Loan Document on its part to be performed or observed and such failure continues for thirty (30) days after the earlier of (i) written notice thereof from the Administrative Agent to the Borrower and (ii) any Loan Party becoming aware thereof; or</w:t>
      </w:r>
    </w:p>
    <w:p>
      <w:pPr>
        <w:spacing w:after="0" w:line="191" w:lineRule="exact"/>
        <w:rPr>
          <w:rFonts w:ascii="Arial" w:cs="Arial" w:eastAsia="Arial" w:hAnsi="Arial"/>
          <w:sz w:val="20"/>
          <w:szCs w:val="20"/>
          <w:color w:val="auto"/>
        </w:rPr>
      </w:pPr>
    </w:p>
    <w:p>
      <w:pPr>
        <w:jc w:val="both"/>
        <w:ind w:left="880" w:firstLine="789"/>
        <w:spacing w:after="0" w:line="263" w:lineRule="auto"/>
        <w:tabs>
          <w:tab w:leader="none" w:pos="2556"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(without duplication of any applicable materiality qualifications with respect thereto) when made or deemed made; or</w:t>
      </w:r>
    </w:p>
    <w:p>
      <w:pPr>
        <w:spacing w:after="0" w:line="176" w:lineRule="exact"/>
        <w:rPr>
          <w:rFonts w:ascii="Arial" w:cs="Arial" w:eastAsia="Arial" w:hAnsi="Arial"/>
          <w:sz w:val="19"/>
          <w:szCs w:val="19"/>
          <w:color w:val="auto"/>
        </w:rPr>
      </w:pPr>
    </w:p>
    <w:p>
      <w:pPr>
        <w:jc w:val="both"/>
        <w:ind w:left="880" w:firstLine="789"/>
        <w:spacing w:after="0" w:line="255" w:lineRule="auto"/>
        <w:tabs>
          <w:tab w:leader="none" w:pos="2545"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(i) Any Loan Party or any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(excluding, in the case of any Permitted Convertible Indebtedness, any event or condition that would permit the holder or beneficiary of such Permitted Convertible Indebtedness to convert such Permitted Convertible Indebtedness into cash, Equity Interests of the Borrower or a combination thereof, in each case to the extent permitted hereunder, in any case, other than as a result of any default or event of default by the Borrower or any Subsidiary thereunder and other than as a result of a “change of control”,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7" w:name="page198"/>
    <w:bookmarkEnd w:id="197"/>
    <w:p>
      <w:pPr>
        <w:jc w:val="both"/>
        <w:ind w:left="8"/>
        <w:spacing w:after="0" w:line="255" w:lineRule="auto"/>
        <w:rPr>
          <w:sz w:val="20"/>
          <w:szCs w:val="20"/>
          <w:color w:val="auto"/>
        </w:rPr>
      </w:pPr>
      <w:r>
        <w:rPr>
          <w:rFonts w:ascii="Arial" w:cs="Arial" w:eastAsia="Arial" w:hAnsi="Arial"/>
          <w:sz w:val="19"/>
          <w:szCs w:val="19"/>
          <w:color w:val="auto"/>
        </w:rPr>
        <w:t>“fundamental change” or similar occurrence),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187" w:lineRule="exact"/>
        <w:rPr>
          <w:sz w:val="20"/>
          <w:szCs w:val="20"/>
          <w:color w:val="auto"/>
        </w:rPr>
      </w:pPr>
    </w:p>
    <w:p>
      <w:pPr>
        <w:jc w:val="both"/>
        <w:ind w:left="8" w:firstLine="789"/>
        <w:spacing w:after="0" w:line="269" w:lineRule="auto"/>
        <w:tabs>
          <w:tab w:leader="none" w:pos="1651"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Material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w:t>
      </w:r>
    </w:p>
    <w:p>
      <w:pPr>
        <w:spacing w:after="0" w:line="3" w:lineRule="exact"/>
        <w:rPr>
          <w:rFonts w:ascii="Arial" w:cs="Arial" w:eastAsia="Arial" w:hAnsi="Arial"/>
          <w:sz w:val="18"/>
          <w:szCs w:val="18"/>
          <w:color w:val="auto"/>
        </w:rPr>
      </w:pPr>
    </w:p>
    <w:p>
      <w:pPr>
        <w:jc w:val="both"/>
        <w:ind w:left="8" w:hanging="8"/>
        <w:spacing w:after="0" w:line="241" w:lineRule="auto"/>
        <w:tabs>
          <w:tab w:leader="none" w:pos="391" w:val="left"/>
        </w:tabs>
        <w:numPr>
          <w:ilvl w:val="0"/>
          <w:numId w:val="191"/>
        </w:numPr>
        <w:rPr>
          <w:rFonts w:ascii="Arial" w:cs="Arial" w:eastAsia="Arial" w:hAnsi="Arial"/>
          <w:sz w:val="20"/>
          <w:szCs w:val="20"/>
          <w:color w:val="auto"/>
        </w:rPr>
      </w:pPr>
      <w:r>
        <w:rPr>
          <w:rFonts w:ascii="Arial" w:cs="Arial" w:eastAsia="Arial" w:hAnsi="Arial"/>
          <w:sz w:val="20"/>
          <w:szCs w:val="20"/>
          <w:color w:val="auto"/>
        </w:rPr>
        <w:t>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95" w:lineRule="exact"/>
        <w:rPr>
          <w:rFonts w:ascii="Arial" w:cs="Arial" w:eastAsia="Arial" w:hAnsi="Arial"/>
          <w:sz w:val="20"/>
          <w:szCs w:val="20"/>
          <w:color w:val="auto"/>
        </w:rPr>
      </w:pPr>
    </w:p>
    <w:p>
      <w:pPr>
        <w:jc w:val="both"/>
        <w:ind w:left="8" w:firstLine="789"/>
        <w:spacing w:after="0" w:line="246" w:lineRule="auto"/>
        <w:tabs>
          <w:tab w:leader="none" w:pos="1684" w:val="left"/>
        </w:tabs>
        <w:numPr>
          <w:ilvl w:val="1"/>
          <w:numId w:val="191"/>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Material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91" w:lineRule="exact"/>
        <w:rPr>
          <w:rFonts w:ascii="Arial" w:cs="Arial" w:eastAsia="Arial" w:hAnsi="Arial"/>
          <w:sz w:val="20"/>
          <w:szCs w:val="20"/>
          <w:color w:val="auto"/>
        </w:rPr>
      </w:pPr>
    </w:p>
    <w:p>
      <w:pPr>
        <w:jc w:val="both"/>
        <w:ind w:left="8" w:firstLine="789"/>
        <w:spacing w:after="0" w:line="274" w:lineRule="auto"/>
        <w:tabs>
          <w:tab w:leader="none" w:pos="1684"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Material Subsidiary thereof (i) one or more final judgments or orders for the payment of money in an aggregate amount (as to all such judgments and orders) exceeding the Threshold Amount (to the extent not covered by independent third-party insurance as to which the insurer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sixty (60) consecutive days during which such judgment shall remain undischarged and not be effectively stayed or bonded; or</w:t>
      </w:r>
    </w:p>
    <w:p>
      <w:pPr>
        <w:spacing w:after="0" w:line="168" w:lineRule="exact"/>
        <w:rPr>
          <w:rFonts w:ascii="Arial" w:cs="Arial" w:eastAsia="Arial" w:hAnsi="Arial"/>
          <w:sz w:val="18"/>
          <w:szCs w:val="18"/>
          <w:color w:val="auto"/>
        </w:rPr>
      </w:pPr>
    </w:p>
    <w:p>
      <w:pPr>
        <w:jc w:val="both"/>
        <w:ind w:left="8" w:firstLine="789"/>
        <w:spacing w:after="0" w:line="278" w:lineRule="auto"/>
        <w:tabs>
          <w:tab w:leader="none" w:pos="1640"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Except as could not reasonably be expected to result in a Material Adverse Effect, (i) an ERISA Event occurs with respect to a Pension Plan or Multiemployer Plan which has resulted or could reasonably be expected to result in liability of the Borrower or any ERISA Affiliate under Title IV of ERISA to the Pension Plan, Multiemployer Plan or the PBGC, or (ii) the Borrower or any ERISA Affiliate fails to pay when due, after the expiration of any applicable grace period, any installment payment with respect to its withdrawal liability under Section 4201 of ERISA under a Multiemployer Plan; or</w:t>
      </w:r>
    </w:p>
    <w:p>
      <w:pPr>
        <w:spacing w:after="0" w:line="167"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198" w:name="page199"/>
    <w:bookmarkEnd w:id="198"/>
    <w:p>
      <w:pPr>
        <w:jc w:val="both"/>
        <w:ind w:left="880" w:firstLine="789"/>
        <w:spacing w:after="0" w:line="276" w:lineRule="auto"/>
        <w:tabs>
          <w:tab w:leader="none" w:pos="251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material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contests in any manner the validity or enforceability of any provision of any material Loan Document; or any Loan Party denies that it has any or further liability or obligation under any provision of any Loan Document, or purports to revoke, terminate or rescind any material Loan Document; or it is or becomes unlawful for a Loan Party to perform any of its payment obligations under the Loan Documents; or</w:t>
      </w:r>
    </w:p>
    <w:p>
      <w:pPr>
        <w:spacing w:after="0" w:line="164" w:lineRule="exact"/>
        <w:rPr>
          <w:rFonts w:ascii="Arial" w:cs="Arial" w:eastAsia="Arial" w:hAnsi="Arial"/>
          <w:sz w:val="18"/>
          <w:szCs w:val="18"/>
          <w:color w:val="auto"/>
        </w:rPr>
      </w:pPr>
    </w:p>
    <w:p>
      <w:pPr>
        <w:jc w:val="both"/>
        <w:ind w:left="880" w:firstLine="789"/>
        <w:spacing w:after="0" w:line="257" w:lineRule="auto"/>
        <w:tabs>
          <w:tab w:leader="none" w:pos="255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Collateral Documents</w:t>
      </w:r>
      <w:r>
        <w:rPr>
          <w:rFonts w:ascii="Arial" w:cs="Arial" w:eastAsia="Arial" w:hAnsi="Arial"/>
          <w:sz w:val="19"/>
          <w:szCs w:val="19"/>
          <w:color w:val="auto"/>
        </w:rPr>
        <w:t>. Any Collateral Document after delivery thereof pursuant to the terms of the Loan Documents shall for any reason cease to create a valid and perfected first priority Lien (subject to Permitted Liens) on any material portion of the Collateral (except to the extent not required to be valid or perfected by the Loan Documents) purported to be covered thereby, or any Loan Party shall assert the invalidity of such Liens, except (i) as a result of the Disposition of the applicable Collateral to a Person that is not a Loan Party in a transaction permitted under the Loan Documents, and (ii) as a result of the Administrative Agent’s or any Lender’s failure to maintain possession of any stock certificates, promissory notes or other instruments delivered to it under the Collateral Documents; or</w:t>
      </w:r>
    </w:p>
    <w:p>
      <w:pPr>
        <w:spacing w:after="0" w:line="184" w:lineRule="exact"/>
        <w:rPr>
          <w:rFonts w:ascii="Arial" w:cs="Arial" w:eastAsia="Arial" w:hAnsi="Arial"/>
          <w:sz w:val="19"/>
          <w:szCs w:val="19"/>
          <w:color w:val="auto"/>
        </w:rPr>
      </w:pPr>
    </w:p>
    <w:p>
      <w:pPr>
        <w:ind w:left="2500" w:hanging="831"/>
        <w:spacing w:after="0"/>
        <w:tabs>
          <w:tab w:leader="none" w:pos="250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Without limiting the provisions of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8.02</w:t>
      </w:r>
      <w:r>
        <w:rPr>
          <w:sz w:val="20"/>
          <w:szCs w:val="20"/>
          <w:color w:val="auto"/>
        </w:rPr>
        <w:tab/>
      </w:r>
      <w:r>
        <w:rPr>
          <w:rFonts w:ascii="Arial" w:cs="Arial" w:eastAsia="Arial" w:hAnsi="Arial"/>
          <w:sz w:val="16"/>
          <w:szCs w:val="16"/>
          <w:b w:val="1"/>
          <w:bCs w:val="1"/>
          <w:u w:val="single" w:color="auto"/>
          <w:color w:val="auto"/>
        </w:rPr>
        <w:t>Remedies upon Event of Default.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Required Lenders, take any or all of the following actions:</w:t>
      </w:r>
    </w:p>
    <w:p>
      <w:pPr>
        <w:spacing w:after="0" w:line="200" w:lineRule="exact"/>
        <w:rPr>
          <w:sz w:val="20"/>
          <w:szCs w:val="20"/>
          <w:color w:val="auto"/>
        </w:rPr>
      </w:pPr>
    </w:p>
    <w:p>
      <w:pPr>
        <w:ind w:left="880" w:firstLine="789"/>
        <w:spacing w:after="0" w:line="260" w:lineRule="auto"/>
        <w:tabs>
          <w:tab w:leader="none" w:pos="254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76" w:lineRule="exact"/>
        <w:rPr>
          <w:rFonts w:ascii="Arial" w:cs="Arial" w:eastAsia="Arial" w:hAnsi="Arial"/>
          <w:sz w:val="20"/>
          <w:szCs w:val="20"/>
          <w:color w:val="auto"/>
        </w:rPr>
      </w:pPr>
    </w:p>
    <w:p>
      <w:pPr>
        <w:jc w:val="both"/>
        <w:ind w:left="880" w:firstLine="789"/>
        <w:spacing w:after="0" w:line="291" w:lineRule="auto"/>
        <w:tabs>
          <w:tab w:leader="none" w:pos="255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51" w:lineRule="exact"/>
        <w:rPr>
          <w:rFonts w:ascii="Arial" w:cs="Arial" w:eastAsia="Arial" w:hAnsi="Arial"/>
          <w:sz w:val="18"/>
          <w:szCs w:val="18"/>
          <w:color w:val="auto"/>
        </w:rPr>
      </w:pPr>
    </w:p>
    <w:p>
      <w:pPr>
        <w:ind w:left="880" w:firstLine="789"/>
        <w:spacing w:after="0" w:line="260" w:lineRule="auto"/>
        <w:tabs>
          <w:tab w:leader="none" w:pos="254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require that the Borrower Cash Collateralize the L/C Obligations (in an amount equal to the Minimum Collateral Amount with respect thereto); and</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 all rights and remedies available to it, the Lenders and the L/C Issuer under the Loan Documents or Applicable Law or equity;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9" w:name="page200"/>
    <w:bookmarkEnd w:id="199"/>
    <w:p>
      <w:pPr>
        <w:jc w:val="both"/>
        <w:spacing w:after="0" w:line="244"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upon the occurrence of an event described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8.01(f)</w:t>
      </w:r>
      <w:r>
        <w:rPr>
          <w:rFonts w:ascii="Arial" w:cs="Arial" w:eastAsia="Arial" w:hAnsi="Arial"/>
          <w:sz w:val="20"/>
          <w:szCs w:val="20"/>
          <w:i w:val="1"/>
          <w:iCs w:val="1"/>
          <w:color w:val="auto"/>
        </w:rPr>
        <w:t xml:space="preserve"> </w:t>
      </w:r>
      <w:r>
        <w:rPr>
          <w:rFonts w:ascii="Arial" w:cs="Arial" w:eastAsia="Arial" w:hAnsi="Arial"/>
          <w:sz w:val="20"/>
          <w:szCs w:val="20"/>
          <w:color w:val="auto"/>
        </w:rPr>
        <w:t>with respect to the Borrower, the Commitment of each</w:t>
      </w:r>
      <w:r>
        <w:rPr>
          <w:rFonts w:ascii="Arial" w:cs="Arial" w:eastAsia="Arial" w:hAnsi="Arial"/>
          <w:sz w:val="20"/>
          <w:szCs w:val="20"/>
          <w:i w:val="1"/>
          <w:iCs w:val="1"/>
          <w:color w:val="auto"/>
        </w:rPr>
        <w:t xml:space="preserve"> </w:t>
      </w:r>
      <w:r>
        <w:rPr>
          <w:rFonts w:ascii="Arial" w:cs="Arial" w:eastAsia="Arial" w:hAnsi="Arial"/>
          <w:sz w:val="20"/>
          <w:szCs w:val="20"/>
          <w:color w:val="auto"/>
        </w:rPr>
        <w:t>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8.03</w:t>
      </w:r>
      <w:r>
        <w:rPr>
          <w:sz w:val="20"/>
          <w:szCs w:val="20"/>
          <w:color w:val="auto"/>
        </w:rPr>
        <w:tab/>
      </w:r>
      <w:r>
        <w:rPr>
          <w:rFonts w:ascii="Arial" w:cs="Arial" w:eastAsia="Arial" w:hAnsi="Arial"/>
          <w:sz w:val="16"/>
          <w:szCs w:val="16"/>
          <w:b w:val="1"/>
          <w:bCs w:val="1"/>
          <w:u w:val="single" w:color="auto"/>
          <w:color w:val="auto"/>
        </w:rPr>
        <w:t>Application of Funds.</w:t>
      </w:r>
    </w:p>
    <w:p>
      <w:pPr>
        <w:spacing w:after="0" w:line="222" w:lineRule="exact"/>
        <w:rPr>
          <w:sz w:val="20"/>
          <w:szCs w:val="20"/>
          <w:color w:val="auto"/>
        </w:rPr>
      </w:pPr>
    </w:p>
    <w:p>
      <w:pPr>
        <w:jc w:val="both"/>
        <w:ind w:left="880" w:firstLine="789"/>
        <w:spacing w:after="0" w:line="278" w:lineRule="auto"/>
        <w:tabs>
          <w:tab w:leader="none" w:pos="254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be applied by the Administrative Agent in the following order:</w:t>
      </w:r>
    </w:p>
    <w:p>
      <w:pPr>
        <w:spacing w:after="0" w:line="165"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0"/>
          <w:szCs w:val="20"/>
          <w:i w:val="1"/>
          <w:iCs w:val="1"/>
          <w:u w:val="single" w:color="auto"/>
          <w:color w:val="auto"/>
        </w:rPr>
        <w:t>First</w:t>
      </w:r>
      <w:r>
        <w:rPr>
          <w:rFonts w:ascii="Arial" w:cs="Arial" w:eastAsia="Arial" w:hAnsi="Arial"/>
          <w:sz w:val="20"/>
          <w:szCs w:val="20"/>
          <w:color w:val="auto"/>
        </w:rPr>
        <w:t>, to payment of that portion of the Secured Obligations constituting fees, indemnities, expenses and other amounts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left="880" w:firstLine="797"/>
        <w:spacing w:after="0" w:line="282" w:lineRule="auto"/>
        <w:rPr>
          <w:sz w:val="20"/>
          <w:szCs w:val="20"/>
          <w:color w:val="auto"/>
        </w:rPr>
      </w:pP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to payment of that portion of the Secured Obligations constituting fees, indemnities and other amounts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w:t>
      </w: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xml:space="preserve"> clause payable to them;</w:t>
      </w:r>
    </w:p>
    <w:p>
      <w:pPr>
        <w:spacing w:after="0" w:line="161" w:lineRule="exact"/>
        <w:rPr>
          <w:sz w:val="20"/>
          <w:szCs w:val="20"/>
          <w:color w:val="auto"/>
        </w:rPr>
      </w:pPr>
    </w:p>
    <w:p>
      <w:pPr>
        <w:jc w:val="both"/>
        <w:ind w:left="880" w:firstLine="797"/>
        <w:spacing w:after="0" w:line="291" w:lineRule="auto"/>
        <w:rPr>
          <w:sz w:val="20"/>
          <w:szCs w:val="20"/>
          <w:color w:val="auto"/>
        </w:rPr>
      </w:pP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to payment of that portion of the Secured Obligations constituting accrued and unpaid Letter of Credit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on the Loans, L/C Borrowings and other Secured Obligations arising under the Loan Documents, ratably among the Lenders and the L/C Issuer in proportion to the respective amounts described in this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clause payable to them;</w:t>
      </w:r>
    </w:p>
    <w:p>
      <w:pPr>
        <w:spacing w:after="0" w:line="152" w:lineRule="exact"/>
        <w:rPr>
          <w:sz w:val="20"/>
          <w:szCs w:val="20"/>
          <w:color w:val="auto"/>
        </w:rPr>
      </w:pPr>
    </w:p>
    <w:p>
      <w:pPr>
        <w:jc w:val="both"/>
        <w:ind w:left="880" w:firstLine="797"/>
        <w:spacing w:after="0" w:line="243" w:lineRule="auto"/>
        <w:rPr>
          <w:sz w:val="20"/>
          <w:szCs w:val="20"/>
          <w:color w:val="auto"/>
        </w:rPr>
      </w:pPr>
      <w:r>
        <w:rPr>
          <w:rFonts w:ascii="Arial" w:cs="Arial" w:eastAsia="Arial" w:hAnsi="Arial"/>
          <w:sz w:val="20"/>
          <w:szCs w:val="20"/>
          <w:i w:val="1"/>
          <w:iCs w:val="1"/>
          <w:u w:val="single" w:color="auto"/>
          <w:color w:val="auto"/>
        </w:rPr>
        <w:t>Fourth</w:t>
      </w:r>
      <w:r>
        <w:rPr>
          <w:rFonts w:ascii="Arial" w:cs="Arial" w:eastAsia="Arial" w:hAnsi="Arial"/>
          <w:sz w:val="20"/>
          <w:szCs w:val="20"/>
          <w:color w:val="auto"/>
        </w:rPr>
        <w:t>, to payment of that portion of the Secured Obligations constituting unpaid principal of the Loans, L/C</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Borrowings and Secured Obligations then owing under any the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2.14</w:t>
      </w:r>
      <w:r>
        <w:rPr>
          <w:rFonts w:ascii="Arial" w:cs="Arial" w:eastAsia="Arial" w:hAnsi="Arial"/>
          <w:sz w:val="20"/>
          <w:szCs w:val="20"/>
          <w:color w:val="auto"/>
        </w:rPr>
        <w:t xml:space="preserve">, in each case ratably among the Administrative Agent, the Lenders, the L/C Issuer, the Hedge Banks and the Cash Management Banks in proportion to the respective amounts described in this </w:t>
      </w:r>
      <w:r>
        <w:rPr>
          <w:rFonts w:ascii="Arial" w:cs="Arial" w:eastAsia="Arial" w:hAnsi="Arial"/>
          <w:sz w:val="20"/>
          <w:szCs w:val="20"/>
          <w:i w:val="1"/>
          <w:iCs w:val="1"/>
          <w:u w:val="single" w:color="auto"/>
          <w:color w:val="auto"/>
        </w:rPr>
        <w:t>Fourth</w:t>
      </w:r>
      <w:r>
        <w:rPr>
          <w:rFonts w:ascii="Arial" w:cs="Arial" w:eastAsia="Arial" w:hAnsi="Arial"/>
          <w:sz w:val="20"/>
          <w:szCs w:val="20"/>
          <w:color w:val="auto"/>
        </w:rPr>
        <w:t xml:space="preserve"> clause held by them; and</w:t>
      </w:r>
    </w:p>
    <w:p>
      <w:pPr>
        <w:spacing w:after="0" w:line="193" w:lineRule="exact"/>
        <w:rPr>
          <w:sz w:val="20"/>
          <w:szCs w:val="20"/>
          <w:color w:val="auto"/>
        </w:rPr>
      </w:pPr>
    </w:p>
    <w:p>
      <w:pPr>
        <w:jc w:val="both"/>
        <w:ind w:left="880" w:firstLine="797"/>
        <w:spacing w:after="0" w:line="260" w:lineRule="auto"/>
        <w:rPr>
          <w:sz w:val="20"/>
          <w:szCs w:val="20"/>
          <w:color w:val="auto"/>
        </w:rPr>
      </w:pPr>
      <w:r>
        <w:rPr>
          <w:rFonts w:ascii="Arial" w:cs="Arial" w:eastAsia="Arial" w:hAnsi="Arial"/>
          <w:sz w:val="20"/>
          <w:szCs w:val="20"/>
          <w:i w:val="1"/>
          <w:iCs w:val="1"/>
          <w:u w:val="single" w:color="auto"/>
          <w:color w:val="auto"/>
        </w:rPr>
        <w:t>Last</w:t>
      </w:r>
      <w:r>
        <w:rPr>
          <w:rFonts w:ascii="Arial" w:cs="Arial" w:eastAsia="Arial" w:hAnsi="Arial"/>
          <w:sz w:val="20"/>
          <w:szCs w:val="20"/>
          <w:color w:val="auto"/>
        </w:rPr>
        <w:t>, the balance, if any, after all of the Secured Obligations have been indefeasibly paid in full, to the Borrower or as</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required by Law.</w:t>
      </w:r>
    </w:p>
    <w:p>
      <w:pPr>
        <w:spacing w:after="0" w:line="177" w:lineRule="exact"/>
        <w:rPr>
          <w:sz w:val="20"/>
          <w:szCs w:val="20"/>
          <w:color w:val="auto"/>
        </w:rPr>
      </w:pPr>
    </w:p>
    <w:p>
      <w:pPr>
        <w:jc w:val="both"/>
        <w:ind w:left="880" w:firstLine="789"/>
        <w:spacing w:after="0" w:line="282" w:lineRule="auto"/>
        <w:tabs>
          <w:tab w:leader="none" w:pos="255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amounts used to Cash Collateralize the aggregate undrawn amount of Letters of Credit pursuant to the </w:t>
      </w: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xml:space="preserve"> clause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0" w:name="page201"/>
    <w:bookmarkEnd w:id="200"/>
    <w:p>
      <w:pPr>
        <w:jc w:val="both"/>
        <w:ind w:right="20"/>
        <w:spacing w:after="0" w:line="250" w:lineRule="auto"/>
        <w:rPr>
          <w:sz w:val="20"/>
          <w:szCs w:val="20"/>
          <w:color w:val="auto"/>
        </w:rPr>
      </w:pPr>
      <w:r>
        <w:rPr>
          <w:rFonts w:ascii="Arial" w:cs="Arial" w:eastAsia="Arial" w:hAnsi="Arial"/>
          <w:sz w:val="20"/>
          <w:szCs w:val="20"/>
          <w:color w:val="auto"/>
        </w:rPr>
        <w:t xml:space="preserve">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Arial" w:cs="Arial" w:eastAsia="Arial" w:hAnsi="Arial"/>
          <w:sz w:val="20"/>
          <w:szCs w:val="20"/>
          <w:u w:val="single" w:color="auto"/>
          <w:color w:val="auto"/>
        </w:rPr>
        <w:t>Section 8.03</w:t>
      </w:r>
      <w:r>
        <w:rPr>
          <w:rFonts w:ascii="Arial" w:cs="Arial" w:eastAsia="Arial" w:hAnsi="Arial"/>
          <w:sz w:val="20"/>
          <w:szCs w:val="20"/>
          <w:color w:val="auto"/>
        </w:rPr>
        <w:t>.</w:t>
      </w:r>
    </w:p>
    <w:p>
      <w:pPr>
        <w:spacing w:after="0" w:line="186" w:lineRule="exact"/>
        <w:rPr>
          <w:sz w:val="20"/>
          <w:szCs w:val="20"/>
          <w:color w:val="auto"/>
        </w:rPr>
      </w:pPr>
    </w:p>
    <w:p>
      <w:pPr>
        <w:jc w:val="both"/>
        <w:ind w:firstLine="789"/>
        <w:spacing w:after="0" w:line="257" w:lineRule="auto"/>
        <w:tabs>
          <w:tab w:leader="none" w:pos="166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for itself and its Affiliates as if a “Lender” party hereto.</w:t>
      </w:r>
    </w:p>
    <w:p>
      <w:pPr>
        <w:spacing w:after="0" w:line="179"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ARTICLE IX</w:t>
      </w:r>
    </w:p>
    <w:p>
      <w:pPr>
        <w:spacing w:after="0" w:line="229" w:lineRule="exact"/>
        <w:rPr>
          <w:sz w:val="20"/>
          <w:szCs w:val="20"/>
          <w:color w:val="auto"/>
        </w:rPr>
      </w:pPr>
    </w:p>
    <w:p>
      <w:pPr>
        <w:ind w:left="3480"/>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9.01</w:t>
      </w:r>
      <w:r>
        <w:rPr>
          <w:sz w:val="20"/>
          <w:szCs w:val="20"/>
          <w:color w:val="auto"/>
        </w:rPr>
        <w:tab/>
      </w:r>
      <w:r>
        <w:rPr>
          <w:rFonts w:ascii="Arial" w:cs="Arial" w:eastAsia="Arial" w:hAnsi="Arial"/>
          <w:sz w:val="18"/>
          <w:szCs w:val="18"/>
          <w:b w:val="1"/>
          <w:bCs w:val="1"/>
          <w:u w:val="single" w:color="auto"/>
          <w:color w:val="auto"/>
        </w:rPr>
        <w:t>Appointment and Authority.</w:t>
      </w:r>
    </w:p>
    <w:p>
      <w:pPr>
        <w:spacing w:after="0" w:line="222" w:lineRule="exact"/>
        <w:rPr>
          <w:sz w:val="20"/>
          <w:szCs w:val="20"/>
          <w:color w:val="auto"/>
        </w:rPr>
      </w:pPr>
    </w:p>
    <w:p>
      <w:pPr>
        <w:jc w:val="both"/>
        <w:ind w:firstLine="789"/>
        <w:spacing w:after="0" w:line="271" w:lineRule="auto"/>
        <w:tabs>
          <w:tab w:leader="none" w:pos="1665"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xml:space="preserve">.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3" w:lineRule="exact"/>
        <w:rPr>
          <w:rFonts w:ascii="Arial" w:cs="Arial" w:eastAsia="Arial" w:hAnsi="Arial"/>
          <w:sz w:val="18"/>
          <w:szCs w:val="18"/>
          <w:color w:val="auto"/>
        </w:rPr>
      </w:pPr>
    </w:p>
    <w:p>
      <w:pPr>
        <w:jc w:val="both"/>
        <w:ind w:firstLine="789"/>
        <w:spacing w:after="0" w:line="255" w:lineRule="auto"/>
        <w:tabs>
          <w:tab w:leader="none" w:pos="1676"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Collateral Agent</w:t>
      </w:r>
      <w:r>
        <w:rPr>
          <w:rFonts w:ascii="Arial" w:cs="Arial" w:eastAsia="Arial" w:hAnsi="Arial"/>
          <w:sz w:val="19"/>
          <w:szCs w:val="19"/>
          <w:color w:val="auto"/>
        </w:rPr>
        <w:t xml:space="preserve">. The Administrative Agent shall also act as the “collateral agent”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11.04(c</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18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01" w:name="page202"/>
    <w:bookmarkEnd w:id="201"/>
    <w:p>
      <w:pPr>
        <w:ind w:left="880"/>
        <w:spacing w:after="0"/>
        <w:tabs>
          <w:tab w:leader="none" w:pos="1840" w:val="left"/>
        </w:tabs>
        <w:rPr>
          <w:sz w:val="20"/>
          <w:szCs w:val="20"/>
          <w:color w:val="auto"/>
        </w:rPr>
      </w:pPr>
      <w:r>
        <w:rPr>
          <w:rFonts w:ascii="Arial" w:cs="Arial" w:eastAsia="Arial" w:hAnsi="Arial"/>
          <w:sz w:val="20"/>
          <w:szCs w:val="20"/>
          <w:b w:val="1"/>
          <w:bCs w:val="1"/>
          <w:color w:val="auto"/>
        </w:rPr>
        <w:t>9.02</w:t>
      </w:r>
      <w:r>
        <w:rPr>
          <w:sz w:val="20"/>
          <w:szCs w:val="20"/>
          <w:color w:val="auto"/>
        </w:rPr>
        <w:tab/>
      </w:r>
      <w:r>
        <w:rPr>
          <w:rFonts w:ascii="Arial" w:cs="Arial" w:eastAsia="Arial" w:hAnsi="Arial"/>
          <w:sz w:val="16"/>
          <w:szCs w:val="16"/>
          <w:b w:val="1"/>
          <w:bCs w:val="1"/>
          <w:u w:val="single" w:color="auto"/>
          <w:color w:val="auto"/>
        </w:rPr>
        <w:t>Rights as a Lender.</w:t>
      </w:r>
    </w:p>
    <w:p>
      <w:pPr>
        <w:spacing w:after="0" w:line="22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9.03</w:t>
      </w:r>
      <w:r>
        <w:rPr>
          <w:sz w:val="20"/>
          <w:szCs w:val="20"/>
          <w:color w:val="auto"/>
        </w:rPr>
        <w:tab/>
      </w:r>
      <w:r>
        <w:rPr>
          <w:rFonts w:ascii="Arial" w:cs="Arial" w:eastAsia="Arial" w:hAnsi="Arial"/>
          <w:sz w:val="16"/>
          <w:szCs w:val="16"/>
          <w:b w:val="1"/>
          <w:bCs w:val="1"/>
          <w:u w:val="single" w:color="auto"/>
          <w:color w:val="auto"/>
        </w:rPr>
        <w:t>Exculpatory Provisions</w:t>
      </w:r>
      <w:r>
        <w:rPr>
          <w:rFonts w:ascii="Arial" w:cs="Arial" w:eastAsia="Arial" w:hAnsi="Arial"/>
          <w:sz w:val="16"/>
          <w:szCs w:val="16"/>
          <w:color w:val="auto"/>
        </w:rPr>
        <w:t>.</w:t>
      </w:r>
    </w:p>
    <w:p>
      <w:pPr>
        <w:spacing w:after="0" w:line="222" w:lineRule="exact"/>
        <w:rPr>
          <w:sz w:val="20"/>
          <w:szCs w:val="20"/>
          <w:color w:val="auto"/>
        </w:rPr>
      </w:pPr>
    </w:p>
    <w:p>
      <w:pPr>
        <w:jc w:val="both"/>
        <w:ind w:left="880" w:firstLine="789"/>
        <w:spacing w:after="0" w:line="291" w:lineRule="auto"/>
        <w:tabs>
          <w:tab w:leader="none" w:pos="25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spacing w:after="0" w:line="151" w:lineRule="exact"/>
        <w:rPr>
          <w:rFonts w:ascii="Arial" w:cs="Arial" w:eastAsia="Arial" w:hAnsi="Arial"/>
          <w:sz w:val="18"/>
          <w:szCs w:val="18"/>
          <w:color w:val="auto"/>
        </w:rPr>
      </w:pPr>
    </w:p>
    <w:p>
      <w:pPr>
        <w:ind w:left="1740" w:firstLine="726"/>
        <w:spacing w:after="0" w:line="260" w:lineRule="auto"/>
        <w:tabs>
          <w:tab w:leader="none" w:pos="3306" w:val="left"/>
        </w:tabs>
        <w:numPr>
          <w:ilvl w:val="1"/>
          <w:numId w:val="198"/>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has occurred and is continuing;</w:t>
      </w:r>
    </w:p>
    <w:p>
      <w:pPr>
        <w:spacing w:after="0" w:line="176" w:lineRule="exact"/>
        <w:rPr>
          <w:rFonts w:ascii="Arial" w:cs="Arial" w:eastAsia="Arial" w:hAnsi="Arial"/>
          <w:sz w:val="20"/>
          <w:szCs w:val="20"/>
          <w:color w:val="auto"/>
        </w:rPr>
      </w:pPr>
    </w:p>
    <w:p>
      <w:pPr>
        <w:jc w:val="both"/>
        <w:ind w:left="1740" w:firstLine="726"/>
        <w:spacing w:after="0" w:line="242" w:lineRule="auto"/>
        <w:tabs>
          <w:tab w:leader="none" w:pos="336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4" w:lineRule="exact"/>
        <w:rPr>
          <w:rFonts w:ascii="Arial" w:cs="Arial" w:eastAsia="Arial" w:hAnsi="Arial"/>
          <w:sz w:val="20"/>
          <w:szCs w:val="20"/>
          <w:color w:val="auto"/>
        </w:rPr>
      </w:pPr>
    </w:p>
    <w:p>
      <w:pPr>
        <w:jc w:val="both"/>
        <w:ind w:left="1740" w:firstLine="726"/>
        <w:spacing w:after="0" w:line="243" w:lineRule="auto"/>
        <w:tabs>
          <w:tab w:leader="none" w:pos="3415" w:val="left"/>
        </w:tabs>
        <w:numPr>
          <w:ilvl w:val="1"/>
          <w:numId w:val="198"/>
        </w:numPr>
        <w:rPr>
          <w:rFonts w:ascii="Arial" w:cs="Arial" w:eastAsia="Arial" w:hAnsi="Arial"/>
          <w:sz w:val="20"/>
          <w:szCs w:val="20"/>
          <w:color w:val="auto"/>
        </w:rPr>
      </w:pPr>
      <w:r>
        <w:rPr>
          <w:rFonts w:ascii="Arial" w:cs="Arial" w:eastAsia="Arial" w:hAnsi="Arial"/>
          <w:sz w:val="20"/>
          <w:szCs w:val="20"/>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spacing w:after="0" w:line="195" w:lineRule="exact"/>
        <w:rPr>
          <w:rFonts w:ascii="Arial" w:cs="Arial" w:eastAsia="Arial" w:hAnsi="Arial"/>
          <w:sz w:val="20"/>
          <w:szCs w:val="20"/>
          <w:color w:val="auto"/>
        </w:rPr>
      </w:pPr>
    </w:p>
    <w:p>
      <w:pPr>
        <w:jc w:val="both"/>
        <w:ind w:left="880" w:firstLine="789"/>
        <w:spacing w:after="0" w:line="243" w:lineRule="auto"/>
        <w:tabs>
          <w:tab w:leader="none" w:pos="255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11.01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8.02</w:t>
      </w:r>
      <w:r>
        <w:rPr>
          <w:rFonts w:ascii="Arial" w:cs="Arial" w:eastAsia="Arial" w:hAnsi="Arial"/>
          <w:sz w:val="20"/>
          <w:szCs w:val="20"/>
          <w:color w:val="auto"/>
        </w:rPr>
        <w:t>) or (ii) in the absence of its own gross negligence or willful misconduct as determined by a court of competent jurisdiction by final and non-appealable judgment. The Administrative Agent shall be deemed not to have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2" w:name="page203"/>
    <w:bookmarkEnd w:id="202"/>
    <w:p>
      <w:pPr>
        <w:ind w:left="880"/>
        <w:spacing w:after="0" w:line="260" w:lineRule="auto"/>
        <w:rPr>
          <w:sz w:val="20"/>
          <w:szCs w:val="20"/>
          <w:color w:val="auto"/>
        </w:rPr>
      </w:pPr>
      <w:r>
        <w:rPr>
          <w:rFonts w:ascii="Arial" w:cs="Arial" w:eastAsia="Arial" w:hAnsi="Arial"/>
          <w:sz w:val="20"/>
          <w:szCs w:val="20"/>
          <w:color w:val="auto"/>
        </w:rPr>
        <w:t>knowledge of any Default unless and until notice describing such Default is given in writing to the Administrative Agent by the Borrower, a Lender or the L/C Issuer.</w:t>
      </w:r>
    </w:p>
    <w:p>
      <w:pPr>
        <w:spacing w:after="0" w:line="177" w:lineRule="exact"/>
        <w:rPr>
          <w:sz w:val="20"/>
          <w:szCs w:val="20"/>
          <w:color w:val="auto"/>
        </w:rPr>
      </w:pPr>
    </w:p>
    <w:p>
      <w:pPr>
        <w:jc w:val="both"/>
        <w:ind w:left="880" w:firstLine="789"/>
        <w:spacing w:after="0" w:line="272" w:lineRule="auto"/>
        <w:tabs>
          <w:tab w:leader="none" w:pos="254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70" w:lineRule="exact"/>
        <w:rPr>
          <w:sz w:val="20"/>
          <w:szCs w:val="20"/>
          <w:color w:val="auto"/>
        </w:rPr>
      </w:pPr>
    </w:p>
    <w:p>
      <w:pPr>
        <w:jc w:val="both"/>
        <w:ind w:left="860" w:hanging="784"/>
        <w:spacing w:after="0" w:line="243" w:lineRule="auto"/>
        <w:tabs>
          <w:tab w:leader="none" w:pos="8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9.04</w:t>
      </w:r>
      <w:r>
        <w:rPr>
          <w:sz w:val="20"/>
          <w:szCs w:val="20"/>
          <w:color w:val="auto"/>
        </w:rPr>
        <w:tab/>
      </w:r>
      <w:r>
        <w:rPr>
          <w:rFonts w:ascii="Arial" w:cs="Arial" w:eastAsia="Arial" w:hAnsi="Arial"/>
          <w:sz w:val="18"/>
          <w:szCs w:val="18"/>
          <w:b w:val="1"/>
          <w:bCs w:val="1"/>
          <w:u w:val="single" w:color="auto"/>
          <w:color w:val="auto"/>
        </w:rPr>
        <w:t>Reliance by Administrative Agent.</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7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9.05</w:t>
      </w:r>
      <w:r>
        <w:rPr>
          <w:sz w:val="20"/>
          <w:szCs w:val="20"/>
          <w:color w:val="auto"/>
        </w:rPr>
        <w:tab/>
      </w:r>
      <w:r>
        <w:rPr>
          <w:rFonts w:ascii="Arial" w:cs="Arial" w:eastAsia="Arial" w:hAnsi="Arial"/>
          <w:sz w:val="16"/>
          <w:szCs w:val="16"/>
          <w:b w:val="1"/>
          <w:bCs w:val="1"/>
          <w:u w:val="single" w:color="auto"/>
          <w:color w:val="auto"/>
        </w:rPr>
        <w:t>Delegation of Duties.</w:t>
      </w:r>
    </w:p>
    <w:p>
      <w:pPr>
        <w:spacing w:after="0" w:line="22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The Administrative Agent may perform any and all of its duties and exercise its rights and powers hereunder or under any other Loan Document by or through any one or more sub-agents appointed by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3" w:name="page204"/>
    <w:bookmarkEnd w:id="203"/>
    <w:p>
      <w:pPr>
        <w:jc w:val="both"/>
        <w:spacing w:after="0" w:line="276" w:lineRule="auto"/>
        <w:rPr>
          <w:sz w:val="20"/>
          <w:szCs w:val="20"/>
          <w:color w:val="auto"/>
        </w:rPr>
      </w:pPr>
      <w:r>
        <w:rPr>
          <w:rFonts w:ascii="Arial" w:cs="Arial" w:eastAsia="Arial" w:hAnsi="Arial"/>
          <w:sz w:val="18"/>
          <w:szCs w:val="18"/>
          <w:color w:val="auto"/>
        </w:rPr>
        <w:t xml:space="preserve">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9.06</w:t>
      </w:r>
      <w:r>
        <w:rPr>
          <w:sz w:val="20"/>
          <w:szCs w:val="20"/>
          <w:color w:val="auto"/>
        </w:rPr>
        <w:tab/>
      </w:r>
      <w:r>
        <w:rPr>
          <w:rFonts w:ascii="Arial" w:cs="Arial" w:eastAsia="Arial" w:hAnsi="Arial"/>
          <w:sz w:val="16"/>
          <w:szCs w:val="16"/>
          <w:b w:val="1"/>
          <w:bCs w:val="1"/>
          <w:u w:val="single" w:color="auto"/>
          <w:color w:val="auto"/>
        </w:rPr>
        <w:t>Resignation of Administrative Agent.</w:t>
      </w:r>
    </w:p>
    <w:p>
      <w:pPr>
        <w:spacing w:after="0" w:line="222" w:lineRule="exact"/>
        <w:rPr>
          <w:sz w:val="20"/>
          <w:szCs w:val="20"/>
          <w:color w:val="auto"/>
        </w:rPr>
      </w:pPr>
    </w:p>
    <w:p>
      <w:pPr>
        <w:jc w:val="both"/>
        <w:ind w:left="880" w:firstLine="797"/>
        <w:spacing w:after="0" w:line="260"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Notice</w:t>
      </w:r>
      <w:r>
        <w:rPr>
          <w:rFonts w:ascii="Arial" w:cs="Arial" w:eastAsia="Arial" w:hAnsi="Arial"/>
          <w:sz w:val="19"/>
          <w:szCs w:val="19"/>
          <w:color w:val="auto"/>
        </w:rPr>
        <w:t>. The Administrative Agent may at any time give notice of its resignation to the Lenders, the L/C Issuer and the Borrower. Upon receipt of any such notice of resignation, the Required Lenders shall have the right, in consultation</w:t>
      </w:r>
    </w:p>
    <w:tbl>
      <w:tblPr>
        <w:tblLayout w:type="fixed"/>
        <w:tblInd w:w="8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0660" w:type="dxa"/>
            <w:vAlign w:val="bottom"/>
            <w:gridSpan w:val="11"/>
          </w:tcPr>
          <w:p>
            <w:pPr>
              <w:ind w:left="300"/>
              <w:spacing w:after="0" w:line="215" w:lineRule="exact"/>
              <w:rPr>
                <w:sz w:val="20"/>
                <w:szCs w:val="20"/>
                <w:color w:val="auto"/>
              </w:rPr>
            </w:pPr>
            <w:r>
              <w:rPr>
                <w:rFonts w:ascii="Arial" w:cs="Arial" w:eastAsia="Arial" w:hAnsi="Arial"/>
                <w:sz w:val="20"/>
                <w:szCs w:val="20"/>
                <w:color w:val="auto"/>
                <w:w w:val="93"/>
              </w:rPr>
              <w:t>with the Borrower, to appoint a successor, which shall be a bank with an office in the United States, or an Affiliate of any such</w:t>
            </w:r>
          </w:p>
        </w:tc>
      </w:tr>
      <w:tr>
        <w:trPr>
          <w:trHeight w:val="229"/>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88"/>
              </w:rPr>
              <w:t>bank with an office in the United States. If no such successor shall have been so appointed by the Required Lenders and shall have</w:t>
            </w:r>
          </w:p>
        </w:tc>
      </w:tr>
      <w:tr>
        <w:trPr>
          <w:trHeight w:val="230"/>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2"/>
              </w:rPr>
              <w:t>accepted such appointment within thirty (30) days after the retiring Administrative Agent gives notice of its resignation (or such</w:t>
            </w:r>
          </w:p>
        </w:tc>
      </w:tr>
      <w:tr>
        <w:trPr>
          <w:trHeight w:val="206"/>
        </w:trPr>
        <w:tc>
          <w:tcPr>
            <w:tcW w:w="500" w:type="dxa"/>
            <w:vAlign w:val="bottom"/>
          </w:tcPr>
          <w:p>
            <w:pPr>
              <w:spacing w:after="0"/>
              <w:rPr>
                <w:sz w:val="17"/>
                <w:szCs w:val="17"/>
                <w:color w:val="auto"/>
              </w:rPr>
            </w:pPr>
          </w:p>
        </w:tc>
        <w:tc>
          <w:tcPr>
            <w:tcW w:w="10660" w:type="dxa"/>
            <w:vAlign w:val="bottom"/>
            <w:gridSpan w:val="11"/>
          </w:tcPr>
          <w:p>
            <w:pPr>
              <w:ind w:left="300"/>
              <w:spacing w:after="0" w:line="206" w:lineRule="exact"/>
              <w:rPr>
                <w:sz w:val="20"/>
                <w:szCs w:val="20"/>
                <w:color w:val="auto"/>
              </w:rPr>
            </w:pPr>
            <w:r>
              <w:rPr>
                <w:rFonts w:ascii="Arial" w:cs="Arial" w:eastAsia="Arial" w:hAnsi="Arial"/>
                <w:sz w:val="20"/>
                <w:szCs w:val="20"/>
                <w:color w:val="auto"/>
                <w:w w:val="91"/>
              </w:rPr>
              <w:t>earlier day as shall be agreed by the Required Lenders) (the “</w:t>
            </w:r>
            <w:r>
              <w:rPr>
                <w:rFonts w:ascii="Arial" w:cs="Arial" w:eastAsia="Arial" w:hAnsi="Arial"/>
                <w:sz w:val="20"/>
                <w:szCs w:val="20"/>
                <w:i w:val="1"/>
                <w:iCs w:val="1"/>
                <w:color w:val="auto"/>
                <w:w w:val="91"/>
              </w:rPr>
              <w:t>Resignation Effective Date</w:t>
            </w:r>
            <w:r>
              <w:rPr>
                <w:rFonts w:ascii="Arial" w:cs="Arial" w:eastAsia="Arial" w:hAnsi="Arial"/>
                <w:sz w:val="20"/>
                <w:szCs w:val="20"/>
                <w:color w:val="auto"/>
                <w:w w:val="91"/>
              </w:rPr>
              <w:t>”), then the retiring Administrative Agent</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3"/>
        </w:trPr>
        <w:tc>
          <w:tcPr>
            <w:tcW w:w="500" w:type="dxa"/>
            <w:vAlign w:val="bottom"/>
          </w:tcPr>
          <w:p>
            <w:pPr>
              <w:spacing w:after="0"/>
              <w:rPr>
                <w:sz w:val="20"/>
                <w:szCs w:val="20"/>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0"/>
              </w:rPr>
              <w:t>may (but shall not be obligated to) on behalf of the Lenders and the L/C Issuer, appoint a successor Administrative Agent meeting</w:t>
            </w:r>
          </w:p>
        </w:tc>
      </w:tr>
      <w:tr>
        <w:trPr>
          <w:trHeight w:val="229"/>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1"/>
              </w:rPr>
              <w:t xml:space="preserve">the qualifications set forth above; </w:t>
            </w:r>
            <w:r>
              <w:rPr>
                <w:rFonts w:ascii="Arial" w:cs="Arial" w:eastAsia="Arial" w:hAnsi="Arial"/>
                <w:sz w:val="20"/>
                <w:szCs w:val="20"/>
                <w:i w:val="1"/>
                <w:iCs w:val="1"/>
                <w:color w:val="auto"/>
                <w:w w:val="91"/>
              </w:rPr>
              <w:t>provided</w:t>
            </w:r>
            <w:r>
              <w:rPr>
                <w:rFonts w:ascii="Arial" w:cs="Arial" w:eastAsia="Arial" w:hAnsi="Arial"/>
                <w:sz w:val="20"/>
                <w:szCs w:val="20"/>
                <w:color w:val="auto"/>
                <w:w w:val="91"/>
              </w:rPr>
              <w:t xml:space="preserve"> that in no event shall any successor Administrative Agent be a Defaulting Lender or a</w:t>
            </w:r>
          </w:p>
        </w:tc>
      </w:tr>
      <w:tr>
        <w:trPr>
          <w:trHeight w:val="229"/>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2"/>
              </w:rPr>
              <w:t>Disqualified Institution. Whether or not a successor has been appointed, such resignation shall become effective in accordance</w:t>
            </w:r>
          </w:p>
        </w:tc>
      </w:tr>
      <w:tr>
        <w:trPr>
          <w:trHeight w:val="230"/>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1"/>
              </w:rPr>
              <w:t>with such notice on the Resignation Effective Date. On or before the date on which any successor or replacement Administrative</w:t>
            </w:r>
          </w:p>
        </w:tc>
      </w:tr>
      <w:tr>
        <w:trPr>
          <w:trHeight w:val="229"/>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2"/>
              </w:rPr>
              <w:t>Agent becomes the Administrative Agent hereunder, it shall deliver to the Borrower two executed copies of either (a) IRS Form</w:t>
            </w:r>
          </w:p>
        </w:tc>
      </w:tr>
      <w:tr>
        <w:trPr>
          <w:trHeight w:val="229"/>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4"/>
              </w:rPr>
              <w:t>W-9 or (b) with respect to amounts received on its own account, IRS Form W-8ECI and with respect to amounts received on</w:t>
            </w:r>
          </w:p>
        </w:tc>
      </w:tr>
      <w:tr>
        <w:trPr>
          <w:trHeight w:val="230"/>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89"/>
              </w:rPr>
              <w:t>account of any Lender, IRS Form W-8IMY certifying that it is a U.S. branch that has agreed to be treated as a U.S. Person for U.S.</w:t>
            </w:r>
          </w:p>
        </w:tc>
      </w:tr>
      <w:tr>
        <w:trPr>
          <w:trHeight w:val="229"/>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4"/>
              </w:rPr>
              <w:t>federal tax purposes or a qualified intermediary that has agreed to assume primary withholding obligations for Chapter 3 and</w:t>
            </w:r>
          </w:p>
        </w:tc>
      </w:tr>
      <w:tr>
        <w:trPr>
          <w:trHeight w:val="230"/>
        </w:trPr>
        <w:tc>
          <w:tcPr>
            <w:tcW w:w="500" w:type="dxa"/>
            <w:vAlign w:val="bottom"/>
          </w:tcPr>
          <w:p>
            <w:pPr>
              <w:spacing w:after="0"/>
              <w:rPr>
                <w:sz w:val="19"/>
                <w:szCs w:val="19"/>
                <w:color w:val="auto"/>
              </w:rPr>
            </w:pPr>
          </w:p>
        </w:tc>
        <w:tc>
          <w:tcPr>
            <w:tcW w:w="10660" w:type="dxa"/>
            <w:vAlign w:val="bottom"/>
            <w:gridSpan w:val="11"/>
          </w:tcPr>
          <w:p>
            <w:pPr>
              <w:ind w:left="300"/>
              <w:spacing w:after="0"/>
              <w:rPr>
                <w:sz w:val="20"/>
                <w:szCs w:val="20"/>
                <w:color w:val="auto"/>
              </w:rPr>
            </w:pPr>
            <w:r>
              <w:rPr>
                <w:rFonts w:ascii="Arial" w:cs="Arial" w:eastAsia="Arial" w:hAnsi="Arial"/>
                <w:sz w:val="20"/>
                <w:szCs w:val="20"/>
                <w:color w:val="auto"/>
                <w:w w:val="95"/>
              </w:rPr>
              <w:t>Chapter 4 of the Code with respect to payments received by it from the Borrower in its capacity as Administrative Agent, as</w:t>
            </w:r>
          </w:p>
        </w:tc>
      </w:tr>
      <w:tr>
        <w:trPr>
          <w:trHeight w:val="250"/>
        </w:trPr>
        <w:tc>
          <w:tcPr>
            <w:tcW w:w="500" w:type="dxa"/>
            <w:vAlign w:val="bottom"/>
          </w:tcPr>
          <w:p>
            <w:pPr>
              <w:spacing w:after="0"/>
              <w:rPr>
                <w:sz w:val="21"/>
                <w:szCs w:val="21"/>
                <w:color w:val="auto"/>
              </w:rPr>
            </w:pPr>
          </w:p>
        </w:tc>
        <w:tc>
          <w:tcPr>
            <w:tcW w:w="1960" w:type="dxa"/>
            <w:vAlign w:val="bottom"/>
            <w:gridSpan w:val="2"/>
          </w:tcPr>
          <w:p>
            <w:pPr>
              <w:ind w:left="300"/>
              <w:spacing w:after="0"/>
              <w:rPr>
                <w:sz w:val="20"/>
                <w:szCs w:val="20"/>
                <w:color w:val="auto"/>
              </w:rPr>
            </w:pPr>
            <w:r>
              <w:rPr>
                <w:rFonts w:ascii="Arial" w:cs="Arial" w:eastAsia="Arial" w:hAnsi="Arial"/>
                <w:sz w:val="20"/>
                <w:szCs w:val="20"/>
                <w:color w:val="auto"/>
              </w:rPr>
              <w:t>applicable.</w:t>
            </w: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01"/>
        </w:trPr>
        <w:tc>
          <w:tcPr>
            <w:tcW w:w="500" w:type="dxa"/>
            <w:vAlign w:val="bottom"/>
          </w:tcPr>
          <w:p>
            <w:pPr>
              <w:spacing w:after="0"/>
              <w:rPr>
                <w:sz w:val="20"/>
                <w:szCs w:val="20"/>
                <w:color w:val="auto"/>
              </w:rPr>
            </w:pPr>
            <w:r>
              <w:rPr>
                <w:rFonts w:ascii="Arial" w:cs="Arial" w:eastAsia="Arial" w:hAnsi="Arial"/>
                <w:sz w:val="20"/>
                <w:szCs w:val="20"/>
                <w:color w:val="auto"/>
              </w:rPr>
              <w:t>(b)</w:t>
            </w:r>
          </w:p>
        </w:tc>
        <w:tc>
          <w:tcPr>
            <w:tcW w:w="10660" w:type="dxa"/>
            <w:vAlign w:val="bottom"/>
            <w:gridSpan w:val="11"/>
          </w:tcPr>
          <w:p>
            <w:pPr>
              <w:ind w:left="1080"/>
              <w:spacing w:after="0"/>
              <w:rPr>
                <w:sz w:val="20"/>
                <w:szCs w:val="20"/>
                <w:color w:val="auto"/>
              </w:rPr>
            </w:pPr>
            <w:r>
              <w:rPr>
                <w:rFonts w:ascii="Arial" w:cs="Arial" w:eastAsia="Arial" w:hAnsi="Arial"/>
                <w:sz w:val="20"/>
                <w:szCs w:val="20"/>
                <w:color w:val="auto"/>
                <w:w w:val="93"/>
              </w:rPr>
              <w:t>Defaulting Lender. If the Person serving as Administrative Agent is a Defaulting Lender pursuant to clause (d) of the</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3"/>
        </w:trPr>
        <w:tc>
          <w:tcPr>
            <w:tcW w:w="500" w:type="dxa"/>
            <w:vAlign w:val="bottom"/>
          </w:tcPr>
          <w:p>
            <w:pPr>
              <w:spacing w:after="0"/>
              <w:rPr>
                <w:sz w:val="20"/>
                <w:szCs w:val="20"/>
                <w:color w:val="auto"/>
              </w:rPr>
            </w:pPr>
          </w:p>
        </w:tc>
        <w:tc>
          <w:tcPr>
            <w:tcW w:w="10660" w:type="dxa"/>
            <w:vAlign w:val="bottom"/>
            <w:gridSpan w:val="11"/>
          </w:tcPr>
          <w:p>
            <w:pPr>
              <w:ind w:left="280"/>
              <w:spacing w:after="0"/>
              <w:rPr>
                <w:sz w:val="20"/>
                <w:szCs w:val="20"/>
                <w:color w:val="auto"/>
              </w:rPr>
            </w:pPr>
            <w:r>
              <w:rPr>
                <w:rFonts w:ascii="Arial" w:cs="Arial" w:eastAsia="Arial" w:hAnsi="Arial"/>
                <w:sz w:val="20"/>
                <w:szCs w:val="20"/>
                <w:color w:val="auto"/>
                <w:w w:val="91"/>
              </w:rPr>
              <w:t>definition thereof, the Required Lenders may, to the extent permitted by Applicable Law, by notice in writing to the Borrower and</w:t>
            </w:r>
          </w:p>
        </w:tc>
      </w:tr>
      <w:tr>
        <w:trPr>
          <w:trHeight w:val="230"/>
        </w:trPr>
        <w:tc>
          <w:tcPr>
            <w:tcW w:w="500" w:type="dxa"/>
            <w:vAlign w:val="bottom"/>
          </w:tcPr>
          <w:p>
            <w:pPr>
              <w:spacing w:after="0"/>
              <w:rPr>
                <w:sz w:val="19"/>
                <w:szCs w:val="19"/>
                <w:color w:val="auto"/>
              </w:rPr>
            </w:pPr>
          </w:p>
        </w:tc>
        <w:tc>
          <w:tcPr>
            <w:tcW w:w="10660" w:type="dxa"/>
            <w:vAlign w:val="bottom"/>
            <w:gridSpan w:val="11"/>
          </w:tcPr>
          <w:p>
            <w:pPr>
              <w:ind w:left="280"/>
              <w:spacing w:after="0"/>
              <w:rPr>
                <w:sz w:val="20"/>
                <w:szCs w:val="20"/>
                <w:color w:val="auto"/>
              </w:rPr>
            </w:pPr>
            <w:r>
              <w:rPr>
                <w:rFonts w:ascii="Arial" w:cs="Arial" w:eastAsia="Arial" w:hAnsi="Arial"/>
                <w:sz w:val="20"/>
                <w:szCs w:val="20"/>
                <w:color w:val="auto"/>
                <w:w w:val="90"/>
              </w:rPr>
              <w:t>such Person remove such Person as Administrative Agent and, in consultation with the Borrower, appoint a successor. If no such</w:t>
            </w:r>
          </w:p>
        </w:tc>
      </w:tr>
      <w:tr>
        <w:trPr>
          <w:trHeight w:val="229"/>
        </w:trPr>
        <w:tc>
          <w:tcPr>
            <w:tcW w:w="500" w:type="dxa"/>
            <w:vAlign w:val="bottom"/>
          </w:tcPr>
          <w:p>
            <w:pPr>
              <w:spacing w:after="0"/>
              <w:rPr>
                <w:sz w:val="19"/>
                <w:szCs w:val="19"/>
                <w:color w:val="auto"/>
              </w:rPr>
            </w:pPr>
          </w:p>
        </w:tc>
        <w:tc>
          <w:tcPr>
            <w:tcW w:w="10660" w:type="dxa"/>
            <w:vAlign w:val="bottom"/>
            <w:gridSpan w:val="11"/>
          </w:tcPr>
          <w:p>
            <w:pPr>
              <w:ind w:left="280"/>
              <w:spacing w:after="0"/>
              <w:rPr>
                <w:sz w:val="20"/>
                <w:szCs w:val="20"/>
                <w:color w:val="auto"/>
              </w:rPr>
            </w:pPr>
            <w:r>
              <w:rPr>
                <w:rFonts w:ascii="Arial" w:cs="Arial" w:eastAsia="Arial" w:hAnsi="Arial"/>
                <w:sz w:val="20"/>
                <w:szCs w:val="20"/>
                <w:color w:val="auto"/>
                <w:w w:val="89"/>
              </w:rPr>
              <w:t>successor shall have been so appointed by the Required Lenders and shall have accepted such appointment within thirty (30) days</w:t>
            </w:r>
          </w:p>
        </w:tc>
      </w:tr>
      <w:tr>
        <w:trPr>
          <w:trHeight w:val="206"/>
        </w:trPr>
        <w:tc>
          <w:tcPr>
            <w:tcW w:w="500" w:type="dxa"/>
            <w:vAlign w:val="bottom"/>
          </w:tcPr>
          <w:p>
            <w:pPr>
              <w:spacing w:after="0"/>
              <w:rPr>
                <w:sz w:val="17"/>
                <w:szCs w:val="17"/>
                <w:color w:val="auto"/>
              </w:rPr>
            </w:pPr>
          </w:p>
        </w:tc>
        <w:tc>
          <w:tcPr>
            <w:tcW w:w="10660" w:type="dxa"/>
            <w:vAlign w:val="bottom"/>
            <w:gridSpan w:val="11"/>
          </w:tcPr>
          <w:p>
            <w:pPr>
              <w:ind w:left="280"/>
              <w:spacing w:after="0" w:line="206" w:lineRule="exact"/>
              <w:rPr>
                <w:sz w:val="20"/>
                <w:szCs w:val="20"/>
                <w:color w:val="auto"/>
              </w:rPr>
            </w:pPr>
            <w:r>
              <w:rPr>
                <w:rFonts w:ascii="Arial" w:cs="Arial" w:eastAsia="Arial" w:hAnsi="Arial"/>
                <w:sz w:val="20"/>
                <w:szCs w:val="20"/>
                <w:color w:val="auto"/>
                <w:w w:val="97"/>
              </w:rPr>
              <w:t>(or such earlier day as shall be agreed by the Required Lenders) (the “</w:t>
            </w:r>
            <w:r>
              <w:rPr>
                <w:rFonts w:ascii="Arial" w:cs="Arial" w:eastAsia="Arial" w:hAnsi="Arial"/>
                <w:sz w:val="20"/>
                <w:szCs w:val="20"/>
                <w:i w:val="1"/>
                <w:iCs w:val="1"/>
                <w:color w:val="auto"/>
                <w:w w:val="97"/>
              </w:rPr>
              <w:t>Removal Effective Date</w:t>
            </w:r>
            <w:r>
              <w:rPr>
                <w:rFonts w:ascii="Arial" w:cs="Arial" w:eastAsia="Arial" w:hAnsi="Arial"/>
                <w:sz w:val="20"/>
                <w:szCs w:val="20"/>
                <w:color w:val="auto"/>
                <w:w w:val="97"/>
              </w:rPr>
              <w:t>”), then such removal shall</w:t>
            </w:r>
          </w:p>
        </w:tc>
      </w:tr>
      <w:tr>
        <w:trPr>
          <w:trHeight w:val="20"/>
        </w:trPr>
        <w:tc>
          <w:tcPr>
            <w:tcW w:w="5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54"/>
        </w:trPr>
        <w:tc>
          <w:tcPr>
            <w:tcW w:w="500" w:type="dxa"/>
            <w:vAlign w:val="bottom"/>
          </w:tcPr>
          <w:p>
            <w:pPr>
              <w:spacing w:after="0"/>
              <w:rPr>
                <w:sz w:val="22"/>
                <w:szCs w:val="22"/>
                <w:color w:val="auto"/>
              </w:rPr>
            </w:pPr>
          </w:p>
        </w:tc>
        <w:tc>
          <w:tcPr>
            <w:tcW w:w="10660" w:type="dxa"/>
            <w:vAlign w:val="bottom"/>
            <w:gridSpan w:val="11"/>
          </w:tcPr>
          <w:p>
            <w:pPr>
              <w:ind w:left="280"/>
              <w:spacing w:after="0"/>
              <w:rPr>
                <w:sz w:val="20"/>
                <w:szCs w:val="20"/>
                <w:color w:val="auto"/>
              </w:rPr>
            </w:pPr>
            <w:r>
              <w:rPr>
                <w:rFonts w:ascii="Arial" w:cs="Arial" w:eastAsia="Arial" w:hAnsi="Arial"/>
                <w:sz w:val="20"/>
                <w:szCs w:val="20"/>
                <w:color w:val="auto"/>
              </w:rPr>
              <w:t>nonetheless become effective in accordance with such notice on the Removal Effective Date.</w:t>
            </w:r>
          </w:p>
        </w:tc>
      </w:tr>
      <w:tr>
        <w:trPr>
          <w:trHeight w:val="401"/>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20"/>
                <w:szCs w:val="20"/>
                <w:color w:val="auto"/>
              </w:rPr>
              <w:t>(b)</w:t>
            </w:r>
          </w:p>
        </w:tc>
        <w:tc>
          <w:tcPr>
            <w:tcW w:w="8700" w:type="dxa"/>
            <w:vAlign w:val="bottom"/>
            <w:gridSpan w:val="9"/>
          </w:tcPr>
          <w:p>
            <w:pPr>
              <w:spacing w:after="0"/>
              <w:rPr>
                <w:sz w:val="20"/>
                <w:szCs w:val="20"/>
                <w:color w:val="auto"/>
              </w:rPr>
            </w:pPr>
            <w:r>
              <w:rPr>
                <w:rFonts w:ascii="Arial" w:cs="Arial" w:eastAsia="Arial" w:hAnsi="Arial"/>
                <w:sz w:val="20"/>
                <w:szCs w:val="20"/>
                <w:color w:val="auto"/>
                <w:w w:val="94"/>
              </w:rPr>
              <w:t>Effect of Resignation. With effect from the Resignation Effective Date (i) the retiring Administrative Agent</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880"/>
        <w:spacing w:after="0" w:line="257" w:lineRule="auto"/>
        <w:rPr>
          <w:sz w:val="20"/>
          <w:szCs w:val="20"/>
          <w:color w:val="auto"/>
        </w:rPr>
      </w:pPr>
      <w:r>
        <w:rPr>
          <w:rFonts w:ascii="Arial" w:cs="Arial" w:eastAsia="Arial" w:hAnsi="Arial"/>
          <w:sz w:val="19"/>
          <w:szCs w:val="19"/>
          <w:color w:val="auto"/>
        </w:rPr>
        <w:t>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(ii)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4" w:name="page205"/>
    <w:bookmarkEnd w:id="204"/>
    <w:p>
      <w:pPr>
        <w:jc w:val="both"/>
        <w:ind w:left="880"/>
        <w:spacing w:after="0" w:line="231" w:lineRule="exact"/>
        <w:rPr>
          <w:sz w:val="20"/>
          <w:szCs w:val="20"/>
          <w:color w:val="auto"/>
        </w:rPr>
      </w:pPr>
      <w:r>
        <w:rPr>
          <w:rFonts w:ascii="Arial" w:cs="Arial" w:eastAsia="Arial" w:hAnsi="Arial"/>
          <w:sz w:val="19"/>
          <w:szCs w:val="19"/>
          <w:color w:val="auto"/>
        </w:rPr>
        <w:t xml:space="preserve">a successor’s appointment as Administrative Agent hereunder, such successor shall succeed to and become vested with all of the rights, powers, privileges and duties of the retiring Administrative Agent (other than as provided in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other than any rights to indemnity payments or other amounts owed to the retiring Administrative Agent as of the Resignation Effective Date or the Removal Effective Date, as applicable), and the retiring Administrative Agent shall be discharged from all of its duties and obligations hereunder or under the other Loan Documents (if not already discharged therefrom as provided above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9.06</w:t>
      </w:r>
      <w:r>
        <w:rPr>
          <w:rFonts w:ascii="Arial" w:cs="Arial" w:eastAsia="Arial" w:hAnsi="Arial"/>
          <w:sz w:val="19"/>
          <w:szCs w:val="19"/>
          <w:color w:val="auto"/>
        </w:rPr>
        <w:t xml:space="preserve">).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continue in effect for the benefit of such retiring Administrative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 (A) while the retiring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204" w:lineRule="exact"/>
        <w:rPr>
          <w:sz w:val="20"/>
          <w:szCs w:val="20"/>
          <w:color w:val="auto"/>
        </w:rPr>
      </w:pPr>
    </w:p>
    <w:p>
      <w:pPr>
        <w:jc w:val="both"/>
        <w:ind w:left="860" w:hanging="784"/>
        <w:spacing w:after="0" w:line="269" w:lineRule="auto"/>
        <w:tabs>
          <w:tab w:leader="none" w:pos="8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u w:val="single" w:color="auto"/>
          <w:color w:val="auto"/>
        </w:rPr>
        <w:t>L/C Issuer and Swingline Lender</w:t>
      </w:r>
      <w:r>
        <w:rPr>
          <w:rFonts w:ascii="Arial" w:cs="Arial" w:eastAsia="Arial" w:hAnsi="Arial"/>
          <w:sz w:val="18"/>
          <w:szCs w:val="18"/>
          <w:color w:val="auto"/>
        </w:rPr>
        <w:t>. Any resignation or removal by Bank of America as Administrative Agent pursuant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9.07</w:t>
      </w:r>
      <w:r>
        <w:rPr>
          <w:sz w:val="20"/>
          <w:szCs w:val="20"/>
          <w:color w:val="auto"/>
        </w:rPr>
        <w:tab/>
      </w:r>
      <w:r>
        <w:rPr>
          <w:rFonts w:ascii="Arial" w:cs="Arial" w:eastAsia="Arial" w:hAnsi="Arial"/>
          <w:sz w:val="18"/>
          <w:szCs w:val="18"/>
          <w:b w:val="1"/>
          <w:bCs w:val="1"/>
          <w:u w:val="single" w:color="auto"/>
          <w:color w:val="auto"/>
        </w:rPr>
        <w:t>Non-Reliance on Administrative Agent, the Arranger and the Other Lenders.</w:t>
      </w:r>
    </w:p>
    <w:p>
      <w:pPr>
        <w:spacing w:after="0" w:line="22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Each Lender and the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5" w:name="page206"/>
    <w:bookmarkEnd w:id="205"/>
    <w:p>
      <w:pPr>
        <w:jc w:val="both"/>
        <w:spacing w:after="0" w:line="270" w:lineRule="auto"/>
        <w:rPr>
          <w:sz w:val="20"/>
          <w:szCs w:val="20"/>
          <w:color w:val="auto"/>
        </w:rPr>
      </w:pPr>
      <w:r>
        <w:rPr>
          <w:rFonts w:ascii="Arial" w:cs="Arial" w:eastAsia="Arial" w:hAnsi="Arial"/>
          <w:sz w:val="18"/>
          <w:szCs w:val="18"/>
          <w:color w:val="auto"/>
        </w:rPr>
        <w:t>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9.08</w:t>
      </w:r>
      <w:r>
        <w:rPr>
          <w:sz w:val="20"/>
          <w:szCs w:val="20"/>
          <w:color w:val="auto"/>
        </w:rPr>
        <w:tab/>
      </w:r>
      <w:r>
        <w:rPr>
          <w:rFonts w:ascii="Arial" w:cs="Arial" w:eastAsia="Arial" w:hAnsi="Arial"/>
          <w:sz w:val="18"/>
          <w:szCs w:val="18"/>
          <w:b w:val="1"/>
          <w:bCs w:val="1"/>
          <w:u w:val="single" w:color="auto"/>
          <w:color w:val="auto"/>
        </w:rPr>
        <w:t>No Other Duties, Etc.</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9.09</w:t>
      </w:r>
      <w:r>
        <w:rPr>
          <w:sz w:val="20"/>
          <w:szCs w:val="20"/>
          <w:color w:val="auto"/>
        </w:rPr>
        <w:tab/>
      </w:r>
      <w:r>
        <w:rPr>
          <w:rFonts w:ascii="Arial" w:cs="Arial" w:eastAsia="Arial" w:hAnsi="Arial"/>
          <w:sz w:val="18"/>
          <w:szCs w:val="18"/>
          <w:b w:val="1"/>
          <w:bCs w:val="1"/>
          <w:u w:val="single" w:color="auto"/>
          <w:color w:val="auto"/>
        </w:rPr>
        <w:t>Administrative Agent May File Proofs of Claim; Credit Bidding</w:t>
      </w:r>
      <w:r>
        <w:rPr>
          <w:rFonts w:ascii="Arial" w:cs="Arial" w:eastAsia="Arial" w:hAnsi="Arial"/>
          <w:sz w:val="18"/>
          <w:szCs w:val="18"/>
          <w:color w:val="auto"/>
        </w:rPr>
        <w:t>.</w:t>
      </w:r>
    </w:p>
    <w:p>
      <w:pPr>
        <w:spacing w:after="0" w:line="222" w:lineRule="exact"/>
        <w:rPr>
          <w:sz w:val="20"/>
          <w:szCs w:val="20"/>
          <w:color w:val="auto"/>
        </w:rPr>
      </w:pPr>
    </w:p>
    <w:p>
      <w:pPr>
        <w:jc w:val="both"/>
        <w:ind w:left="880" w:firstLine="789"/>
        <w:spacing w:after="0" w:line="282" w:lineRule="auto"/>
        <w:tabs>
          <w:tab w:leader="none" w:pos="254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61" w:lineRule="exact"/>
        <w:rPr>
          <w:rFonts w:ascii="Arial" w:cs="Arial" w:eastAsia="Arial" w:hAnsi="Arial"/>
          <w:sz w:val="18"/>
          <w:szCs w:val="18"/>
          <w:color w:val="auto"/>
        </w:rPr>
      </w:pPr>
    </w:p>
    <w:p>
      <w:pPr>
        <w:jc w:val="both"/>
        <w:ind w:left="1740" w:firstLine="726"/>
        <w:spacing w:after="0" w:line="257" w:lineRule="auto"/>
        <w:tabs>
          <w:tab w:leader="none" w:pos="3306" w:val="left"/>
        </w:tabs>
        <w:numPr>
          <w:ilvl w:val="1"/>
          <w:numId w:val="200"/>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9"/>
          <w:szCs w:val="19"/>
          <w:u w:val="single" w:color="auto"/>
          <w:color w:val="auto"/>
        </w:rPr>
        <w:t>Sections 2.03(h</w:t>
      </w:r>
      <w:r>
        <w:rPr>
          <w:rFonts w:ascii="Arial" w:cs="Arial" w:eastAsia="Arial" w:hAnsi="Arial"/>
          <w:sz w:val="19"/>
          <w:szCs w:val="19"/>
          <w:color w:val="auto"/>
        </w:rPr>
        <w:t>)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6" w:name="page207"/>
    <w:bookmarkEnd w:id="206"/>
    <w:p>
      <w:pPr>
        <w:ind w:left="860" w:firstLine="726"/>
        <w:spacing w:after="0" w:line="260" w:lineRule="auto"/>
        <w:tabs>
          <w:tab w:leader="none" w:pos="248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w:t>
      </w:r>
    </w:p>
    <w:p>
      <w:pPr>
        <w:spacing w:after="0" w:line="196" w:lineRule="exact"/>
        <w:rPr>
          <w:sz w:val="20"/>
          <w:szCs w:val="20"/>
          <w:color w:val="auto"/>
        </w:rPr>
      </w:pPr>
    </w:p>
    <w:p>
      <w:pPr>
        <w:jc w:val="both"/>
        <w:ind w:firstLine="789"/>
        <w:spacing w:after="0" w:line="263" w:lineRule="auto"/>
        <w:tabs>
          <w:tab w:leader="none" w:pos="167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spacing w:after="0" w:line="176" w:lineRule="exact"/>
        <w:rPr>
          <w:rFonts w:ascii="Arial" w:cs="Arial" w:eastAsia="Arial" w:hAnsi="Arial"/>
          <w:sz w:val="19"/>
          <w:szCs w:val="19"/>
          <w:color w:val="auto"/>
        </w:rPr>
      </w:pPr>
    </w:p>
    <w:p>
      <w:pPr>
        <w:jc w:val="both"/>
        <w:ind w:firstLine="789"/>
        <w:spacing w:after="0" w:line="268" w:lineRule="auto"/>
        <w:tabs>
          <w:tab w:leader="none" w:pos="16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this Agreement), (C) the Administrative Agent shall be authorized to assign the relevant Secured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Secured Obligations to be credit bid, all without the need for any Secured Party or acquisition vehicle to take any further action, and (D)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and the Equity Interests and/or debt instruments issued by any acquisition</w:t>
      </w:r>
    </w:p>
    <w:p>
      <w:pPr>
        <w:spacing w:after="0" w:line="17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07" w:name="page208"/>
    <w:bookmarkEnd w:id="207"/>
    <w:p>
      <w:pPr>
        <w:ind w:left="880"/>
        <w:spacing w:after="0" w:line="260" w:lineRule="auto"/>
        <w:rPr>
          <w:sz w:val="20"/>
          <w:szCs w:val="20"/>
          <w:color w:val="auto"/>
        </w:rPr>
      </w:pPr>
      <w:r>
        <w:rPr>
          <w:rFonts w:ascii="Arial" w:cs="Arial" w:eastAsia="Arial" w:hAnsi="Arial"/>
          <w:sz w:val="20"/>
          <w:szCs w:val="20"/>
          <w:color w:val="auto"/>
        </w:rPr>
        <w:t>vehicle on account of the Secured Obligations that had been assigned to the acquisition vehicle shall automatically be cancelled, without the need for any Secured Party or any acquisition vehicle to take any further action.</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8"/>
          <w:szCs w:val="18"/>
          <w:b w:val="1"/>
          <w:bCs w:val="1"/>
          <w:u w:val="single" w:color="auto"/>
          <w:color w:val="auto"/>
        </w:rPr>
        <w:t>Collateral and Guaranty Matters.</w:t>
      </w:r>
    </w:p>
    <w:p>
      <w:pPr>
        <w:spacing w:after="0" w:line="222" w:lineRule="exact"/>
        <w:rPr>
          <w:sz w:val="20"/>
          <w:szCs w:val="20"/>
          <w:color w:val="auto"/>
        </w:rPr>
      </w:pPr>
    </w:p>
    <w:p>
      <w:pPr>
        <w:ind w:left="880" w:firstLine="789"/>
        <w:spacing w:after="0" w:line="287" w:lineRule="auto"/>
        <w:tabs>
          <w:tab w:leader="none" w:pos="254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Each of the Lenders (including in its capacities as a potential Cash Management Bank and a potential Hedge Bank) and the L/C Issuer irrevocably authorize the Administrative Agent, at its option and in its discretion,</w:t>
      </w:r>
    </w:p>
    <w:p>
      <w:pPr>
        <w:spacing w:after="0" w:line="152" w:lineRule="exact"/>
        <w:rPr>
          <w:rFonts w:ascii="Arial" w:cs="Arial" w:eastAsia="Arial" w:hAnsi="Arial"/>
          <w:sz w:val="19"/>
          <w:szCs w:val="19"/>
          <w:color w:val="auto"/>
        </w:rPr>
      </w:pPr>
    </w:p>
    <w:p>
      <w:pPr>
        <w:jc w:val="both"/>
        <w:ind w:left="1740" w:firstLine="726"/>
        <w:spacing w:after="0" w:line="260" w:lineRule="auto"/>
        <w:tabs>
          <w:tab w:leader="none" w:pos="3306"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(iii) as permitted pursuant to </w:t>
      </w:r>
      <w:r>
        <w:rPr>
          <w:rFonts w:ascii="Arial" w:cs="Arial" w:eastAsia="Arial" w:hAnsi="Arial"/>
          <w:sz w:val="19"/>
          <w:szCs w:val="19"/>
          <w:u w:val="single" w:color="auto"/>
          <w:color w:val="auto"/>
        </w:rPr>
        <w:t>Section 6.13(c)(ii)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or (iv) if approved, authorized or ratified in writing by the Required Lenders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1740" w:firstLine="726"/>
        <w:spacing w:after="0" w:line="287" w:lineRule="auto"/>
        <w:tabs>
          <w:tab w:leader="none" w:pos="336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7.01(i</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jc w:val="both"/>
        <w:ind w:left="1740" w:firstLine="726"/>
        <w:spacing w:after="0" w:line="250" w:lineRule="auto"/>
        <w:tabs>
          <w:tab w:leader="none" w:pos="3415" w:val="left"/>
        </w:tabs>
        <w:numPr>
          <w:ilvl w:val="1"/>
          <w:numId w:val="203"/>
        </w:numPr>
        <w:rPr>
          <w:rFonts w:ascii="Arial" w:cs="Arial" w:eastAsia="Arial" w:hAnsi="Arial"/>
          <w:sz w:val="20"/>
          <w:szCs w:val="20"/>
          <w:color w:val="auto"/>
        </w:rPr>
      </w:pPr>
      <w:r>
        <w:rPr>
          <w:rFonts w:ascii="Arial" w:cs="Arial" w:eastAsia="Arial" w:hAnsi="Arial"/>
          <w:sz w:val="20"/>
          <w:szCs w:val="20"/>
          <w:color w:val="auto"/>
        </w:rPr>
        <w:t xml:space="preserve">to release any Guarantor from its obligations under the Guaranty (A) if such Person ceases to be a Subsidiary as a result of a transaction permitted under the Loan Documents or (B) as otherwise permitted pursuant to </w:t>
      </w:r>
      <w:r>
        <w:rPr>
          <w:rFonts w:ascii="Arial" w:cs="Arial" w:eastAsia="Arial" w:hAnsi="Arial"/>
          <w:sz w:val="20"/>
          <w:szCs w:val="20"/>
          <w:u w:val="single" w:color="auto"/>
          <w:color w:val="auto"/>
        </w:rPr>
        <w:t>Section 10.12</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80" w:firstLine="789"/>
        <w:spacing w:after="0" w:line="274" w:lineRule="auto"/>
        <w:tabs>
          <w:tab w:leader="none" w:pos="255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880" w:firstLine="789"/>
        <w:spacing w:after="0" w:line="282" w:lineRule="auto"/>
        <w:tabs>
          <w:tab w:leader="none" w:pos="254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5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9.11</w:t>
      </w:r>
      <w:r>
        <w:rPr>
          <w:sz w:val="20"/>
          <w:szCs w:val="20"/>
          <w:color w:val="auto"/>
        </w:rPr>
        <w:tab/>
      </w:r>
      <w:r>
        <w:rPr>
          <w:rFonts w:ascii="Arial" w:cs="Arial" w:eastAsia="Arial" w:hAnsi="Arial"/>
          <w:sz w:val="16"/>
          <w:szCs w:val="16"/>
          <w:b w:val="1"/>
          <w:bCs w:val="1"/>
          <w:u w:val="single" w:color="auto"/>
          <w:color w:val="auto"/>
        </w:rPr>
        <w:t>Secured Cash Management Agreements and Secured Hedge Agreements.</w:t>
      </w:r>
    </w:p>
    <w:p>
      <w:pPr>
        <w:spacing w:after="0" w:line="22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 xml:space="preserve">Except as otherwise expressly set forth herein, no Cash Management Bank or Hedge Bank that obtains the benefit of the provisions of </w:t>
      </w:r>
      <w:r>
        <w:rPr>
          <w:rFonts w:ascii="Arial" w:cs="Arial" w:eastAsia="Arial" w:hAnsi="Arial"/>
          <w:sz w:val="19"/>
          <w:szCs w:val="19"/>
          <w:u w:val="single" w:color="auto"/>
          <w:color w:val="auto"/>
        </w:rPr>
        <w:t>Section 8.03</w:t>
      </w:r>
      <w:r>
        <w:rPr>
          <w:rFonts w:ascii="Arial" w:cs="Arial" w:eastAsia="Arial" w:hAnsi="Arial"/>
          <w:sz w:val="19"/>
          <w:szCs w:val="19"/>
          <w:color w:val="auto"/>
        </w:rPr>
        <w:t>,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8" w:name="page209"/>
    <w:bookmarkEnd w:id="208"/>
    <w:p>
      <w:pPr>
        <w:jc w:val="both"/>
        <w:spacing w:after="0" w:line="256" w:lineRule="auto"/>
        <w:rPr>
          <w:sz w:val="20"/>
          <w:szCs w:val="20"/>
          <w:color w:val="auto"/>
        </w:rPr>
      </w:pPr>
      <w:r>
        <w:rPr>
          <w:rFonts w:ascii="Arial" w:cs="Arial" w:eastAsia="Arial" w:hAnsi="Arial"/>
          <w:sz w:val="19"/>
          <w:szCs w:val="19"/>
          <w:color w:val="auto"/>
        </w:rPr>
        <w:t xml:space="preserve">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r>
        <w:rPr>
          <w:rFonts w:ascii="Arial" w:cs="Arial" w:eastAsia="Arial" w:hAnsi="Arial"/>
          <w:sz w:val="15"/>
          <w:szCs w:val="15"/>
          <w:color w:val="auto"/>
        </w:rPr>
        <w:t>,</w:t>
      </w:r>
    </w:p>
    <w:p>
      <w:pPr>
        <w:spacing w:after="0" w:line="17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9.12</w:t>
      </w:r>
      <w:r>
        <w:rPr>
          <w:sz w:val="20"/>
          <w:szCs w:val="20"/>
          <w:color w:val="auto"/>
        </w:rPr>
        <w:tab/>
      </w:r>
      <w:r>
        <w:rPr>
          <w:rFonts w:ascii="Arial" w:cs="Arial" w:eastAsia="Arial" w:hAnsi="Arial"/>
          <w:sz w:val="19"/>
          <w:szCs w:val="19"/>
          <w:b w:val="1"/>
          <w:bCs w:val="1"/>
          <w:u w:val="single" w:color="auto"/>
          <w:color w:val="auto"/>
        </w:rPr>
        <w:t>Certain ERISA Matters.</w:t>
      </w:r>
    </w:p>
    <w:p>
      <w:pPr>
        <w:spacing w:after="0" w:line="222" w:lineRule="exact"/>
        <w:rPr>
          <w:sz w:val="20"/>
          <w:szCs w:val="20"/>
          <w:color w:val="auto"/>
        </w:rPr>
      </w:pPr>
    </w:p>
    <w:p>
      <w:pPr>
        <w:jc w:val="both"/>
        <w:ind w:left="880" w:firstLine="789"/>
        <w:spacing w:after="0" w:line="246" w:lineRule="auto"/>
        <w:tabs>
          <w:tab w:leader="none" w:pos="254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91" w:lineRule="exact"/>
        <w:rPr>
          <w:rFonts w:ascii="Arial" w:cs="Arial" w:eastAsia="Arial" w:hAnsi="Arial"/>
          <w:sz w:val="20"/>
          <w:szCs w:val="20"/>
          <w:color w:val="auto"/>
        </w:rPr>
      </w:pPr>
    </w:p>
    <w:p>
      <w:pPr>
        <w:jc w:val="both"/>
        <w:ind w:left="1740" w:firstLine="726"/>
        <w:spacing w:after="0" w:line="250" w:lineRule="auto"/>
        <w:tabs>
          <w:tab w:leader="none" w:pos="330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5" w:lineRule="exact"/>
        <w:rPr>
          <w:rFonts w:ascii="Arial" w:cs="Arial" w:eastAsia="Arial" w:hAnsi="Arial"/>
          <w:sz w:val="20"/>
          <w:szCs w:val="20"/>
          <w:color w:val="auto"/>
        </w:rPr>
      </w:pPr>
    </w:p>
    <w:p>
      <w:pPr>
        <w:jc w:val="both"/>
        <w:ind w:left="1740" w:firstLine="726"/>
        <w:spacing w:after="0" w:line="274" w:lineRule="auto"/>
        <w:tabs>
          <w:tab w:leader="none" w:pos="33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8" w:lineRule="exact"/>
        <w:rPr>
          <w:rFonts w:ascii="Arial" w:cs="Arial" w:eastAsia="Arial" w:hAnsi="Arial"/>
          <w:sz w:val="18"/>
          <w:szCs w:val="18"/>
          <w:color w:val="auto"/>
        </w:rPr>
      </w:pPr>
    </w:p>
    <w:p>
      <w:pPr>
        <w:jc w:val="both"/>
        <w:ind w:left="1740" w:firstLine="726"/>
        <w:spacing w:after="0" w:line="273" w:lineRule="auto"/>
        <w:tabs>
          <w:tab w:leader="none" w:pos="341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8" w:lineRule="exact"/>
        <w:rPr>
          <w:rFonts w:ascii="Arial" w:cs="Arial" w:eastAsia="Arial" w:hAnsi="Arial"/>
          <w:sz w:val="18"/>
          <w:szCs w:val="18"/>
          <w:color w:val="auto"/>
        </w:rPr>
      </w:pPr>
    </w:p>
    <w:p>
      <w:pPr>
        <w:ind w:left="1740" w:firstLine="726"/>
        <w:spacing w:after="0" w:line="260" w:lineRule="auto"/>
        <w:tabs>
          <w:tab w:leader="none" w:pos="3404" w:val="left"/>
        </w:tabs>
        <w:numPr>
          <w:ilvl w:val="1"/>
          <w:numId w:val="20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9" w:name="page210"/>
    <w:bookmarkEnd w:id="209"/>
    <w:p>
      <w:pPr>
        <w:jc w:val="both"/>
        <w:ind w:left="880" w:firstLine="789"/>
        <w:spacing w:after="0" w:line="272" w:lineRule="auto"/>
        <w:tabs>
          <w:tab w:leader="none" w:pos="255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In addition, unless either (1)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 (2) a Lender has provided another representation, warranty and covenant in accordance with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CONTINUING GUARANTY</w:t>
      </w:r>
    </w:p>
    <w:p>
      <w:pPr>
        <w:spacing w:after="0" w:line="21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10.01</w:t>
      </w:r>
      <w:r>
        <w:rPr>
          <w:sz w:val="20"/>
          <w:szCs w:val="20"/>
          <w:color w:val="auto"/>
        </w:rPr>
        <w:tab/>
      </w:r>
      <w:r>
        <w:rPr>
          <w:rFonts w:ascii="Arial" w:cs="Arial" w:eastAsia="Arial" w:hAnsi="Arial"/>
          <w:sz w:val="18"/>
          <w:szCs w:val="18"/>
          <w:b w:val="1"/>
          <w:bCs w:val="1"/>
          <w:u w:val="single" w:color="auto"/>
          <w:color w:val="auto"/>
        </w:rPr>
        <w:t>Guaranty.</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Arial" w:cs="Arial" w:eastAsia="Arial" w:hAnsi="Arial"/>
          <w:sz w:val="18"/>
          <w:szCs w:val="18"/>
          <w:i w:val="1"/>
          <w:iCs w:val="1"/>
          <w:u w:val="single" w:color="auto"/>
          <w:color w:val="auto"/>
        </w:rPr>
        <w:t>Guaranteed 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68"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6"/>
          <w:szCs w:val="16"/>
          <w:b w:val="1"/>
          <w:bCs w:val="1"/>
          <w:u w:val="single" w:color="auto"/>
          <w:color w:val="auto"/>
        </w:rPr>
        <w:t>Rights of Lenders.</w:t>
      </w:r>
    </w:p>
    <w:p>
      <w:pPr>
        <w:spacing w:after="0" w:line="22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0" w:name="page211"/>
    <w:bookmarkEnd w:id="210"/>
    <w:p>
      <w:pPr>
        <w:jc w:val="both"/>
        <w:spacing w:after="0" w:line="269" w:lineRule="auto"/>
        <w:rPr>
          <w:sz w:val="20"/>
          <w:szCs w:val="20"/>
          <w:color w:val="auto"/>
        </w:rPr>
      </w:pPr>
      <w:r>
        <w:rPr>
          <w:rFonts w:ascii="Arial" w:cs="Arial" w:eastAsia="Arial" w:hAnsi="Arial"/>
          <w:sz w:val="19"/>
          <w:szCs w:val="19"/>
          <w:color w:val="auto"/>
        </w:rPr>
        <w:t>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6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10.03</w:t>
      </w:r>
      <w:r>
        <w:rPr>
          <w:sz w:val="20"/>
          <w:szCs w:val="20"/>
          <w:color w:val="auto"/>
        </w:rPr>
        <w:tab/>
      </w:r>
      <w:r>
        <w:rPr>
          <w:rFonts w:ascii="Arial" w:cs="Arial" w:eastAsia="Arial" w:hAnsi="Arial"/>
          <w:sz w:val="18"/>
          <w:szCs w:val="18"/>
          <w:b w:val="1"/>
          <w:bCs w:val="1"/>
          <w:u w:val="single" w:color="auto"/>
          <w:color w:val="auto"/>
        </w:rPr>
        <w:t>Certain Waivers.</w:t>
      </w:r>
    </w:p>
    <w:p>
      <w:pPr>
        <w:spacing w:after="0" w:line="22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6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6"/>
          <w:szCs w:val="16"/>
          <w:b w:val="1"/>
          <w:bCs w:val="1"/>
          <w:u w:val="single" w:color="auto"/>
          <w:color w:val="auto"/>
        </w:rPr>
        <w:t>Obligations Independent.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10.05</w:t>
      </w:r>
      <w:r>
        <w:rPr>
          <w:sz w:val="20"/>
          <w:szCs w:val="20"/>
          <w:color w:val="auto"/>
        </w:rPr>
        <w:tab/>
      </w:r>
      <w:r>
        <w:rPr>
          <w:rFonts w:ascii="Arial" w:cs="Arial" w:eastAsia="Arial" w:hAnsi="Arial"/>
          <w:sz w:val="16"/>
          <w:szCs w:val="16"/>
          <w:b w:val="1"/>
          <w:bCs w:val="1"/>
          <w:u w:val="single" w:color="auto"/>
          <w:color w:val="auto"/>
        </w:rPr>
        <w:t>Subrogation.</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7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8"/>
          <w:szCs w:val="18"/>
          <w:b w:val="1"/>
          <w:bCs w:val="1"/>
          <w:u w:val="single" w:color="auto"/>
          <w:color w:val="auto"/>
        </w:rPr>
        <w:t>Termination; Reinstatement.</w:t>
      </w:r>
    </w:p>
    <w:p>
      <w:pPr>
        <w:spacing w:after="0" w:line="22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reasonable discretion) to be repaid to a trustee, receiver or any other party, in connection with any proceeding under any Debtor Relief Laws or otherwise, all as if such payment had not been made or such setoff had not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1" w:name="page212"/>
    <w:bookmarkEnd w:id="211"/>
    <w:p>
      <w:pPr>
        <w:jc w:val="both"/>
        <w:spacing w:after="0" w:line="316" w:lineRule="auto"/>
        <w:rPr>
          <w:sz w:val="20"/>
          <w:szCs w:val="20"/>
          <w:color w:val="auto"/>
        </w:rPr>
      </w:pPr>
      <w:r>
        <w:rPr>
          <w:rFonts w:ascii="Arial" w:cs="Arial" w:eastAsia="Arial" w:hAnsi="Arial"/>
          <w:sz w:val="18"/>
          <w:szCs w:val="18"/>
          <w:color w:val="auto"/>
        </w:rPr>
        <w:t xml:space="preserve">occurred and whether or not the Secured Parties are in possession of or have released this Guaranty and regardless of any prior revocation, rescission, termination or reduction. The obligations of each Guarantor under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shall survive termination of this Guaranty.</w:t>
      </w:r>
    </w:p>
    <w:p>
      <w:pPr>
        <w:spacing w:after="0" w:line="12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10.07</w:t>
      </w:r>
      <w:r>
        <w:rPr>
          <w:sz w:val="20"/>
          <w:szCs w:val="20"/>
          <w:color w:val="auto"/>
        </w:rPr>
        <w:tab/>
      </w:r>
      <w:r>
        <w:rPr>
          <w:rFonts w:ascii="Arial" w:cs="Arial" w:eastAsia="Arial" w:hAnsi="Arial"/>
          <w:sz w:val="16"/>
          <w:szCs w:val="16"/>
          <w:b w:val="1"/>
          <w:bCs w:val="1"/>
          <w:u w:val="single" w:color="auto"/>
          <w:color w:val="auto"/>
        </w:rPr>
        <w:t>Stay of Acceleration.</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10.08</w:t>
      </w:r>
      <w:r>
        <w:rPr>
          <w:sz w:val="20"/>
          <w:szCs w:val="20"/>
          <w:color w:val="auto"/>
        </w:rPr>
        <w:tab/>
      </w:r>
      <w:r>
        <w:rPr>
          <w:rFonts w:ascii="Arial" w:cs="Arial" w:eastAsia="Arial" w:hAnsi="Arial"/>
          <w:sz w:val="16"/>
          <w:szCs w:val="16"/>
          <w:b w:val="1"/>
          <w:bCs w:val="1"/>
          <w:u w:val="single" w:color="auto"/>
          <w:color w:val="auto"/>
        </w:rPr>
        <w:t>Condition of Borrower.</w:t>
      </w:r>
    </w:p>
    <w:p>
      <w:pPr>
        <w:spacing w:after="0" w:line="22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9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10.09</w:t>
      </w:r>
      <w:r>
        <w:rPr>
          <w:sz w:val="20"/>
          <w:szCs w:val="20"/>
          <w:color w:val="auto"/>
        </w:rPr>
        <w:tab/>
      </w:r>
      <w:r>
        <w:rPr>
          <w:rFonts w:ascii="Arial" w:cs="Arial" w:eastAsia="Arial" w:hAnsi="Arial"/>
          <w:sz w:val="18"/>
          <w:szCs w:val="18"/>
          <w:b w:val="1"/>
          <w:bCs w:val="1"/>
          <w:u w:val="single" w:color="auto"/>
          <w:color w:val="auto"/>
        </w:rPr>
        <w:t>Appointment of Borrower.</w:t>
      </w:r>
    </w:p>
    <w:p>
      <w:pPr>
        <w:spacing w:after="0" w:line="22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w:t>
      </w:r>
    </w:p>
    <w:p>
      <w:pPr>
        <w:spacing w:after="0" w:line="3" w:lineRule="exact"/>
        <w:rPr>
          <w:sz w:val="20"/>
          <w:szCs w:val="20"/>
          <w:color w:val="auto"/>
        </w:rPr>
      </w:pPr>
    </w:p>
    <w:p>
      <w:pPr>
        <w:jc w:val="both"/>
        <w:ind w:firstLine="8"/>
        <w:spacing w:after="0" w:line="241" w:lineRule="auto"/>
        <w:tabs>
          <w:tab w:leader="none" w:pos="281"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9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10.10</w:t>
      </w:r>
      <w:r>
        <w:rPr>
          <w:sz w:val="20"/>
          <w:szCs w:val="20"/>
          <w:color w:val="auto"/>
        </w:rPr>
        <w:tab/>
      </w:r>
      <w:r>
        <w:rPr>
          <w:rFonts w:ascii="Arial" w:cs="Arial" w:eastAsia="Arial" w:hAnsi="Arial"/>
          <w:sz w:val="18"/>
          <w:szCs w:val="18"/>
          <w:b w:val="1"/>
          <w:bCs w:val="1"/>
          <w:u w:val="single" w:color="auto"/>
          <w:color w:val="auto"/>
        </w:rPr>
        <w:t>Right of Contribution.</w:t>
      </w:r>
    </w:p>
    <w:p>
      <w:pPr>
        <w:spacing w:after="0" w:line="22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10.11</w:t>
      </w:r>
      <w:r>
        <w:rPr>
          <w:sz w:val="20"/>
          <w:szCs w:val="20"/>
          <w:color w:val="auto"/>
        </w:rPr>
        <w:tab/>
      </w:r>
      <w:r>
        <w:rPr>
          <w:rFonts w:ascii="Arial" w:cs="Arial" w:eastAsia="Arial" w:hAnsi="Arial"/>
          <w:sz w:val="16"/>
          <w:szCs w:val="16"/>
          <w:b w:val="1"/>
          <w:bCs w:val="1"/>
          <w:u w:val="single" w:color="auto"/>
          <w:color w:val="auto"/>
        </w:rPr>
        <w:t>Keepwell.</w:t>
      </w:r>
    </w:p>
    <w:p>
      <w:pPr>
        <w:spacing w:after="0" w:line="2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remain in full force and effect until the Secured Obligations have been indefeasibly paid and performed in full. Each Loan Party intends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to constitute,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2" w:name="page213"/>
    <w:bookmarkEnd w:id="212"/>
    <w:p>
      <w:pPr>
        <w:jc w:val="both"/>
        <w:spacing w:after="0" w:line="260" w:lineRule="auto"/>
        <w:rPr>
          <w:sz w:val="20"/>
          <w:szCs w:val="20"/>
          <w:color w:val="auto"/>
        </w:rPr>
      </w:pPr>
      <w:r>
        <w:rPr>
          <w:rFonts w:ascii="Arial" w:cs="Arial" w:eastAsia="Arial" w:hAnsi="Arial"/>
          <w:sz w:val="20"/>
          <w:szCs w:val="20"/>
          <w:color w:val="auto"/>
        </w:rPr>
        <w:t xml:space="preserve">and this </w:t>
      </w:r>
      <w:r>
        <w:rPr>
          <w:rFonts w:ascii="Arial" w:cs="Arial" w:eastAsia="Arial" w:hAnsi="Arial"/>
          <w:sz w:val="20"/>
          <w:szCs w:val="20"/>
          <w:u w:val="single" w:color="auto"/>
          <w:color w:val="auto"/>
        </w:rPr>
        <w:t>Section 10.11</w:t>
      </w:r>
      <w:r>
        <w:rPr>
          <w:rFonts w:ascii="Arial" w:cs="Arial" w:eastAsia="Arial" w:hAnsi="Arial"/>
          <w:sz w:val="20"/>
          <w:szCs w:val="20"/>
          <w:color w:val="auto"/>
        </w:rPr>
        <w:t xml:space="preserve"> shall be deemed to constitute, a guarantee of the obligations of, and a “keepwell, support, or other agreement” for the benefit of, each Specified Loan Party for all purposes of the Commodity Exchange Act.</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10.12</w:t>
      </w:r>
      <w:r>
        <w:rPr>
          <w:sz w:val="20"/>
          <w:szCs w:val="20"/>
          <w:color w:val="auto"/>
        </w:rPr>
        <w:tab/>
      </w:r>
      <w:r>
        <w:rPr>
          <w:rFonts w:ascii="Arial" w:cs="Arial" w:eastAsia="Arial" w:hAnsi="Arial"/>
          <w:sz w:val="16"/>
          <w:szCs w:val="16"/>
          <w:b w:val="1"/>
          <w:bCs w:val="1"/>
          <w:u w:val="single" w:color="auto"/>
          <w:color w:val="auto"/>
        </w:rPr>
        <w:t>Release of Guarantor.</w:t>
      </w:r>
    </w:p>
    <w:p>
      <w:pPr>
        <w:spacing w:after="0" w:line="22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If all of the Equity Interests of any Guarantor or any of its successors in interest hereunder shall be sold or otherwise disposed of (including by merger or consolidation) in accordance with the terms and conditions hereof, the Guaranty of such Guarantor or such successor in interest, as the case may be, shall automatically be discharged and released, and its obligations to pledge and grant any Collateral owned by it pursuant to any Collateral Document shall be automatically released, in each case, without any further action by any Secured Party or any other Person effective as of the time of such sale or disposition, and the Administrative Agent agrees to take all actions reasonably requested by the Borrower or such Guarantor to evidence the discharge and release of such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(a) any such action shall be without recourse to, or representation or warranty by, the Administrative Agent, and (b) any document executed by the Administrative Agent shall be in form and substance reasonably satisfactory to the Administrative Agent.</w:t>
      </w:r>
    </w:p>
    <w:p>
      <w:pPr>
        <w:spacing w:after="0" w:line="162"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1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6"/>
          <w:szCs w:val="16"/>
          <w:b w:val="1"/>
          <w:bCs w:val="1"/>
          <w:u w:val="single" w:color="auto"/>
          <w:color w:val="auto"/>
        </w:rPr>
        <w:t>Amendments, Etc.</w:t>
      </w:r>
    </w:p>
    <w:p>
      <w:pPr>
        <w:spacing w:after="0" w:line="222" w:lineRule="exact"/>
        <w:rPr>
          <w:sz w:val="20"/>
          <w:szCs w:val="20"/>
          <w:color w:val="auto"/>
        </w:rPr>
      </w:pPr>
    </w:p>
    <w:p>
      <w:pPr>
        <w:jc w:val="both"/>
        <w:ind w:left="880" w:firstLine="789"/>
        <w:spacing w:after="0" w:line="243" w:lineRule="auto"/>
        <w:tabs>
          <w:tab w:leader="none" w:pos="2545"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such amendment, waiver or consent shall:</w:t>
      </w:r>
    </w:p>
    <w:p>
      <w:pPr>
        <w:spacing w:after="0" w:line="195" w:lineRule="exact"/>
        <w:rPr>
          <w:rFonts w:ascii="Arial" w:cs="Arial" w:eastAsia="Arial" w:hAnsi="Arial"/>
          <w:sz w:val="20"/>
          <w:szCs w:val="20"/>
          <w:color w:val="auto"/>
        </w:rPr>
      </w:pPr>
    </w:p>
    <w:p>
      <w:pPr>
        <w:ind w:left="1740" w:right="20" w:firstLine="726"/>
        <w:spacing w:after="0" w:line="260" w:lineRule="auto"/>
        <w:tabs>
          <w:tab w:leader="none" w:pos="3306" w:val="left"/>
        </w:tabs>
        <w:numPr>
          <w:ilvl w:val="1"/>
          <w:numId w:val="207"/>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or, in the case of the initial Credit Extension,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4.01</w:t>
      </w:r>
      <w:r>
        <w:rPr>
          <w:rFonts w:ascii="Arial" w:cs="Arial" w:eastAsia="Arial" w:hAnsi="Arial"/>
          <w:sz w:val="20"/>
          <w:szCs w:val="20"/>
          <w:color w:val="auto"/>
        </w:rPr>
        <w:t>, without the written consent of each Lender;</w:t>
      </w:r>
    </w:p>
    <w:p>
      <w:pPr>
        <w:spacing w:after="0" w:line="176" w:lineRule="exact"/>
        <w:rPr>
          <w:rFonts w:ascii="Arial" w:cs="Arial" w:eastAsia="Arial" w:hAnsi="Arial"/>
          <w:sz w:val="20"/>
          <w:szCs w:val="20"/>
          <w:color w:val="auto"/>
        </w:rPr>
      </w:pPr>
    </w:p>
    <w:p>
      <w:pPr>
        <w:jc w:val="both"/>
        <w:ind w:left="1740" w:firstLine="726"/>
        <w:spacing w:after="0" w:line="246" w:lineRule="auto"/>
        <w:tabs>
          <w:tab w:leader="none" w:pos="336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without the written consent of such Lender (it being understood and agreed that a waiver of any condition precedent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or of any Default or a mandatory reduction in Commitments is not considered an extension or increase in Commitments of any Lender);</w:t>
      </w:r>
    </w:p>
    <w:p>
      <w:pPr>
        <w:spacing w:after="0" w:line="191" w:lineRule="exact"/>
        <w:rPr>
          <w:rFonts w:ascii="Arial" w:cs="Arial" w:eastAsia="Arial" w:hAnsi="Arial"/>
          <w:sz w:val="20"/>
          <w:szCs w:val="20"/>
          <w:color w:val="auto"/>
        </w:rPr>
      </w:pPr>
    </w:p>
    <w:p>
      <w:pPr>
        <w:jc w:val="both"/>
        <w:ind w:left="1740" w:firstLine="726"/>
        <w:spacing w:after="0" w:line="291" w:lineRule="auto"/>
        <w:tabs>
          <w:tab w:leader="none" w:pos="341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51" w:lineRule="exact"/>
        <w:rPr>
          <w:rFonts w:ascii="Arial" w:cs="Arial" w:eastAsia="Arial" w:hAnsi="Arial"/>
          <w:sz w:val="18"/>
          <w:szCs w:val="18"/>
          <w:color w:val="auto"/>
        </w:rPr>
      </w:pPr>
    </w:p>
    <w:p>
      <w:pPr>
        <w:jc w:val="both"/>
        <w:ind w:left="1740" w:firstLine="726"/>
        <w:spacing w:after="0" w:line="282" w:lineRule="auto"/>
        <w:tabs>
          <w:tab w:leader="none" w:pos="340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second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without the written consent of each Lender entitled to such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only the consent of the Required Lenders shall be necessary (A) to amend the definition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3" w:name="page214"/>
    <w:bookmarkEnd w:id="213"/>
    <w:p>
      <w:pPr>
        <w:ind w:left="860"/>
        <w:spacing w:after="0"/>
        <w:rPr>
          <w:sz w:val="20"/>
          <w:szCs w:val="20"/>
          <w:color w:val="auto"/>
        </w:rPr>
      </w:pPr>
      <w:r>
        <w:rPr>
          <w:rFonts w:ascii="Arial" w:cs="Arial" w:eastAsia="Arial" w:hAnsi="Arial"/>
          <w:sz w:val="18"/>
          <w:szCs w:val="18"/>
          <w:color w:val="auto"/>
        </w:rPr>
        <w:t>“Default Rate” or to waive any obligation of the Borrower to pay interest or Letter of Credit Fees at the Default Rate, or</w:t>
      </w:r>
    </w:p>
    <w:p>
      <w:pPr>
        <w:spacing w:after="0" w:line="39" w:lineRule="exact"/>
        <w:rPr>
          <w:sz w:val="20"/>
          <w:szCs w:val="20"/>
          <w:color w:val="auto"/>
        </w:rPr>
      </w:pPr>
    </w:p>
    <w:p>
      <w:pPr>
        <w:ind w:left="860" w:right="20" w:hanging="5"/>
        <w:spacing w:after="0" w:line="244" w:lineRule="auto"/>
        <w:tabs>
          <w:tab w:leader="none" w:pos="1175"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to amend any financial covenant hereunder (or any defined term used therein) even if the effect of such amendment would be to reduce the rate of interest on any Loan or to reduce any fee payable hereunder;</w:t>
      </w:r>
    </w:p>
    <w:p>
      <w:pPr>
        <w:spacing w:after="0" w:line="191" w:lineRule="exact"/>
        <w:rPr>
          <w:rFonts w:ascii="Arial" w:cs="Arial" w:eastAsia="Arial" w:hAnsi="Arial"/>
          <w:sz w:val="20"/>
          <w:szCs w:val="20"/>
          <w:color w:val="auto"/>
        </w:rPr>
      </w:pPr>
    </w:p>
    <w:p>
      <w:pPr>
        <w:ind w:left="860" w:firstLine="726"/>
        <w:spacing w:after="0" w:line="260" w:lineRule="auto"/>
        <w:tabs>
          <w:tab w:leader="none" w:pos="2469"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in a manner that would alter the pro rata sharing of payments required thereby without the written consent of each Lender affected thereby;</w:t>
      </w:r>
    </w:p>
    <w:p>
      <w:pPr>
        <w:spacing w:after="0" w:line="176" w:lineRule="exact"/>
        <w:rPr>
          <w:rFonts w:ascii="Arial" w:cs="Arial" w:eastAsia="Arial" w:hAnsi="Arial"/>
          <w:sz w:val="20"/>
          <w:szCs w:val="20"/>
          <w:color w:val="auto"/>
        </w:rPr>
      </w:pPr>
    </w:p>
    <w:p>
      <w:pPr>
        <w:jc w:val="both"/>
        <w:ind w:left="860" w:firstLine="726"/>
        <w:spacing w:after="0" w:line="246" w:lineRule="auto"/>
        <w:tabs>
          <w:tab w:leader="none" w:pos="2524"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91" w:lineRule="exact"/>
        <w:rPr>
          <w:rFonts w:ascii="Arial" w:cs="Arial" w:eastAsia="Arial" w:hAnsi="Arial"/>
          <w:sz w:val="20"/>
          <w:szCs w:val="20"/>
          <w:color w:val="auto"/>
        </w:rPr>
      </w:pPr>
    </w:p>
    <w:p>
      <w:pPr>
        <w:ind w:left="860" w:firstLine="726"/>
        <w:spacing w:after="0" w:line="260" w:lineRule="auto"/>
        <w:tabs>
          <w:tab w:leader="none" w:pos="2579" w:val="left"/>
        </w:tabs>
        <w:numPr>
          <w:ilvl w:val="1"/>
          <w:numId w:val="208"/>
        </w:numPr>
        <w:rPr>
          <w:rFonts w:ascii="Arial" w:cs="Arial" w:eastAsia="Arial" w:hAnsi="Arial"/>
          <w:sz w:val="20"/>
          <w:szCs w:val="20"/>
          <w:color w:val="auto"/>
        </w:rPr>
      </w:pPr>
      <w:r>
        <w:rPr>
          <w:rFonts w:ascii="Arial" w:cs="Arial" w:eastAsia="Arial" w:hAnsi="Arial"/>
          <w:sz w:val="20"/>
          <w:szCs w:val="20"/>
          <w:color w:val="auto"/>
        </w:rPr>
        <w:t>release all or substantially all of the Collateral in any transaction or series of related transactions, without the written consent of each Lender;</w:t>
      </w:r>
    </w:p>
    <w:p>
      <w:pPr>
        <w:spacing w:after="0" w:line="176" w:lineRule="exact"/>
        <w:rPr>
          <w:rFonts w:ascii="Arial" w:cs="Arial" w:eastAsia="Arial" w:hAnsi="Arial"/>
          <w:sz w:val="20"/>
          <w:szCs w:val="20"/>
          <w:color w:val="auto"/>
        </w:rPr>
      </w:pPr>
    </w:p>
    <w:p>
      <w:pPr>
        <w:jc w:val="both"/>
        <w:ind w:left="860" w:firstLine="726"/>
        <w:spacing w:after="0" w:line="250" w:lineRule="auto"/>
        <w:tabs>
          <w:tab w:leader="none" w:pos="2634"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w:t>
      </w:r>
    </w:p>
    <w:p>
      <w:pPr>
        <w:spacing w:after="0" w:line="185" w:lineRule="exact"/>
        <w:rPr>
          <w:rFonts w:ascii="Arial" w:cs="Arial" w:eastAsia="Arial" w:hAnsi="Arial"/>
          <w:sz w:val="20"/>
          <w:szCs w:val="20"/>
          <w:color w:val="auto"/>
        </w:rPr>
      </w:pPr>
    </w:p>
    <w:p>
      <w:pPr>
        <w:ind w:left="860" w:right="20" w:firstLine="726"/>
        <w:spacing w:after="0" w:line="260" w:lineRule="auto"/>
        <w:tabs>
          <w:tab w:leader="none" w:pos="2524" w:val="left"/>
        </w:tabs>
        <w:numPr>
          <w:ilvl w:val="1"/>
          <w:numId w:val="208"/>
        </w:numPr>
        <w:rPr>
          <w:rFonts w:ascii="Arial" w:cs="Arial" w:eastAsia="Arial" w:hAnsi="Arial"/>
          <w:sz w:val="20"/>
          <w:szCs w:val="20"/>
          <w:color w:val="auto"/>
        </w:rPr>
      </w:pPr>
      <w:r>
        <w:rPr>
          <w:rFonts w:ascii="Arial" w:cs="Arial" w:eastAsia="Arial" w:hAnsi="Arial"/>
          <w:sz w:val="20"/>
          <w:szCs w:val="20"/>
          <w:color w:val="auto"/>
        </w:rPr>
        <w:t>release the Borrower or permit the Borrower to assign or transfer any of its rights or obligations under this Agreement or the other Loan Documents without the consent of each Lender; or</w:t>
      </w:r>
    </w:p>
    <w:p>
      <w:pPr>
        <w:spacing w:after="0" w:line="177" w:lineRule="exact"/>
        <w:rPr>
          <w:sz w:val="20"/>
          <w:szCs w:val="20"/>
          <w:color w:val="auto"/>
        </w:rPr>
      </w:pPr>
    </w:p>
    <w:p>
      <w:pPr>
        <w:jc w:val="both"/>
        <w:ind w:left="860" w:firstLine="726"/>
        <w:spacing w:after="0" w:line="291" w:lineRule="auto"/>
        <w:tabs>
          <w:tab w:leader="none" w:pos="257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directly and materially adversely affect the rights of Lenders holding Commitments or Loans of one Class differently from the rights of Lenders holding Commitments or Loans of any other Class without the written consent of Lenders holding a majority of the outstanding Loans and Commitments of such applicable Class;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 the rights or duties of the Administrative Agent under this Agreement or any other Loan Document; (D) the Engagement Letter may be amended, or rights or privileges thereunder waived, in a writing executed only by the parties thereto; and (E) in order to implement any additional Commitments in accordance with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in connection with any Incremental Facility, this Agreement may be amended for such purpose (but solely to the extent necessary to implement such additional Commitments and otherwise in accordance with </w:t>
      </w:r>
      <w:r>
        <w:rPr>
          <w:rFonts w:ascii="Arial" w:cs="Arial" w:eastAsia="Arial" w:hAnsi="Arial"/>
          <w:sz w:val="18"/>
          <w:szCs w:val="18"/>
          <w:u w:val="single" w:color="auto"/>
          <w:color w:val="auto"/>
        </w:rPr>
        <w:t>Section 2.02(g)</w:t>
      </w:r>
      <w:r>
        <w:rPr>
          <w:rFonts w:ascii="Arial" w:cs="Arial" w:eastAsia="Arial" w:hAnsi="Arial"/>
          <w:sz w:val="18"/>
          <w:szCs w:val="18"/>
          <w:color w:val="auto"/>
        </w:rPr>
        <w:t>) by the Loan Parties, the Administrative Agent and each Lender providing a portion of such Incremental Facility.</w:t>
      </w:r>
    </w:p>
    <w:p>
      <w:pPr>
        <w:spacing w:after="0" w:line="170" w:lineRule="exact"/>
        <w:rPr>
          <w:sz w:val="20"/>
          <w:szCs w:val="20"/>
          <w:color w:val="auto"/>
        </w:rPr>
      </w:pPr>
    </w:p>
    <w:p>
      <w:pPr>
        <w:jc w:val="both"/>
        <w:ind w:firstLine="789"/>
        <w:spacing w:after="0" w:line="291" w:lineRule="auto"/>
        <w:tabs>
          <w:tab w:leader="none" w:pos="167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w:t>
      </w:r>
    </w:p>
    <w:p>
      <w:pPr>
        <w:spacing w:after="0" w:line="15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14" w:name="page215"/>
    <w:bookmarkEnd w:id="214"/>
    <w:p>
      <w:pPr>
        <w:jc w:val="both"/>
        <w:spacing w:after="0" w:line="256" w:lineRule="auto"/>
        <w:rPr>
          <w:sz w:val="20"/>
          <w:szCs w:val="20"/>
          <w:color w:val="auto"/>
        </w:rPr>
      </w:pPr>
      <w:r>
        <w:rPr>
          <w:rFonts w:ascii="Arial" w:cs="Arial" w:eastAsia="Arial" w:hAnsi="Arial"/>
          <w:sz w:val="19"/>
          <w:szCs w:val="19"/>
          <w:color w:val="auto"/>
        </w:rPr>
        <w:t>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84" w:lineRule="exact"/>
        <w:rPr>
          <w:sz w:val="20"/>
          <w:szCs w:val="20"/>
          <w:color w:val="auto"/>
        </w:rPr>
      </w:pPr>
    </w:p>
    <w:p>
      <w:pPr>
        <w:jc w:val="both"/>
        <w:ind w:firstLine="789"/>
        <w:spacing w:after="0" w:line="243" w:lineRule="auto"/>
        <w:tabs>
          <w:tab w:leader="none" w:pos="1665" w:val="left"/>
        </w:tabs>
        <w:numPr>
          <w:ilvl w:val="0"/>
          <w:numId w:val="211"/>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95" w:lineRule="exact"/>
        <w:rPr>
          <w:rFonts w:ascii="Arial" w:cs="Arial" w:eastAsia="Arial" w:hAnsi="Arial"/>
          <w:sz w:val="20"/>
          <w:szCs w:val="20"/>
          <w:color w:val="auto"/>
        </w:rPr>
      </w:pPr>
    </w:p>
    <w:p>
      <w:pPr>
        <w:jc w:val="both"/>
        <w:ind w:firstLine="789"/>
        <w:spacing w:after="0" w:line="278" w:lineRule="auto"/>
        <w:tabs>
          <w:tab w:leader="none" w:pos="167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11.02</w:t>
      </w:r>
      <w:r>
        <w:rPr>
          <w:sz w:val="20"/>
          <w:szCs w:val="20"/>
          <w:color w:val="auto"/>
        </w:rPr>
        <w:tab/>
      </w:r>
      <w:r>
        <w:rPr>
          <w:rFonts w:ascii="Arial" w:cs="Arial" w:eastAsia="Arial" w:hAnsi="Arial"/>
          <w:sz w:val="16"/>
          <w:szCs w:val="16"/>
          <w:b w:val="1"/>
          <w:bCs w:val="1"/>
          <w:u w:val="single" w:color="auto"/>
          <w:color w:val="auto"/>
        </w:rPr>
        <w:t>Notices; Effectiveness; Electronic Communications.</w:t>
      </w:r>
    </w:p>
    <w:p>
      <w:pPr>
        <w:spacing w:after="0" w:line="222" w:lineRule="exact"/>
        <w:rPr>
          <w:sz w:val="20"/>
          <w:szCs w:val="20"/>
          <w:color w:val="auto"/>
        </w:rPr>
      </w:pPr>
    </w:p>
    <w:p>
      <w:pPr>
        <w:jc w:val="both"/>
        <w:ind w:firstLine="789"/>
        <w:spacing w:after="0" w:line="260" w:lineRule="auto"/>
        <w:tabs>
          <w:tab w:leader="none" w:pos="1665"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xml:space="preserve">. Except in the case of notices and other communications expressly permitted to be given by telephone (and except as provided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80" w:lineRule="exact"/>
        <w:rPr>
          <w:rFonts w:ascii="Arial" w:cs="Arial" w:eastAsia="Arial" w:hAnsi="Arial"/>
          <w:sz w:val="19"/>
          <w:szCs w:val="19"/>
          <w:color w:val="auto"/>
        </w:rPr>
      </w:pPr>
    </w:p>
    <w:p>
      <w:pPr>
        <w:jc w:val="both"/>
        <w:ind w:left="860" w:firstLine="726"/>
        <w:spacing w:after="0" w:line="250" w:lineRule="auto"/>
        <w:tabs>
          <w:tab w:leader="none" w:pos="2426" w:val="left"/>
        </w:tabs>
        <w:numPr>
          <w:ilvl w:val="1"/>
          <w:numId w:val="212"/>
        </w:numPr>
        <w:rPr>
          <w:rFonts w:ascii="Arial" w:cs="Arial" w:eastAsia="Arial" w:hAnsi="Arial"/>
          <w:sz w:val="20"/>
          <w:szCs w:val="20"/>
          <w:color w:val="auto"/>
        </w:rPr>
      </w:pPr>
      <w:r>
        <w:rPr>
          <w:rFonts w:ascii="Arial" w:cs="Arial" w:eastAsia="Arial" w:hAnsi="Arial"/>
          <w:sz w:val="20"/>
          <w:szCs w:val="20"/>
          <w:color w:val="auto"/>
        </w:rPr>
        <w:t xml:space="preserve">if to the Borrower or any other Loan Party, the Administrative Agent, the L/C Issuer or the Swingline Lender, to the address(es), fax number(s), e-mail address(es) or telephone number(s) specified for such Person on </w:t>
      </w:r>
      <w:r>
        <w:rPr>
          <w:rFonts w:ascii="Arial" w:cs="Arial" w:eastAsia="Arial" w:hAnsi="Arial"/>
          <w:sz w:val="20"/>
          <w:szCs w:val="20"/>
          <w:u w:val="single" w:color="auto"/>
          <w:color w:val="auto"/>
        </w:rPr>
        <w:t>Schedule 1.01(a</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left="860" w:firstLine="726"/>
        <w:spacing w:after="0" w:line="246" w:lineRule="auto"/>
        <w:tabs>
          <w:tab w:leader="none" w:pos="248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91" w:lineRule="exact"/>
        <w:rPr>
          <w:sz w:val="20"/>
          <w:szCs w:val="20"/>
          <w:color w:val="auto"/>
        </w:rPr>
      </w:pPr>
    </w:p>
    <w:p>
      <w:pPr>
        <w:jc w:val="both"/>
        <w:ind w:firstLine="797"/>
        <w:spacing w:after="0" w:line="246"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w:t>
      </w:r>
    </w:p>
    <w:p>
      <w:pPr>
        <w:spacing w:after="0" w:line="19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15" w:name="page216"/>
    <w:bookmarkEnd w:id="215"/>
    <w:p>
      <w:pPr>
        <w:spacing w:after="0" w:line="316" w:lineRule="auto"/>
        <w:rPr>
          <w:sz w:val="20"/>
          <w:szCs w:val="20"/>
          <w:color w:val="auto"/>
        </w:rPr>
      </w:pPr>
      <w:r>
        <w:rPr>
          <w:rFonts w:ascii="Arial" w:cs="Arial" w:eastAsia="Arial" w:hAnsi="Arial"/>
          <w:sz w:val="18"/>
          <w:szCs w:val="18"/>
          <w:color w:val="auto"/>
        </w:rPr>
        <w:t xml:space="preserve">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30" w:lineRule="exact"/>
        <w:rPr>
          <w:sz w:val="20"/>
          <w:szCs w:val="20"/>
          <w:color w:val="auto"/>
        </w:rPr>
      </w:pPr>
    </w:p>
    <w:p>
      <w:pPr>
        <w:ind w:left="1660" w:hanging="871"/>
        <w:spacing w:after="0"/>
        <w:tabs>
          <w:tab w:leader="none" w:pos="166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60" w:firstLine="726"/>
        <w:spacing w:after="0" w:line="255" w:lineRule="auto"/>
        <w:tabs>
          <w:tab w:leader="none" w:pos="2426"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to any Lender, the Swingline Lender or the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the Swingline Lender or the L/C Issuer, as applicable, has notified the Administrative Agent that it is incapable of receiving notices under such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9" w:lineRule="exact"/>
        <w:rPr>
          <w:rFonts w:ascii="Arial" w:cs="Arial" w:eastAsia="Arial" w:hAnsi="Arial"/>
          <w:sz w:val="19"/>
          <w:szCs w:val="19"/>
          <w:color w:val="auto"/>
        </w:rPr>
      </w:pPr>
    </w:p>
    <w:p>
      <w:pPr>
        <w:jc w:val="both"/>
        <w:ind w:left="860" w:firstLine="726"/>
        <w:spacing w:after="0" w:line="255" w:lineRule="auto"/>
        <w:tabs>
          <w:tab w:leader="none" w:pos="248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both </w:t>
      </w:r>
      <w:r>
        <w:rPr>
          <w:rFonts w:ascii="Arial" w:cs="Arial" w:eastAsia="Arial" w:hAnsi="Arial"/>
          <w:sz w:val="19"/>
          <w:szCs w:val="19"/>
          <w:u w:val="single" w:color="auto"/>
          <w:color w:val="auto"/>
        </w:rPr>
        <w:t>clauses (A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rFonts w:ascii="Arial" w:cs="Arial" w:eastAsia="Arial" w:hAnsi="Arial"/>
          <w:sz w:val="19"/>
          <w:szCs w:val="19"/>
          <w:color w:val="auto"/>
        </w:rPr>
      </w:pPr>
    </w:p>
    <w:p>
      <w:pPr>
        <w:jc w:val="both"/>
        <w:ind w:firstLine="789"/>
        <w:spacing w:after="0" w:line="241" w:lineRule="auto"/>
        <w:tabs>
          <w:tab w:leader="none" w:pos="1665"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0"/>
          <w:szCs w:val="20"/>
          <w:i w:val="1"/>
          <w:iCs w:val="1"/>
          <w:u w:val="single" w:color="auto"/>
          <w:color w:val="auto"/>
        </w:rPr>
        <w:t>Agent Parties</w:t>
      </w:r>
      <w:r>
        <w:rPr>
          <w:rFonts w:ascii="Arial" w:cs="Arial" w:eastAsia="Arial" w:hAnsi="Arial"/>
          <w:sz w:val="20"/>
          <w:szCs w:val="20"/>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20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16" w:name="page217"/>
    <w:bookmarkEnd w:id="216"/>
    <w:p>
      <w:pPr>
        <w:jc w:val="both"/>
        <w:ind w:firstLine="789"/>
        <w:spacing w:after="0" w:line="270" w:lineRule="auto"/>
        <w:tabs>
          <w:tab w:leader="none" w:pos="1676"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2" w:lineRule="exact"/>
        <w:rPr>
          <w:rFonts w:ascii="Arial" w:cs="Arial" w:eastAsia="Arial" w:hAnsi="Arial"/>
          <w:sz w:val="18"/>
          <w:szCs w:val="18"/>
          <w:color w:val="auto"/>
        </w:rPr>
      </w:pPr>
    </w:p>
    <w:p>
      <w:pPr>
        <w:jc w:val="both"/>
        <w:ind w:firstLine="789"/>
        <w:spacing w:after="0" w:line="255" w:lineRule="auto"/>
        <w:tabs>
          <w:tab w:leader="none" w:pos="1665"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L/C Issuer and Lenders</w:t>
      </w:r>
      <w:r>
        <w:rPr>
          <w:rFonts w:ascii="Arial" w:cs="Arial" w:eastAsia="Arial" w:hAnsi="Arial"/>
          <w:sz w:val="19"/>
          <w:szCs w:val="19"/>
          <w:color w:val="auto"/>
        </w:rPr>
        <w:t>.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11.03</w:t>
      </w:r>
      <w:r>
        <w:rPr>
          <w:sz w:val="20"/>
          <w:szCs w:val="20"/>
          <w:color w:val="auto"/>
        </w:rPr>
        <w:tab/>
      </w:r>
      <w:r>
        <w:rPr>
          <w:rFonts w:ascii="Arial" w:cs="Arial" w:eastAsia="Arial" w:hAnsi="Arial"/>
          <w:sz w:val="16"/>
          <w:szCs w:val="16"/>
          <w:b w:val="1"/>
          <w:bCs w:val="1"/>
          <w:u w:val="single" w:color="auto"/>
          <w:color w:val="auto"/>
        </w:rPr>
        <w:t>No Waiver; Cumulative Remedies; Enforcement.</w:t>
      </w:r>
    </w:p>
    <w:p>
      <w:pPr>
        <w:spacing w:after="0" w:line="222" w:lineRule="exact"/>
        <w:rPr>
          <w:sz w:val="20"/>
          <w:szCs w:val="20"/>
          <w:color w:val="auto"/>
        </w:rPr>
      </w:pPr>
    </w:p>
    <w:p>
      <w:pPr>
        <w:jc w:val="both"/>
        <w:ind w:firstLine="789"/>
        <w:spacing w:after="0" w:line="259" w:lineRule="auto"/>
        <w:tabs>
          <w:tab w:leader="none" w:pos="1665" w:val="left"/>
        </w:tabs>
        <w:numPr>
          <w:ilvl w:val="0"/>
          <w:numId w:val="215"/>
        </w:numPr>
        <w:rPr>
          <w:rFonts w:ascii="Arial" w:cs="Arial" w:eastAsia="Arial" w:hAnsi="Arial"/>
          <w:sz w:val="19"/>
          <w:szCs w:val="19"/>
          <w:color w:val="auto"/>
        </w:rPr>
      </w:pPr>
      <w:r>
        <w:rPr>
          <w:rFonts w:ascii="Arial" w:cs="Arial" w:eastAsia="Arial" w:hAnsi="Arial"/>
          <w:sz w:val="19"/>
          <w:szCs w:val="19"/>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8" w:lineRule="exact"/>
        <w:rPr>
          <w:rFonts w:ascii="Arial" w:cs="Arial" w:eastAsia="Arial" w:hAnsi="Arial"/>
          <w:sz w:val="19"/>
          <w:szCs w:val="19"/>
          <w:color w:val="auto"/>
        </w:rPr>
      </w:pPr>
    </w:p>
    <w:p>
      <w:pPr>
        <w:jc w:val="both"/>
        <w:ind w:firstLine="789"/>
        <w:spacing w:after="0" w:line="274" w:lineRule="auto"/>
        <w:tabs>
          <w:tab w:leader="none" w:pos="167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17" w:name="page218"/>
    <w:bookmarkEnd w:id="217"/>
    <w:p>
      <w:pPr>
        <w:jc w:val="both"/>
        <w:ind w:left="8"/>
        <w:spacing w:after="0" w:line="273" w:lineRule="auto"/>
        <w:rPr>
          <w:sz w:val="20"/>
          <w:szCs w:val="20"/>
          <w:color w:val="auto"/>
        </w:rPr>
      </w:pPr>
      <w:r>
        <w:rPr>
          <w:rFonts w:ascii="Arial" w:cs="Arial" w:eastAsia="Arial" w:hAnsi="Arial"/>
          <w:sz w:val="18"/>
          <w:szCs w:val="18"/>
          <w:color w:val="auto"/>
        </w:rPr>
        <w:t xml:space="preserve">that inure to its benefit (solely in its capacity as L/C Issuer or Swingline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i w:val="1"/>
          <w:iCs w:val="1"/>
          <w:color w:val="auto"/>
        </w:rPr>
        <w:t>provided</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w:t>
      </w:r>
      <w:r>
        <w:rPr>
          <w:rFonts w:ascii="Arial" w:cs="Arial" w:eastAsia="Arial" w:hAnsi="Arial"/>
          <w:sz w:val="18"/>
          <w:szCs w:val="18"/>
          <w:u w:val="single" w:color="auto"/>
          <w:color w:val="auto"/>
        </w:rPr>
        <w:t>c</w:t>
      </w:r>
      <w:r>
        <w:rPr>
          <w:rFonts w:ascii="Arial" w:cs="Arial" w:eastAsia="Arial" w:hAnsi="Arial"/>
          <w:sz w:val="18"/>
          <w:szCs w:val="18"/>
          <w:color w:val="auto"/>
        </w:rPr>
        <w:t>)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62" w:lineRule="exact"/>
        <w:rPr>
          <w:sz w:val="20"/>
          <w:szCs w:val="20"/>
          <w:color w:val="auto"/>
        </w:rPr>
      </w:pPr>
    </w:p>
    <w:p>
      <w:pPr>
        <w:ind w:left="8"/>
        <w:spacing w:after="0"/>
        <w:tabs>
          <w:tab w:leader="none" w:pos="1068"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6"/>
          <w:szCs w:val="16"/>
          <w:b w:val="1"/>
          <w:bCs w:val="1"/>
          <w:u w:val="single" w:color="auto"/>
          <w:color w:val="auto"/>
        </w:rPr>
        <w:t>Expenses; Indemnity; Damage Waiver.</w:t>
      </w:r>
    </w:p>
    <w:p>
      <w:pPr>
        <w:spacing w:after="0" w:line="222" w:lineRule="exact"/>
        <w:rPr>
          <w:sz w:val="20"/>
          <w:szCs w:val="20"/>
          <w:color w:val="auto"/>
        </w:rPr>
      </w:pPr>
    </w:p>
    <w:p>
      <w:pPr>
        <w:jc w:val="both"/>
        <w:ind w:left="8" w:firstLine="789"/>
        <w:spacing w:after="0" w:line="268" w:lineRule="auto"/>
        <w:tabs>
          <w:tab w:leader="none" w:pos="1673"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Loan Parties shall pay (i) all reasonable out-of-pocket expenses incurred by the Administrative Agent and its Affiliates (including, but not limited to, (A) the reasonable fees, charges and out-of-pocket disbursements of one primary counsel for the Administrative Agent and its Affiliates, taken as a whole, and, if and to the extent deemed reasonably necessary by the Administrative Agent, one special and/or local counsel to the Administrative Agent and its Affiliates, taken as a whole, in each relevant specialty or jurisdiction, as applicable,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 thereunder and (iii) all out-of-pocket expenses incurred by the Administrative Agent, any Lender or the L/C Issuer (limited, in the case of legal fees and disbursements, to the reasonable fees and disbursements of (x) one primary counsel to the Administrative Agent, the L/C Issuer and the Lenders, taken as whole (and, in the case of any actual or potential conflict of interest, one additional counsel to each group of similarly situated persons, taken as a whole), and (y) if and to the extent deemed reasonably necessary by the Administrative Agent, one special and/or local counsel to the Administrative Agent, the L/C Issuer and the Lenders, taken as a whole, in each relevant specialty or jurisdiction, as applicable (and, in the case of any actual or potential conflict of interest, one additional special and/or local counsel to each group of similarly situated persons, taken as a whole, in each applicable specialty or jurisdiction, as applicable)), in connection with the enforcement or protection of its rights (A) in connection with this Agreement and the other Loan Documents, including its rights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83" w:lineRule="exact"/>
        <w:rPr>
          <w:rFonts w:ascii="Arial" w:cs="Arial" w:eastAsia="Arial" w:hAnsi="Arial"/>
          <w:sz w:val="18"/>
          <w:szCs w:val="18"/>
          <w:color w:val="auto"/>
        </w:rPr>
      </w:pPr>
    </w:p>
    <w:p>
      <w:pPr>
        <w:jc w:val="both"/>
        <w:ind w:left="8" w:firstLine="789"/>
        <w:spacing w:after="0" w:line="270" w:lineRule="auto"/>
        <w:tabs>
          <w:tab w:leader="none" w:pos="1684"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8"/>
          <w:szCs w:val="18"/>
          <w:i w:val="1"/>
          <w:iCs w:val="1"/>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(limited, in the case of legal fees and disbursements, to the reasonable fees and out-of-pocket disbursements of</w:t>
      </w:r>
    </w:p>
    <w:p>
      <w:pPr>
        <w:spacing w:after="0" w:line="2" w:lineRule="exact"/>
        <w:rPr>
          <w:rFonts w:ascii="Arial" w:cs="Arial" w:eastAsia="Arial" w:hAnsi="Arial"/>
          <w:sz w:val="18"/>
          <w:szCs w:val="18"/>
          <w:color w:val="auto"/>
        </w:rPr>
      </w:pPr>
    </w:p>
    <w:p>
      <w:pPr>
        <w:jc w:val="both"/>
        <w:ind w:left="8" w:hanging="8"/>
        <w:spacing w:after="0" w:line="260" w:lineRule="auto"/>
        <w:tabs>
          <w:tab w:leader="none" w:pos="301" w:val="left"/>
        </w:tabs>
        <w:numPr>
          <w:ilvl w:val="0"/>
          <w:numId w:val="217"/>
        </w:numPr>
        <w:rPr>
          <w:rFonts w:ascii="Arial" w:cs="Arial" w:eastAsia="Arial" w:hAnsi="Arial"/>
          <w:sz w:val="19"/>
          <w:szCs w:val="19"/>
          <w:color w:val="auto"/>
        </w:rPr>
      </w:pPr>
      <w:r>
        <w:rPr>
          <w:rFonts w:ascii="Arial" w:cs="Arial" w:eastAsia="Arial" w:hAnsi="Arial"/>
          <w:sz w:val="19"/>
          <w:szCs w:val="19"/>
          <w:color w:val="auto"/>
        </w:rPr>
        <w:t>one primary counsel to the Indemnitees, taken as a whole (and, in the case of any actual or potential conflict of interest, one additional counsel to each group of similarly situated Indemnitees, taken as a whole), and (y) if and to the extent deemed reasonably necessary, one special and/or local counsel to the Indemnitees, taken as a whole, in each relevant</w:t>
      </w:r>
    </w:p>
    <w:p>
      <w:pPr>
        <w:spacing w:after="0" w:line="181"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218" w:name="page219"/>
    <w:bookmarkEnd w:id="218"/>
    <w:p>
      <w:pPr>
        <w:jc w:val="both"/>
        <w:spacing w:after="0" w:line="268" w:lineRule="auto"/>
        <w:rPr>
          <w:sz w:val="20"/>
          <w:szCs w:val="20"/>
          <w:color w:val="auto"/>
        </w:rPr>
      </w:pPr>
      <w:r>
        <w:rPr>
          <w:rFonts w:ascii="Arial" w:cs="Arial" w:eastAsia="Arial" w:hAnsi="Arial"/>
          <w:sz w:val="18"/>
          <w:szCs w:val="18"/>
          <w:color w:val="auto"/>
        </w:rPr>
        <w:t xml:space="preserve">specialty or jurisdiction, as applicable, (and, in the case of any actual or potential conflict of interest, one additional special and/or local counsel to each group of similarly situated Indemnitees, taken as a whole, in each applicable specialty or jurisdiction, as applicable)),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breach of such Indemnitee’s funding obligations or other material obligations hereunder or under any other Loan Document, if the Borrower or such Loan Party has obtained a final and non-appealable judgment in its favor on such claim as determined by a court of competent jurisdiction, or (z) result from a claim not involving an act or omission of the Borrower and that is brought by an Indemnitee against another Indemnitee (other than against the Arranger or the Administrative Agent in their capacities as such).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11.04(b</w:t>
      </w:r>
      <w:r>
        <w:rPr>
          <w:rFonts w:ascii="Arial" w:cs="Arial" w:eastAsia="Arial" w:hAnsi="Arial"/>
          <w:sz w:val="18"/>
          <w:szCs w:val="18"/>
          <w:color w:val="auto"/>
        </w:rPr>
        <w:t>) shall not apply with respect to Taxes other than any Taxes that represent losses, claims, damages, etc. arising from any non-Tax claim.</w:t>
      </w:r>
    </w:p>
    <w:p>
      <w:pPr>
        <w:spacing w:after="0" w:line="177" w:lineRule="exact"/>
        <w:rPr>
          <w:sz w:val="20"/>
          <w:szCs w:val="20"/>
          <w:color w:val="auto"/>
        </w:rPr>
      </w:pPr>
    </w:p>
    <w:p>
      <w:pPr>
        <w:jc w:val="both"/>
        <w:ind w:firstLine="789"/>
        <w:spacing w:after="0" w:line="270" w:lineRule="auto"/>
        <w:tabs>
          <w:tab w:leader="none" w:pos="1665"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Loan Parties for any reason fail to indefeasibly pay any amount required under </w:t>
      </w:r>
      <w:r>
        <w:rPr>
          <w:rFonts w:ascii="Arial" w:cs="Arial" w:eastAsia="Arial" w:hAnsi="Arial"/>
          <w:sz w:val="18"/>
          <w:szCs w:val="18"/>
          <w:u w:val="single" w:color="auto"/>
          <w:color w:val="auto"/>
        </w:rPr>
        <w:t>clauses (a</w:t>
      </w:r>
      <w:r>
        <w:rPr>
          <w:rFonts w:ascii="Arial" w:cs="Arial" w:eastAsia="Arial" w:hAnsi="Arial"/>
          <w:sz w:val="18"/>
          <w:szCs w:val="18"/>
          <w:color w:val="auto"/>
        </w:rPr>
        <w:t>)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8"/>
          <w:szCs w:val="18"/>
          <w:i w:val="1"/>
          <w:iCs w:val="1"/>
          <w:color w:val="auto"/>
        </w:rPr>
        <w:t>provided</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unreimbursed expense or indemnified loss, claim, damage, liability or related expense, as the case may be,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7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19" w:name="page220"/>
    <w:bookmarkEnd w:id="219"/>
    <w:p>
      <w:pPr>
        <w:jc w:val="both"/>
        <w:ind w:left="880" w:firstLine="789"/>
        <w:spacing w:after="0" w:line="269" w:lineRule="auto"/>
        <w:tabs>
          <w:tab w:leader="none" w:pos="2556"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To the fullest extent permitted by applicable Law, no Indemnitee shall assert, and each Indemnitee party hereto hereby waives, and acknowledges that no other Person shall have, any claim against any Loan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that, the foregoing shall in no event limit the Borrower’s indemnification obligations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to the extent such special, indirect, consequential or punitive damages are included in any third-party claim in connection with which such Indemnitee is otherwise entitled to indemnification hereunder. No Indemnitee referred to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76" w:lineRule="exact"/>
        <w:rPr>
          <w:rFonts w:ascii="Arial" w:cs="Arial" w:eastAsia="Arial" w:hAnsi="Arial"/>
          <w:sz w:val="18"/>
          <w:szCs w:val="18"/>
          <w:color w:val="auto"/>
        </w:rPr>
      </w:pPr>
    </w:p>
    <w:p>
      <w:pPr>
        <w:ind w:left="880" w:firstLine="789"/>
        <w:spacing w:after="0" w:line="260" w:lineRule="auto"/>
        <w:tabs>
          <w:tab w:leader="none" w:pos="2545"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w:t>
      </w:r>
      <w:r>
        <w:rPr>
          <w:rFonts w:ascii="Arial" w:cs="Arial" w:eastAsia="Arial" w:hAnsi="Arial"/>
          <w:sz w:val="20"/>
          <w:szCs w:val="20"/>
          <w:u w:val="single" w:color="auto"/>
          <w:color w:val="auto"/>
        </w:rPr>
        <w:t>Section 11.04</w:t>
      </w:r>
      <w:r>
        <w:rPr>
          <w:rFonts w:ascii="Arial" w:cs="Arial" w:eastAsia="Arial" w:hAnsi="Arial"/>
          <w:sz w:val="20"/>
          <w:szCs w:val="20"/>
          <w:color w:val="auto"/>
        </w:rPr>
        <w:t xml:space="preserve"> shall be payable not later than ten (10) Business Days after demand therefor.</w:t>
      </w:r>
    </w:p>
    <w:p>
      <w:pPr>
        <w:spacing w:after="0" w:line="176" w:lineRule="exact"/>
        <w:rPr>
          <w:rFonts w:ascii="Arial" w:cs="Arial" w:eastAsia="Arial" w:hAnsi="Arial"/>
          <w:sz w:val="20"/>
          <w:szCs w:val="20"/>
          <w:color w:val="auto"/>
        </w:rPr>
      </w:pPr>
    </w:p>
    <w:p>
      <w:pPr>
        <w:jc w:val="both"/>
        <w:ind w:left="880" w:firstLine="789"/>
        <w:spacing w:after="0" w:line="291" w:lineRule="auto"/>
        <w:tabs>
          <w:tab w:leader="none" w:pos="2523"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shall survive the resignation of the Administrative Agent, the L/C Issuer and the Swingline Lender, the replacement of any Lender, the termination of the Aggregate Commitments and the repayment, satisfaction or discharge of all the other Obligations.</w:t>
      </w:r>
    </w:p>
    <w:p>
      <w:pPr>
        <w:spacing w:after="0" w:line="14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16"/>
          <w:szCs w:val="16"/>
          <w:b w:val="1"/>
          <w:bCs w:val="1"/>
          <w:u w:val="single" w:color="auto"/>
          <w:color w:val="auto"/>
        </w:rPr>
        <w:t>Payments Set Aside</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Arial" w:cs="Arial" w:eastAsia="Arial" w:hAnsi="Arial"/>
          <w:sz w:val="19"/>
          <w:szCs w:val="19"/>
          <w:u w:val="single" w:color="auto"/>
          <w:color w:val="auto"/>
        </w:rPr>
        <w:t>clause (b</w:t>
      </w:r>
      <w:r>
        <w:rPr>
          <w:rFonts w:ascii="Arial" w:cs="Arial" w:eastAsia="Arial" w:hAnsi="Arial"/>
          <w:sz w:val="19"/>
          <w:szCs w:val="19"/>
          <w:color w:val="auto"/>
        </w:rPr>
        <w:t>) of the preceding sentence shall survive the payment in full of the Obligations and the termination of this Agreement.</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16"/>
          <w:szCs w:val="16"/>
          <w:b w:val="1"/>
          <w:bCs w:val="1"/>
          <w:u w:val="single" w:color="auto"/>
          <w:color w:val="auto"/>
        </w:rPr>
        <w:t>Successors and Assigns.</w:t>
      </w:r>
    </w:p>
    <w:p>
      <w:pPr>
        <w:spacing w:after="0" w:line="222" w:lineRule="exact"/>
        <w:rPr>
          <w:sz w:val="20"/>
          <w:szCs w:val="20"/>
          <w:color w:val="auto"/>
        </w:rPr>
      </w:pPr>
    </w:p>
    <w:p>
      <w:pPr>
        <w:ind w:left="880" w:firstLine="789"/>
        <w:spacing w:after="0" w:line="260" w:lineRule="auto"/>
        <w:tabs>
          <w:tab w:leader="none" w:pos="2545"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Successors and Assigns Generally</w:t>
      </w:r>
      <w:r>
        <w:rPr>
          <w:rFonts w:ascii="Arial" w:cs="Arial" w:eastAsia="Arial" w:hAnsi="Arial"/>
          <w:sz w:val="20"/>
          <w:szCs w:val="20"/>
          <w:color w:val="auto"/>
        </w:rPr>
        <w:t>. The provisions of this Agreement and the other Loan Documents shall be binding upon and inure to the benefit of the parties hereto and thereto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0" w:name="page221"/>
    <w:bookmarkEnd w:id="220"/>
    <w:p>
      <w:pPr>
        <w:jc w:val="both"/>
        <w:spacing w:after="0" w:line="255" w:lineRule="auto"/>
        <w:rPr>
          <w:sz w:val="20"/>
          <w:szCs w:val="20"/>
          <w:color w:val="auto"/>
        </w:rPr>
      </w:pPr>
      <w:r>
        <w:rPr>
          <w:rFonts w:ascii="Arial" w:cs="Arial" w:eastAsia="Arial" w:hAnsi="Arial"/>
          <w:sz w:val="19"/>
          <w:szCs w:val="19"/>
          <w:color w:val="auto"/>
        </w:rPr>
        <w:t xml:space="preserve">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11.06(e</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Section 11.06(d</w:t>
      </w:r>
      <w:r>
        <w:rPr>
          <w:rFonts w:ascii="Arial" w:cs="Arial" w:eastAsia="Arial" w:hAnsi="Arial"/>
          <w:sz w:val="19"/>
          <w:szCs w:val="19"/>
          <w:color w:val="auto"/>
        </w:rPr>
        <w:t>) and, to the extent expressly contemplated hereby, the Related Parties of each of the Administrative Agent, the L/C Issuer and the Lenders) any legal or equitable right, remedy or claim under or by reason of this Agreement.</w:t>
      </w:r>
    </w:p>
    <w:p>
      <w:pPr>
        <w:spacing w:after="0" w:line="190" w:lineRule="exact"/>
        <w:rPr>
          <w:sz w:val="20"/>
          <w:szCs w:val="20"/>
          <w:color w:val="auto"/>
        </w:rPr>
      </w:pPr>
    </w:p>
    <w:p>
      <w:pPr>
        <w:jc w:val="both"/>
        <w:ind w:firstLine="789"/>
        <w:spacing w:after="0" w:line="282" w:lineRule="auto"/>
        <w:tabs>
          <w:tab w:leader="none" w:pos="1676"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participations in L/C Obligations and in Swingline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with respect to any Facility) any such assignment shall be subject to the following conditions:</w:t>
      </w:r>
    </w:p>
    <w:p>
      <w:pPr>
        <w:spacing w:after="0" w:line="161" w:lineRule="exact"/>
        <w:rPr>
          <w:rFonts w:ascii="Arial" w:cs="Arial" w:eastAsia="Arial" w:hAnsi="Arial"/>
          <w:sz w:val="18"/>
          <w:szCs w:val="18"/>
          <w:color w:val="auto"/>
        </w:rPr>
      </w:pPr>
    </w:p>
    <w:p>
      <w:pPr>
        <w:ind w:left="2420" w:hanging="834"/>
        <w:spacing w:after="0"/>
        <w:tabs>
          <w:tab w:leader="none" w:pos="2420"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720" w:firstLine="664"/>
        <w:spacing w:after="0" w:line="259" w:lineRule="auto"/>
        <w:tabs>
          <w:tab w:leader="none" w:pos="3307" w:val="left"/>
        </w:tabs>
        <w:numPr>
          <w:ilvl w:val="2"/>
          <w:numId w:val="221"/>
        </w:numPr>
        <w:rPr>
          <w:rFonts w:ascii="Arial" w:cs="Arial" w:eastAsia="Arial" w:hAnsi="Arial"/>
          <w:sz w:val="19"/>
          <w:szCs w:val="19"/>
          <w:color w:val="auto"/>
        </w:rPr>
      </w:pPr>
      <w:r>
        <w:rPr>
          <w:rFonts w:ascii="Arial" w:cs="Arial" w:eastAsia="Arial" w:hAnsi="Arial"/>
          <w:sz w:val="19"/>
          <w:szCs w:val="19"/>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Arial" w:cs="Arial" w:eastAsia="Arial" w:hAnsi="Arial"/>
          <w:sz w:val="19"/>
          <w:szCs w:val="19"/>
          <w:u w:val="single" w:color="auto"/>
          <w:color w:val="auto"/>
        </w:rPr>
        <w:t>clause (b)(i)(B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in the aggregate or in the case of an assignment to a Lender, an Affiliate of a Lender or an Approved Fund, no minimum amount need be assigned; and</w:t>
      </w:r>
    </w:p>
    <w:p>
      <w:pPr>
        <w:spacing w:after="0" w:line="178" w:lineRule="exact"/>
        <w:rPr>
          <w:rFonts w:ascii="Arial" w:cs="Arial" w:eastAsia="Arial" w:hAnsi="Arial"/>
          <w:sz w:val="19"/>
          <w:szCs w:val="19"/>
          <w:color w:val="auto"/>
        </w:rPr>
      </w:pPr>
    </w:p>
    <w:p>
      <w:pPr>
        <w:jc w:val="both"/>
        <w:ind w:left="1720" w:firstLine="664"/>
        <w:spacing w:after="0" w:line="255" w:lineRule="auto"/>
        <w:tabs>
          <w:tab w:leader="none" w:pos="3296" w:val="left"/>
        </w:tabs>
        <w:numPr>
          <w:ilvl w:val="2"/>
          <w:numId w:val="221"/>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clause (b)(i)(A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11.06</w:t>
      </w:r>
      <w:r>
        <w:rPr>
          <w:rFonts w:ascii="Arial" w:cs="Arial" w:eastAsia="Arial" w:hAnsi="Arial"/>
          <w:sz w:val="19"/>
          <w:szCs w:val="19"/>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$1,000,000, in the case of any assignment in respect of the Term Facility or the Incremental Term Facility, unless each of the Administrative Agent and, so long as no Event of Default has occurred and is continuing, the Borrower otherwise consents (each such consent not to be unreasonably withheld, conditioned or delayed).</w:t>
      </w:r>
    </w:p>
    <w:p>
      <w:pPr>
        <w:spacing w:after="0" w:line="189" w:lineRule="exact"/>
        <w:rPr>
          <w:rFonts w:ascii="Arial" w:cs="Arial" w:eastAsia="Arial" w:hAnsi="Arial"/>
          <w:sz w:val="19"/>
          <w:szCs w:val="19"/>
          <w:color w:val="auto"/>
        </w:rPr>
      </w:pPr>
    </w:p>
    <w:p>
      <w:pPr>
        <w:jc w:val="both"/>
        <w:ind w:left="860" w:firstLine="726"/>
        <w:spacing w:after="0" w:line="246" w:lineRule="auto"/>
        <w:tabs>
          <w:tab w:leader="none" w:pos="2480" w:val="left"/>
        </w:tabs>
        <w:numPr>
          <w:ilvl w:val="1"/>
          <w:numId w:val="221"/>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Arial" w:cs="Arial" w:eastAsia="Arial" w:hAnsi="Arial"/>
          <w:sz w:val="20"/>
          <w:szCs w:val="20"/>
          <w:u w:val="single" w:color="auto"/>
          <w:color w:val="auto"/>
        </w:rPr>
        <w:t>clause (b)(ii</w:t>
      </w:r>
      <w:r>
        <w:rPr>
          <w:rFonts w:ascii="Arial" w:cs="Arial" w:eastAsia="Arial" w:hAnsi="Arial"/>
          <w:sz w:val="20"/>
          <w:szCs w:val="20"/>
          <w:color w:val="auto"/>
        </w:rPr>
        <w:t>) shall not apply to the Swingline Lender’s rights and obligations in respect of Swingline Loans.</w:t>
      </w:r>
    </w:p>
    <w:p>
      <w:pPr>
        <w:spacing w:after="0" w:line="19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21" w:name="page222"/>
    <w:bookmarkEnd w:id="221"/>
    <w:p>
      <w:pPr>
        <w:ind w:left="620" w:firstLine="726"/>
        <w:spacing w:after="0" w:line="260" w:lineRule="auto"/>
        <w:tabs>
          <w:tab w:leader="none" w:pos="2295"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clause (b)(i)(B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and, in addition:</w:t>
      </w:r>
    </w:p>
    <w:p>
      <w:pPr>
        <w:spacing w:after="0" w:line="176" w:lineRule="exact"/>
        <w:rPr>
          <w:rFonts w:ascii="Arial" w:cs="Arial" w:eastAsia="Arial" w:hAnsi="Arial"/>
          <w:sz w:val="20"/>
          <w:szCs w:val="20"/>
          <w:color w:val="auto"/>
        </w:rPr>
      </w:pPr>
    </w:p>
    <w:p>
      <w:pPr>
        <w:jc w:val="both"/>
        <w:ind w:left="1480" w:firstLine="664"/>
        <w:spacing w:after="0" w:line="257" w:lineRule="auto"/>
        <w:tabs>
          <w:tab w:leader="none" w:pos="3067" w:val="left"/>
        </w:tabs>
        <w:numPr>
          <w:ilvl w:val="1"/>
          <w:numId w:val="222"/>
        </w:numPr>
        <w:rPr>
          <w:rFonts w:ascii="Arial" w:cs="Arial" w:eastAsia="Arial" w:hAnsi="Arial"/>
          <w:sz w:val="19"/>
          <w:szCs w:val="19"/>
          <w:color w:val="auto"/>
        </w:rPr>
      </w:pPr>
      <w:r>
        <w:rPr>
          <w:rFonts w:ascii="Arial" w:cs="Arial" w:eastAsia="Arial" w:hAnsi="Arial"/>
          <w:sz w:val="19"/>
          <w:szCs w:val="19"/>
          <w:color w:val="auto"/>
        </w:rPr>
        <w:t xml:space="preserve">the consent of the Borrower (such consent not to be unreasonably withheld, conditioned or delayed) shall be required unless (1) a Specified Event of Default has occurred and is continuing at the time of such assignment or (2) such assignment is to a Lender, an Affiliate of a Lender or an Approved 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five (5) Business Days after having received notice thereof (such notice to the Borrower to be made, for the avoidance of doubt, in accordance with the provisions of </w:t>
      </w:r>
      <w:r>
        <w:rPr>
          <w:rFonts w:ascii="Arial" w:cs="Arial" w:eastAsia="Arial" w:hAnsi="Arial"/>
          <w:sz w:val="19"/>
          <w:szCs w:val="19"/>
          <w:u w:val="single" w:color="auto"/>
          <w:color w:val="auto"/>
        </w:rPr>
        <w:t>Section 11.02</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left="1480" w:firstLine="664"/>
        <w:spacing w:after="0" w:line="243" w:lineRule="auto"/>
        <w:tabs>
          <w:tab w:leader="none" w:pos="3056" w:val="left"/>
        </w:tabs>
        <w:numPr>
          <w:ilvl w:val="1"/>
          <w:numId w:val="222"/>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conditioned or delayed) shall be required for assignments in respect of (1) any unfunded Incremental Term Commitment or any Revolving Commitment if such assignment is to a Person that is not a Lender with a Commitment in respect of the applicable Facility, an Affiliate of such Lender or an Approved Fund with respect to such Lender or (2) any Incremental Term Loan to a Person that is not a Lender, an Affiliate of a Lender or an Approved Fund; and</w:t>
      </w:r>
    </w:p>
    <w:p>
      <w:pPr>
        <w:spacing w:after="0" w:line="195" w:lineRule="exact"/>
        <w:rPr>
          <w:rFonts w:ascii="Arial" w:cs="Arial" w:eastAsia="Arial" w:hAnsi="Arial"/>
          <w:sz w:val="20"/>
          <w:szCs w:val="20"/>
          <w:color w:val="auto"/>
        </w:rPr>
      </w:pPr>
    </w:p>
    <w:p>
      <w:pPr>
        <w:ind w:left="1480" w:right="20" w:firstLine="664"/>
        <w:spacing w:after="0" w:line="260" w:lineRule="auto"/>
        <w:tabs>
          <w:tab w:leader="none" w:pos="3056" w:val="left"/>
        </w:tabs>
        <w:numPr>
          <w:ilvl w:val="1"/>
          <w:numId w:val="222"/>
        </w:numPr>
        <w:rPr>
          <w:rFonts w:ascii="Arial" w:cs="Arial" w:eastAsia="Arial" w:hAnsi="Arial"/>
          <w:sz w:val="20"/>
          <w:szCs w:val="20"/>
          <w:color w:val="auto"/>
        </w:rPr>
      </w:pPr>
      <w:r>
        <w:rPr>
          <w:rFonts w:ascii="Arial" w:cs="Arial" w:eastAsia="Arial" w:hAnsi="Arial"/>
          <w:sz w:val="20"/>
          <w:szCs w:val="20"/>
          <w:color w:val="auto"/>
        </w:rPr>
        <w:t>the consent of the L/C Issuer and the Swingline Lender shall be required for any assignment in respect of the Revolving Facility.</w:t>
      </w:r>
    </w:p>
    <w:p>
      <w:pPr>
        <w:spacing w:after="0" w:line="176" w:lineRule="exact"/>
        <w:rPr>
          <w:rFonts w:ascii="Arial" w:cs="Arial" w:eastAsia="Arial" w:hAnsi="Arial"/>
          <w:sz w:val="20"/>
          <w:szCs w:val="20"/>
          <w:color w:val="auto"/>
        </w:rPr>
      </w:pPr>
    </w:p>
    <w:p>
      <w:pPr>
        <w:jc w:val="both"/>
        <w:ind w:left="620" w:firstLine="726"/>
        <w:spacing w:after="0" w:line="244" w:lineRule="auto"/>
        <w:tabs>
          <w:tab w:leader="none" w:pos="2284"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4" w:lineRule="exact"/>
        <w:rPr>
          <w:rFonts w:ascii="Arial" w:cs="Arial" w:eastAsia="Arial" w:hAnsi="Arial"/>
          <w:sz w:val="20"/>
          <w:szCs w:val="20"/>
          <w:color w:val="auto"/>
        </w:rPr>
      </w:pPr>
    </w:p>
    <w:p>
      <w:pPr>
        <w:jc w:val="both"/>
        <w:ind w:left="620" w:firstLine="726"/>
        <w:spacing w:after="0" w:line="260" w:lineRule="auto"/>
        <w:tabs>
          <w:tab w:leader="none" w:pos="2229"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9"/>
          <w:szCs w:val="19"/>
          <w:u w:val="single" w:color="auto"/>
          <w:color w:val="auto"/>
        </w:rPr>
        <w:t>clause (B</w:t>
      </w:r>
      <w:r>
        <w:rPr>
          <w:rFonts w:ascii="Arial" w:cs="Arial" w:eastAsia="Arial" w:hAnsi="Arial"/>
          <w:sz w:val="19"/>
          <w:szCs w:val="19"/>
          <w:color w:val="auto"/>
        </w:rPr>
        <w:t>), or (C) to a natural Person (or a holding company, investment vehicle or trust for, or owned and operated by or for the primary benefit of one or more natural Persons).</w:t>
      </w:r>
    </w:p>
    <w:p>
      <w:pPr>
        <w:spacing w:after="0" w:line="180" w:lineRule="exact"/>
        <w:rPr>
          <w:rFonts w:ascii="Arial" w:cs="Arial" w:eastAsia="Arial" w:hAnsi="Arial"/>
          <w:sz w:val="19"/>
          <w:szCs w:val="19"/>
          <w:color w:val="auto"/>
        </w:rPr>
      </w:pPr>
    </w:p>
    <w:p>
      <w:pPr>
        <w:jc w:val="both"/>
        <w:ind w:left="620" w:firstLine="726"/>
        <w:spacing w:after="0" w:line="271" w:lineRule="auto"/>
        <w:tabs>
          <w:tab w:leader="none" w:pos="2284"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Swingline Loans in</w:t>
      </w:r>
    </w:p>
    <w:p>
      <w:pPr>
        <w:spacing w:after="0" w:line="1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222" w:name="page223"/>
    <w:bookmarkEnd w:id="222"/>
    <w:p>
      <w:pPr>
        <w:jc w:val="both"/>
        <w:ind w:left="620"/>
        <w:spacing w:after="0" w:line="263" w:lineRule="auto"/>
        <w:rPr>
          <w:sz w:val="20"/>
          <w:szCs w:val="20"/>
          <w:color w:val="auto"/>
        </w:rPr>
      </w:pPr>
      <w:r>
        <w:rPr>
          <w:rFonts w:ascii="Arial" w:cs="Arial" w:eastAsia="Arial" w:hAnsi="Arial"/>
          <w:sz w:val="19"/>
          <w:szCs w:val="19"/>
          <w:color w:val="auto"/>
        </w:rPr>
        <w:t xml:space="preserve">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19"/>
          <w:szCs w:val="19"/>
          <w:u w:val="single" w:color="auto"/>
          <w:color w:val="auto"/>
        </w:rPr>
        <w:t>clause (b)(vi</w:t>
      </w:r>
      <w:r>
        <w:rPr>
          <w:rFonts w:ascii="Arial" w:cs="Arial" w:eastAsia="Arial" w:hAnsi="Arial"/>
          <w:sz w:val="19"/>
          <w:szCs w:val="19"/>
          <w:color w:val="auto"/>
        </w:rPr>
        <w:t>), then the assignee of such interest shall be deemed to be a Defaulting Lender for all purposes of this Agreement until such compliance occurs.</w:t>
      </w:r>
    </w:p>
    <w:p>
      <w:pPr>
        <w:spacing w:after="0" w:line="176" w:lineRule="exact"/>
        <w:rPr>
          <w:sz w:val="20"/>
          <w:szCs w:val="20"/>
          <w:color w:val="auto"/>
        </w:rPr>
      </w:pPr>
    </w:p>
    <w:p>
      <w:pPr>
        <w:jc w:val="both"/>
        <w:ind w:left="620" w:firstLine="726"/>
        <w:spacing w:after="0" w:line="269" w:lineRule="auto"/>
        <w:tabs>
          <w:tab w:leader="none" w:pos="233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11.06(c</w:t>
      </w:r>
      <w:r>
        <w:rPr>
          <w:rFonts w:ascii="Arial" w:cs="Arial" w:eastAsia="Arial" w:hAnsi="Arial"/>
          <w:sz w:val="18"/>
          <w:szCs w:val="18"/>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240" w:firstLine="789"/>
        <w:spacing w:after="0" w:line="272" w:lineRule="auto"/>
        <w:tabs>
          <w:tab w:leader="none" w:pos="1425"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Arial" w:cs="Arial" w:eastAsia="Arial" w:hAnsi="Arial"/>
          <w:sz w:val="18"/>
          <w:szCs w:val="18"/>
          <w:i w:val="1"/>
          <w:iCs w:val="1"/>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70" w:lineRule="exact"/>
        <w:rPr>
          <w:rFonts w:ascii="Arial" w:cs="Arial" w:eastAsia="Arial" w:hAnsi="Arial"/>
          <w:sz w:val="18"/>
          <w:szCs w:val="18"/>
          <w:color w:val="auto"/>
        </w:rPr>
      </w:pPr>
    </w:p>
    <w:p>
      <w:pPr>
        <w:ind w:left="1420" w:hanging="871"/>
        <w:spacing w:after="0"/>
        <w:tabs>
          <w:tab w:leader="none" w:pos="1420"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20" w:firstLine="726"/>
        <w:spacing w:after="0" w:line="256" w:lineRule="auto"/>
        <w:tabs>
          <w:tab w:leader="none" w:pos="2186" w:val="left"/>
        </w:tabs>
        <w:numPr>
          <w:ilvl w:val="1"/>
          <w:numId w:val="224"/>
        </w:numPr>
        <w:rPr>
          <w:rFonts w:ascii="Arial" w:cs="Arial" w:eastAsia="Arial" w:hAnsi="Arial"/>
          <w:sz w:val="19"/>
          <w:szCs w:val="19"/>
          <w:color w:val="auto"/>
        </w:rPr>
      </w:pPr>
      <w:r>
        <w:rPr>
          <w:rFonts w:ascii="Arial" w:cs="Arial" w:eastAsia="Arial" w:hAnsi="Arial"/>
          <w:sz w:val="19"/>
          <w:szCs w:val="19"/>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9"/>
          <w:szCs w:val="19"/>
          <w:i w:val="1"/>
          <w:iCs w:val="1"/>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w:t>
      </w:r>
    </w:p>
    <w:p>
      <w:pPr>
        <w:spacing w:after="0" w:line="18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223" w:name="page224"/>
    <w:bookmarkEnd w:id="223"/>
    <w:p>
      <w:pPr>
        <w:jc w:val="both"/>
        <w:ind w:left="620"/>
        <w:spacing w:after="0" w:line="250" w:lineRule="auto"/>
        <w:rPr>
          <w:sz w:val="20"/>
          <w:szCs w:val="20"/>
          <w:color w:val="auto"/>
        </w:rPr>
      </w:pPr>
      <w:r>
        <w:rPr>
          <w:rFonts w:ascii="Arial" w:cs="Arial" w:eastAsia="Arial" w:hAnsi="Arial"/>
          <w:sz w:val="20"/>
          <w:szCs w:val="20"/>
          <w:color w:val="auto"/>
        </w:rPr>
        <w:t xml:space="preserve">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20"/>
          <w:szCs w:val="20"/>
          <w:u w:val="single" w:color="auto"/>
          <w:color w:val="auto"/>
        </w:rPr>
        <w:t>Section 11.04(c</w:t>
      </w:r>
      <w:r>
        <w:rPr>
          <w:rFonts w:ascii="Arial" w:cs="Arial" w:eastAsia="Arial" w:hAnsi="Arial"/>
          <w:sz w:val="20"/>
          <w:szCs w:val="20"/>
          <w:color w:val="auto"/>
        </w:rPr>
        <w:t>) without regard to the existence of any participations.</w:t>
      </w:r>
    </w:p>
    <w:p>
      <w:pPr>
        <w:spacing w:after="0" w:line="186" w:lineRule="exact"/>
        <w:rPr>
          <w:sz w:val="20"/>
          <w:szCs w:val="20"/>
          <w:color w:val="auto"/>
        </w:rPr>
      </w:pPr>
    </w:p>
    <w:p>
      <w:pPr>
        <w:jc w:val="both"/>
        <w:ind w:left="620" w:firstLine="726"/>
        <w:spacing w:after="0" w:line="267" w:lineRule="auto"/>
        <w:tabs>
          <w:tab w:leader="none" w:pos="22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that affects such Participant.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 shall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8"/>
          <w:szCs w:val="18"/>
          <w:i w:val="1"/>
          <w:iCs w:val="1"/>
          <w:u w:val="single" w:color="auto"/>
          <w:color w:val="auto"/>
        </w:rPr>
        <w:t>Participant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Register</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Lender shall have any obligation to disclose all or any portion of the Participant Register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3" w:lineRule="exact"/>
        <w:rPr>
          <w:rFonts w:ascii="Arial" w:cs="Arial" w:eastAsia="Arial" w:hAnsi="Arial"/>
          <w:sz w:val="18"/>
          <w:szCs w:val="18"/>
          <w:color w:val="auto"/>
        </w:rPr>
      </w:pPr>
    </w:p>
    <w:p>
      <w:pPr>
        <w:jc w:val="both"/>
        <w:ind w:left="-240" w:firstLine="789"/>
        <w:spacing w:after="0" w:line="282" w:lineRule="auto"/>
        <w:tabs>
          <w:tab w:leader="none" w:pos="142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207645</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224" w:name="page225"/>
    <w:bookmarkEnd w:id="224"/>
    <w:p>
      <w:pPr>
        <w:jc w:val="both"/>
        <w:ind w:left="800" w:firstLine="789"/>
        <w:spacing w:after="0" w:line="269" w:lineRule="auto"/>
        <w:tabs>
          <w:tab w:leader="none" w:pos="2443"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Swingline Lender after Assignment</w:t>
      </w:r>
      <w:r>
        <w:rPr>
          <w:rFonts w:ascii="Arial" w:cs="Arial" w:eastAsia="Arial" w:hAnsi="Arial"/>
          <w:sz w:val="18"/>
          <w:szCs w:val="18"/>
          <w:color w:val="auto"/>
        </w:rPr>
        <w:t xml:space="preserve">. Notwithstanding anything to the contrary contained herein, if at any time Bank of America assigns all of its Revolving Commitment and Revolving Loans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Bank of America may, (i) upon thirty (30) days’ notice to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Swingline Lender, and the acceptance of such appointment by such successor L/C Issuer 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1"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20"/>
          <w:szCs w:val="20"/>
          <w:u w:val="single" w:color="auto"/>
          <w:color w:val="auto"/>
        </w:rPr>
        <w:t>Disqualified Institutions</w:t>
      </w:r>
      <w:r>
        <w:rPr>
          <w:rFonts w:ascii="Arial" w:cs="Arial" w:eastAsia="Arial" w:hAnsi="Arial"/>
          <w:sz w:val="20"/>
          <w:szCs w:val="20"/>
          <w:color w:val="auto"/>
        </w:rPr>
        <w:t>.</w:t>
      </w:r>
    </w:p>
    <w:p>
      <w:pPr>
        <w:spacing w:after="0" w:line="216" w:lineRule="exact"/>
        <w:rPr>
          <w:sz w:val="20"/>
          <w:szCs w:val="20"/>
          <w:color w:val="auto"/>
        </w:rPr>
      </w:pPr>
    </w:p>
    <w:p>
      <w:pPr>
        <w:jc w:val="both"/>
        <w:ind w:left="1660" w:firstLine="726"/>
        <w:spacing w:after="0" w:line="259" w:lineRule="auto"/>
        <w:tabs>
          <w:tab w:leader="none" w:pos="322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No assignment shall be made to any Person that was a Disqualified Institution as of the date (the “</w:t>
      </w:r>
      <w:r>
        <w:rPr>
          <w:rFonts w:ascii="Arial" w:cs="Arial" w:eastAsia="Arial" w:hAnsi="Arial"/>
          <w:sz w:val="19"/>
          <w:szCs w:val="19"/>
          <w:i w:val="1"/>
          <w:iCs w:val="1"/>
          <w:u w:val="single" w:color="auto"/>
          <w:color w:val="auto"/>
        </w:rPr>
        <w:t>Trade Date</w:t>
      </w:r>
      <w:r>
        <w:rPr>
          <w:rFonts w:ascii="Arial" w:cs="Arial" w:eastAsia="Arial" w:hAnsi="Arial"/>
          <w:sz w:val="19"/>
          <w:szCs w:val="19"/>
          <w:color w:val="auto"/>
        </w:rPr>
        <w:t xml:space="preserve">”) on which the applicable Lender entered into a binding agreement to sell and assign or participate all or a portion of its rights and obligations under this Agreement to such Person (unless the Borrower has consented to such assignment as otherwise contemplated by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in which case such Person will not be considered a Disqualified Institution for the purpose of such assignment). Any assignment in violation of this </w:t>
      </w:r>
      <w:r>
        <w:rPr>
          <w:rFonts w:ascii="Arial" w:cs="Arial" w:eastAsia="Arial" w:hAnsi="Arial"/>
          <w:sz w:val="19"/>
          <w:szCs w:val="19"/>
          <w:u w:val="single" w:color="auto"/>
          <w:color w:val="auto"/>
        </w:rPr>
        <w:t>clause (g)(i</w:t>
      </w:r>
      <w:r>
        <w:rPr>
          <w:rFonts w:ascii="Arial" w:cs="Arial" w:eastAsia="Arial" w:hAnsi="Arial"/>
          <w:sz w:val="19"/>
          <w:szCs w:val="19"/>
          <w:color w:val="auto"/>
        </w:rPr>
        <w:t xml:space="preserve">) shall not be void, but the other provisions of this </w:t>
      </w:r>
      <w:r>
        <w:rPr>
          <w:rFonts w:ascii="Arial" w:cs="Arial" w:eastAsia="Arial" w:hAnsi="Arial"/>
          <w:sz w:val="19"/>
          <w:szCs w:val="19"/>
          <w:u w:val="single" w:color="auto"/>
          <w:color w:val="auto"/>
        </w:rPr>
        <w:t>clause (g</w:t>
      </w:r>
      <w:r>
        <w:rPr>
          <w:rFonts w:ascii="Arial" w:cs="Arial" w:eastAsia="Arial" w:hAnsi="Arial"/>
          <w:sz w:val="19"/>
          <w:szCs w:val="19"/>
          <w:color w:val="auto"/>
        </w:rPr>
        <w:t>) shall apply.</w:t>
      </w:r>
    </w:p>
    <w:p>
      <w:pPr>
        <w:spacing w:after="0" w:line="178" w:lineRule="exact"/>
        <w:rPr>
          <w:rFonts w:ascii="Arial" w:cs="Arial" w:eastAsia="Arial" w:hAnsi="Arial"/>
          <w:sz w:val="19"/>
          <w:szCs w:val="19"/>
          <w:color w:val="auto"/>
        </w:rPr>
      </w:pPr>
    </w:p>
    <w:p>
      <w:pPr>
        <w:jc w:val="both"/>
        <w:ind w:left="1660" w:firstLine="726"/>
        <w:spacing w:after="0" w:line="270" w:lineRule="auto"/>
        <w:tabs>
          <w:tab w:leader="none" w:pos="3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If any assignment is made to any Disqualified Institution without the Borrower’s prior consent in violation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or Incremental Term Loans held by Disqualified Institutions, prepay such Term Loan or Incremental Term Loans by paying the </w:t>
      </w:r>
      <w:r>
        <w:rPr>
          <w:rFonts w:ascii="Arial" w:cs="Arial" w:eastAsia="Arial" w:hAnsi="Arial"/>
          <w:sz w:val="18"/>
          <w:szCs w:val="18"/>
          <w:i w:val="1"/>
          <w:iCs w:val="1"/>
          <w:color w:val="auto"/>
        </w:rPr>
        <w:t>lesser of</w:t>
      </w:r>
      <w:r>
        <w:rPr>
          <w:rFonts w:ascii="Arial" w:cs="Arial" w:eastAsia="Arial" w:hAnsi="Arial"/>
          <w:sz w:val="18"/>
          <w:szCs w:val="18"/>
          <w:color w:val="auto"/>
        </w:rPr>
        <w:t xml:space="preserve"> (1) the principal amount thereof and (2) the amount that such Disqualified Institution paid to acquire such Term Loans or Incremental Term Loans, in each case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 rights and obligations under this Agreement and related Loan Documents to an Eligible Assignee that shall assume such obligations at the </w:t>
      </w:r>
      <w:r>
        <w:rPr>
          <w:rFonts w:ascii="Arial" w:cs="Arial" w:eastAsia="Arial" w:hAnsi="Arial"/>
          <w:sz w:val="18"/>
          <w:szCs w:val="18"/>
          <w:i w:val="1"/>
          <w:iCs w:val="1"/>
          <w:color w:val="auto"/>
        </w:rPr>
        <w:t>lesser of</w:t>
      </w:r>
      <w:r>
        <w:rPr>
          <w:rFonts w:ascii="Arial" w:cs="Arial" w:eastAsia="Arial" w:hAnsi="Arial"/>
          <w:sz w:val="18"/>
          <w:szCs w:val="18"/>
          <w:color w:val="auto"/>
        </w:rPr>
        <w:t xml:space="preserve"> (1) the principal</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207645</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66" w:right="339" w:bottom="1440" w:gutter="0" w:footer="0" w:header="0"/>
        </w:sectPr>
      </w:pPr>
    </w:p>
    <w:bookmarkStart w:id="225" w:name="page226"/>
    <w:bookmarkEnd w:id="225"/>
    <w:p>
      <w:pPr>
        <w:jc w:val="both"/>
        <w:ind w:left="860"/>
        <w:spacing w:after="0" w:line="259" w:lineRule="auto"/>
        <w:rPr>
          <w:sz w:val="20"/>
          <w:szCs w:val="20"/>
          <w:color w:val="auto"/>
        </w:rPr>
      </w:pPr>
      <w:r>
        <w:rPr>
          <w:rFonts w:ascii="Arial" w:cs="Arial" w:eastAsia="Arial" w:hAnsi="Arial"/>
          <w:sz w:val="19"/>
          <w:szCs w:val="19"/>
          <w:color w:val="auto"/>
        </w:rPr>
        <w:t xml:space="preserve">amount thereof and (2) the amount that such Disqualified Institution paid to acquire such interests, rights and obligations, in each case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interest, accrued fees and all other amounts (other than principal amounts) payable to it hereunder and other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(x) the Borrower shall have paid to the Administrative Agent the assignment fee (if any)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(y) such assignment does not conflict with Applicable Laws and (z) in the case of </w:t>
      </w:r>
      <w:r>
        <w:rPr>
          <w:rFonts w:ascii="Arial" w:cs="Arial" w:eastAsia="Arial" w:hAnsi="Arial"/>
          <w:sz w:val="19"/>
          <w:szCs w:val="19"/>
          <w:u w:val="single" w:color="auto"/>
          <w:color w:val="auto"/>
        </w:rPr>
        <w:t>clause (B</w:t>
      </w:r>
      <w:r>
        <w:rPr>
          <w:rFonts w:ascii="Arial" w:cs="Arial" w:eastAsia="Arial" w:hAnsi="Arial"/>
          <w:sz w:val="19"/>
          <w:szCs w:val="19"/>
          <w:color w:val="auto"/>
        </w:rPr>
        <w:t>), the Borrower shall not use the proceeds from any Loans to prepay Term Loans or Incremental Term Loans held by Disqualified Institutions.</w:t>
      </w:r>
    </w:p>
    <w:p>
      <w:pPr>
        <w:spacing w:after="0" w:line="178" w:lineRule="exact"/>
        <w:rPr>
          <w:sz w:val="20"/>
          <w:szCs w:val="20"/>
          <w:color w:val="auto"/>
        </w:rPr>
      </w:pPr>
    </w:p>
    <w:p>
      <w:pPr>
        <w:ind w:left="2540" w:hanging="954"/>
        <w:spacing w:after="0"/>
        <w:tabs>
          <w:tab w:leader="none" w:pos="25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w:t>
      </w:r>
    </w:p>
    <w:p>
      <w:pPr>
        <w:spacing w:after="0" w:line="38" w:lineRule="exact"/>
        <w:rPr>
          <w:rFonts w:ascii="Arial" w:cs="Arial" w:eastAsia="Arial" w:hAnsi="Arial"/>
          <w:sz w:val="18"/>
          <w:szCs w:val="18"/>
          <w:color w:val="auto"/>
        </w:rPr>
      </w:pPr>
    </w:p>
    <w:p>
      <w:pPr>
        <w:jc w:val="both"/>
        <w:ind w:left="860" w:hanging="5"/>
        <w:spacing w:after="0" w:line="268" w:lineRule="auto"/>
        <w:tabs>
          <w:tab w:leader="none" w:pos="119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will not (1) have the right to receive information, reports or other materials provided to Lenders by the Borrower,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 (1)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Arial" w:cs="Arial" w:eastAsia="Arial" w:hAnsi="Arial"/>
          <w:sz w:val="18"/>
          <w:szCs w:val="18"/>
          <w:i w:val="1"/>
          <w:iCs w:val="1"/>
          <w:u w:val="single" w:color="auto"/>
          <w:color w:val="auto"/>
        </w:rPr>
        <w:t>Plan of Reorganization</w:t>
      </w:r>
      <w:r>
        <w:rPr>
          <w:rFonts w:ascii="Arial" w:cs="Arial" w:eastAsia="Arial" w:hAnsi="Arial"/>
          <w:sz w:val="18"/>
          <w:szCs w:val="18"/>
          <w:color w:val="auto"/>
        </w:rPr>
        <w:t xml:space="preserve">”), each Disqualified Institution party hereto hereby agrees (I) not to vote on such Plan of Reorganization, (II) if such Disqualified Institution does vote on such Plan of Reorganization notwithstanding the restriction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(III) not to contest any request by any party for a determination by the bankruptcy court (or other applicable court of competent jurisdiction) effectuating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left="860" w:firstLine="726"/>
        <w:spacing w:after="0" w:line="246" w:lineRule="auto"/>
        <w:tabs>
          <w:tab w:leader="none" w:pos="2524" w:val="left"/>
        </w:tabs>
        <w:numPr>
          <w:ilvl w:val="1"/>
          <w:numId w:val="230"/>
        </w:numPr>
        <w:rPr>
          <w:rFonts w:ascii="Arial" w:cs="Arial" w:eastAsia="Arial" w:hAnsi="Arial"/>
          <w:sz w:val="20"/>
          <w:szCs w:val="20"/>
          <w:color w:val="auto"/>
        </w:rPr>
      </w:pPr>
      <w:r>
        <w:rPr>
          <w:rFonts w:ascii="Arial" w:cs="Arial" w:eastAsia="Arial" w:hAnsi="Arial"/>
          <w:sz w:val="20"/>
          <w:szCs w:val="20"/>
          <w:color w:val="auto"/>
        </w:rPr>
        <w:t>The Administrative Agent shall have the right, and the Borrower hereby expressly authorizes the Administrative Agent, to (A) post the list of Disqualified Institutions provided by the Borrower (collectively, the “</w:t>
      </w:r>
      <w:r>
        <w:rPr>
          <w:rFonts w:ascii="Arial" w:cs="Arial" w:eastAsia="Arial" w:hAnsi="Arial"/>
          <w:sz w:val="20"/>
          <w:szCs w:val="20"/>
          <w:i w:val="1"/>
          <w:iCs w:val="1"/>
          <w:u w:val="single" w:color="auto"/>
          <w:color w:val="auto"/>
        </w:rPr>
        <w:t>DQ</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List</w:t>
      </w:r>
      <w:r>
        <w:rPr>
          <w:rFonts w:ascii="Arial" w:cs="Arial" w:eastAsia="Arial" w:hAnsi="Arial"/>
          <w:sz w:val="20"/>
          <w:szCs w:val="20"/>
          <w:color w:val="auto"/>
        </w:rPr>
        <w:t>”) on the Platform, including that portion of the Platform that is designated for “public side” Lenders or (B) provide</w:t>
      </w:r>
      <w:r>
        <w:rPr>
          <w:rFonts w:ascii="Arial" w:cs="Arial" w:eastAsia="Arial" w:hAnsi="Arial"/>
          <w:sz w:val="20"/>
          <w:szCs w:val="20"/>
          <w:i w:val="1"/>
          <w:iCs w:val="1"/>
          <w:color w:val="auto"/>
        </w:rPr>
        <w:t xml:space="preserve"> </w:t>
      </w:r>
      <w:r>
        <w:rPr>
          <w:rFonts w:ascii="Arial" w:cs="Arial" w:eastAsia="Arial" w:hAnsi="Arial"/>
          <w:sz w:val="20"/>
          <w:szCs w:val="20"/>
          <w:color w:val="auto"/>
        </w:rPr>
        <w:t>the DQ List to each Lender requesting the same.</w:t>
      </w:r>
    </w:p>
    <w:p>
      <w:pPr>
        <w:spacing w:after="0" w:line="18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8"/>
          <w:szCs w:val="18"/>
          <w:b w:val="1"/>
          <w:bCs w:val="1"/>
          <w:u w:val="single" w:color="auto"/>
          <w:color w:val="auto"/>
        </w:rPr>
        <w:t>Treatment of Certain Information; Confidentiality.</w:t>
      </w:r>
    </w:p>
    <w:p>
      <w:pPr>
        <w:spacing w:after="0" w:line="222" w:lineRule="exact"/>
        <w:rPr>
          <w:sz w:val="20"/>
          <w:szCs w:val="20"/>
          <w:color w:val="auto"/>
        </w:rPr>
      </w:pPr>
    </w:p>
    <w:p>
      <w:pPr>
        <w:jc w:val="both"/>
        <w:ind w:firstLine="789"/>
        <w:spacing w:after="0" w:line="257" w:lineRule="auto"/>
        <w:tabs>
          <w:tab w:leader="none" w:pos="1665"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Treatment of Certain Information</w:t>
      </w:r>
      <w:r>
        <w:rPr>
          <w:rFonts w:ascii="Arial" w:cs="Arial" w:eastAsia="Arial" w:hAnsi="Arial"/>
          <w:sz w:val="19"/>
          <w:szCs w:val="19"/>
          <w:color w:val="auto"/>
        </w:rPr>
        <w:t>.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6" w:right="339" w:bottom="1440" w:gutter="0" w:footer="0" w:header="0"/>
        </w:sectPr>
      </w:pPr>
    </w:p>
    <w:bookmarkStart w:id="226" w:name="page227"/>
    <w:bookmarkEnd w:id="226"/>
    <w:p>
      <w:pPr>
        <w:ind w:left="8"/>
        <w:spacing w:after="0"/>
        <w:rPr>
          <w:sz w:val="20"/>
          <w:szCs w:val="20"/>
          <w:color w:val="auto"/>
        </w:rPr>
      </w:pPr>
      <w:r>
        <w:rPr>
          <w:rFonts w:ascii="Arial" w:cs="Arial" w:eastAsia="Arial" w:hAnsi="Arial"/>
          <w:sz w:val="16"/>
          <w:szCs w:val="16"/>
          <w:color w:val="auto"/>
        </w:rPr>
        <w:t>action or proceeding relating to this Agreement or any other Loan Document or the enforcement of rights hereunder or thereunder,</w:t>
      </w:r>
    </w:p>
    <w:p>
      <w:pPr>
        <w:spacing w:after="0" w:line="62" w:lineRule="exact"/>
        <w:rPr>
          <w:sz w:val="20"/>
          <w:szCs w:val="20"/>
          <w:color w:val="auto"/>
        </w:rPr>
      </w:pPr>
    </w:p>
    <w:p>
      <w:pPr>
        <w:jc w:val="both"/>
        <w:ind w:left="8" w:hanging="8"/>
        <w:spacing w:after="0" w:line="267" w:lineRule="auto"/>
        <w:tabs>
          <w:tab w:leader="none" w:pos="35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subject to an agreement containing provisions substantially the same as those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to (A)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auto"/>
        </w:rPr>
        <w:t>Section 2.16(c)</w:t>
      </w:r>
      <w:r>
        <w:rPr>
          <w:rFonts w:ascii="Arial" w:cs="Arial" w:eastAsia="Arial" w:hAnsi="Arial"/>
          <w:sz w:val="18"/>
          <w:szCs w:val="18"/>
          <w:color w:val="auto"/>
        </w:rPr>
        <w:t xml:space="preserve">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Swingline Lender to deliver Borrower Materials or notices to the Lenders or (C) the CUSIP Service Bureau or any similar agency in connection with the issuance and monitoring of CUSIP numbers or other market identifiers with respect to the credit facilities provided hereunder, or (viii) with the consent of the Borrower or to the extent such Information (1) becomes publicly available other than as a result of a breach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or (2) becomes available to the Administrative Agent, any Lender, the L/C Issuer or any of their respective Affiliates on a nonconfidential basis from a source other than the Borrower. For purposes of this Section, “</w:t>
      </w:r>
      <w:r>
        <w:rPr>
          <w:rFonts w:ascii="Arial" w:cs="Arial" w:eastAsia="Arial" w:hAnsi="Arial"/>
          <w:sz w:val="18"/>
          <w:szCs w:val="18"/>
          <w:i w:val="1"/>
          <w:iCs w:val="1"/>
          <w:u w:val="single" w:color="auto"/>
          <w:color w:val="auto"/>
        </w:rPr>
        <w:t>Information</w:t>
      </w:r>
      <w:r>
        <w:rPr>
          <w:rFonts w:ascii="Arial" w:cs="Arial" w:eastAsia="Arial" w:hAnsi="Arial"/>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83" w:lineRule="exact"/>
        <w:rPr>
          <w:rFonts w:ascii="Arial" w:cs="Arial" w:eastAsia="Arial" w:hAnsi="Arial"/>
          <w:sz w:val="18"/>
          <w:szCs w:val="18"/>
          <w:color w:val="auto"/>
        </w:rPr>
      </w:pPr>
    </w:p>
    <w:p>
      <w:pPr>
        <w:jc w:val="both"/>
        <w:ind w:left="8" w:firstLine="789"/>
        <w:spacing w:after="0" w:line="275" w:lineRule="auto"/>
        <w:tabs>
          <w:tab w:leader="none" w:pos="1684"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Each of the Administrative Agent, the Lenders and the L/C Issuer acknowledges that (i) the Information may include material non-public information concerning a Loan Party or a Subsidiary, as the case may be,</w:t>
      </w:r>
    </w:p>
    <w:p>
      <w:pPr>
        <w:ind w:left="8" w:right="20" w:hanging="8"/>
        <w:spacing w:after="0" w:line="297" w:lineRule="auto"/>
        <w:tabs>
          <w:tab w:leader="none" w:pos="32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46" w:lineRule="exact"/>
        <w:rPr>
          <w:rFonts w:ascii="Arial" w:cs="Arial" w:eastAsia="Arial" w:hAnsi="Arial"/>
          <w:sz w:val="18"/>
          <w:szCs w:val="18"/>
          <w:color w:val="auto"/>
        </w:rPr>
      </w:pPr>
    </w:p>
    <w:p>
      <w:pPr>
        <w:jc w:val="both"/>
        <w:ind w:left="8" w:firstLine="789"/>
        <w:spacing w:after="0" w:line="243" w:lineRule="auto"/>
        <w:tabs>
          <w:tab w:leader="none" w:pos="1673"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Press Releases</w:t>
      </w:r>
      <w:r>
        <w:rPr>
          <w:rFonts w:ascii="Arial" w:cs="Arial" w:eastAsia="Arial" w:hAnsi="Arial"/>
          <w:sz w:val="20"/>
          <w:szCs w:val="20"/>
          <w:color w:val="auto"/>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(other than in connection with any required SEC filings), the Loan Parties or such Affiliate will consult with such Person before issuing such press release or other public disclosure.</w:t>
      </w:r>
    </w:p>
    <w:p>
      <w:pPr>
        <w:spacing w:after="0" w:line="195" w:lineRule="exact"/>
        <w:rPr>
          <w:rFonts w:ascii="Arial" w:cs="Arial" w:eastAsia="Arial" w:hAnsi="Arial"/>
          <w:sz w:val="20"/>
          <w:szCs w:val="20"/>
          <w:color w:val="auto"/>
        </w:rPr>
      </w:pPr>
    </w:p>
    <w:p>
      <w:pPr>
        <w:jc w:val="both"/>
        <w:ind w:left="8" w:firstLine="789"/>
        <w:spacing w:after="0" w:line="250" w:lineRule="auto"/>
        <w:tabs>
          <w:tab w:leader="none" w:pos="1684"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Customary Advertising Material</w:t>
      </w:r>
      <w:r>
        <w:rPr>
          <w:rFonts w:ascii="Arial" w:cs="Arial" w:eastAsia="Arial" w:hAnsi="Arial"/>
          <w:sz w:val="20"/>
          <w:szCs w:val="20"/>
          <w:color w:val="auto"/>
        </w:rPr>
        <w:t>. 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88"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227" w:name="page228"/>
    <w:bookmarkEnd w:id="227"/>
    <w:p>
      <w:pPr>
        <w:ind w:left="880"/>
        <w:spacing w:after="0"/>
        <w:tabs>
          <w:tab w:leader="none" w:pos="1940" w:val="left"/>
        </w:tabs>
        <w:rPr>
          <w:sz w:val="20"/>
          <w:szCs w:val="20"/>
          <w:color w:val="auto"/>
        </w:rPr>
      </w:pPr>
      <w:r>
        <w:rPr>
          <w:rFonts w:ascii="Arial" w:cs="Arial" w:eastAsia="Arial" w:hAnsi="Arial"/>
          <w:sz w:val="20"/>
          <w:szCs w:val="20"/>
          <w:b w:val="1"/>
          <w:bCs w:val="1"/>
          <w:color w:val="auto"/>
        </w:rPr>
        <w:t>11.08</w:t>
      </w:r>
      <w:r>
        <w:rPr>
          <w:sz w:val="20"/>
          <w:szCs w:val="20"/>
          <w:color w:val="auto"/>
        </w:rPr>
        <w:tab/>
      </w:r>
      <w:r>
        <w:rPr>
          <w:rFonts w:ascii="Arial" w:cs="Arial" w:eastAsia="Arial" w:hAnsi="Arial"/>
          <w:sz w:val="16"/>
          <w:szCs w:val="16"/>
          <w:b w:val="1"/>
          <w:bCs w:val="1"/>
          <w:u w:val="single" w:color="auto"/>
          <w:color w:val="auto"/>
        </w:rPr>
        <w:t>Right of Setoff.</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165"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11.09</w:t>
      </w:r>
      <w:r>
        <w:rPr>
          <w:sz w:val="20"/>
          <w:szCs w:val="20"/>
          <w:color w:val="auto"/>
        </w:rPr>
        <w:tab/>
      </w:r>
      <w:r>
        <w:rPr>
          <w:rFonts w:ascii="Arial" w:cs="Arial" w:eastAsia="Arial" w:hAnsi="Arial"/>
          <w:sz w:val="18"/>
          <w:szCs w:val="18"/>
          <w:b w:val="1"/>
          <w:bCs w:val="1"/>
          <w:u w:val="single" w:color="auto"/>
          <w:color w:val="auto"/>
        </w:rPr>
        <w:t>Interest Rate Limitation.</w:t>
      </w:r>
    </w:p>
    <w:p>
      <w:pPr>
        <w:spacing w:after="0" w:line="22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i w:val="1"/>
          <w:iCs w:val="1"/>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6"/>
          <w:szCs w:val="16"/>
          <w:b w:val="1"/>
          <w:bCs w:val="1"/>
          <w:u w:val="single" w:color="auto"/>
          <w:color w:val="auto"/>
        </w:rPr>
        <w:t>Counterparts; Integration; Effectiveness.</w:t>
      </w:r>
    </w:p>
    <w:p>
      <w:pPr>
        <w:spacing w:after="0" w:line="22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8" w:name="page229"/>
    <w:bookmarkEnd w:id="228"/>
    <w:p>
      <w:pPr>
        <w:jc w:val="both"/>
        <w:spacing w:after="0" w:line="244" w:lineRule="auto"/>
        <w:rPr>
          <w:sz w:val="20"/>
          <w:szCs w:val="20"/>
          <w:color w:val="auto"/>
        </w:rPr>
      </w:pPr>
      <w:r>
        <w:rPr>
          <w:rFonts w:ascii="Arial" w:cs="Arial" w:eastAsia="Arial" w:hAnsi="Arial"/>
          <w:sz w:val="20"/>
          <w:szCs w:val="20"/>
          <w:color w:val="auto"/>
        </w:rPr>
        <w:t>counterpart of a signature page of this Agreement or any other Loan Document, or any certificate delivered thereunder, by fax transmission or e-mail transmission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8"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16"/>
          <w:szCs w:val="16"/>
          <w:b w:val="1"/>
          <w:bCs w:val="1"/>
          <w:u w:val="single" w:color="auto"/>
          <w:color w:val="auto"/>
        </w:rPr>
        <w:t>Survival of Representations and Warranties.</w:t>
      </w:r>
    </w:p>
    <w:p>
      <w:pPr>
        <w:spacing w:after="0" w:line="2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59"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11.12</w:t>
      </w:r>
      <w:r>
        <w:rPr>
          <w:sz w:val="20"/>
          <w:szCs w:val="20"/>
          <w:color w:val="auto"/>
        </w:rPr>
        <w:tab/>
      </w:r>
      <w:r>
        <w:rPr>
          <w:rFonts w:ascii="Arial" w:cs="Arial" w:eastAsia="Arial" w:hAnsi="Arial"/>
          <w:sz w:val="16"/>
          <w:szCs w:val="16"/>
          <w:b w:val="1"/>
          <w:bCs w:val="1"/>
          <w:u w:val="single" w:color="auto"/>
          <w:color w:val="auto"/>
        </w:rPr>
        <w:t>Severability.</w:t>
      </w:r>
    </w:p>
    <w:p>
      <w:pPr>
        <w:spacing w:after="0" w:line="22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16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11.13</w:t>
      </w:r>
      <w:r>
        <w:rPr>
          <w:sz w:val="20"/>
          <w:szCs w:val="20"/>
          <w:color w:val="auto"/>
        </w:rPr>
        <w:tab/>
      </w:r>
      <w:r>
        <w:rPr>
          <w:rFonts w:ascii="Arial" w:cs="Arial" w:eastAsia="Arial" w:hAnsi="Arial"/>
          <w:sz w:val="16"/>
          <w:szCs w:val="16"/>
          <w:b w:val="1"/>
          <w:bCs w:val="1"/>
          <w:u w:val="single" w:color="auto"/>
          <w:color w:val="auto"/>
        </w:rPr>
        <w:t>Replacement of Lenders.</w:t>
      </w:r>
    </w:p>
    <w:p>
      <w:pPr>
        <w:spacing w:after="0" w:line="222" w:lineRule="exact"/>
        <w:rPr>
          <w:sz w:val="20"/>
          <w:szCs w:val="20"/>
          <w:color w:val="auto"/>
        </w:rPr>
      </w:pPr>
    </w:p>
    <w:p>
      <w:pPr>
        <w:jc w:val="both"/>
        <w:ind w:left="880" w:firstLine="789"/>
        <w:spacing w:after="0" w:line="243" w:lineRule="auto"/>
        <w:tabs>
          <w:tab w:leader="none" w:pos="2545" w:val="left"/>
        </w:tabs>
        <w:numPr>
          <w:ilvl w:val="0"/>
          <w:numId w:val="234"/>
        </w:numPr>
        <w:rPr>
          <w:rFonts w:ascii="Arial" w:cs="Arial" w:eastAsia="Arial" w:hAnsi="Arial"/>
          <w:sz w:val="20"/>
          <w:szCs w:val="20"/>
          <w:color w:val="auto"/>
        </w:rPr>
      </w:pPr>
      <w:r>
        <w:rPr>
          <w:rFonts w:ascii="Arial" w:cs="Arial" w:eastAsia="Arial" w:hAnsi="Arial"/>
          <w:sz w:val="20"/>
          <w:szCs w:val="20"/>
          <w:color w:val="auto"/>
        </w:rPr>
        <w:t xml:space="preserve">If the Borrower is entitled to replace a Lender pursuant to the provisions of </w:t>
      </w:r>
      <w:r>
        <w:rPr>
          <w:rFonts w:ascii="Arial" w:cs="Arial" w:eastAsia="Arial" w:hAnsi="Arial"/>
          <w:sz w:val="20"/>
          <w:szCs w:val="20"/>
          <w:u w:val="single" w:color="auto"/>
          <w:color w:val="auto"/>
        </w:rPr>
        <w:t>Section 3.06</w:t>
      </w:r>
      <w:r>
        <w:rPr>
          <w:rFonts w:ascii="Arial" w:cs="Arial" w:eastAsia="Arial" w:hAnsi="Arial"/>
          <w:sz w:val="20"/>
          <w:szCs w:val="20"/>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all of its interests, rights (other than its existing rights to payments pursuant to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92" w:lineRule="exact"/>
        <w:rPr>
          <w:rFonts w:ascii="Arial" w:cs="Arial" w:eastAsia="Arial" w:hAnsi="Arial"/>
          <w:sz w:val="20"/>
          <w:szCs w:val="20"/>
          <w:color w:val="auto"/>
        </w:rPr>
      </w:pPr>
    </w:p>
    <w:p>
      <w:pPr>
        <w:ind w:left="3300" w:hanging="834"/>
        <w:spacing w:after="0"/>
        <w:tabs>
          <w:tab w:leader="none" w:pos="3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(if any) specified in</w:t>
      </w:r>
    </w:p>
    <w:p>
      <w:pPr>
        <w:spacing w:after="0" w:line="38"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jc w:val="both"/>
        <w:ind w:left="1740" w:firstLine="726"/>
        <w:spacing w:after="0" w:line="342" w:lineRule="auto"/>
        <w:tabs>
          <w:tab w:leader="none" w:pos="336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9" w:name="page230"/>
    <w:bookmarkEnd w:id="229"/>
    <w:p>
      <w:pPr>
        <w:ind w:left="868"/>
        <w:spacing w:after="0"/>
        <w:rPr>
          <w:sz w:val="20"/>
          <w:szCs w:val="20"/>
          <w:color w:val="auto"/>
        </w:rPr>
      </w:pPr>
      <w:r>
        <w:rPr>
          <w:rFonts w:ascii="Arial" w:cs="Arial" w:eastAsia="Arial" w:hAnsi="Arial"/>
          <w:sz w:val="20"/>
          <w:szCs w:val="20"/>
          <w:color w:val="auto"/>
        </w:rPr>
        <w:t>outstanding principal and accrued interest and fees) or the Borrower (in the case of all other amounts);</w:t>
      </w:r>
    </w:p>
    <w:p>
      <w:pPr>
        <w:spacing w:after="0" w:line="216" w:lineRule="exact"/>
        <w:rPr>
          <w:sz w:val="20"/>
          <w:szCs w:val="20"/>
          <w:color w:val="auto"/>
        </w:rPr>
      </w:pPr>
    </w:p>
    <w:p>
      <w:pPr>
        <w:jc w:val="both"/>
        <w:ind w:left="868" w:firstLine="726"/>
        <w:spacing w:after="0" w:line="250" w:lineRule="auto"/>
        <w:tabs>
          <w:tab w:leader="none" w:pos="2544" w:val="left"/>
        </w:tabs>
        <w:numPr>
          <w:ilvl w:val="2"/>
          <w:numId w:val="235"/>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such assignment will result in a reduction in such compensation or payments thereafter;</w:t>
      </w:r>
    </w:p>
    <w:p>
      <w:pPr>
        <w:spacing w:after="0" w:line="185" w:lineRule="exact"/>
        <w:rPr>
          <w:rFonts w:ascii="Arial" w:cs="Arial" w:eastAsia="Arial" w:hAnsi="Arial"/>
          <w:sz w:val="20"/>
          <w:szCs w:val="20"/>
          <w:color w:val="auto"/>
        </w:rPr>
      </w:pPr>
    </w:p>
    <w:p>
      <w:pPr>
        <w:ind w:left="2528" w:hanging="934"/>
        <w:spacing w:after="0"/>
        <w:tabs>
          <w:tab w:leader="none" w:pos="2528" w:val="left"/>
        </w:tabs>
        <w:numPr>
          <w:ilvl w:val="2"/>
          <w:numId w:val="235"/>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ind w:left="868" w:firstLine="726"/>
        <w:spacing w:after="0" w:line="260" w:lineRule="auto"/>
        <w:tabs>
          <w:tab w:leader="none" w:pos="2478" w:val="left"/>
        </w:tabs>
        <w:numPr>
          <w:ilvl w:val="2"/>
          <w:numId w:val="235"/>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76" w:lineRule="exact"/>
        <w:rPr>
          <w:rFonts w:ascii="Arial" w:cs="Arial" w:eastAsia="Arial" w:hAnsi="Arial"/>
          <w:sz w:val="20"/>
          <w:szCs w:val="20"/>
          <w:color w:val="auto"/>
        </w:rPr>
      </w:pPr>
    </w:p>
    <w:p>
      <w:pPr>
        <w:jc w:val="both"/>
        <w:ind w:left="8" w:firstLine="789"/>
        <w:spacing w:after="0" w:line="250" w:lineRule="auto"/>
        <w:tabs>
          <w:tab w:leader="none" w:pos="1684" w:val="left"/>
        </w:tabs>
        <w:numPr>
          <w:ilvl w:val="1"/>
          <w:numId w:val="236"/>
        </w:numPr>
        <w:rPr>
          <w:rFonts w:ascii="Arial" w:cs="Arial" w:eastAsia="Arial" w:hAnsi="Arial"/>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85" w:lineRule="exact"/>
        <w:rPr>
          <w:rFonts w:ascii="Arial" w:cs="Arial" w:eastAsia="Arial" w:hAnsi="Arial"/>
          <w:sz w:val="20"/>
          <w:szCs w:val="20"/>
          <w:color w:val="auto"/>
        </w:rPr>
      </w:pPr>
    </w:p>
    <w:p>
      <w:pPr>
        <w:jc w:val="both"/>
        <w:ind w:left="8" w:firstLine="789"/>
        <w:spacing w:after="0" w:line="243" w:lineRule="auto"/>
        <w:tabs>
          <w:tab w:leader="none" w:pos="1673" w:val="left"/>
        </w:tabs>
        <w:numPr>
          <w:ilvl w:val="1"/>
          <w:numId w:val="236"/>
        </w:numPr>
        <w:rPr>
          <w:rFonts w:ascii="Arial" w:cs="Arial" w:eastAsia="Arial" w:hAnsi="Arial"/>
          <w:sz w:val="20"/>
          <w:szCs w:val="20"/>
          <w:color w:val="auto"/>
        </w:rPr>
      </w:pPr>
      <w:r>
        <w:rPr>
          <w:rFonts w:ascii="Arial" w:cs="Arial" w:eastAsia="Arial" w:hAnsi="Arial"/>
          <w:sz w:val="20"/>
          <w:szCs w:val="20"/>
          <w:color w:val="auto"/>
        </w:rPr>
        <w:t xml:space="preserve">Each party hereto agrees that (i) an assignment required pursuant to this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and be bound by the terms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such documents shall be without recourse to or warranty by the parties thereto.</w:t>
      </w:r>
    </w:p>
    <w:p>
      <w:pPr>
        <w:spacing w:after="0" w:line="192" w:lineRule="exact"/>
        <w:rPr>
          <w:rFonts w:ascii="Arial" w:cs="Arial" w:eastAsia="Arial" w:hAnsi="Arial"/>
          <w:sz w:val="20"/>
          <w:szCs w:val="20"/>
          <w:color w:val="auto"/>
        </w:rPr>
      </w:pPr>
    </w:p>
    <w:p>
      <w:pPr>
        <w:jc w:val="both"/>
        <w:ind w:left="8" w:firstLine="789"/>
        <w:spacing w:after="0" w:line="269" w:lineRule="auto"/>
        <w:tabs>
          <w:tab w:leader="none" w:pos="168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w:t>
      </w:r>
    </w:p>
    <w:p>
      <w:pPr>
        <w:spacing w:after="0" w:line="3" w:lineRule="exact"/>
        <w:rPr>
          <w:rFonts w:ascii="Arial" w:cs="Arial" w:eastAsia="Arial" w:hAnsi="Arial"/>
          <w:sz w:val="18"/>
          <w:szCs w:val="18"/>
          <w:color w:val="auto"/>
        </w:rPr>
      </w:pPr>
    </w:p>
    <w:p>
      <w:pPr>
        <w:ind w:left="8" w:right="20" w:hanging="8"/>
        <w:spacing w:after="0" w:line="244" w:lineRule="auto"/>
        <w:tabs>
          <w:tab w:leader="none" w:pos="35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the Lender that acts as the Administrative Agent may not be replaced hereunder except in accordance with the terms of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185" w:lineRule="exact"/>
        <w:rPr>
          <w:sz w:val="20"/>
          <w:szCs w:val="20"/>
          <w:color w:val="auto"/>
        </w:rPr>
      </w:pPr>
    </w:p>
    <w:p>
      <w:pPr>
        <w:ind w:left="8"/>
        <w:spacing w:after="0"/>
        <w:tabs>
          <w:tab w:leader="none" w:pos="1068" w:val="left"/>
        </w:tabs>
        <w:rPr>
          <w:sz w:val="20"/>
          <w:szCs w:val="20"/>
          <w:color w:val="auto"/>
        </w:rPr>
      </w:pPr>
      <w:r>
        <w:rPr>
          <w:rFonts w:ascii="Arial" w:cs="Arial" w:eastAsia="Arial" w:hAnsi="Arial"/>
          <w:sz w:val="20"/>
          <w:szCs w:val="20"/>
          <w:b w:val="1"/>
          <w:bCs w:val="1"/>
          <w:color w:val="auto"/>
        </w:rPr>
        <w:t>11.14</w:t>
      </w:r>
      <w:r>
        <w:rPr>
          <w:sz w:val="20"/>
          <w:szCs w:val="20"/>
          <w:color w:val="auto"/>
        </w:rPr>
        <w:tab/>
      </w:r>
      <w:r>
        <w:rPr>
          <w:rFonts w:ascii="Arial" w:cs="Arial" w:eastAsia="Arial" w:hAnsi="Arial"/>
          <w:sz w:val="18"/>
          <w:szCs w:val="18"/>
          <w:b w:val="1"/>
          <w:bCs w:val="1"/>
          <w:u w:val="single" w:color="auto"/>
          <w:color w:val="auto"/>
        </w:rPr>
        <w:t>Governing Law; Jurisdiction; Etc.</w:t>
      </w:r>
    </w:p>
    <w:p>
      <w:pPr>
        <w:spacing w:after="0" w:line="222" w:lineRule="exact"/>
        <w:rPr>
          <w:sz w:val="20"/>
          <w:szCs w:val="20"/>
          <w:color w:val="auto"/>
        </w:rPr>
      </w:pPr>
    </w:p>
    <w:p>
      <w:pPr>
        <w:jc w:val="both"/>
        <w:ind w:left="8" w:firstLine="789"/>
        <w:spacing w:after="0" w:line="243" w:lineRule="auto"/>
        <w:tabs>
          <w:tab w:leader="none" w:pos="1673"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2" w:lineRule="exact"/>
        <w:rPr>
          <w:rFonts w:ascii="Arial" w:cs="Arial" w:eastAsia="Arial" w:hAnsi="Arial"/>
          <w:sz w:val="20"/>
          <w:szCs w:val="20"/>
          <w:color w:val="auto"/>
        </w:rPr>
      </w:pPr>
    </w:p>
    <w:p>
      <w:pPr>
        <w:jc w:val="both"/>
        <w:ind w:left="8" w:firstLine="789"/>
        <w:spacing w:after="0" w:line="269" w:lineRule="auto"/>
        <w:tabs>
          <w:tab w:leader="none" w:pos="1684"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OF THE PARTIES HERETO HEREBY IRREVOCABLY AND UNCONDITIONALLY AGREES THAT IT WILL NOT COMMENCE ANY ACTION, LITIGATION OR PROCEEDING OF ANY KIND OR DESCRIPTION, WHETHER IN LAW OR EQUITY, WHETHER IN CONTRACT OR IN TORT</w:t>
      </w:r>
    </w:p>
    <w:p>
      <w:pPr>
        <w:spacing w:after="0" w:line="172"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207645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6" w:right="339" w:bottom="1440" w:gutter="0" w:footer="0" w:header="0"/>
        </w:sectPr>
      </w:pPr>
    </w:p>
    <w:bookmarkStart w:id="230" w:name="page231"/>
    <w:bookmarkEnd w:id="230"/>
    <w:p>
      <w:pPr>
        <w:jc w:val="both"/>
        <w:ind w:left="880"/>
        <w:spacing w:after="0"/>
        <w:rPr>
          <w:sz w:val="20"/>
          <w:szCs w:val="20"/>
          <w:color w:val="auto"/>
        </w:rPr>
      </w:pPr>
      <w:r>
        <w:rPr>
          <w:rFonts w:ascii="Arial" w:cs="Arial" w:eastAsia="Arial" w:hAnsi="Arial"/>
          <w:sz w:val="20"/>
          <w:szCs w:val="20"/>
          <w:color w:val="auto"/>
        </w:rPr>
        <w:t>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ENFORCEMENT OF LIENS ON COLLATERAL UNDER THIS AGREEMENT OR ANY OTHER LOAN DOCUMENT AGAINST THE BORROWER OR ANY OTHER LOAN PARTY OR ITS PROPERTIES IN THE COURTS OF ANY JURISDICTION WHERE SUCH COLLATERAL IS LOCATED.</w:t>
      </w:r>
    </w:p>
    <w:p>
      <w:pPr>
        <w:spacing w:after="0" w:line="208" w:lineRule="exact"/>
        <w:rPr>
          <w:sz w:val="20"/>
          <w:szCs w:val="20"/>
          <w:color w:val="auto"/>
        </w:rPr>
      </w:pPr>
    </w:p>
    <w:p>
      <w:pPr>
        <w:jc w:val="both"/>
        <w:ind w:left="880" w:firstLine="789"/>
        <w:spacing w:after="0" w:line="257" w:lineRule="auto"/>
        <w:tabs>
          <w:tab w:leader="none" w:pos="2545" w:val="left"/>
        </w:tabs>
        <w:numPr>
          <w:ilvl w:val="0"/>
          <w:numId w:val="239"/>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xml:space="preserve">. EACH PARTY HERETO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11.14</w:t>
      </w:r>
      <w:r>
        <w:rPr>
          <w:rFonts w:ascii="Arial" w:cs="Arial" w:eastAsia="Arial" w:hAnsi="Arial"/>
          <w:sz w:val="19"/>
          <w:szCs w:val="19"/>
          <w:color w:val="auto"/>
        </w:rPr>
        <w:t>. EACH PARTY HERETO HEREBY IRREVOCABLY AND UNCONDITIONALLY WAIVES, TO THE FULLEST EXTENT PERMITTED BY APPLICABLE LAW, THE DEFENSE OF AN INCONVENIENT FORUM TO THE MAINTENANCE OF SUCH ACTION OR PROCEEDING IN ANY SUCH COURT.</w:t>
      </w:r>
    </w:p>
    <w:p>
      <w:pPr>
        <w:spacing w:after="0" w:line="184" w:lineRule="exact"/>
        <w:rPr>
          <w:rFonts w:ascii="Arial" w:cs="Arial" w:eastAsia="Arial" w:hAnsi="Arial"/>
          <w:sz w:val="19"/>
          <w:szCs w:val="19"/>
          <w:color w:val="auto"/>
        </w:rPr>
      </w:pPr>
    </w:p>
    <w:p>
      <w:pPr>
        <w:jc w:val="both"/>
        <w:ind w:left="880" w:firstLine="789"/>
        <w:spacing w:after="0" w:line="246" w:lineRule="auto"/>
        <w:tabs>
          <w:tab w:leader="none" w:pos="2556"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5"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11.15</w:t>
      </w:r>
      <w:r>
        <w:rPr>
          <w:sz w:val="20"/>
          <w:szCs w:val="20"/>
          <w:color w:val="auto"/>
        </w:rPr>
        <w:tab/>
      </w:r>
      <w:r>
        <w:rPr>
          <w:rFonts w:ascii="Arial" w:cs="Arial" w:eastAsia="Arial" w:hAnsi="Arial"/>
          <w:sz w:val="18"/>
          <w:szCs w:val="18"/>
          <w:b w:val="1"/>
          <w:bCs w:val="1"/>
          <w:u w:val="single" w:color="auto"/>
          <w:color w:val="auto"/>
        </w:rPr>
        <w:t>Waiver of Jury Trial.</w:t>
      </w:r>
    </w:p>
    <w:p>
      <w:pPr>
        <w:spacing w:after="0" w:line="222"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 xml:space="preserve">DOCUMENTS BY, AMONG OTHER THINGS, THE MUTUAL WAIVERS AND CERTIFICATIONS IN THIS </w:t>
      </w:r>
      <w:r>
        <w:rPr>
          <w:rFonts w:ascii="Arial" w:cs="Arial" w:eastAsia="Arial" w:hAnsi="Arial"/>
          <w:sz w:val="20"/>
          <w:szCs w:val="20"/>
          <w:u w:val="single" w:color="auto"/>
          <w:color w:val="auto"/>
        </w:rPr>
        <w:t>SECTION 11.15</w:t>
      </w:r>
      <w:r>
        <w:rPr>
          <w:rFonts w:ascii="Arial" w:cs="Arial" w:eastAsia="Arial" w:hAnsi="Arial"/>
          <w:sz w:val="20"/>
          <w:szCs w:val="20"/>
          <w:color w:val="auto"/>
        </w:rPr>
        <w:t>.</w:t>
      </w:r>
    </w:p>
    <w:p>
      <w:pPr>
        <w:spacing w:after="0" w:line="21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11.16</w:t>
      </w:r>
      <w:r>
        <w:rPr>
          <w:sz w:val="20"/>
          <w:szCs w:val="20"/>
          <w:color w:val="auto"/>
        </w:rPr>
        <w:tab/>
      </w:r>
      <w:r>
        <w:rPr>
          <w:rFonts w:ascii="Arial" w:cs="Arial" w:eastAsia="Arial" w:hAnsi="Arial"/>
          <w:sz w:val="16"/>
          <w:szCs w:val="16"/>
          <w:b w:val="1"/>
          <w:bCs w:val="1"/>
          <w:u w:val="single" w:color="auto"/>
          <w:color w:val="auto"/>
        </w:rPr>
        <w:t>Subordination.</w:t>
      </w:r>
    </w:p>
    <w:p>
      <w:pPr>
        <w:spacing w:after="0" w:line="22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Each Loan Party (a “</w:t>
      </w:r>
      <w:r>
        <w:rPr>
          <w:rFonts w:ascii="Arial" w:cs="Arial" w:eastAsia="Arial" w:hAnsi="Arial"/>
          <w:sz w:val="18"/>
          <w:szCs w:val="18"/>
          <w:i w:val="1"/>
          <w:iCs w:val="1"/>
          <w:u w:val="single" w:color="auto"/>
          <w:color w:val="auto"/>
        </w:rPr>
        <w:t>Subordinating Loan Party</w:t>
      </w:r>
      <w:r>
        <w:rPr>
          <w:rFonts w:ascii="Arial" w:cs="Arial" w:eastAsia="Arial" w:hAnsi="Arial"/>
          <w:sz w:val="18"/>
          <w:szCs w:val="18"/>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any Loan Party receives any payment of any intercompany Indebtedness at a time when such payment is prohibited by this </w:t>
      </w:r>
      <w:r>
        <w:rPr>
          <w:rFonts w:ascii="Arial" w:cs="Arial" w:eastAsia="Arial" w:hAnsi="Arial"/>
          <w:sz w:val="18"/>
          <w:szCs w:val="18"/>
          <w:u w:val="single" w:color="auto"/>
          <w:color w:val="auto"/>
        </w:rPr>
        <w:t>Section 11.16</w:t>
      </w:r>
      <w:r>
        <w:rPr>
          <w:rFonts w:ascii="Arial" w:cs="Arial" w:eastAsia="Arial" w:hAnsi="Arial"/>
          <w:sz w:val="18"/>
          <w:szCs w:val="18"/>
          <w:color w:val="auto"/>
        </w:rPr>
        <w:t>, such payment shall be held by such Loan Party, in trust for the benefit of, and shall be paid forthwith over and delivered, upon written request, to the Administrative Agent.</w:t>
      </w:r>
    </w:p>
    <w:p>
      <w:pPr>
        <w:spacing w:after="0" w:line="16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11.17</w:t>
      </w:r>
      <w:r>
        <w:rPr>
          <w:sz w:val="20"/>
          <w:szCs w:val="20"/>
          <w:color w:val="auto"/>
        </w:rPr>
        <w:tab/>
      </w:r>
      <w:r>
        <w:rPr>
          <w:rFonts w:ascii="Arial" w:cs="Arial" w:eastAsia="Arial" w:hAnsi="Arial"/>
          <w:sz w:val="16"/>
          <w:szCs w:val="16"/>
          <w:b w:val="1"/>
          <w:bCs w:val="1"/>
          <w:u w:val="single" w:color="auto"/>
          <w:color w:val="auto"/>
        </w:rPr>
        <w:t>No Advisory or Fiduciary Responsibility.</w:t>
      </w:r>
    </w:p>
    <w:p>
      <w:pPr>
        <w:spacing w:after="0" w:line="222"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the Borrower, each other Loan Party and their respective Affiliates, on the one hand, and the Administrative Agent, the Arranger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w:t>
      </w:r>
    </w:p>
    <w:p>
      <w:pPr>
        <w:spacing w:after="0" w:line="6" w:lineRule="exact"/>
        <w:rPr>
          <w:sz w:val="20"/>
          <w:szCs w:val="20"/>
          <w:color w:val="auto"/>
        </w:rPr>
      </w:pPr>
    </w:p>
    <w:p>
      <w:pPr>
        <w:jc w:val="both"/>
        <w:ind w:firstLine="8"/>
        <w:spacing w:after="0" w:line="268" w:lineRule="auto"/>
        <w:tabs>
          <w:tab w:leader="none" w:pos="28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the Arranger,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 the Arranger, nor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32" w:name="page233"/>
    <w:bookmarkEnd w:id="232"/>
    <w:p>
      <w:pPr>
        <w:ind w:left="880"/>
        <w:spacing w:after="0"/>
        <w:tabs>
          <w:tab w:leader="none" w:pos="1940" w:val="left"/>
        </w:tabs>
        <w:rPr>
          <w:sz w:val="20"/>
          <w:szCs w:val="20"/>
          <w:color w:val="auto"/>
        </w:rPr>
      </w:pPr>
      <w:r>
        <w:rPr>
          <w:rFonts w:ascii="Arial" w:cs="Arial" w:eastAsia="Arial" w:hAnsi="Arial"/>
          <w:sz w:val="20"/>
          <w:szCs w:val="20"/>
          <w:b w:val="1"/>
          <w:bCs w:val="1"/>
          <w:color w:val="auto"/>
        </w:rPr>
        <w:t>11.18</w:t>
      </w:r>
      <w:r>
        <w:rPr>
          <w:sz w:val="20"/>
          <w:szCs w:val="20"/>
          <w:color w:val="auto"/>
        </w:rPr>
        <w:tab/>
      </w:r>
      <w:r>
        <w:rPr>
          <w:rFonts w:ascii="Arial" w:cs="Arial" w:eastAsia="Arial" w:hAnsi="Arial"/>
          <w:sz w:val="16"/>
          <w:szCs w:val="16"/>
          <w:b w:val="1"/>
          <w:bCs w:val="1"/>
          <w:u w:val="single" w:color="auto"/>
          <w:color w:val="auto"/>
        </w:rPr>
        <w:t>Electronic Execution; Electronic Records.</w:t>
      </w:r>
    </w:p>
    <w:p>
      <w:pPr>
        <w:spacing w:after="0" w:line="222" w:lineRule="exact"/>
        <w:rPr>
          <w:sz w:val="20"/>
          <w:szCs w:val="20"/>
          <w:color w:val="auto"/>
        </w:rPr>
      </w:pPr>
    </w:p>
    <w:p>
      <w:pPr>
        <w:jc w:val="both"/>
        <w:ind w:left="880" w:firstLine="789"/>
        <w:spacing w:after="0" w:line="269" w:lineRule="auto"/>
        <w:tabs>
          <w:tab w:leader="none" w:pos="254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b w:val="1"/>
          <w:bCs w:val="1"/>
          <w:i w:val="1"/>
          <w:iCs w:val="1"/>
          <w:u w:val="single" w:color="auto"/>
          <w:color w:val="auto"/>
        </w:rPr>
        <w:t>provided that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notwithstanding anything contained herein to the contrary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 Administrative Agent is under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 obligation to agree to accept electronic signatures in any form or in any format unless expressly agreed to by the Administrative Agent pursuant to procedures approved by it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further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without limiting the foregoing</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upon the request of the Administrative Agent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any electronic signature shall be promptly followed by such manually executed counterpart</w:t>
      </w:r>
      <w:r>
        <w:rPr>
          <w:rFonts w:ascii="Arial" w:cs="Arial" w:eastAsia="Arial" w:hAnsi="Arial"/>
          <w:sz w:val="18"/>
          <w:szCs w:val="18"/>
          <w:color w:val="auto"/>
        </w:rPr>
        <w: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avoidance of doubt, the authorization under this paragraph may include, without limitation, use or acceptance by the Administrative Agent and each of the Secured Parties of a manually signed paper document, amendment, approval, consent, information, notice, certificate, request, statement, disclosure or authorization related to this Agreement (each a “</w:t>
      </w:r>
      <w:r>
        <w:rPr>
          <w:rFonts w:ascii="Arial" w:cs="Arial" w:eastAsia="Arial" w:hAnsi="Arial"/>
          <w:sz w:val="18"/>
          <w:szCs w:val="18"/>
          <w:i w:val="1"/>
          <w:iCs w:val="1"/>
          <w:u w:val="single" w:color="auto"/>
          <w:color w:val="auto"/>
        </w:rPr>
        <w:t>Communication</w:t>
      </w:r>
      <w:r>
        <w:rPr>
          <w:rFonts w:ascii="Arial" w:cs="Arial" w:eastAsia="Arial" w:hAnsi="Arial"/>
          <w:sz w:val="18"/>
          <w:szCs w:val="18"/>
          <w:color w:val="auto"/>
        </w:rPr>
        <w:t>”) which has been converted into electronic form (such as scanned into PDF format), or an electronically signed Communication converted into another format, for transmission, delivery and/or retention.</w:t>
      </w:r>
    </w:p>
    <w:p>
      <w:pPr>
        <w:spacing w:after="0" w:line="176" w:lineRule="exact"/>
        <w:rPr>
          <w:rFonts w:ascii="Arial" w:cs="Arial" w:eastAsia="Arial" w:hAnsi="Arial"/>
          <w:sz w:val="18"/>
          <w:szCs w:val="18"/>
          <w:color w:val="auto"/>
        </w:rPr>
      </w:pPr>
    </w:p>
    <w:p>
      <w:pPr>
        <w:jc w:val="both"/>
        <w:ind w:left="880" w:firstLine="789"/>
        <w:spacing w:after="0" w:line="259" w:lineRule="auto"/>
        <w:tabs>
          <w:tab w:leader="none" w:pos="2556"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Borrower hereby acknowledges the receipt of a copy of this Agreement and all other Loan Documents. The Administrative Agent and each Lender may, on behalf of the Borrower, create a microfilm or optical disk or other electronic image of this Agreement and any or all of the other Loan Documents. The Administrative Agent and each Lender may store the electronic image of this Agreement and the other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w:t>
      </w:r>
    </w:p>
    <w:p>
      <w:pPr>
        <w:spacing w:after="0" w:line="17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11.19</w:t>
      </w:r>
      <w:r>
        <w:rPr>
          <w:sz w:val="20"/>
          <w:szCs w:val="20"/>
          <w:color w:val="auto"/>
        </w:rPr>
        <w:tab/>
      </w:r>
      <w:r>
        <w:rPr>
          <w:rFonts w:ascii="Arial" w:cs="Arial" w:eastAsia="Arial" w:hAnsi="Arial"/>
          <w:sz w:val="18"/>
          <w:szCs w:val="18"/>
          <w:b w:val="1"/>
          <w:bCs w:val="1"/>
          <w:u w:val="single" w:color="auto"/>
          <w:color w:val="auto"/>
        </w:rPr>
        <w:t>USA Patriot Act Notice</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“Patriot Act”),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6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11.20</w:t>
      </w:r>
      <w:r>
        <w:rPr>
          <w:sz w:val="20"/>
          <w:szCs w:val="20"/>
          <w:color w:val="auto"/>
        </w:rPr>
        <w:tab/>
      </w:r>
      <w:r>
        <w:rPr>
          <w:rFonts w:ascii="Arial" w:cs="Arial" w:eastAsia="Arial" w:hAnsi="Arial"/>
          <w:sz w:val="16"/>
          <w:szCs w:val="16"/>
          <w:b w:val="1"/>
          <w:bCs w:val="1"/>
          <w:u w:val="single" w:color="auto"/>
          <w:color w:val="auto"/>
        </w:rPr>
        <w:t>Acknowledgement and Consent to Bail-In of Affected Financial Institutions.</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Solely to the extent any Lender or L/C Issuer that is an Affected Financial Institution is a party to this Agreement and notwithstanding anything to the contrary in any Loan Document or in any other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3" w:name="page234"/>
    <w:bookmarkEnd w:id="233"/>
    <w:p>
      <w:pPr>
        <w:jc w:val="both"/>
        <w:spacing w:after="0" w:line="246" w:lineRule="auto"/>
        <w:rPr>
          <w:sz w:val="20"/>
          <w:szCs w:val="20"/>
          <w:color w:val="auto"/>
        </w:rPr>
      </w:pPr>
      <w:r>
        <w:rPr>
          <w:rFonts w:ascii="Arial" w:cs="Arial" w:eastAsia="Arial" w:hAnsi="Arial"/>
          <w:sz w:val="20"/>
          <w:szCs w:val="20"/>
          <w:color w:val="auto"/>
        </w:rPr>
        <w:t>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Affected Resolution Authority and agrees and consents to, and acknowledges and agrees to be bound by:</w:t>
      </w:r>
    </w:p>
    <w:p>
      <w:pPr>
        <w:spacing w:after="0" w:line="191" w:lineRule="exact"/>
        <w:rPr>
          <w:sz w:val="20"/>
          <w:szCs w:val="20"/>
          <w:color w:val="auto"/>
        </w:rPr>
      </w:pPr>
    </w:p>
    <w:p>
      <w:pPr>
        <w:jc w:val="both"/>
        <w:ind w:left="880" w:firstLine="789"/>
        <w:spacing w:after="0" w:line="250" w:lineRule="auto"/>
        <w:tabs>
          <w:tab w:leader="none" w:pos="2545"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85" w:lineRule="exact"/>
        <w:rPr>
          <w:rFonts w:ascii="Arial" w:cs="Arial" w:eastAsia="Arial" w:hAnsi="Arial"/>
          <w:sz w:val="20"/>
          <w:szCs w:val="20"/>
          <w:color w:val="auto"/>
        </w:rPr>
      </w:pPr>
    </w:p>
    <w:p>
      <w:pPr>
        <w:ind w:left="2540" w:hanging="871"/>
        <w:spacing w:after="0"/>
        <w:tabs>
          <w:tab w:leader="none" w:pos="25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3300" w:hanging="834"/>
        <w:spacing w:after="0"/>
        <w:tabs>
          <w:tab w:leader="none" w:pos="330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740" w:firstLine="726"/>
        <w:spacing w:after="0" w:line="263" w:lineRule="auto"/>
        <w:tabs>
          <w:tab w:leader="none" w:pos="336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Arial" w:cs="Arial" w:eastAsia="Arial" w:hAnsi="Arial"/>
          <w:sz w:val="19"/>
          <w:szCs w:val="19"/>
          <w:color w:val="auto"/>
        </w:rPr>
      </w:pPr>
    </w:p>
    <w:p>
      <w:pPr>
        <w:ind w:left="1740" w:firstLine="726"/>
        <w:spacing w:after="0" w:line="260" w:lineRule="auto"/>
        <w:tabs>
          <w:tab w:leader="none" w:pos="3415" w:val="left"/>
        </w:tabs>
        <w:numPr>
          <w:ilvl w:val="1"/>
          <w:numId w:val="24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11.21</w:t>
      </w:r>
      <w:r>
        <w:rPr>
          <w:sz w:val="20"/>
          <w:szCs w:val="20"/>
          <w:color w:val="auto"/>
        </w:rPr>
        <w:tab/>
      </w:r>
      <w:r>
        <w:rPr>
          <w:rFonts w:ascii="Arial" w:cs="Arial" w:eastAsia="Arial" w:hAnsi="Arial"/>
          <w:sz w:val="16"/>
          <w:szCs w:val="16"/>
          <w:b w:val="1"/>
          <w:bCs w:val="1"/>
          <w:u w:val="single" w:color="auto"/>
          <w:color w:val="auto"/>
        </w:rPr>
        <w:t>Acknowledgement Regarding Any Supported QFCs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34" w:name="page235"/>
    <w:bookmarkEnd w:id="234"/>
    <w:p>
      <w:pPr>
        <w:ind w:left="880"/>
        <w:spacing w:after="0"/>
        <w:tabs>
          <w:tab w:leader="none" w:pos="1940" w:val="left"/>
        </w:tabs>
        <w:rPr>
          <w:sz w:val="20"/>
          <w:szCs w:val="20"/>
          <w:color w:val="auto"/>
        </w:rPr>
      </w:pPr>
      <w:r>
        <w:rPr>
          <w:rFonts w:ascii="Arial" w:cs="Arial" w:eastAsia="Arial" w:hAnsi="Arial"/>
          <w:sz w:val="20"/>
          <w:szCs w:val="20"/>
          <w:b w:val="1"/>
          <w:bCs w:val="1"/>
          <w:color w:val="auto"/>
        </w:rPr>
        <w:t>11.22</w:t>
      </w:r>
      <w:r>
        <w:rPr>
          <w:sz w:val="20"/>
          <w:szCs w:val="20"/>
          <w:color w:val="auto"/>
        </w:rPr>
        <w:tab/>
      </w:r>
      <w:r>
        <w:rPr>
          <w:rFonts w:ascii="Arial" w:cs="Arial" w:eastAsia="Arial" w:hAnsi="Arial"/>
          <w:sz w:val="20"/>
          <w:szCs w:val="20"/>
          <w:b w:val="1"/>
          <w:bCs w:val="1"/>
          <w:u w:val="single" w:color="auto"/>
          <w:color w:val="auto"/>
        </w:rPr>
        <w:t>ENTIRE AGREEMENT.</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5" w:name="page236"/>
    <w:bookmarkEnd w:id="235"/>
    <w:p>
      <w:pPr>
        <w:ind w:left="8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as of the date first above written.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20"/>
                <w:szCs w:val="20"/>
                <w:b w:val="1"/>
                <w:bCs w:val="1"/>
                <w:color w:val="auto"/>
              </w:rPr>
              <w:t>BORROWER</w:t>
            </w:r>
            <w:r>
              <w:rPr>
                <w:rFonts w:ascii="Arial" w:cs="Arial" w:eastAsia="Arial" w:hAnsi="Arial"/>
                <w:sz w:val="20"/>
                <w:szCs w:val="20"/>
                <w:color w:val="auto"/>
              </w:rPr>
              <w:t>:</w:t>
            </w:r>
          </w:p>
        </w:tc>
        <w:tc>
          <w:tcPr>
            <w:tcW w:w="4560" w:type="dxa"/>
            <w:vAlign w:val="bottom"/>
            <w:gridSpan w:val="3"/>
          </w:tcPr>
          <w:p>
            <w:pPr>
              <w:ind w:left="2180"/>
              <w:spacing w:after="0"/>
              <w:rPr>
                <w:sz w:val="20"/>
                <w:szCs w:val="20"/>
                <w:color w:val="auto"/>
              </w:rPr>
            </w:pPr>
            <w:r>
              <w:rPr>
                <w:rFonts w:ascii="Arial" w:cs="Arial" w:eastAsia="Arial" w:hAnsi="Arial"/>
                <w:sz w:val="20"/>
                <w:szCs w:val="20"/>
                <w:b w:val="1"/>
                <w:bCs w:val="1"/>
                <w:color w:val="auto"/>
                <w:w w:val="99"/>
              </w:rPr>
              <w:t>CORSAIR GAMING, INC.,</w:t>
            </w:r>
          </w:p>
        </w:tc>
      </w:tr>
      <w:tr>
        <w:trPr>
          <w:trHeight w:val="254"/>
        </w:trPr>
        <w:tc>
          <w:tcPr>
            <w:tcW w:w="1200" w:type="dxa"/>
            <w:vAlign w:val="bottom"/>
            <w:tcBorders>
              <w:top w:val="single" w:sz="8" w:color="auto"/>
            </w:tcBorders>
          </w:tcPr>
          <w:p>
            <w:pPr>
              <w:spacing w:after="0"/>
              <w:rPr>
                <w:sz w:val="22"/>
                <w:szCs w:val="22"/>
                <w:color w:val="auto"/>
              </w:rPr>
            </w:pPr>
          </w:p>
        </w:tc>
        <w:tc>
          <w:tcPr>
            <w:tcW w:w="2220" w:type="dxa"/>
            <w:vAlign w:val="bottom"/>
          </w:tcPr>
          <w:p>
            <w:pPr>
              <w:spacing w:after="0"/>
              <w:rPr>
                <w:sz w:val="22"/>
                <w:szCs w:val="22"/>
                <w:color w:val="auto"/>
              </w:rPr>
            </w:pPr>
          </w:p>
        </w:tc>
        <w:tc>
          <w:tcPr>
            <w:tcW w:w="4560" w:type="dxa"/>
            <w:vAlign w:val="bottom"/>
            <w:gridSpan w:val="3"/>
          </w:tcPr>
          <w:p>
            <w:pPr>
              <w:ind w:left="2180"/>
              <w:spacing w:after="0"/>
              <w:rPr>
                <w:sz w:val="20"/>
                <w:szCs w:val="20"/>
                <w:color w:val="auto"/>
              </w:rPr>
            </w:pPr>
            <w:r>
              <w:rPr>
                <w:rFonts w:ascii="Arial" w:cs="Arial" w:eastAsia="Arial" w:hAnsi="Arial"/>
                <w:sz w:val="20"/>
                <w:szCs w:val="20"/>
                <w:color w:val="auto"/>
              </w:rPr>
              <w:t>a Delaware corporation</w:t>
            </w:r>
          </w:p>
        </w:tc>
      </w:tr>
      <w:tr>
        <w:trPr>
          <w:trHeight w:val="617"/>
        </w:trPr>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560" w:type="dxa"/>
            <w:vAlign w:val="bottom"/>
            <w:gridSpan w:val="3"/>
          </w:tcPr>
          <w:p>
            <w:pPr>
              <w:ind w:left="2180"/>
              <w:spacing w:after="0"/>
              <w:rPr>
                <w:sz w:val="20"/>
                <w:szCs w:val="20"/>
                <w:color w:val="auto"/>
              </w:rPr>
            </w:pPr>
            <w:r>
              <w:rPr>
                <w:rFonts w:ascii="Arial" w:cs="Arial" w:eastAsia="Arial" w:hAnsi="Arial"/>
                <w:sz w:val="20"/>
                <w:szCs w:val="20"/>
                <w:color w:val="auto"/>
              </w:rPr>
              <w:t>By: /s/ Andrew J. Paul</w:t>
            </w:r>
          </w:p>
        </w:tc>
      </w:tr>
      <w:tr>
        <w:trPr>
          <w:trHeight w:val="20"/>
        </w:trPr>
        <w:tc>
          <w:tcPr>
            <w:tcW w:w="1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3"/>
        </w:trPr>
        <w:tc>
          <w:tcPr>
            <w:tcW w:w="1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560" w:type="dxa"/>
            <w:vAlign w:val="bottom"/>
            <w:gridSpan w:val="3"/>
          </w:tcPr>
          <w:p>
            <w:pPr>
              <w:ind w:left="2180"/>
              <w:spacing w:after="0"/>
              <w:rPr>
                <w:sz w:val="20"/>
                <w:szCs w:val="20"/>
                <w:color w:val="auto"/>
              </w:rPr>
            </w:pPr>
            <w:r>
              <w:rPr>
                <w:rFonts w:ascii="Arial" w:cs="Arial" w:eastAsia="Arial" w:hAnsi="Arial"/>
                <w:sz w:val="20"/>
                <w:szCs w:val="20"/>
                <w:color w:val="auto"/>
              </w:rPr>
              <w:t>Name: Andrew J. Paul</w:t>
            </w:r>
          </w:p>
        </w:tc>
      </w:tr>
      <w:tr>
        <w:trPr>
          <w:trHeight w:val="250"/>
        </w:trPr>
        <w:tc>
          <w:tcPr>
            <w:tcW w:w="1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560" w:type="dxa"/>
            <w:vAlign w:val="bottom"/>
            <w:gridSpan w:val="3"/>
          </w:tcPr>
          <w:p>
            <w:pPr>
              <w:ind w:left="2180"/>
              <w:spacing w:after="0"/>
              <w:rPr>
                <w:sz w:val="20"/>
                <w:szCs w:val="20"/>
                <w:color w:val="auto"/>
              </w:rPr>
            </w:pPr>
            <w:r>
              <w:rPr>
                <w:rFonts w:ascii="Arial" w:cs="Arial" w:eastAsia="Arial" w:hAnsi="Arial"/>
                <w:sz w:val="20"/>
                <w:szCs w:val="20"/>
                <w:color w:val="auto"/>
                <w:w w:val="93"/>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CORSAIR GAMING,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20"/>
                <w:szCs w:val="20"/>
                <w:b w:val="1"/>
                <w:bCs w:val="1"/>
                <w:color w:val="auto"/>
              </w:rPr>
              <w:t>GUARANTORS</w:t>
            </w:r>
            <w:r>
              <w:rPr>
                <w:rFonts w:ascii="Arial" w:cs="Arial" w:eastAsia="Arial" w:hAnsi="Arial"/>
                <w:sz w:val="20"/>
                <w:szCs w:val="20"/>
                <w:color w:val="auto"/>
              </w:rPr>
              <w:t>:</w:t>
            </w:r>
          </w:p>
        </w:tc>
        <w:tc>
          <w:tcPr>
            <w:tcW w:w="5720" w:type="dxa"/>
            <w:vAlign w:val="bottom"/>
            <w:gridSpan w:val="3"/>
          </w:tcPr>
          <w:p>
            <w:pPr>
              <w:ind w:left="2060"/>
              <w:spacing w:after="0"/>
              <w:rPr>
                <w:sz w:val="20"/>
                <w:szCs w:val="20"/>
                <w:color w:val="auto"/>
              </w:rPr>
            </w:pPr>
            <w:r>
              <w:rPr>
                <w:rFonts w:ascii="Arial" w:cs="Arial" w:eastAsia="Arial" w:hAnsi="Arial"/>
                <w:sz w:val="20"/>
                <w:szCs w:val="20"/>
                <w:b w:val="1"/>
                <w:bCs w:val="1"/>
                <w:color w:val="auto"/>
              </w:rPr>
              <w:t>CORSAIR MEMORY, INC.,</w:t>
            </w:r>
          </w:p>
        </w:tc>
      </w:tr>
      <w:tr>
        <w:trPr>
          <w:trHeight w:val="254"/>
        </w:trPr>
        <w:tc>
          <w:tcPr>
            <w:tcW w:w="1420" w:type="dxa"/>
            <w:vAlign w:val="bottom"/>
            <w:tcBorders>
              <w:top w:val="single" w:sz="8" w:color="auto"/>
            </w:tcBorders>
          </w:tcPr>
          <w:p>
            <w:pPr>
              <w:spacing w:after="0"/>
              <w:rPr>
                <w:sz w:val="22"/>
                <w:szCs w:val="22"/>
                <w:color w:val="auto"/>
              </w:rPr>
            </w:pPr>
          </w:p>
        </w:tc>
        <w:tc>
          <w:tcPr>
            <w:tcW w:w="2120" w:type="dxa"/>
            <w:vAlign w:val="bottom"/>
          </w:tcPr>
          <w:p>
            <w:pPr>
              <w:spacing w:after="0"/>
              <w:rPr>
                <w:sz w:val="22"/>
                <w:szCs w:val="22"/>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a Delaware corporation</w:t>
            </w:r>
          </w:p>
        </w:tc>
      </w:tr>
      <w:tr>
        <w:trPr>
          <w:trHeight w:val="617"/>
        </w:trPr>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By: /s/ Andrew J. Paul</w:t>
            </w:r>
          </w:p>
        </w:tc>
      </w:tr>
      <w:tr>
        <w:trPr>
          <w:trHeight w:val="20"/>
        </w:trPr>
        <w:tc>
          <w:tcPr>
            <w:tcW w:w="1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Name: Andrew J. Paul</w:t>
            </w:r>
          </w:p>
        </w:tc>
      </w:tr>
      <w:tr>
        <w:trPr>
          <w:trHeight w:val="250"/>
        </w:trPr>
        <w:tc>
          <w:tcPr>
            <w:tcW w:w="1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Title: Chief Executive Officer</w:t>
            </w:r>
          </w:p>
        </w:tc>
      </w:tr>
      <w:tr>
        <w:trPr>
          <w:trHeight w:val="641"/>
        </w:trPr>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b w:val="1"/>
                <w:bCs w:val="1"/>
                <w:color w:val="auto"/>
              </w:rPr>
              <w:t>ORIGIN PC, LLC,</w:t>
            </w:r>
          </w:p>
        </w:tc>
      </w:tr>
      <w:tr>
        <w:trPr>
          <w:trHeight w:val="250"/>
        </w:trPr>
        <w:tc>
          <w:tcPr>
            <w:tcW w:w="1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a Delaware limited liability company</w:t>
            </w:r>
          </w:p>
        </w:tc>
      </w:tr>
      <w:tr>
        <w:trPr>
          <w:trHeight w:val="617"/>
        </w:trPr>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By: /s/ Andrew J. Paul</w:t>
            </w:r>
          </w:p>
        </w:tc>
      </w:tr>
      <w:tr>
        <w:trPr>
          <w:trHeight w:val="20"/>
        </w:trPr>
        <w:tc>
          <w:tcPr>
            <w:tcW w:w="1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Name: Andrew J. Paul</w:t>
            </w:r>
          </w:p>
        </w:tc>
      </w:tr>
      <w:tr>
        <w:trPr>
          <w:trHeight w:val="250"/>
        </w:trPr>
        <w:tc>
          <w:tcPr>
            <w:tcW w:w="1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Title: Chief Executive Officer</w:t>
            </w:r>
          </w:p>
        </w:tc>
      </w:tr>
      <w:tr>
        <w:trPr>
          <w:trHeight w:val="641"/>
        </w:trPr>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b w:val="1"/>
                <w:bCs w:val="1"/>
                <w:color w:val="auto"/>
              </w:rPr>
              <w:t>SCUF GAMING INTERNATIONAL LLC,</w:t>
            </w:r>
          </w:p>
        </w:tc>
      </w:tr>
      <w:tr>
        <w:trPr>
          <w:trHeight w:val="250"/>
        </w:trPr>
        <w:tc>
          <w:tcPr>
            <w:tcW w:w="1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a Georgia limited liability company</w:t>
            </w:r>
          </w:p>
        </w:tc>
      </w:tr>
      <w:tr>
        <w:trPr>
          <w:trHeight w:val="617"/>
        </w:trPr>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By: /s/ Andrew J. Paul</w:t>
            </w:r>
          </w:p>
        </w:tc>
      </w:tr>
      <w:tr>
        <w:trPr>
          <w:trHeight w:val="20"/>
        </w:trPr>
        <w:tc>
          <w:tcPr>
            <w:tcW w:w="1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3"/>
        </w:trPr>
        <w:tc>
          <w:tcPr>
            <w:tcW w:w="1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Name: Andrew J. Paul</w:t>
            </w:r>
          </w:p>
        </w:tc>
      </w:tr>
      <w:tr>
        <w:trPr>
          <w:trHeight w:val="250"/>
        </w:trPr>
        <w:tc>
          <w:tcPr>
            <w:tcW w:w="1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720" w:type="dxa"/>
            <w:vAlign w:val="bottom"/>
            <w:gridSpan w:val="3"/>
          </w:tcPr>
          <w:p>
            <w:pPr>
              <w:ind w:left="2060"/>
              <w:spacing w:after="0"/>
              <w:rPr>
                <w:sz w:val="20"/>
                <w:szCs w:val="20"/>
                <w:color w:val="auto"/>
              </w:rPr>
            </w:pPr>
            <w:r>
              <w:rPr>
                <w:rFonts w:ascii="Arial" w:cs="Arial" w:eastAsia="Arial" w:hAnsi="Arial"/>
                <w:sz w:val="20"/>
                <w:szCs w:val="20"/>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CORSAIR GAMING,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37" w:name="page238"/>
    <w:bookmarkEnd w:id="237"/>
    <w:p>
      <w:pPr>
        <w:ind w:left="44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Jason Eshler</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Jason Eshler</w:t>
      </w:r>
    </w:p>
    <w:p>
      <w:pPr>
        <w:ind w:left="44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CORSAIR GAMING,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603" w:right="339" w:bottom="1440" w:gutter="0" w:footer="0" w:header="0"/>
        </w:sectPr>
      </w:pPr>
    </w:p>
    <w:bookmarkStart w:id="238" w:name="page239"/>
    <w:bookmarkEnd w:id="238"/>
    <w:p>
      <w:pPr>
        <w:ind w:left="44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as a Lender, L/C Issuer and Swingline Lender</w:t>
      </w:r>
    </w:p>
    <w:p>
      <w:pPr>
        <w:spacing w:after="0" w:line="200" w:lineRule="exact"/>
        <w:rPr>
          <w:sz w:val="20"/>
          <w:szCs w:val="20"/>
          <w:color w:val="auto"/>
        </w:rPr>
      </w:pPr>
    </w:p>
    <w:p>
      <w:pPr>
        <w:spacing w:after="0" w:line="21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Jason Eshler</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Jason Eshler</w:t>
      </w:r>
    </w:p>
    <w:p>
      <w:pPr>
        <w:ind w:left="44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CORSAIR GAMING,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ectPr>
          <w:pgSz w:w="11900" w:h="16838" w:orient="portrait"/>
          <w:cols w:equalWidth="0" w:num="1">
            <w:col w:w="10120"/>
          </w:cols>
          <w:pgMar w:left="1440" w:top="603"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J. Paul, certify that:</w:t>
      </w:r>
    </w:p>
    <w:p>
      <w:pPr>
        <w:spacing w:after="0" w:line="225" w:lineRule="exact"/>
        <w:rPr>
          <w:sz w:val="20"/>
          <w:szCs w:val="20"/>
          <w:color w:val="auto"/>
        </w:rPr>
      </w:pPr>
    </w:p>
    <w:p>
      <w:pPr>
        <w:ind w:left="620" w:hanging="612"/>
        <w:spacing w:after="0"/>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360" w:hanging="612"/>
        <w:spacing w:after="0" w:line="277" w:lineRule="auto"/>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2, 2021</w:t>
            </w:r>
          </w:p>
        </w:tc>
        <w:tc>
          <w:tcPr>
            <w:tcW w:w="2300" w:type="dxa"/>
            <w:vAlign w:val="bottom"/>
          </w:tcPr>
          <w:p>
            <w:pPr>
              <w:ind w:left="19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J. Paul</w:t>
            </w:r>
          </w:p>
        </w:tc>
      </w:tr>
      <w:tr>
        <w:trPr>
          <w:trHeight w:val="222"/>
        </w:trPr>
        <w:tc>
          <w:tcPr>
            <w:tcW w:w="3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 Potter, certify that:</w:t>
      </w:r>
    </w:p>
    <w:p>
      <w:pPr>
        <w:spacing w:after="0" w:line="225" w:lineRule="exact"/>
        <w:rPr>
          <w:sz w:val="20"/>
          <w:szCs w:val="20"/>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77" w:lineRule="auto"/>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2, 2021</w:t>
            </w:r>
          </w:p>
        </w:tc>
        <w:tc>
          <w:tcPr>
            <w:tcW w:w="2300" w:type="dxa"/>
            <w:vAlign w:val="bottom"/>
          </w:tcPr>
          <w:p>
            <w:pPr>
              <w:ind w:left="19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240"/>
          </w:cols>
          <w:pgMar w:left="320" w:top="351"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right="280" w:firstLine="562"/>
        <w:spacing w:after="0" w:line="311" w:lineRule="auto"/>
        <w:rPr>
          <w:sz w:val="20"/>
          <w:szCs w:val="20"/>
          <w:color w:val="auto"/>
        </w:rPr>
      </w:pPr>
      <w:r>
        <w:rPr>
          <w:rFonts w:ascii="Arial" w:cs="Arial" w:eastAsia="Arial" w:hAnsi="Arial"/>
          <w:sz w:val="16"/>
          <w:szCs w:val="16"/>
          <w:color w:val="auto"/>
        </w:rPr>
        <w:t>In connection with the quarterly report of Corsair Gaming, Inc. (the “Company”) on Form 10-Q for the quarter ended September 30, 2021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2, 2021</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918"/>
        </w:trPr>
        <w:tc>
          <w:tcPr>
            <w:tcW w:w="3760" w:type="dxa"/>
            <w:vAlign w:val="bottom"/>
          </w:tcPr>
          <w:p>
            <w:pPr>
              <w:spacing w:after="0"/>
              <w:rPr>
                <w:sz w:val="20"/>
                <w:szCs w:val="20"/>
                <w:color w:val="auto"/>
              </w:rPr>
            </w:pPr>
            <w:r>
              <w:rPr>
                <w:rFonts w:ascii="Arial" w:cs="Arial" w:eastAsia="Arial" w:hAnsi="Arial"/>
                <w:sz w:val="18"/>
                <w:szCs w:val="18"/>
                <w:color w:val="auto"/>
              </w:rPr>
              <w:t>Date: November 2, 2021</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
      <w:numFmt w:val="bullet"/>
      <w:start w:val="1"/>
    </w:lvl>
  </w:abstractNum>
  <w:abstractNum w:abstractNumId="3">
    <w:nsid w:val="34FD6B4F"/>
    <w:multiLevelType w:val="hybridMultilevel"/>
    <w:lvl w:ilvl="0">
      <w:lvlJc w:val="left"/>
      <w:lvlText w:val="•"/>
      <w:numFmt w:val="bullet"/>
      <w:start w:val="1"/>
    </w:lvl>
  </w:abstractNum>
  <w:abstractNum w:abstractNumId="4">
    <w:nsid w:val="5915FF32"/>
    <w:multiLevelType w:val="hybridMultilevel"/>
    <w:lvl w:ilvl="0">
      <w:lvlJc w:val="left"/>
      <w:lvlText w:val="(%1)"/>
      <w:numFmt w:val="decimal"/>
      <w:start w:val="1"/>
    </w:lvl>
  </w:abstractNum>
  <w:abstractNum w:abstractNumId="5">
    <w:nsid w:val="56438D15"/>
    <w:multiLevelType w:val="hybridMultilevel"/>
    <w:lvl w:ilvl="0">
      <w:lvlJc w:val="left"/>
      <w:lvlText w:val="(%1)"/>
      <w:numFmt w:val="decimal"/>
      <w:start w:val="1"/>
    </w:lvl>
  </w:abstractNum>
  <w:abstractNum w:abstractNumId="6">
    <w:nsid w:val="519E3149"/>
    <w:multiLevelType w:val="hybridMultilevel"/>
    <w:lvl w:ilvl="0">
      <w:lvlJc w:val="left"/>
      <w:lvlText w:val="%1"/>
      <w:numFmt w:val="decimal"/>
      <w:start w:val="1"/>
    </w:lvl>
    <w:lvl w:ilvl="1">
      <w:lvlJc w:val="left"/>
      <w:lvlText w:val="(%2)"/>
      <w:numFmt w:val="decimal"/>
      <w:start w:val="1"/>
    </w:lvl>
  </w:abstractNum>
  <w:abstractNum w:abstractNumId="7">
    <w:nsid w:val="2C6E4AFD"/>
    <w:multiLevelType w:val="hybridMultilevel"/>
    <w:lvl w:ilvl="0">
      <w:lvlJc w:val="left"/>
      <w:lvlText w:val="%1."/>
      <w:numFmt w:val="decimal"/>
      <w:start w:val="13"/>
    </w:lvl>
    <w:lvl w:ilvl="1">
      <w:lvlJc w:val="left"/>
      <w:lvlText w:val="%2"/>
      <w:numFmt w:val="decimal"/>
      <w:start w:val="1"/>
    </w:lvl>
  </w:abstractNum>
  <w:abstractNum w:abstractNumId="8">
    <w:nsid w:val="17A1B582"/>
    <w:multiLevelType w:val="hybridMultilevel"/>
    <w:lvl w:ilvl="0">
      <w:lvlJc w:val="left"/>
      <w:lvlText w:val="%1."/>
      <w:numFmt w:val="decimal"/>
      <w:start w:val="14"/>
    </w:lvl>
    <w:lvl w:ilvl="1">
      <w:lvlJc w:val="left"/>
      <w:lvlText w:val="•"/>
      <w:numFmt w:val="bullet"/>
      <w:start w:val="1"/>
    </w:lvl>
  </w:abstractNum>
  <w:abstractNum w:abstractNumId="9">
    <w:nsid w:val="4DF72E4E"/>
    <w:multiLevelType w:val="hybridMultilevel"/>
    <w:lvl w:ilvl="0">
      <w:lvlJc w:val="left"/>
      <w:lvlText w:val="•"/>
      <w:numFmt w:val="bullet"/>
      <w:start w:val="1"/>
    </w:lvl>
  </w:abstractNum>
  <w:abstractNum w:abstractNumId="10">
    <w:nsid w:val="5046B5A9"/>
    <w:multiLevelType w:val="hybridMultilevel"/>
    <w:lvl w:ilvl="0">
      <w:lvlJc w:val="left"/>
      <w:lvlText w:val="•"/>
      <w:numFmt w:val="bullet"/>
      <w:start w:val="1"/>
    </w:lvl>
  </w:abstractNum>
  <w:abstractNum w:abstractNumId="11">
    <w:nsid w:val="5D888A08"/>
    <w:multiLevelType w:val="hybridMultilevel"/>
    <w:lvl w:ilvl="0">
      <w:lvlJc w:val="left"/>
      <w:lvlText w:val="(%1)"/>
      <w:numFmt w:val="decimal"/>
      <w:start w:val="1"/>
    </w:lvl>
  </w:abstractNum>
  <w:abstractNum w:abstractNumId="12">
    <w:nsid w:val="2A082C70"/>
    <w:multiLevelType w:val="hybridMultilevel"/>
    <w:lvl w:ilvl="0">
      <w:lvlJc w:val="left"/>
      <w:lvlText w:val="•"/>
      <w:numFmt w:val="bullet"/>
      <w:start w:val="1"/>
    </w:lvl>
  </w:abstractNum>
  <w:abstractNum w:abstractNumId="13">
    <w:nsid w:val="5EC6AFD4"/>
    <w:multiLevelType w:val="hybridMultilevel"/>
    <w:lvl w:ilvl="0">
      <w:lvlJc w:val="left"/>
      <w:lvlText w:val="•"/>
      <w:numFmt w:val="bullet"/>
      <w:start w:val="1"/>
    </w:lvl>
  </w:abstractNum>
  <w:abstractNum w:abstractNumId="14">
    <w:nsid w:val="19E21BB2"/>
    <w:multiLevelType w:val="hybridMultilevel"/>
    <w:lvl w:ilvl="0">
      <w:lvlJc w:val="left"/>
      <w:lvlText w:val="•"/>
      <w:numFmt w:val="bullet"/>
      <w:start w:val="1"/>
    </w:lvl>
  </w:abstractNum>
  <w:abstractNum w:abstractNumId="15">
    <w:nsid w:val="75E0858A"/>
    <w:multiLevelType w:val="hybridMultilevel"/>
    <w:lvl w:ilvl="0">
      <w:lvlJc w:val="left"/>
      <w:lvlText w:val="•"/>
      <w:numFmt w:val="bullet"/>
      <w:start w:val="1"/>
    </w:lvl>
  </w:abstractNum>
  <w:abstractNum w:abstractNumId="16">
    <w:nsid w:val="57A61A29"/>
    <w:multiLevelType w:val="hybridMultilevel"/>
    <w:lvl w:ilvl="0">
      <w:lvlJc w:val="left"/>
      <w:lvlText w:val="•"/>
      <w:numFmt w:val="bullet"/>
      <w:start w:val="1"/>
    </w:lvl>
  </w:abstractNum>
  <w:abstractNum w:abstractNumId="17">
    <w:nsid w:val="5399C654"/>
    <w:multiLevelType w:val="hybridMultilevel"/>
    <w:lvl w:ilvl="0">
      <w:lvlJc w:val="left"/>
      <w:lvlText w:val="•"/>
      <w:numFmt w:val="bullet"/>
      <w:start w:val="1"/>
    </w:lvl>
  </w:abstractNum>
  <w:abstractNum w:abstractNumId="18">
    <w:nsid w:val="20EE1348"/>
    <w:multiLevelType w:val="hybridMultilevel"/>
    <w:lvl w:ilvl="0">
      <w:lvlJc w:val="left"/>
      <w:lvlText w:val="•"/>
      <w:numFmt w:val="bullet"/>
      <w:start w:val="1"/>
    </w:lvl>
  </w:abstractNum>
  <w:abstractNum w:abstractNumId="19">
    <w:nsid w:val="4427069A"/>
    <w:multiLevelType w:val="hybridMultilevel"/>
    <w:lvl w:ilvl="0">
      <w:lvlJc w:val="left"/>
      <w:lvlText w:val="•"/>
      <w:numFmt w:val="bullet"/>
      <w:start w:val="1"/>
    </w:lvl>
  </w:abstractNum>
  <w:abstractNum w:abstractNumId="20">
    <w:nsid w:val="B37E80A"/>
    <w:multiLevelType w:val="hybridMultilevel"/>
    <w:lvl w:ilvl="0">
      <w:lvlJc w:val="left"/>
      <w:lvlText w:val="•"/>
      <w:numFmt w:val="bullet"/>
      <w:start w:val="1"/>
    </w:lvl>
  </w:abstractNum>
  <w:abstractNum w:abstractNumId="21">
    <w:nsid w:val="2157F6BC"/>
    <w:multiLevelType w:val="hybridMultilevel"/>
    <w:lvl w:ilvl="0">
      <w:lvlJc w:val="left"/>
      <w:lvlText w:val="•"/>
      <w:numFmt w:val="bullet"/>
      <w:start w:val="1"/>
    </w:lvl>
  </w:abstractNum>
  <w:abstractNum w:abstractNumId="22">
    <w:nsid w:val="704E1DD5"/>
    <w:multiLevelType w:val="hybridMultilevel"/>
    <w:lvl w:ilvl="0">
      <w:lvlJc w:val="left"/>
      <w:lvlText w:val="•"/>
      <w:numFmt w:val="bullet"/>
      <w:start w:val="1"/>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
      <w:numFmt w:val="bullet"/>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
      <w:numFmt w:val="bullet"/>
      <w:start w:val="1"/>
    </w:lvl>
  </w:abstractNum>
  <w:abstractNum w:abstractNumId="28">
    <w:nsid w:val="4BEE5A5B"/>
    <w:multiLevelType w:val="hybridMultilevel"/>
    <w:lvl w:ilvl="0">
      <w:lvlJc w:val="left"/>
      <w:lvlText w:val="•"/>
      <w:numFmt w:val="bullet"/>
      <w:start w:val="1"/>
    </w:lvl>
  </w:abstractNum>
  <w:abstractNum w:abstractNumId="29">
    <w:nsid w:val="5551B9F3"/>
    <w:multiLevelType w:val="hybridMultilevel"/>
    <w:lvl w:ilvl="0">
      <w:lvlJc w:val="left"/>
      <w:lvlText w:val="•"/>
      <w:numFmt w:val="bullet"/>
      <w:start w:val="1"/>
    </w:lvl>
  </w:abstractNum>
  <w:abstractNum w:abstractNumId="30">
    <w:nsid w:val="24F6AB8E"/>
    <w:multiLevelType w:val="hybridMultilevel"/>
    <w:lvl w:ilvl="0">
      <w:lvlJc w:val="left"/>
      <w:lvlText w:val="(%1)"/>
      <w:numFmt w:val="lowerLetter"/>
      <w:start w:val="4"/>
    </w:lvl>
  </w:abstractNum>
  <w:abstractNum w:abstractNumId="31">
    <w:nsid w:val="634C574C"/>
    <w:multiLevelType w:val="hybridMultilevel"/>
    <w:lvl w:ilvl="0">
      <w:lvlJc w:val="left"/>
      <w:lvlText w:val="*"/>
      <w:numFmt w:val="bullet"/>
      <w:start w:val="1"/>
    </w:lvl>
  </w:abstractNum>
  <w:abstractNum w:abstractNumId="32">
    <w:nsid w:val="24E99DD7"/>
    <w:multiLevelType w:val="hybridMultilevel"/>
    <w:lvl w:ilvl="0">
      <w:lvlJc w:val="left"/>
      <w:lvlText w:val="(%1)"/>
      <w:numFmt w:val="lowerRoman"/>
      <w:start w:val="1"/>
    </w:lvl>
  </w:abstractNum>
  <w:abstractNum w:abstractNumId="33">
    <w:nsid w:val="2A31B62D"/>
    <w:multiLevelType w:val="hybridMultilevel"/>
    <w:lvl w:ilvl="0">
      <w:lvlJc w:val="left"/>
      <w:lvlText w:val="(%1)"/>
      <w:numFmt w:val="lowerRoman"/>
      <w:start w:val="3"/>
    </w:lvl>
  </w:abstractNum>
  <w:abstractNum w:abstractNumId="34">
    <w:nsid w:val="1849C29B"/>
    <w:multiLevelType w:val="hybridMultilevel"/>
    <w:lvl w:ilvl="0">
      <w:lvlJc w:val="left"/>
      <w:lvlText w:val="(%1)"/>
      <w:numFmt w:val="lowerLetter"/>
      <w:start w:val="3"/>
    </w:lvl>
  </w:abstractNum>
  <w:abstractNum w:abstractNumId="35">
    <w:nsid w:val="7DFF9D09"/>
    <w:multiLevelType w:val="hybridMultilevel"/>
    <w:lvl w:ilvl="0">
      <w:lvlJc w:val="left"/>
      <w:lvlText w:val="(%1)"/>
      <w:numFmt w:val="decimal"/>
      <w:start w:val="1"/>
    </w:lvl>
  </w:abstractNum>
  <w:abstractNum w:abstractNumId="36">
    <w:nsid w:val="754342"/>
    <w:multiLevelType w:val="hybridMultilevel"/>
    <w:lvl w:ilvl="0">
      <w:lvlJc w:val="left"/>
      <w:lvlText w:val="(%1)"/>
      <w:numFmt w:val="lowerLetter"/>
      <w:start w:val="1"/>
    </w:lvl>
  </w:abstractNum>
  <w:abstractNum w:abstractNumId="37">
    <w:nsid w:val="69E7F3E5"/>
    <w:multiLevelType w:val="hybridMultilevel"/>
    <w:lvl w:ilvl="0">
      <w:lvlJc w:val="left"/>
      <w:lvlText w:val="(%1)"/>
      <w:numFmt w:val="decimal"/>
      <w:start w:val="2"/>
    </w:lvl>
  </w:abstractNum>
  <w:abstractNum w:abstractNumId="38">
    <w:nsid w:val="2A6DE806"/>
    <w:multiLevelType w:val="hybridMultilevel"/>
    <w:lvl w:ilvl="0">
      <w:lvlJc w:val="left"/>
      <w:lvlText w:val="%1"/>
      <w:numFmt w:val="lowerLetter"/>
      <w:start w:val="1"/>
    </w:lvl>
    <w:lvl w:ilvl="1">
      <w:lvlJc w:val="left"/>
      <w:lvlText w:val="(%2)"/>
      <w:numFmt w:val="lowerLetter"/>
      <w:start w:val="1"/>
    </w:lvl>
  </w:abstractNum>
  <w:abstractNum w:abstractNumId="39">
    <w:nsid w:val="1816F8C4"/>
    <w:multiLevelType w:val="hybridMultilevel"/>
    <w:lvl w:ilvl="0">
      <w:lvlJc w:val="left"/>
      <w:lvlText w:val="(%1)"/>
      <w:numFmt w:val="lowerLetter"/>
      <w:start w:val="9"/>
    </w:lvl>
    <w:lvl w:ilvl="1">
      <w:lvlJc w:val="left"/>
      <w:lvlText w:val="(%2)"/>
      <w:numFmt w:val="lowerLetter"/>
      <w:start w:val="3"/>
    </w:lvl>
  </w:abstractNum>
  <w:abstractNum w:abstractNumId="40">
    <w:nsid w:val="37DF2233"/>
    <w:multiLevelType w:val="hybridMultilevel"/>
    <w:lvl w:ilvl="0">
      <w:lvlJc w:val="left"/>
      <w:lvlText w:val="(%1)"/>
      <w:numFmt w:val="lowerLetter"/>
      <w:start w:val="1"/>
    </w:lvl>
  </w:abstractNum>
  <w:abstractNum w:abstractNumId="41">
    <w:nsid w:val="7AB49DAF"/>
    <w:multiLevelType w:val="hybridMultilevel"/>
    <w:lvl w:ilvl="0">
      <w:lvlJc w:val="left"/>
      <w:lvlText w:val="(%1)"/>
      <w:numFmt w:val="lowerLetter"/>
      <w:start w:val="8"/>
    </w:lvl>
  </w:abstractNum>
  <w:abstractNum w:abstractNumId="42">
    <w:nsid w:val="759F82CD"/>
    <w:multiLevelType w:val="hybridMultilevel"/>
    <w:lvl w:ilvl="0">
      <w:lvlJc w:val="left"/>
      <w:lvlText w:val="(%1)"/>
      <w:numFmt w:val="lowerRoman"/>
      <w:start w:val="1"/>
    </w:lvl>
  </w:abstractNum>
  <w:abstractNum w:abstractNumId="43">
    <w:nsid w:val="61E74EA3"/>
    <w:multiLevelType w:val="hybridMultilevel"/>
    <w:lvl w:ilvl="0">
      <w:lvlJc w:val="left"/>
      <w:lvlText w:val="(%1)"/>
      <w:numFmt w:val="lowerLetter"/>
      <w:start w:val="2"/>
    </w:lvl>
  </w:abstractNum>
  <w:abstractNum w:abstractNumId="44">
    <w:nsid w:val="597B4D84"/>
    <w:multiLevelType w:val="hybridMultilevel"/>
    <w:lvl w:ilvl="0">
      <w:lvlJc w:val="left"/>
      <w:lvlText w:val="(%1)"/>
      <w:numFmt w:val="lowerLetter"/>
      <w:start w:val="1"/>
    </w:lvl>
  </w:abstractNum>
  <w:abstractNum w:abstractNumId="45">
    <w:nsid w:val="F819E7F"/>
    <w:multiLevelType w:val="hybridMultilevel"/>
    <w:lvl w:ilvl="0">
      <w:lvlJc w:val="left"/>
      <w:lvlText w:val="(%1)"/>
      <w:numFmt w:val="lowerLetter"/>
      <w:start w:val="3"/>
    </w:lvl>
  </w:abstractNum>
  <w:abstractNum w:abstractNumId="46">
    <w:nsid w:val="57C7D42D"/>
    <w:multiLevelType w:val="hybridMultilevel"/>
    <w:lvl w:ilvl="0">
      <w:lvlJc w:val="left"/>
      <w:lvlText w:val="(%1)"/>
      <w:numFmt w:val="lowerLetter"/>
      <w:start w:val="1"/>
    </w:lvl>
  </w:abstractNum>
  <w:abstractNum w:abstractNumId="47">
    <w:nsid w:val="312167AD"/>
    <w:multiLevelType w:val="hybridMultilevel"/>
    <w:lvl w:ilvl="0">
      <w:lvlJc w:val="left"/>
      <w:lvlText w:val="(%1)"/>
      <w:numFmt w:val="lowerRoman"/>
      <w:start w:val="2"/>
    </w:lvl>
  </w:abstractNum>
  <w:abstractNum w:abstractNumId="48">
    <w:nsid w:val="631B64D4"/>
    <w:multiLevelType w:val="hybridMultilevel"/>
    <w:lvl w:ilvl="0">
      <w:lvlJc w:val="left"/>
      <w:lvlText w:val="(%1)"/>
      <w:numFmt w:val="lowerRoman"/>
      <w:start w:val="1"/>
    </w:lvl>
  </w:abstractNum>
  <w:abstractNum w:abstractNumId="49">
    <w:nsid w:val="78B5E776"/>
    <w:multiLevelType w:val="hybridMultilevel"/>
    <w:lvl w:ilvl="0">
      <w:lvlJc w:val="left"/>
      <w:lvlText w:val="(%1)"/>
      <w:numFmt w:val="lowerRoman"/>
      <w:start w:val="2"/>
    </w:lvl>
  </w:abstractNum>
  <w:abstractNum w:abstractNumId="50">
    <w:nsid w:val="75486E47"/>
    <w:multiLevelType w:val="hybridMultilevel"/>
    <w:lvl w:ilvl="0">
      <w:lvlJc w:val="left"/>
      <w:lvlText w:val="(%1)"/>
      <w:numFmt w:val="lowerLetter"/>
      <w:start w:val="1"/>
    </w:lvl>
  </w:abstractNum>
  <w:abstractNum w:abstractNumId="51">
    <w:nsid w:val="6E534CDE"/>
    <w:multiLevelType w:val="hybridMultilevel"/>
    <w:lvl w:ilvl="0">
      <w:lvlJc w:val="left"/>
      <w:lvlText w:val=";"/>
      <w:numFmt w:val="bullet"/>
      <w:start w:val="1"/>
    </w:lvl>
    <w:lvl w:ilvl="1">
      <w:lvlJc w:val="left"/>
      <w:lvlText w:val="(%2)"/>
      <w:numFmt w:val="lowerLetter"/>
      <w:start w:val="8"/>
    </w:lvl>
  </w:abstractNum>
  <w:abstractNum w:abstractNumId="52">
    <w:nsid w:val="1A0DDE32"/>
    <w:multiLevelType w:val="hybridMultilevel"/>
    <w:lvl w:ilvl="0">
      <w:lvlJc w:val="left"/>
      <w:lvlText w:val="(%1)"/>
      <w:numFmt w:val="lowerLetter"/>
      <w:start w:val="1"/>
    </w:lvl>
  </w:abstractNum>
  <w:abstractNum w:abstractNumId="53">
    <w:nsid w:val="65968C1C"/>
    <w:multiLevelType w:val="hybridMultilevel"/>
    <w:lvl w:ilvl="0">
      <w:lvlJc w:val="left"/>
      <w:lvlText w:val="(%1)"/>
      <w:numFmt w:val="lowerLetter"/>
      <w:start w:val="2"/>
    </w:lvl>
  </w:abstractNum>
  <w:abstractNum w:abstractNumId="54">
    <w:nsid w:val="46263DEC"/>
    <w:multiLevelType w:val="hybridMultilevel"/>
    <w:lvl w:ilvl="0">
      <w:lvlJc w:val="left"/>
      <w:lvlText w:val="(%1)"/>
      <w:numFmt w:val="lowerRoman"/>
      <w:start w:val="2"/>
    </w:lvl>
  </w:abstractNum>
  <w:abstractNum w:abstractNumId="55">
    <w:nsid w:val="260D8C4A"/>
    <w:multiLevelType w:val="hybridMultilevel"/>
    <w:lvl w:ilvl="0">
      <w:lvlJc w:val="left"/>
      <w:lvlText w:val="(%1)"/>
      <w:numFmt w:val="lowerLetter"/>
      <w:start w:val="1"/>
    </w:lvl>
  </w:abstractNum>
  <w:abstractNum w:abstractNumId="56">
    <w:nsid w:val="73D4D3C4"/>
    <w:multiLevelType w:val="hybridMultilevel"/>
    <w:lvl w:ilvl="0">
      <w:lvlJc w:val="left"/>
      <w:lvlText w:val="(%1)"/>
      <w:numFmt w:val="lowerRoman"/>
      <w:start w:val="1"/>
    </w:lvl>
  </w:abstractNum>
  <w:abstractNum w:abstractNumId="57">
    <w:nsid w:val="746F2E30"/>
    <w:multiLevelType w:val="hybridMultilevel"/>
    <w:lvl w:ilvl="0">
      <w:lvlJc w:val="left"/>
      <w:lvlText w:val="(%1)"/>
      <w:numFmt w:val="lowerLetter"/>
      <w:start w:val="1"/>
    </w:lvl>
  </w:abstractNum>
  <w:abstractNum w:abstractNumId="58">
    <w:nsid w:val="6FDE8AF6"/>
    <w:multiLevelType w:val="hybridMultilevel"/>
    <w:lvl w:ilvl="0">
      <w:lvlJc w:val="left"/>
      <w:lvlText w:val=";"/>
      <w:numFmt w:val="bullet"/>
      <w:start w:val="1"/>
    </w:lvl>
    <w:lvl w:ilvl="1">
      <w:lvlJc w:val="left"/>
      <w:lvlText w:val="(%2)"/>
      <w:numFmt w:val="lowerLetter"/>
      <w:start w:val="3"/>
    </w:lvl>
  </w:abstractNum>
  <w:abstractNum w:abstractNumId="59">
    <w:nsid w:val="3FC32E20"/>
    <w:multiLevelType w:val="hybridMultilevel"/>
    <w:lvl w:ilvl="0">
      <w:lvlJc w:val="left"/>
      <w:lvlText w:val="(%1)"/>
      <w:numFmt w:val="lowerLetter"/>
      <w:start w:val="1"/>
    </w:lvl>
  </w:abstractNum>
  <w:abstractNum w:abstractNumId="60">
    <w:nsid w:val="49C0E823"/>
    <w:multiLevelType w:val="hybridMultilevel"/>
    <w:lvl w:ilvl="0">
      <w:lvlJc w:val="left"/>
      <w:lvlText w:val="(%1)"/>
      <w:numFmt w:val="lowerLetter"/>
      <w:start w:val="2"/>
    </w:lvl>
  </w:abstractNum>
  <w:abstractNum w:abstractNumId="61">
    <w:nsid w:val="14D53685"/>
    <w:multiLevelType w:val="hybridMultilevel"/>
    <w:lvl w:ilvl="0">
      <w:lvlJc w:val="left"/>
      <w:lvlText w:val="%1"/>
      <w:numFmt w:val="lowerLetter"/>
      <w:start w:val="1"/>
    </w:lvl>
    <w:lvl w:ilvl="1">
      <w:lvlJc w:val="left"/>
      <w:lvlText w:val="(%2)"/>
      <w:numFmt w:val="lowerLetter"/>
      <w:start w:val="1"/>
    </w:lvl>
  </w:abstractNum>
  <w:abstractNum w:abstractNumId="62">
    <w:nsid w:val="230F856C"/>
    <w:multiLevelType w:val="hybridMultilevel"/>
    <w:lvl w:ilvl="0">
      <w:lvlJc w:val="left"/>
      <w:lvlText w:val="(%1)"/>
      <w:numFmt w:val="lowerLetter"/>
      <w:start w:val="9"/>
    </w:lvl>
    <w:lvl w:ilvl="1">
      <w:lvlJc w:val="left"/>
      <w:lvlText w:val="%2"/>
      <w:numFmt w:val="lowerLetter"/>
      <w:start w:val="1"/>
    </w:lvl>
  </w:abstractNum>
  <w:abstractNum w:abstractNumId="63">
    <w:nsid w:val="6EAA85FB"/>
    <w:multiLevelType w:val="hybridMultilevel"/>
    <w:lvl w:ilvl="0">
      <w:lvlJc w:val="left"/>
      <w:lvlText w:val="(%1)"/>
      <w:numFmt w:val="lowerLetter"/>
      <w:start w:val="3"/>
    </w:lvl>
  </w:abstractNum>
  <w:abstractNum w:abstractNumId="64">
    <w:nsid w:val="3F06ECB2"/>
    <w:multiLevelType w:val="hybridMultilevel"/>
    <w:lvl w:ilvl="0">
      <w:lvlJc w:val="left"/>
      <w:lvlText w:val="(%1)"/>
      <w:numFmt w:val="lowerLetter"/>
      <w:start w:val="1"/>
    </w:lvl>
  </w:abstractNum>
  <w:abstractNum w:abstractNumId="65">
    <w:nsid w:val="3B594807"/>
    <w:multiLevelType w:val="hybridMultilevel"/>
    <w:lvl w:ilvl="0">
      <w:lvlJc w:val="left"/>
      <w:lvlText w:val="(%1)"/>
      <w:numFmt w:val="lowerLetter"/>
      <w:start w:val="3"/>
    </w:lvl>
  </w:abstractNum>
  <w:abstractNum w:abstractNumId="66">
    <w:nsid w:val="6CAA2304"/>
    <w:multiLevelType w:val="hybridMultilevel"/>
    <w:lvl w:ilvl="0">
      <w:lvlJc w:val="left"/>
      <w:lvlText w:val="(%1)"/>
      <w:numFmt w:val="lowerLetter"/>
      <w:start w:val="1"/>
    </w:lvl>
  </w:abstractNum>
  <w:abstractNum w:abstractNumId="67">
    <w:nsid w:val="3F7C2FF4"/>
    <w:multiLevelType w:val="hybridMultilevel"/>
    <w:lvl w:ilvl="0">
      <w:lvlJc w:val="left"/>
      <w:lvlText w:val="(%1)"/>
      <w:numFmt w:val="lowerLetter"/>
      <w:start w:val="2"/>
    </w:lvl>
  </w:abstractNum>
  <w:abstractNum w:abstractNumId="68">
    <w:nsid w:val="25413BEC"/>
    <w:multiLevelType w:val="hybridMultilevel"/>
    <w:lvl w:ilvl="0">
      <w:lvlJc w:val="left"/>
      <w:lvlText w:val="(%1)"/>
      <w:numFmt w:val="lowerRoman"/>
      <w:start w:val="1"/>
    </w:lvl>
    <w:lvl w:ilvl="1">
      <w:lvlJc w:val="left"/>
      <w:lvlText w:val="(%2)"/>
      <w:numFmt w:val="upperLetter"/>
      <w:start w:val="1"/>
    </w:lvl>
  </w:abstractNum>
  <w:abstractNum w:abstractNumId="69">
    <w:nsid w:val="17180B0B"/>
    <w:multiLevelType w:val="hybridMultilevel"/>
    <w:lvl w:ilvl="0">
      <w:lvlJc w:val="left"/>
      <w:lvlText w:val="(%1)"/>
      <w:numFmt w:val="upperLetter"/>
      <w:start w:val="7"/>
    </w:lvl>
  </w:abstractNum>
  <w:abstractNum w:abstractNumId="70">
    <w:nsid w:val="579328B9"/>
    <w:multiLevelType w:val="hybridMultilevel"/>
    <w:lvl w:ilvl="0">
      <w:lvlJc w:val="left"/>
      <w:lvlText w:val="%1"/>
      <w:numFmt w:val="lowerRoman"/>
      <w:start w:val="1"/>
    </w:lvl>
    <w:lvl w:ilvl="1">
      <w:lvlJc w:val="left"/>
      <w:lvlText w:val="(%2)"/>
      <w:numFmt w:val="upperLetter"/>
      <w:start w:val="9"/>
    </w:lvl>
  </w:abstractNum>
  <w:abstractNum w:abstractNumId="71">
    <w:nsid w:val="5D205E20"/>
    <w:multiLevelType w:val="hybridMultilevel"/>
    <w:lvl w:ilvl="0">
      <w:lvlJc w:val="left"/>
      <w:lvlText w:val="(%1)"/>
      <w:numFmt w:val="lowerRoman"/>
      <w:start w:val="2"/>
    </w:lvl>
    <w:lvl w:ilvl="1">
      <w:lvlJc w:val="left"/>
      <w:lvlText w:val="(%2)"/>
      <w:numFmt w:val="upperLetter"/>
      <w:start w:val="1"/>
    </w:lvl>
  </w:abstractNum>
  <w:abstractNum w:abstractNumId="72">
    <w:nsid w:val="11CCA8BA"/>
    <w:multiLevelType w:val="hybridMultilevel"/>
    <w:lvl w:ilvl="0">
      <w:lvlJc w:val="left"/>
      <w:lvlText w:val="%1"/>
      <w:numFmt w:val="lowerLetter"/>
      <w:start w:val="1"/>
    </w:lvl>
    <w:lvl w:ilvl="1">
      <w:lvlJc w:val="left"/>
      <w:lvlText w:val="(%2)"/>
      <w:numFmt w:val="upperLetter"/>
      <w:start w:val="5"/>
    </w:lvl>
  </w:abstractNum>
  <w:abstractNum w:abstractNumId="73">
    <w:nsid w:val="4D32AB86"/>
    <w:multiLevelType w:val="hybridMultilevel"/>
    <w:lvl w:ilvl="0">
      <w:lvlJc w:val="left"/>
      <w:lvlText w:val="(%1)"/>
      <w:numFmt w:val="lowerLetter"/>
      <w:start w:val="2"/>
    </w:lvl>
    <w:lvl w:ilvl="1">
      <w:lvlJc w:val="left"/>
      <w:lvlText w:val="(%2)"/>
      <w:numFmt w:val="upperLetter"/>
      <w:start w:val="6"/>
    </w:lvl>
  </w:abstractNum>
  <w:abstractNum w:abstractNumId="74">
    <w:nsid w:val="3F07ACC3"/>
    <w:multiLevelType w:val="hybridMultilevel"/>
    <w:lvl w:ilvl="0">
      <w:lvlJc w:val="left"/>
      <w:lvlText w:val="%1"/>
      <w:numFmt w:val="lowerLetter"/>
      <w:start w:val="1"/>
    </w:lvl>
    <w:lvl w:ilvl="1">
      <w:lvlJc w:val="left"/>
      <w:lvlText w:val="(%2)"/>
      <w:numFmt w:val="upperLetter"/>
      <w:start w:val="9"/>
    </w:lvl>
  </w:abstractNum>
  <w:abstractNum w:abstractNumId="75">
    <w:nsid w:val="6B47F63E"/>
    <w:multiLevelType w:val="hybridMultilevel"/>
    <w:lvl w:ilvl="0">
      <w:lvlJc w:val="left"/>
      <w:lvlText w:val="(%1)"/>
      <w:numFmt w:val="lowerLetter"/>
      <w:start w:val="26"/>
    </w:lvl>
    <w:lvl w:ilvl="1">
      <w:lvlJc w:val="left"/>
      <w:lvlText w:val="%2"/>
      <w:numFmt w:val="upperLetter"/>
      <w:start w:val="1"/>
    </w:lvl>
  </w:abstractNum>
  <w:abstractNum w:abstractNumId="76">
    <w:nsid w:val="5CB44A05"/>
    <w:multiLevelType w:val="hybridMultilevel"/>
    <w:lvl w:ilvl="0">
      <w:lvlJc w:val="left"/>
      <w:lvlText w:val="(%1)"/>
      <w:numFmt w:val="lowerLetter"/>
      <w:start w:val="1"/>
    </w:lvl>
    <w:lvl w:ilvl="1">
      <w:lvlJc w:val="left"/>
      <w:lvlText w:val="(%2)"/>
      <w:numFmt w:val="lowerLetter"/>
      <w:start w:val="9"/>
    </w:lvl>
  </w:abstractNum>
  <w:abstractNum w:abstractNumId="77">
    <w:nsid w:val="16CF80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upperLetter"/>
      <w:start w:val="1"/>
    </w:lvl>
  </w:abstractNum>
  <w:abstractNum w:abstractNumId="78">
    <w:nsid w:val="1C695D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79">
    <w:nsid w:val="3FCFAED9"/>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9"/>
    </w:lvl>
    <w:lvl w:ilvl="3">
      <w:lvlJc w:val="left"/>
      <w:lvlText w:val="(%4)"/>
      <w:numFmt w:val="upperLetter"/>
      <w:start w:val="1"/>
    </w:lvl>
  </w:abstractNum>
  <w:abstractNum w:abstractNumId="80">
    <w:nsid w:val="F85686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1">
    <w:nsid w:val="11B1CC3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2">
    <w:nsid w:val="2E22FBB7"/>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83">
    <w:nsid w:val="29934699"/>
    <w:multiLevelType w:val="hybridMultilevel"/>
    <w:lvl w:ilvl="0">
      <w:lvlJc w:val="left"/>
      <w:lvlText w:val="(%1)"/>
      <w:numFmt w:val="lowerRoman"/>
      <w:start w:val="2"/>
    </w:lvl>
  </w:abstractNum>
  <w:abstractNum w:abstractNumId="84">
    <w:nsid w:val="77485850"/>
    <w:multiLevelType w:val="hybridMultilevel"/>
    <w:lvl w:ilvl="0">
      <w:lvlJc w:val="left"/>
      <w:lvlText w:val="%1"/>
      <w:numFmt w:val="lowerLetter"/>
      <w:start w:val="1"/>
    </w:lvl>
    <w:lvl w:ilvl="1">
      <w:lvlJc w:val="left"/>
      <w:lvlText w:val="(%2)"/>
      <w:numFmt w:val="lowerRoman"/>
      <w:start w:val="3"/>
    </w:lvl>
  </w:abstractNum>
  <w:abstractNum w:abstractNumId="85">
    <w:nsid w:val="744939A3"/>
    <w:multiLevelType w:val="hybridMultilevel"/>
    <w:lvl w:ilvl="0">
      <w:lvlJc w:val="left"/>
      <w:lvlText w:val="(%1)"/>
      <w:numFmt w:val="lowerLetter"/>
      <w:start w:val="6"/>
    </w:lvl>
    <w:lvl w:ilvl="1">
      <w:lvlJc w:val="left"/>
      <w:lvlText w:val="%2"/>
      <w:numFmt w:val="lowerRoman"/>
      <w:start w:val="1"/>
    </w:lvl>
  </w:abstractNum>
  <w:abstractNum w:abstractNumId="86">
    <w:nsid w:val="4FA0D2E3"/>
    <w:multiLevelType w:val="hybridMultilevel"/>
    <w:lvl w:ilvl="0">
      <w:lvlJc w:val="left"/>
      <w:lvlText w:val="(%1)"/>
      <w:numFmt w:val="lowerLetter"/>
      <w:start w:val="7"/>
    </w:lvl>
    <w:lvl w:ilvl="1">
      <w:lvlJc w:val="left"/>
      <w:lvlText w:val="(%2)"/>
      <w:numFmt w:val="lowerRoman"/>
      <w:start w:val="1"/>
    </w:lvl>
  </w:abstractNum>
  <w:abstractNum w:abstractNumId="87">
    <w:nsid w:val="6B1D2C14"/>
    <w:multiLevelType w:val="hybridMultilevel"/>
    <w:lvl w:ilvl="0">
      <w:lvlJc w:val="left"/>
      <w:lvlText w:val="%1"/>
      <w:numFmt w:val="lowerLetter"/>
      <w:start w:val="1"/>
    </w:lvl>
    <w:lvl w:ilvl="1">
      <w:lvlJc w:val="left"/>
      <w:lvlText w:val="(%2)"/>
      <w:numFmt w:val="lowerRoman"/>
      <w:start w:val="8"/>
    </w:lvl>
  </w:abstractNum>
  <w:abstractNum w:abstractNumId="88">
    <w:nsid w:val="68B867D3"/>
    <w:multiLevelType w:val="hybridMultilevel"/>
    <w:lvl w:ilvl="0">
      <w:lvlJc w:val="left"/>
      <w:lvlText w:val="(%1)"/>
      <w:numFmt w:val="lowerLetter"/>
      <w:start w:val="8"/>
    </w:lvl>
    <w:lvl w:ilvl="1">
      <w:lvlJc w:val="left"/>
      <w:lvlText w:val="(%2)"/>
      <w:numFmt w:val="lowerRoman"/>
      <w:start w:val="1"/>
    </w:lvl>
  </w:abstractNum>
  <w:abstractNum w:abstractNumId="89">
    <w:nsid w:val="3F7F5DD9"/>
    <w:multiLevelType w:val="hybridMultilevel"/>
    <w:lvl w:ilvl="0">
      <w:lvlJc w:val="left"/>
      <w:lvlText w:val="(%1)"/>
      <w:numFmt w:val="lowerLetter"/>
      <w:start w:val="10"/>
    </w:lvl>
  </w:abstractNum>
  <w:abstractNum w:abstractNumId="90">
    <w:nsid w:val="2AE05A34"/>
    <w:multiLevelType w:val="hybridMultilevel"/>
    <w:lvl w:ilvl="0">
      <w:lvlJc w:val="left"/>
      <w:lvlText w:val="(%1)"/>
      <w:numFmt w:val="lowerLetter"/>
      <w:start w:val="14"/>
    </w:lvl>
  </w:abstractNum>
  <w:abstractNum w:abstractNumId="91">
    <w:nsid w:val="32794FF7"/>
    <w:multiLevelType w:val="hybridMultilevel"/>
    <w:lvl w:ilvl="0">
      <w:lvlJc w:val="left"/>
      <w:lvlText w:val="(%1)"/>
      <w:numFmt w:val="lowerLetter"/>
      <w:start w:val="1"/>
    </w:lvl>
  </w:abstractNum>
  <w:abstractNum w:abstractNumId="92">
    <w:nsid w:val="5454945E"/>
    <w:multiLevelType w:val="hybridMultilevel"/>
    <w:lvl w:ilvl="0">
      <w:lvlJc w:val="left"/>
      <w:lvlText w:val="(%1)"/>
      <w:numFmt w:val="lowerLetter"/>
      <w:start w:val="2"/>
    </w:lvl>
  </w:abstractNum>
  <w:abstractNum w:abstractNumId="93">
    <w:nsid w:val="4DEFDFA0"/>
    <w:multiLevelType w:val="hybridMultilevel"/>
    <w:lvl w:ilvl="0">
      <w:lvlJc w:val="left"/>
      <w:lvlText w:val="(%1)"/>
      <w:numFmt w:val="lowerLetter"/>
      <w:start w:val="3"/>
    </w:lvl>
    <w:lvl w:ilvl="1">
      <w:lvlJc w:val="left"/>
      <w:lvlText w:val="(%2)"/>
      <w:numFmt w:val="lowerLetter"/>
      <w:start w:val="9"/>
    </w:lvl>
  </w:abstractNum>
  <w:abstractNum w:abstractNumId="94">
    <w:nsid w:val="2123D5F2"/>
    <w:multiLevelType w:val="hybridMultilevel"/>
    <w:lvl w:ilvl="0">
      <w:lvlJc w:val="left"/>
      <w:lvlText w:val="(%1)"/>
      <w:numFmt w:val="lowerRoman"/>
      <w:start w:val="2"/>
    </w:lvl>
  </w:abstractNum>
  <w:abstractNum w:abstractNumId="95">
    <w:nsid w:val="135B8110"/>
    <w:multiLevelType w:val="hybridMultilevel"/>
    <w:lvl w:ilvl="0">
      <w:lvlJc w:val="left"/>
      <w:lvlText w:val="(%1)"/>
      <w:numFmt w:val="lowerLetter"/>
      <w:start w:val="4"/>
    </w:lvl>
    <w:lvl w:ilvl="1">
      <w:lvlJc w:val="left"/>
      <w:lvlText w:val="(%2)"/>
      <w:numFmt w:val="lowerRoman"/>
      <w:start w:val="1"/>
    </w:lvl>
  </w:abstractNum>
  <w:abstractNum w:abstractNumId="96">
    <w:nsid w:val="94927A8"/>
    <w:multiLevelType w:val="hybridMultilevel"/>
    <w:lvl w:ilvl="0">
      <w:lvlJc w:val="left"/>
      <w:lvlText w:val="(%1)"/>
      <w:numFmt w:val="lowerLetter"/>
      <w:start w:val="1"/>
    </w:lvl>
    <w:lvl w:ilvl="1">
      <w:lvlJc w:val="left"/>
      <w:lvlText w:val="(%2)"/>
      <w:numFmt w:val="lowerLetter"/>
      <w:start w:val="9"/>
    </w:lvl>
  </w:abstractNum>
  <w:abstractNum w:abstractNumId="97">
    <w:nsid w:val="DCDF8F6"/>
    <w:multiLevelType w:val="hybridMultilevel"/>
    <w:lvl w:ilvl="0">
      <w:lvlJc w:val="left"/>
      <w:lvlText w:val="%1"/>
      <w:numFmt w:val="lowerLetter"/>
      <w:start w:val="1"/>
    </w:lvl>
    <w:lvl w:ilvl="1">
      <w:lvlJc w:val="left"/>
      <w:lvlText w:val="(%2)"/>
      <w:numFmt w:val="lowerLetter"/>
      <w:start w:val="35"/>
    </w:lvl>
  </w:abstractNum>
  <w:abstractNum w:abstractNumId="98">
    <w:nsid w:val="52D7B105"/>
    <w:multiLevelType w:val="hybridMultilevel"/>
    <w:lvl w:ilvl="0">
      <w:lvlJc w:val="left"/>
      <w:lvlText w:val="(%1)"/>
      <w:numFmt w:val="lowerLetter"/>
      <w:start w:val="2"/>
    </w:lvl>
    <w:lvl w:ilvl="1">
      <w:lvlJc w:val="left"/>
      <w:lvlText w:val="(%2)"/>
      <w:numFmt w:val="lowerLetter"/>
      <w:start w:val="9"/>
    </w:lvl>
  </w:abstractNum>
  <w:abstractNum w:abstractNumId="99">
    <w:nsid w:val="2E8A6394"/>
    <w:multiLevelType w:val="hybridMultilevel"/>
    <w:lvl w:ilvl="0">
      <w:lvlJc w:val="left"/>
      <w:lvlText w:val="(%1)"/>
      <w:numFmt w:val="lowerRoman"/>
      <w:start w:val="2"/>
    </w:lvl>
  </w:abstractNum>
  <w:abstractNum w:abstractNumId="100">
    <w:nsid w:val="24E60401"/>
    <w:multiLevelType w:val="hybridMultilevel"/>
    <w:lvl w:ilvl="0">
      <w:lvlJc w:val="left"/>
      <w:lvlText w:val="(%1)"/>
      <w:numFmt w:val="lowerLetter"/>
      <w:start w:val="3"/>
    </w:lvl>
  </w:abstractNum>
  <w:abstractNum w:abstractNumId="101">
    <w:nsid w:val="2A6AD9B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2">
    <w:nsid w:val="BAAC1B4"/>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abstractNum>
  <w:abstractNum w:abstractNumId="103">
    <w:nsid w:val="36B2ACBC"/>
    <w:multiLevelType w:val="hybridMultilevel"/>
    <w:lvl w:ilvl="0">
      <w:lvlJc w:val="left"/>
      <w:lvlText w:val="(%1)"/>
      <w:numFmt w:val="lowerLetter"/>
      <w:start w:val="1"/>
    </w:lvl>
  </w:abstractNum>
  <w:abstractNum w:abstractNumId="104">
    <w:nsid w:val="779D8544"/>
    <w:multiLevelType w:val="hybridMultilevel"/>
    <w:lvl w:ilvl="0">
      <w:lvlJc w:val="left"/>
      <w:lvlText w:val="(%1)"/>
      <w:numFmt w:val="lowerLetter"/>
      <w:start w:val="2"/>
    </w:lvl>
  </w:abstractNum>
  <w:abstractNum w:abstractNumId="105">
    <w:nsid w:val="4AB26E78"/>
    <w:multiLevelType w:val="hybridMultilevel"/>
    <w:lvl w:ilvl="0">
      <w:lvlJc w:val="left"/>
      <w:lvlText w:val="%1"/>
      <w:numFmt w:val="decimal"/>
      <w:start w:val="1"/>
    </w:lvl>
    <w:lvl w:ilvl="1">
      <w:lvlJc w:val="left"/>
      <w:lvlText w:val="(%2)"/>
      <w:numFmt w:val="lowerLetter"/>
      <w:start w:val="3"/>
    </w:lvl>
  </w:abstractNum>
  <w:abstractNum w:abstractNumId="106">
    <w:nsid w:val="21FAA2FA"/>
    <w:multiLevelType w:val="hybridMultilevel"/>
    <w:lvl w:ilvl="0">
      <w:lvlJc w:val="left"/>
      <w:lvlText w:val="(%1)"/>
      <w:numFmt w:val="decimal"/>
      <w:start w:val="10"/>
    </w:lvl>
    <w:lvl w:ilvl="1">
      <w:lvlJc w:val="left"/>
      <w:lvlText w:val="(%2)"/>
      <w:numFmt w:val="lowerLetter"/>
      <w:start w:val="4"/>
    </w:lvl>
  </w:abstractNum>
  <w:abstractNum w:abstractNumId="107">
    <w:nsid w:val="5451CF49"/>
    <w:multiLevelType w:val="hybridMultilevel"/>
    <w:lvl w:ilvl="0">
      <w:lvlJc w:val="left"/>
      <w:lvlText w:val="(%1)"/>
      <w:numFmt w:val="lowerLetter"/>
      <w:start w:val="1"/>
    </w:lvl>
  </w:abstractNum>
  <w:abstractNum w:abstractNumId="108">
    <w:nsid w:val="6181EF69"/>
    <w:multiLevelType w:val="hybridMultilevel"/>
    <w:lvl w:ilvl="0">
      <w:lvlJc w:val="left"/>
      <w:lvlText w:val="(%1)"/>
      <w:numFmt w:val="lowerLetter"/>
      <w:start w:val="1"/>
    </w:lvl>
  </w:abstractNum>
  <w:abstractNum w:abstractNumId="109">
    <w:nsid w:val="3E6400E6"/>
    <w:multiLevelType w:val="hybridMultilevel"/>
    <w:lvl w:ilvl="0">
      <w:lvlJc w:val="left"/>
      <w:lvlText w:val="(%1)"/>
      <w:numFmt w:val="lowerLetter"/>
      <w:start w:val="2"/>
    </w:lvl>
  </w:abstractNum>
  <w:abstractNum w:abstractNumId="110">
    <w:nsid w:val="14217E23"/>
    <w:multiLevelType w:val="hybridMultilevel"/>
    <w:lvl w:ilvl="0">
      <w:lvlJc w:val="left"/>
      <w:lvlText w:val="%1"/>
      <w:numFmt w:val="lowerLetter"/>
      <w:start w:val="1"/>
    </w:lvl>
    <w:lvl w:ilvl="1">
      <w:lvlJc w:val="left"/>
      <w:lvlText w:val="(%2)"/>
      <w:numFmt w:val="lowerLetter"/>
      <w:start w:val="1"/>
    </w:lvl>
  </w:abstractNum>
  <w:abstractNum w:abstractNumId="111">
    <w:nsid w:val="710757D0"/>
    <w:multiLevelType w:val="hybridMultilevel"/>
    <w:lvl w:ilvl="0">
      <w:lvlJc w:val="left"/>
      <w:lvlText w:val="(%1)"/>
      <w:numFmt w:val="lowerLetter"/>
      <w:start w:val="9"/>
    </w:lvl>
    <w:lvl w:ilvl="1">
      <w:lvlJc w:val="left"/>
      <w:lvlText w:val="%2"/>
      <w:numFmt w:val="lowerLetter"/>
      <w:start w:val="1"/>
    </w:lvl>
  </w:abstractNum>
  <w:abstractNum w:abstractNumId="112">
    <w:nsid w:val="5015CD1A"/>
    <w:multiLevelType w:val="hybridMultilevel"/>
    <w:lvl w:ilvl="0">
      <w:lvlJc w:val="left"/>
      <w:lvlText w:val="(%1)"/>
      <w:numFmt w:val="lowerLetter"/>
      <w:start w:val="1"/>
    </w:lvl>
  </w:abstractNum>
  <w:abstractNum w:abstractNumId="113">
    <w:nsid w:val="424479DA"/>
    <w:multiLevelType w:val="hybridMultilevel"/>
    <w:lvl w:ilvl="0">
      <w:lvlJc w:val="left"/>
      <w:lvlText w:val="(%1)"/>
      <w:numFmt w:val="lowerLetter"/>
      <w:start w:val="2"/>
    </w:lvl>
  </w:abstractNum>
  <w:abstractNum w:abstractNumId="114">
    <w:nsid w:val="1A9A9E69"/>
    <w:multiLevelType w:val="hybridMultilevel"/>
    <w:lvl w:ilvl="0">
      <w:lvlJc w:val="left"/>
      <w:lvlText w:val="(%1)"/>
      <w:numFmt w:val="lowerLetter"/>
      <w:start w:val="1"/>
    </w:lvl>
  </w:abstractNum>
  <w:abstractNum w:abstractNumId="115">
    <w:nsid w:val="475E256A"/>
    <w:multiLevelType w:val="hybridMultilevel"/>
    <w:lvl w:ilvl="0">
      <w:lvlJc w:val="left"/>
      <w:lvlText w:val="(%1)"/>
      <w:numFmt w:val="lowerRoman"/>
      <w:start w:val="1"/>
    </w:lvl>
  </w:abstractNum>
  <w:abstractNum w:abstractNumId="116">
    <w:nsid w:val="368DB37E"/>
    <w:multiLevelType w:val="hybridMultilevel"/>
    <w:lvl w:ilvl="0">
      <w:lvlJc w:val="left"/>
      <w:lvlText w:val="(%1)"/>
      <w:numFmt w:val="lowerLetter"/>
      <w:start w:val="3"/>
    </w:lvl>
  </w:abstractNum>
  <w:abstractNum w:abstractNumId="117">
    <w:nsid w:val="6A3B714C"/>
    <w:multiLevelType w:val="hybridMultilevel"/>
    <w:lvl w:ilvl="0">
      <w:lvlJc w:val="left"/>
      <w:lvlText w:val="(%1)"/>
      <w:numFmt w:val="upperLetter"/>
      <w:start w:val="2"/>
    </w:lvl>
    <w:lvl w:ilvl="1">
      <w:lvlJc w:val="left"/>
      <w:lvlText w:val="(%2)"/>
      <w:numFmt w:val="lowerRoman"/>
      <w:start w:val="1"/>
    </w:lvl>
  </w:abstractNum>
  <w:abstractNum w:abstractNumId="118">
    <w:nsid w:val="327B517E"/>
    <w:multiLevelType w:val="hybridMultilevel"/>
    <w:lvl w:ilvl="0">
      <w:lvlJc w:val="left"/>
      <w:lvlText w:val="(%1)"/>
      <w:numFmt w:val="lowerLetter"/>
      <w:start w:val="1"/>
    </w:lvl>
  </w:abstractNum>
  <w:abstractNum w:abstractNumId="119">
    <w:nsid w:val="1F461B51"/>
    <w:multiLevelType w:val="hybridMultilevel"/>
    <w:lvl w:ilvl="0">
      <w:lvlJc w:val="left"/>
      <w:lvlText w:val="(%1)"/>
      <w:numFmt w:val="lowerLetter"/>
      <w:start w:val="1"/>
    </w:lvl>
    <w:lvl w:ilvl="1">
      <w:lvlJc w:val="left"/>
      <w:lvlText w:val="(%2)"/>
      <w:numFmt w:val="lowerRoman"/>
      <w:start w:val="1"/>
    </w:lvl>
  </w:abstractNum>
  <w:abstractNum w:abstractNumId="120">
    <w:nsid w:val="29BACF25"/>
    <w:multiLevelType w:val="hybridMultilevel"/>
    <w:lvl w:ilvl="0">
      <w:lvlJc w:val="left"/>
      <w:lvlText w:val="(%1)"/>
      <w:numFmt w:val="lowerRoman"/>
      <w:start w:val="3"/>
    </w:lvl>
    <w:lvl w:ilvl="1">
      <w:lvlJc w:val="left"/>
      <w:lvlText w:val="(%2)"/>
      <w:numFmt w:val="upperLetter"/>
      <w:start w:val="1"/>
    </w:lvl>
  </w:abstractNum>
  <w:abstractNum w:abstractNumId="121">
    <w:nsid w:val="5D5BABB3"/>
    <w:multiLevelType w:val="hybridMultilevel"/>
    <w:lvl w:ilvl="0">
      <w:lvlJc w:val="left"/>
      <w:lvlText w:val="(%1)"/>
      <w:numFmt w:val="lowerLetter"/>
      <w:start w:val="2"/>
    </w:lvl>
  </w:abstractNum>
  <w:abstractNum w:abstractNumId="122">
    <w:nsid w:val="51BF6B48"/>
    <w:multiLevelType w:val="hybridMultilevel"/>
    <w:lvl w:ilvl="0">
      <w:lvlJc w:val="left"/>
      <w:lvlText w:val="(%1)"/>
      <w:numFmt w:val="lowerLetter"/>
      <w:start w:val="3"/>
    </w:lvl>
  </w:abstractNum>
  <w:abstractNum w:abstractNumId="123">
    <w:nsid w:val="7E0F6384"/>
    <w:multiLevelType w:val="hybridMultilevel"/>
    <w:lvl w:ilvl="0">
      <w:lvlJc w:val="left"/>
      <w:lvlText w:val="(%1)"/>
      <w:numFmt w:val="lowerLetter"/>
      <w:start w:val="1"/>
    </w:lvl>
  </w:abstractNum>
  <w:abstractNum w:abstractNumId="124">
    <w:nsid w:val="2B4B8B53"/>
    <w:multiLevelType w:val="hybridMultilevel"/>
    <w:lvl w:ilvl="0">
      <w:lvlJc w:val="left"/>
      <w:lvlText w:val="(%1)"/>
      <w:numFmt w:val="lowerRoman"/>
      <w:start w:val="1"/>
    </w:lvl>
  </w:abstractNum>
  <w:abstractNum w:abstractNumId="125">
    <w:nsid w:val="72E3413A"/>
    <w:multiLevelType w:val="hybridMultilevel"/>
    <w:lvl w:ilvl="0">
      <w:lvlJc w:val="left"/>
      <w:lvlText w:val="%1"/>
      <w:numFmt w:val="lowerLetter"/>
      <w:start w:val="1"/>
    </w:lvl>
    <w:lvl w:ilvl="1">
      <w:lvlJc w:val="left"/>
      <w:lvlText w:val="(%2)"/>
      <w:numFmt w:val="lowerLetter"/>
      <w:start w:val="35"/>
    </w:lvl>
  </w:abstractNum>
  <w:abstractNum w:abstractNumId="126">
    <w:nsid w:val="116AE494"/>
    <w:multiLevelType w:val="hybridMultilevel"/>
    <w:lvl w:ilvl="0">
      <w:lvlJc w:val="left"/>
      <w:lvlText w:val="(%1)"/>
      <w:numFmt w:val="lowerLetter"/>
      <w:start w:val="5"/>
    </w:lvl>
    <w:lvl w:ilvl="1">
      <w:lvlJc w:val="left"/>
      <w:lvlText w:val="(%2)"/>
      <w:numFmt w:val="lowerLetter"/>
      <w:start w:val="9"/>
    </w:lvl>
  </w:abstractNum>
  <w:abstractNum w:abstractNumId="127">
    <w:nsid w:val="3494B2FB"/>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8">
    <w:nsid w:val="B13A3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129">
    <w:nsid w:val="6442959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30">
    <w:nsid w:val="631F1690"/>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4"/>
      <w:numFmt w:val="upperLetter"/>
      <w:start w:val="1"/>
    </w:lvl>
  </w:abstractNum>
  <w:abstractNum w:abstractNumId="131">
    <w:nsid w:val="25973E32"/>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32">
    <w:nsid w:val="EAD6F57"/>
    <w:multiLevelType w:val="hybridMultilevel"/>
    <w:lvl w:ilvl="0">
      <w:lvlJc w:val="left"/>
      <w:lvlText w:val="(%1)"/>
      <w:numFmt w:val="lowerLetter"/>
      <w:start w:val="8"/>
    </w:lvl>
  </w:abstractNum>
  <w:abstractNum w:abstractNumId="133">
    <w:nsid w:val="6EC9D844"/>
    <w:multiLevelType w:val="hybridMultilevel"/>
    <w:lvl w:ilvl="0">
      <w:lvlJc w:val="left"/>
      <w:lvlText w:val="(%1)"/>
      <w:numFmt w:val="lowerLetter"/>
      <w:start w:val="1"/>
    </w:lvl>
  </w:abstractNum>
  <w:abstractNum w:abstractNumId="134">
    <w:nsid w:val="5C49EAEE"/>
    <w:multiLevelType w:val="hybridMultilevel"/>
    <w:lvl w:ilvl="0">
      <w:lvlJc w:val="left"/>
      <w:lvlText w:val="(%1)"/>
      <w:numFmt w:val="lowerLetter"/>
      <w:start w:val="2"/>
    </w:lvl>
    <w:lvl w:ilvl="1">
      <w:lvlJc w:val="left"/>
      <w:lvlText w:val="(%2)"/>
      <w:numFmt w:val="lowerLetter"/>
      <w:start w:val="9"/>
    </w:lvl>
  </w:abstractNum>
  <w:abstractNum w:abstractNumId="135">
    <w:nsid w:val="64AF49B"/>
    <w:multiLevelType w:val="hybridMultilevel"/>
    <w:lvl w:ilvl="0">
      <w:lvlJc w:val="left"/>
      <w:lvlText w:val="(%1)"/>
      <w:numFmt w:val="lowerLetter"/>
      <w:start w:val="35"/>
    </w:lvl>
    <w:lvl w:ilvl="1">
      <w:lvlJc w:val="left"/>
      <w:lvlText w:val="(%2)"/>
      <w:numFmt w:val="lowerLetter"/>
      <w:start w:val="25"/>
    </w:lvl>
  </w:abstractNum>
  <w:abstractNum w:abstractNumId="136">
    <w:nsid w:val="397C46BC"/>
    <w:multiLevelType w:val="hybridMultilevel"/>
    <w:lvl w:ilvl="0">
      <w:lvlJc w:val="left"/>
      <w:lvlText w:val="(%1)"/>
      <w:numFmt w:val="lowerRoman"/>
      <w:start w:val="3"/>
    </w:lvl>
  </w:abstractNum>
  <w:abstractNum w:abstractNumId="137">
    <w:nsid w:val="7E448DE9"/>
    <w:multiLevelType w:val="hybridMultilevel"/>
    <w:lvl w:ilvl="0">
      <w:lvlJc w:val="left"/>
      <w:lvlText w:val="(%1)"/>
      <w:numFmt w:val="lowerRoman"/>
      <w:start w:val="6"/>
    </w:lvl>
  </w:abstractNum>
  <w:abstractNum w:abstractNumId="138">
    <w:nsid w:val="5A9CC3E5"/>
    <w:multiLevelType w:val="hybridMultilevel"/>
    <w:lvl w:ilvl="0">
      <w:lvlJc w:val="left"/>
      <w:lvlText w:val="(%1)"/>
      <w:numFmt w:val="lowerLetter"/>
      <w:start w:val="1"/>
    </w:lvl>
    <w:lvl w:ilvl="1">
      <w:lvlJc w:val="left"/>
      <w:lvlText w:val="(%2)"/>
      <w:numFmt w:val="lowerRoman"/>
      <w:start w:val="1"/>
    </w:lvl>
  </w:abstractNum>
  <w:abstractNum w:abstractNumId="139">
    <w:nsid w:val="1AFE3625"/>
    <w:multiLevelType w:val="hybridMultilevel"/>
    <w:lvl w:ilvl="0">
      <w:lvlJc w:val="left"/>
      <w:lvlText w:val="(%1)"/>
      <w:numFmt w:val="lowerLetter"/>
      <w:start w:val="2"/>
    </w:lvl>
  </w:abstractNum>
  <w:abstractNum w:abstractNumId="140">
    <w:nsid w:val="3CA88ECF"/>
    <w:multiLevelType w:val="hybridMultilevel"/>
    <w:lvl w:ilvl="0">
      <w:lvlJc w:val="left"/>
      <w:lvlText w:val="(%1)"/>
      <w:numFmt w:val="lowerLetter"/>
      <w:start w:val="3"/>
    </w:lvl>
  </w:abstractNum>
  <w:abstractNum w:abstractNumId="141">
    <w:nsid w:val="6EBE4208"/>
    <w:multiLevelType w:val="hybridMultilevel"/>
    <w:lvl w:ilvl="0">
      <w:lvlJc w:val="left"/>
      <w:lvlText w:val="(%1)"/>
      <w:numFmt w:val="lowerLetter"/>
      <w:start w:val="1"/>
    </w:lvl>
  </w:abstractNum>
  <w:abstractNum w:abstractNumId="142">
    <w:nsid w:val="C058DF5"/>
    <w:multiLevelType w:val="hybridMultilevel"/>
    <w:lvl w:ilvl="0">
      <w:lvlJc w:val="left"/>
      <w:lvlText w:val="(%1)"/>
      <w:numFmt w:val="lowerLetter"/>
      <w:start w:val="2"/>
    </w:lvl>
  </w:abstractNum>
  <w:abstractNum w:abstractNumId="143">
    <w:nsid w:val="CBE5BE9"/>
    <w:multiLevelType w:val="hybridMultilevel"/>
    <w:lvl w:ilvl="0">
      <w:lvlJc w:val="left"/>
      <w:lvlText w:val="%1"/>
      <w:numFmt w:val="lowerLetter"/>
      <w:start w:val="1"/>
    </w:lvl>
    <w:lvl w:ilvl="1">
      <w:lvlJc w:val="left"/>
      <w:lvlText w:val="(%2)"/>
      <w:numFmt w:val="lowerLetter"/>
      <w:start w:val="1"/>
    </w:lvl>
  </w:abstractNum>
  <w:abstractNum w:abstractNumId="144">
    <w:nsid w:val="3102BBE2"/>
    <w:multiLevelType w:val="hybridMultilevel"/>
    <w:lvl w:ilvl="0">
      <w:lvlJc w:val="left"/>
      <w:lvlText w:val="(%1)"/>
      <w:numFmt w:val="lowerLetter"/>
      <w:start w:val="9"/>
    </w:lvl>
    <w:lvl w:ilvl="1">
      <w:lvlJc w:val="left"/>
      <w:lvlText w:val="(%2)"/>
      <w:numFmt w:val="lowerLetter"/>
      <w:start w:val="2"/>
    </w:lvl>
  </w:abstractNum>
  <w:abstractNum w:abstractNumId="145">
    <w:nsid w:val="26A02C5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46">
    <w:nsid w:val="541C8153"/>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47">
    <w:nsid w:val="67906F60"/>
    <w:multiLevelType w:val="hybridMultilevel"/>
    <w:lvl w:ilvl="0">
      <w:lvlJc w:val="left"/>
      <w:lvlText w:val="%1"/>
      <w:numFmt w:val="lowerLetter"/>
      <w:start w:val="1"/>
    </w:lvl>
    <w:lvl w:ilvl="1">
      <w:lvlJc w:val="left"/>
      <w:lvlText w:val="(%2)"/>
      <w:numFmt w:val="lowerRoman"/>
      <w:start w:val="3"/>
    </w:lvl>
  </w:abstractNum>
  <w:abstractNum w:abstractNumId="148">
    <w:nsid w:val="10DB9DAA"/>
    <w:multiLevelType w:val="hybridMultilevel"/>
    <w:lvl w:ilvl="0">
      <w:lvlJc w:val="left"/>
      <w:lvlText w:val="(%1)"/>
      <w:numFmt w:val="lowerLetter"/>
      <w:start w:val="6"/>
    </w:lvl>
    <w:lvl w:ilvl="1">
      <w:lvlJc w:val="left"/>
      <w:lvlText w:val="%2"/>
      <w:numFmt w:val="lowerRoman"/>
      <w:start w:val="1"/>
    </w:lvl>
  </w:abstractNum>
  <w:abstractNum w:abstractNumId="149">
    <w:nsid w:val="697D2D2"/>
    <w:multiLevelType w:val="hybridMultilevel"/>
    <w:lvl w:ilvl="0">
      <w:lvlJc w:val="left"/>
      <w:lvlText w:val="(%1)"/>
      <w:numFmt w:val="lowerLetter"/>
      <w:start w:val="11"/>
    </w:lvl>
  </w:abstractNum>
  <w:abstractNum w:abstractNumId="150">
    <w:nsid w:val="6D68AB2"/>
    <w:multiLevelType w:val="hybridMultilevel"/>
    <w:lvl w:ilvl="0">
      <w:lvlJc w:val="left"/>
      <w:lvlText w:val="(%1)"/>
      <w:numFmt w:val="lowerLetter"/>
      <w:start w:val="1"/>
    </w:lvl>
    <w:lvl w:ilvl="1">
      <w:lvlJc w:val="left"/>
      <w:lvlText w:val="(%2)"/>
      <w:numFmt w:val="lowerLetter"/>
      <w:start w:val="1"/>
    </w:lvl>
  </w:abstractNum>
  <w:abstractNum w:abstractNumId="151">
    <w:nsid w:val="3A966CD0"/>
    <w:multiLevelType w:val="hybridMultilevel"/>
    <w:lvl w:ilvl="0">
      <w:lvlJc w:val="left"/>
      <w:lvlText w:val="(%1)"/>
      <w:numFmt w:val="lowerLetter"/>
      <w:start w:val="1"/>
    </w:lvl>
  </w:abstractNum>
  <w:abstractNum w:abstractNumId="152">
    <w:nsid w:val="63F37E85"/>
    <w:multiLevelType w:val="hybridMultilevel"/>
    <w:lvl w:ilvl="0">
      <w:lvlJc w:val="left"/>
      <w:lvlText w:val="(%1)"/>
      <w:numFmt w:val="lowerLetter"/>
      <w:start w:val="1"/>
    </w:lvl>
  </w:abstractNum>
  <w:abstractNum w:abstractNumId="153">
    <w:nsid w:val="5895F5FA"/>
    <w:multiLevelType w:val="hybridMultilevel"/>
    <w:lvl w:ilvl="0">
      <w:lvlJc w:val="left"/>
      <w:lvlText w:val="(%1)"/>
      <w:numFmt w:val="lowerLetter"/>
      <w:start w:val="5"/>
    </w:lvl>
  </w:abstractNum>
  <w:abstractNum w:abstractNumId="154">
    <w:nsid w:val="38A5D054"/>
    <w:multiLevelType w:val="hybridMultilevel"/>
    <w:lvl w:ilvl="0">
      <w:lvlJc w:val="left"/>
      <w:lvlText w:val="(%1)"/>
      <w:numFmt w:val="lowerLetter"/>
      <w:start w:val="1"/>
    </w:lvl>
  </w:abstractNum>
  <w:abstractNum w:abstractNumId="155">
    <w:nsid w:val="F3F09D8"/>
    <w:multiLevelType w:val="hybridMultilevel"/>
    <w:lvl w:ilvl="0">
      <w:lvlJc w:val="left"/>
      <w:lvlText w:val="(%1)"/>
      <w:numFmt w:val="lowerLetter"/>
      <w:start w:val="1"/>
    </w:lvl>
  </w:abstractNum>
  <w:abstractNum w:abstractNumId="156">
    <w:nsid w:val="4B793735"/>
    <w:multiLevelType w:val="hybridMultilevel"/>
    <w:lvl w:ilvl="0">
      <w:lvlJc w:val="left"/>
      <w:lvlText w:val="(%1)"/>
      <w:numFmt w:val="lowerLetter"/>
      <w:start w:val="1"/>
    </w:lvl>
  </w:abstractNum>
  <w:abstractNum w:abstractNumId="157">
    <w:nsid w:val="4A10B4E8"/>
    <w:multiLevelType w:val="hybridMultilevel"/>
    <w:lvl w:ilvl="0">
      <w:lvlJc w:val="left"/>
      <w:lvlText w:val="(%1)"/>
      <w:numFmt w:val="lowerLetter"/>
      <w:start w:val="1"/>
    </w:lvl>
  </w:abstractNum>
  <w:abstractNum w:abstractNumId="158">
    <w:nsid w:val="43D3BCD4"/>
    <w:multiLevelType w:val="hybridMultilevel"/>
    <w:lvl w:ilvl="0">
      <w:lvlJc w:val="left"/>
      <w:lvlText w:val="(%1)"/>
      <w:numFmt w:val="lowerLetter"/>
      <w:start w:val="1"/>
    </w:lvl>
  </w:abstractNum>
  <w:abstractNum w:abstractNumId="159">
    <w:nsid w:val="4C2A7166"/>
    <w:multiLevelType w:val="hybridMultilevel"/>
    <w:lvl w:ilvl="0">
      <w:lvlJc w:val="left"/>
      <w:lvlText w:val="(%1)"/>
      <w:numFmt w:val="lowerLetter"/>
      <w:start w:val="2"/>
    </w:lvl>
  </w:abstractNum>
  <w:abstractNum w:abstractNumId="160">
    <w:nsid w:val="2E534A82"/>
    <w:multiLevelType w:val="hybridMultilevel"/>
    <w:lvl w:ilvl="0">
      <w:lvlJc w:val="left"/>
      <w:lvlText w:val="(%1)"/>
      <w:numFmt w:val="lowerLetter"/>
      <w:start w:val="1"/>
    </w:lvl>
  </w:abstractNum>
  <w:abstractNum w:abstractNumId="161">
    <w:nsid w:val="26F2D364"/>
    <w:multiLevelType w:val="hybridMultilevel"/>
    <w:lvl w:ilvl="0">
      <w:lvlJc w:val="left"/>
      <w:lvlText w:val="(%1)"/>
      <w:numFmt w:val="upperLetter"/>
      <w:start w:val="1"/>
    </w:lvl>
  </w:abstractNum>
  <w:abstractNum w:abstractNumId="162">
    <w:nsid w:val="71C1AF98"/>
    <w:multiLevelType w:val="hybridMultilevel"/>
    <w:lvl w:ilvl="0">
      <w:lvlJc w:val="left"/>
      <w:lvlText w:val="(%1)"/>
      <w:numFmt w:val="lowerLetter"/>
      <w:start w:val="1"/>
    </w:lvl>
  </w:abstractNum>
  <w:abstractNum w:abstractNumId="163">
    <w:nsid w:val="3D00B9D9"/>
    <w:multiLevelType w:val="hybridMultilevel"/>
    <w:lvl w:ilvl="0">
      <w:lvlJc w:val="left"/>
      <w:lvlText w:val="(%1)"/>
      <w:numFmt w:val="lowerLetter"/>
      <w:start w:val="4"/>
    </w:lvl>
  </w:abstractNum>
  <w:abstractNum w:abstractNumId="164">
    <w:nsid w:val="15BCABA8"/>
    <w:multiLevelType w:val="hybridMultilevel"/>
    <w:lvl w:ilvl="0">
      <w:lvlJc w:val="left"/>
      <w:lvlText w:val="(%1)"/>
      <w:numFmt w:val="lowerLetter"/>
      <w:start w:val="1"/>
    </w:lvl>
  </w:abstractNum>
  <w:abstractNum w:abstractNumId="165">
    <w:nsid w:val="4E0B9A87"/>
    <w:multiLevelType w:val="hybridMultilevel"/>
    <w:lvl w:ilvl="0">
      <w:lvlJc w:val="left"/>
      <w:lvlText w:val="(%1)"/>
      <w:numFmt w:val="lowerLetter"/>
      <w:start w:val="1"/>
    </w:lvl>
  </w:abstractNum>
  <w:abstractNum w:abstractNumId="166">
    <w:nsid w:val="434BAE75"/>
    <w:multiLevelType w:val="hybridMultilevel"/>
    <w:lvl w:ilvl="0">
      <w:lvlJc w:val="left"/>
      <w:lvlText w:val="(%1)"/>
      <w:numFmt w:val="lowerLetter"/>
      <w:start w:val="1"/>
    </w:lvl>
  </w:abstractNum>
  <w:abstractNum w:abstractNumId="167">
    <w:nsid w:val="4F38F265"/>
    <w:multiLevelType w:val="hybridMultilevel"/>
    <w:lvl w:ilvl="0">
      <w:lvlJc w:val="left"/>
      <w:lvlText w:val="(%1)"/>
      <w:numFmt w:val="lowerLetter"/>
      <w:start w:val="1"/>
    </w:lvl>
  </w:abstractNum>
  <w:abstractNum w:abstractNumId="168">
    <w:nsid w:val="4C502870"/>
    <w:multiLevelType w:val="hybridMultilevel"/>
    <w:lvl w:ilvl="0">
      <w:lvlJc w:val="left"/>
      <w:lvlText w:val="%1"/>
      <w:numFmt w:val="lowerLetter"/>
      <w:start w:val="1"/>
    </w:lvl>
    <w:lvl w:ilvl="1">
      <w:lvlJc w:val="left"/>
      <w:lvlText w:val="(%2)"/>
      <w:numFmt w:val="lowerLetter"/>
      <w:start w:val="1"/>
    </w:lvl>
  </w:abstractNum>
  <w:abstractNum w:abstractNumId="169">
    <w:nsid w:val="1DE8725A"/>
    <w:multiLevelType w:val="hybridMultilevel"/>
    <w:lvl w:ilvl="0">
      <w:lvlJc w:val="left"/>
      <w:lvlText w:val="(%1)"/>
      <w:numFmt w:val="lowerLetter"/>
      <w:start w:val="9"/>
    </w:lvl>
    <w:lvl w:ilvl="1">
      <w:lvlJc w:val="left"/>
      <w:lvlText w:val="(%2)"/>
      <w:numFmt w:val="lowerLetter"/>
      <w:start w:val="3"/>
    </w:lvl>
  </w:abstractNum>
  <w:abstractNum w:abstractNumId="170">
    <w:nsid w:val="6A37288A"/>
    <w:multiLevelType w:val="hybridMultilevel"/>
    <w:lvl w:ilvl="0">
      <w:lvlJc w:val="left"/>
      <w:lvlText w:val="(%1)"/>
      <w:numFmt w:val="lowerRoman"/>
      <w:start w:val="1"/>
    </w:lvl>
  </w:abstractNum>
  <w:abstractNum w:abstractNumId="171">
    <w:nsid w:val="8F8B73F"/>
    <w:multiLevelType w:val="hybridMultilevel"/>
    <w:lvl w:ilvl="0">
      <w:lvlJc w:val="left"/>
      <w:lvlText w:val="(%1)"/>
      <w:numFmt w:val="lowerLetter"/>
      <w:start w:val="1"/>
    </w:lvl>
  </w:abstractNum>
  <w:abstractNum w:abstractNumId="172">
    <w:nsid w:val="CA6B462"/>
    <w:multiLevelType w:val="hybridMultilevel"/>
    <w:lvl w:ilvl="0">
      <w:lvlJc w:val="left"/>
      <w:lvlText w:val="(%1)"/>
      <w:numFmt w:val="upperLetter"/>
      <w:start w:val="1"/>
    </w:lvl>
    <w:lvl w:ilvl="1">
      <w:lvlJc w:val="left"/>
      <w:lvlText w:val="(%2)"/>
      <w:numFmt w:val="lowerLetter"/>
      <w:start w:val="6"/>
    </w:lvl>
  </w:abstractNum>
  <w:abstractNum w:abstractNumId="173">
    <w:nsid w:val="763CB680"/>
    <w:multiLevelType w:val="hybridMultilevel"/>
    <w:lvl w:ilvl="0">
      <w:lvlJc w:val="left"/>
      <w:lvlText w:val="(%1)"/>
      <w:numFmt w:val="lowerLetter"/>
      <w:start w:val="13"/>
    </w:lvl>
  </w:abstractNum>
  <w:abstractNum w:abstractNumId="174">
    <w:nsid w:val="15B71329"/>
    <w:multiLevelType w:val="hybridMultilevel"/>
    <w:lvl w:ilvl="0">
      <w:lvlJc w:val="left"/>
      <w:lvlText w:val="(%1)"/>
      <w:numFmt w:val="lowerLetter"/>
      <w:start w:val="1"/>
    </w:lvl>
  </w:abstractNum>
  <w:abstractNum w:abstractNumId="175">
    <w:nsid w:val="3DA97044"/>
    <w:multiLevelType w:val="hybridMultilevel"/>
    <w:lvl w:ilvl="0">
      <w:lvlJc w:val="left"/>
      <w:lvlText w:val="(%1)"/>
      <w:numFmt w:val="lowerLetter"/>
      <w:start w:val="3"/>
    </w:lvl>
  </w:abstractNum>
  <w:abstractNum w:abstractNumId="176">
    <w:nsid w:val="1CDCE2DE"/>
    <w:multiLevelType w:val="hybridMultilevel"/>
    <w:lvl w:ilvl="0">
      <w:lvlJc w:val="left"/>
      <w:lvlText w:val="%1"/>
      <w:numFmt w:val="lowerLetter"/>
      <w:start w:val="1"/>
    </w:lvl>
    <w:lvl w:ilvl="1">
      <w:lvlJc w:val="left"/>
      <w:lvlText w:val="(%2)"/>
      <w:numFmt w:val="lowerLetter"/>
      <w:start w:val="1"/>
    </w:lvl>
  </w:abstractNum>
  <w:abstractNum w:abstractNumId="177">
    <w:nsid w:val="69D3947C"/>
    <w:multiLevelType w:val="hybridMultilevel"/>
    <w:lvl w:ilvl="0">
      <w:lvlJc w:val="left"/>
      <w:lvlText w:val="(%1)"/>
      <w:numFmt w:val="lowerLetter"/>
      <w:start w:val="1"/>
    </w:lvl>
    <w:lvl w:ilvl="1">
      <w:lvlJc w:val="left"/>
      <w:lvlText w:val="(%2)"/>
      <w:numFmt w:val="lowerLetter"/>
      <w:start w:val="2"/>
    </w:lvl>
  </w:abstractNum>
  <w:abstractNum w:abstractNumId="178">
    <w:nsid w:val="2539DFA5"/>
    <w:multiLevelType w:val="hybridMultilevel"/>
    <w:lvl w:ilvl="0">
      <w:lvlJc w:val="left"/>
      <w:lvlText w:val="(%1)"/>
      <w:numFmt w:val="lowerLetter"/>
      <w:start w:val="4"/>
    </w:lvl>
  </w:abstractNum>
  <w:abstractNum w:abstractNumId="179">
    <w:nsid w:val="2DB88089"/>
    <w:multiLevelType w:val="hybridMultilevel"/>
    <w:lvl w:ilvl="0">
      <w:lvlJc w:val="left"/>
      <w:lvlText w:val="(%1)"/>
      <w:numFmt w:val="lowerLetter"/>
      <w:start w:val="13"/>
    </w:lvl>
  </w:abstractNum>
  <w:abstractNum w:abstractNumId="180">
    <w:nsid w:val="706B674E"/>
    <w:multiLevelType w:val="hybridMultilevel"/>
    <w:lvl w:ilvl="0">
      <w:lvlJc w:val="left"/>
      <w:lvlText w:val="(%1)"/>
      <w:numFmt w:val="lowerLetter"/>
      <w:start w:val="5"/>
    </w:lvl>
  </w:abstractNum>
  <w:abstractNum w:abstractNumId="181">
    <w:nsid w:val="2C106A57"/>
    <w:multiLevelType w:val="hybridMultilevel"/>
    <w:lvl w:ilvl="0">
      <w:lvlJc w:val="left"/>
      <w:lvlText w:val="(%1)"/>
      <w:numFmt w:val="lowerLetter"/>
      <w:start w:val="1"/>
    </w:lvl>
  </w:abstractNum>
  <w:abstractNum w:abstractNumId="182">
    <w:nsid w:val="684EED59"/>
    <w:multiLevelType w:val="hybridMultilevel"/>
    <w:lvl w:ilvl="0">
      <w:lvlJc w:val="left"/>
      <w:lvlText w:val="(%1)"/>
      <w:numFmt w:val="lowerLetter"/>
      <w:start w:val="3"/>
    </w:lvl>
  </w:abstractNum>
  <w:abstractNum w:abstractNumId="183">
    <w:nsid w:val="545EE5D3"/>
    <w:multiLevelType w:val="hybridMultilevel"/>
    <w:lvl w:ilvl="0">
      <w:lvlJc w:val="left"/>
      <w:lvlText w:val="%1"/>
      <w:numFmt w:val="decimal"/>
      <w:start w:val="1"/>
    </w:lvl>
    <w:lvl w:ilvl="1">
      <w:lvlJc w:val="left"/>
      <w:lvlText w:val="(%2)"/>
      <w:numFmt w:val="lowerLetter"/>
      <w:start w:val="1"/>
    </w:lvl>
  </w:abstractNum>
  <w:abstractNum w:abstractNumId="184">
    <w:nsid w:val="4A66051"/>
    <w:multiLevelType w:val="hybridMultilevel"/>
    <w:lvl w:ilvl="0">
      <w:lvlJc w:val="left"/>
      <w:lvlText w:val="(%1)"/>
      <w:numFmt w:val="decimal"/>
      <w:start w:val="2"/>
    </w:lvl>
    <w:lvl w:ilvl="1">
      <w:lvlJc w:val="left"/>
      <w:lvlText w:val="%2"/>
      <w:numFmt w:val="lowerLetter"/>
      <w:start w:val="1"/>
    </w:lvl>
  </w:abstractNum>
  <w:abstractNum w:abstractNumId="185">
    <w:nsid w:val="20F4BDAD"/>
    <w:multiLevelType w:val="hybridMultilevel"/>
    <w:lvl w:ilvl="0">
      <w:lvlJc w:val="left"/>
      <w:lvlText w:val="(%1)"/>
      <w:numFmt w:val="lowerLetter"/>
      <w:start w:val="1"/>
    </w:lvl>
  </w:abstractNum>
  <w:abstractNum w:abstractNumId="186">
    <w:nsid w:val="639DEFAC"/>
    <w:multiLevelType w:val="hybridMultilevel"/>
    <w:lvl w:ilvl="0">
      <w:lvlJc w:val="left"/>
      <w:lvlText w:val="(%1)"/>
      <w:numFmt w:val="lowerLetter"/>
      <w:start w:val="4"/>
    </w:lvl>
  </w:abstractNum>
  <w:abstractNum w:abstractNumId="187">
    <w:nsid w:val="501F9786"/>
    <w:multiLevelType w:val="hybridMultilevel"/>
    <w:lvl w:ilvl="0">
      <w:lvlJc w:val="left"/>
      <w:lvlText w:val="(%1)"/>
      <w:numFmt w:val="lowerLetter"/>
      <w:start w:val="1"/>
    </w:lvl>
  </w:abstractNum>
  <w:abstractNum w:abstractNumId="188">
    <w:nsid w:val="6B057295"/>
    <w:multiLevelType w:val="hybridMultilevel"/>
    <w:lvl w:ilvl="0">
      <w:lvlJc w:val="left"/>
      <w:lvlText w:val="(%1)"/>
      <w:numFmt w:val="lowerLetter"/>
      <w:start w:val="1"/>
    </w:lvl>
  </w:abstractNum>
  <w:abstractNum w:abstractNumId="189">
    <w:nsid w:val="2771AC80"/>
    <w:multiLevelType w:val="hybridMultilevel"/>
    <w:lvl w:ilvl="0">
      <w:lvlJc w:val="left"/>
      <w:lvlText w:val="%1"/>
      <w:numFmt w:val="decimal"/>
      <w:start w:val="1"/>
    </w:lvl>
    <w:lvl w:ilvl="1">
      <w:lvlJc w:val="left"/>
      <w:lvlText w:val="(%2)"/>
      <w:numFmt w:val="lowerLetter"/>
      <w:start w:val="6"/>
    </w:lvl>
  </w:abstractNum>
  <w:abstractNum w:abstractNumId="190">
    <w:nsid w:val="1C4A08EC"/>
    <w:multiLevelType w:val="hybridMultilevel"/>
    <w:lvl w:ilvl="0">
      <w:lvlJc w:val="left"/>
      <w:lvlText w:val="(%1)"/>
      <w:numFmt w:val="decimal"/>
      <w:start w:val="60"/>
    </w:lvl>
    <w:lvl w:ilvl="1">
      <w:lvlJc w:val="left"/>
      <w:lvlText w:val="(%2)"/>
      <w:numFmt w:val="lowerLetter"/>
      <w:start w:val="7"/>
    </w:lvl>
  </w:abstractNum>
  <w:abstractNum w:abstractNumId="191">
    <w:nsid w:val="1958BD17"/>
    <w:multiLevelType w:val="hybridMultilevel"/>
    <w:lvl w:ilvl="0">
      <w:lvlJc w:val="left"/>
      <w:lvlText w:val="(%1)"/>
      <w:numFmt w:val="lowerLetter"/>
      <w:start w:val="10"/>
    </w:lvl>
  </w:abstractNum>
  <w:abstractNum w:abstractNumId="192">
    <w:nsid w:val="4E647FE4"/>
    <w:multiLevelType w:val="hybridMultilevel"/>
    <w:lvl w:ilvl="0">
      <w:lvlJc w:val="left"/>
      <w:lvlText w:val="(%1)"/>
      <w:numFmt w:val="lowerLetter"/>
      <w:start w:val="1"/>
    </w:lvl>
  </w:abstractNum>
  <w:abstractNum w:abstractNumId="193">
    <w:nsid w:val="E0BB885"/>
    <w:multiLevelType w:val="hybridMultilevel"/>
    <w:lvl w:ilvl="0">
      <w:lvlJc w:val="left"/>
      <w:lvlText w:val="(%1)"/>
      <w:numFmt w:val="lowerLetter"/>
      <w:start w:val="1"/>
    </w:lvl>
  </w:abstractNum>
  <w:abstractNum w:abstractNumId="194">
    <w:nsid w:val="565976F1"/>
    <w:multiLevelType w:val="hybridMultilevel"/>
    <w:lvl w:ilvl="0">
      <w:lvlJc w:val="left"/>
      <w:lvlText w:val="(%1)"/>
      <w:numFmt w:val="lowerLetter"/>
      <w:start w:val="2"/>
    </w:lvl>
  </w:abstractNum>
  <w:abstractNum w:abstractNumId="195">
    <w:nsid w:val="64212B8C"/>
    <w:multiLevelType w:val="hybridMultilevel"/>
    <w:lvl w:ilvl="0">
      <w:lvlJc w:val="left"/>
      <w:lvlText w:val="(%1)"/>
      <w:numFmt w:val="lowerLetter"/>
      <w:start w:val="3"/>
    </w:lvl>
  </w:abstractNum>
  <w:abstractNum w:abstractNumId="196">
    <w:nsid w:val="5C17530C"/>
    <w:multiLevelType w:val="hybridMultilevel"/>
    <w:lvl w:ilvl="0">
      <w:lvlJc w:val="left"/>
      <w:lvlText w:val="(%1)"/>
      <w:numFmt w:val="lowerLetter"/>
      <w:start w:val="1"/>
    </w:lvl>
  </w:abstractNum>
  <w:abstractNum w:abstractNumId="197">
    <w:nsid w:val="19A52566"/>
    <w:multiLevelType w:val="hybridMultilevel"/>
    <w:lvl w:ilvl="0">
      <w:lvlJc w:val="left"/>
      <w:lvlText w:val="(%1)"/>
      <w:numFmt w:val="lowerLetter"/>
      <w:start w:val="1"/>
    </w:lvl>
    <w:lvl w:ilvl="1">
      <w:lvlJc w:val="left"/>
      <w:lvlText w:val="(%2)"/>
      <w:numFmt w:val="lowerRoman"/>
      <w:start w:val="1"/>
    </w:lvl>
  </w:abstractNum>
  <w:abstractNum w:abstractNumId="198">
    <w:nsid w:val="335A1DF1"/>
    <w:multiLevelType w:val="hybridMultilevel"/>
    <w:lvl w:ilvl="0">
      <w:lvlJc w:val="left"/>
      <w:lvlText w:val="(%1)"/>
      <w:numFmt w:val="lowerLetter"/>
      <w:start w:val="3"/>
    </w:lvl>
  </w:abstractNum>
  <w:abstractNum w:abstractNumId="199">
    <w:nsid w:val="28677B7C"/>
    <w:multiLevelType w:val="hybridMultilevel"/>
    <w:lvl w:ilvl="0">
      <w:lvlJc w:val="left"/>
      <w:lvlText w:val="(%1)"/>
      <w:numFmt w:val="lowerLetter"/>
      <w:start w:val="1"/>
    </w:lvl>
    <w:lvl w:ilvl="1">
      <w:lvlJc w:val="left"/>
      <w:lvlText w:val="(%2)"/>
      <w:numFmt w:val="lowerLetter"/>
      <w:start w:val="9"/>
    </w:lvl>
  </w:abstractNum>
  <w:abstractNum w:abstractNumId="200">
    <w:nsid w:val="378D97C0"/>
    <w:multiLevelType w:val="hybridMultilevel"/>
    <w:lvl w:ilvl="0">
      <w:lvlJc w:val="left"/>
      <w:lvlText w:val="(%1)"/>
      <w:numFmt w:val="lowerRoman"/>
      <w:start w:val="2"/>
    </w:lvl>
  </w:abstractNum>
  <w:abstractNum w:abstractNumId="201">
    <w:nsid w:val="1D91467C"/>
    <w:multiLevelType w:val="hybridMultilevel"/>
    <w:lvl w:ilvl="0">
      <w:lvlJc w:val="left"/>
      <w:lvlText w:val="(%1)"/>
      <w:numFmt w:val="lowerLetter"/>
      <w:start w:val="2"/>
    </w:lvl>
  </w:abstractNum>
  <w:abstractNum w:abstractNumId="202">
    <w:nsid w:val="316032BB"/>
    <w:multiLevelType w:val="hybridMultilevel"/>
    <w:lvl w:ilvl="0">
      <w:lvlJc w:val="left"/>
      <w:lvlText w:val="(%1)"/>
      <w:numFmt w:val="lowerLetter"/>
      <w:start w:val="1"/>
    </w:lvl>
    <w:lvl w:ilvl="1">
      <w:lvlJc w:val="left"/>
      <w:lvlText w:val="(%2)"/>
      <w:numFmt w:val="lowerRoman"/>
      <w:start w:val="1"/>
    </w:lvl>
  </w:abstractNum>
  <w:abstractNum w:abstractNumId="203">
    <w:nsid w:val="44344C22"/>
    <w:multiLevelType w:val="hybridMultilevel"/>
    <w:lvl w:ilvl="0">
      <w:lvlJc w:val="left"/>
      <w:lvlText w:val="(%1)"/>
      <w:numFmt w:val="lowerLetter"/>
      <w:start w:val="1"/>
    </w:lvl>
    <w:lvl w:ilvl="1">
      <w:lvlJc w:val="left"/>
      <w:lvlText w:val="(%2)"/>
      <w:numFmt w:val="lowerRoman"/>
      <w:start w:val="1"/>
    </w:lvl>
  </w:abstractNum>
  <w:abstractNum w:abstractNumId="204">
    <w:nsid w:val="13CDFCFC"/>
    <w:multiLevelType w:val="hybridMultilevel"/>
    <w:lvl w:ilvl="0">
      <w:lvlJc w:val="left"/>
      <w:lvlText w:val="(%1)"/>
      <w:numFmt w:val="lowerLetter"/>
      <w:start w:val="2"/>
    </w:lvl>
  </w:abstractNum>
  <w:abstractNum w:abstractNumId="205">
    <w:nsid w:val="471745E4"/>
    <w:multiLevelType w:val="hybridMultilevel"/>
    <w:lvl w:ilvl="0">
      <w:lvlJc w:val="left"/>
      <w:lvlText w:val="(%1)"/>
      <w:numFmt w:val="lowerLetter"/>
      <w:start w:val="2"/>
    </w:lvl>
  </w:abstractNum>
  <w:abstractNum w:abstractNumId="206">
    <w:nsid w:val="1DDBC66"/>
    <w:multiLevelType w:val="hybridMultilevel"/>
    <w:lvl w:ilvl="0">
      <w:lvlJc w:val="left"/>
      <w:lvlText w:val="(%1)"/>
      <w:numFmt w:val="lowerLetter"/>
      <w:start w:val="1"/>
    </w:lvl>
    <w:lvl w:ilvl="1">
      <w:lvlJc w:val="left"/>
      <w:lvlText w:val="(%2)"/>
      <w:numFmt w:val="lowerRoman"/>
      <w:start w:val="1"/>
    </w:lvl>
  </w:abstractNum>
  <w:abstractNum w:abstractNumId="207">
    <w:nsid w:val="30AADFDA"/>
    <w:multiLevelType w:val="hybridMultilevel"/>
    <w:lvl w:ilvl="0">
      <w:lvlJc w:val="left"/>
      <w:lvlText w:val="(%1)"/>
      <w:numFmt w:val="upperLetter"/>
      <w:start w:val="2"/>
    </w:lvl>
    <w:lvl w:ilvl="1">
      <w:lvlJc w:val="left"/>
      <w:lvlText w:val="(%2)"/>
      <w:numFmt w:val="lowerRoman"/>
      <w:start w:val="5"/>
    </w:lvl>
  </w:abstractNum>
  <w:abstractNum w:abstractNumId="208">
    <w:nsid w:val="30EADA61"/>
    <w:multiLevelType w:val="hybridMultilevel"/>
    <w:lvl w:ilvl="0">
      <w:lvlJc w:val="left"/>
      <w:lvlText w:val="(%1)"/>
      <w:numFmt w:val="lowerRoman"/>
      <w:start w:val="12"/>
    </w:lvl>
  </w:abstractNum>
  <w:abstractNum w:abstractNumId="209">
    <w:nsid w:val="27179C0B"/>
    <w:multiLevelType w:val="hybridMultilevel"/>
    <w:lvl w:ilvl="0">
      <w:lvlJc w:val="left"/>
      <w:lvlText w:val="(%1)"/>
      <w:numFmt w:val="lowerLetter"/>
      <w:start w:val="2"/>
    </w:lvl>
  </w:abstractNum>
  <w:abstractNum w:abstractNumId="210">
    <w:nsid w:val="5E636063"/>
    <w:multiLevelType w:val="hybridMultilevel"/>
    <w:lvl w:ilvl="0">
      <w:lvlJc w:val="left"/>
      <w:lvlText w:val="(%1)"/>
      <w:numFmt w:val="lowerLetter"/>
      <w:start w:val="3"/>
    </w:lvl>
  </w:abstractNum>
  <w:abstractNum w:abstractNumId="211">
    <w:nsid w:val="215641AF"/>
    <w:multiLevelType w:val="hybridMultilevel"/>
    <w:lvl w:ilvl="0">
      <w:lvlJc w:val="left"/>
      <w:lvlText w:val="(%1)"/>
      <w:numFmt w:val="lowerLetter"/>
      <w:start w:val="1"/>
    </w:lvl>
    <w:lvl w:ilvl="1">
      <w:lvlJc w:val="left"/>
      <w:lvlText w:val="(%2)"/>
      <w:numFmt w:val="lowerRoman"/>
      <w:start w:val="1"/>
    </w:lvl>
  </w:abstractNum>
  <w:abstractNum w:abstractNumId="212">
    <w:nsid w:val="53280662"/>
    <w:multiLevelType w:val="hybridMultilevel"/>
    <w:lvl w:ilvl="0">
      <w:lvlJc w:val="left"/>
      <w:lvlText w:val="(%1)"/>
      <w:numFmt w:val="lowerLetter"/>
      <w:start w:val="2"/>
    </w:lvl>
    <w:lvl w:ilvl="1">
      <w:lvlJc w:val="left"/>
      <w:lvlText w:val="(%2)"/>
      <w:numFmt w:val="lowerRoman"/>
      <w:start w:val="1"/>
    </w:lvl>
  </w:abstractNum>
  <w:abstractNum w:abstractNumId="213">
    <w:nsid w:val="46B24DBC"/>
    <w:multiLevelType w:val="hybridMultilevel"/>
    <w:lvl w:ilvl="0">
      <w:lvlJc w:val="left"/>
      <w:lvlText w:val="(%1)"/>
      <w:numFmt w:val="lowerLetter"/>
      <w:start w:val="4"/>
    </w:lvl>
  </w:abstractNum>
  <w:abstractNum w:abstractNumId="214">
    <w:nsid w:val="75B52783"/>
    <w:multiLevelType w:val="hybridMultilevel"/>
    <w:lvl w:ilvl="0">
      <w:lvlJc w:val="left"/>
      <w:lvlText w:val="(%1)"/>
      <w:numFmt w:val="lowerLetter"/>
      <w:start w:val="1"/>
    </w:lvl>
  </w:abstractNum>
  <w:abstractNum w:abstractNumId="215">
    <w:nsid w:val="57CE66B4"/>
    <w:multiLevelType w:val="hybridMultilevel"/>
    <w:lvl w:ilvl="0">
      <w:lvlJc w:val="left"/>
      <w:lvlText w:val="%1"/>
      <w:numFmt w:val="lowerLetter"/>
      <w:start w:val="1"/>
    </w:lvl>
    <w:lvl w:ilvl="1">
      <w:lvlJc w:val="left"/>
      <w:lvlText w:val="(%2)"/>
      <w:numFmt w:val="lowerLetter"/>
      <w:start w:val="1"/>
    </w:lvl>
  </w:abstractNum>
  <w:abstractNum w:abstractNumId="216">
    <w:nsid w:val="67A70B69"/>
    <w:multiLevelType w:val="hybridMultilevel"/>
    <w:lvl w:ilvl="0">
      <w:lvlJc w:val="left"/>
      <w:lvlText w:val="(%1)"/>
      <w:numFmt w:val="lowerLetter"/>
      <w:start w:val="24"/>
    </w:lvl>
    <w:lvl w:ilvl="1">
      <w:lvlJc w:val="left"/>
      <w:lvlText w:val="%2"/>
      <w:numFmt w:val="lowerLetter"/>
      <w:start w:val="1"/>
    </w:lvl>
  </w:abstractNum>
  <w:abstractNum w:abstractNumId="217">
    <w:nsid w:val="5953172F"/>
    <w:multiLevelType w:val="hybridMultilevel"/>
    <w:lvl w:ilvl="0">
      <w:lvlJc w:val="left"/>
      <w:lvlText w:val="(%1)"/>
      <w:numFmt w:val="lowerLetter"/>
      <w:start w:val="3"/>
    </w:lvl>
  </w:abstractNum>
  <w:abstractNum w:abstractNumId="218">
    <w:nsid w:val="27EDFE3A"/>
    <w:multiLevelType w:val="hybridMultilevel"/>
    <w:lvl w:ilvl="0">
      <w:lvlJc w:val="left"/>
      <w:lvlText w:val="(%1)"/>
      <w:numFmt w:val="lowerLetter"/>
      <w:start w:val="4"/>
    </w:lvl>
  </w:abstractNum>
  <w:abstractNum w:abstractNumId="219">
    <w:nsid w:val="52AC7DFF"/>
    <w:multiLevelType w:val="hybridMultilevel"/>
    <w:lvl w:ilvl="0">
      <w:lvlJc w:val="left"/>
      <w:lvlText w:val="(%1)"/>
      <w:numFmt w:val="lowerLetter"/>
      <w:start w:val="1"/>
    </w:lvl>
  </w:abstractNum>
  <w:abstractNum w:abstractNumId="220">
    <w:nsid w:val="C4C3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1">
    <w:nsid w:val="44380727"/>
    <w:multiLevelType w:val="hybridMultilevel"/>
    <w:lvl w:ilvl="0">
      <w:lvlJc w:val="left"/>
      <w:lvlText w:val="(%1)"/>
      <w:numFmt w:val="lowerRoman"/>
      <w:start w:val="3"/>
    </w:lvl>
    <w:lvl w:ilvl="1">
      <w:lvlJc w:val="left"/>
      <w:lvlText w:val="(%2)"/>
      <w:numFmt w:val="upperLetter"/>
      <w:start w:val="1"/>
    </w:lvl>
  </w:abstractNum>
  <w:abstractNum w:abstractNumId="222">
    <w:nsid w:val="6C053B16"/>
    <w:multiLevelType w:val="hybridMultilevel"/>
    <w:lvl w:ilvl="0">
      <w:lvlJc w:val="left"/>
      <w:lvlText w:val="%1"/>
      <w:numFmt w:val="lowerLetter"/>
      <w:start w:val="1"/>
    </w:lvl>
    <w:lvl w:ilvl="1">
      <w:lvlJc w:val="left"/>
      <w:lvlText w:val="(%2)"/>
      <w:numFmt w:val="lowerRoman"/>
      <w:start w:val="7"/>
    </w:lvl>
  </w:abstractNum>
  <w:abstractNum w:abstractNumId="223">
    <w:nsid w:val="4F294393"/>
    <w:multiLevelType w:val="hybridMultilevel"/>
    <w:lvl w:ilvl="0">
      <w:lvlJc w:val="left"/>
      <w:lvlText w:val="(%1)"/>
      <w:numFmt w:val="lowerLetter"/>
      <w:start w:val="3"/>
    </w:lvl>
    <w:lvl w:ilvl="1">
      <w:lvlJc w:val="left"/>
      <w:lvlText w:val="(%2)"/>
      <w:numFmt w:val="lowerRoman"/>
      <w:start w:val="1"/>
    </w:lvl>
  </w:abstractNum>
  <w:abstractNum w:abstractNumId="224">
    <w:nsid w:val="5243BFAC"/>
    <w:multiLevelType w:val="hybridMultilevel"/>
    <w:lvl w:ilvl="0">
      <w:lvlJc w:val="left"/>
      <w:lvlText w:val="%1"/>
      <w:numFmt w:val="lowerLetter"/>
      <w:start w:val="1"/>
    </w:lvl>
    <w:lvl w:ilvl="1">
      <w:lvlJc w:val="left"/>
      <w:lvlText w:val="(%2)"/>
      <w:numFmt w:val="lowerLetter"/>
      <w:start w:val="35"/>
    </w:lvl>
  </w:abstractNum>
  <w:abstractNum w:abstractNumId="225">
    <w:nsid w:val="425EB207"/>
    <w:multiLevelType w:val="hybridMultilevel"/>
    <w:lvl w:ilvl="0">
      <w:lvlJc w:val="left"/>
      <w:lvlText w:val="(%1)"/>
      <w:numFmt w:val="lowerLetter"/>
      <w:start w:val="5"/>
    </w:lvl>
    <w:lvl w:ilvl="1">
      <w:lvlJc w:val="left"/>
      <w:lvlText w:val="%2"/>
      <w:numFmt w:val="lowerLetter"/>
      <w:start w:val="1"/>
    </w:lvl>
  </w:abstractNum>
  <w:abstractNum w:abstractNumId="226">
    <w:nsid w:val="334A6F1F"/>
    <w:multiLevelType w:val="hybridMultilevel"/>
    <w:lvl w:ilvl="0">
      <w:lvlJc w:val="left"/>
      <w:lvlText w:val="(%1)"/>
      <w:numFmt w:val="lowerLetter"/>
      <w:start w:val="6"/>
    </w:lvl>
  </w:abstractNum>
  <w:abstractNum w:abstractNumId="227">
    <w:nsid w:val="2E5B12B8"/>
    <w:multiLevelType w:val="hybridMultilevel"/>
    <w:lvl w:ilvl="0">
      <w:lvlJc w:val="left"/>
      <w:lvlText w:val="(%1)"/>
      <w:numFmt w:val="lowerRoman"/>
      <w:start w:val="1"/>
    </w:lvl>
  </w:abstractNum>
  <w:abstractNum w:abstractNumId="228">
    <w:nsid w:val="5C03D76D"/>
    <w:multiLevelType w:val="hybridMultilevel"/>
    <w:lvl w:ilvl="0">
      <w:lvlJc w:val="left"/>
      <w:lvlText w:val="%1"/>
      <w:numFmt w:val="upperLetter"/>
      <w:start w:val="1"/>
    </w:lvl>
    <w:lvl w:ilvl="1">
      <w:lvlJc w:val="left"/>
      <w:lvlText w:val="(%2)"/>
      <w:numFmt w:val="lowerRoman"/>
      <w:start w:val="3"/>
    </w:lvl>
  </w:abstractNum>
  <w:abstractNum w:abstractNumId="229">
    <w:nsid w:val="66A48D11"/>
    <w:multiLevelType w:val="hybridMultilevel"/>
    <w:lvl w:ilvl="0">
      <w:lvlJc w:val="left"/>
      <w:lvlText w:val="(%1)"/>
      <w:numFmt w:val="upperLetter"/>
      <w:start w:val="1"/>
    </w:lvl>
    <w:lvl w:ilvl="1">
      <w:lvlJc w:val="left"/>
      <w:lvlText w:val="(%2)"/>
      <w:numFmt w:val="lowerRoman"/>
      <w:start w:val="4"/>
    </w:lvl>
  </w:abstractNum>
  <w:abstractNum w:abstractNumId="230">
    <w:nsid w:val="56C28E34"/>
    <w:multiLevelType w:val="hybridMultilevel"/>
    <w:lvl w:ilvl="0">
      <w:lvlJc w:val="left"/>
      <w:lvlText w:val="(%1)"/>
      <w:numFmt w:val="lowerLetter"/>
      <w:start w:val="1"/>
    </w:lvl>
  </w:abstractNum>
  <w:abstractNum w:abstractNumId="231">
    <w:nsid w:val="13916F2D"/>
    <w:multiLevelType w:val="hybridMultilevel"/>
    <w:lvl w:ilvl="0">
      <w:lvlJc w:val="left"/>
      <w:lvlText w:val="(%1)"/>
      <w:numFmt w:val="lowerRoman"/>
      <w:start w:val="6"/>
    </w:lvl>
    <w:lvl w:ilvl="1">
      <w:lvlJc w:val="left"/>
      <w:lvlText w:val="(%2)"/>
      <w:numFmt w:val="lowerLetter"/>
      <w:start w:val="2"/>
    </w:lvl>
  </w:abstractNum>
  <w:abstractNum w:abstractNumId="232">
    <w:nsid w:val="435D38D"/>
    <w:multiLevelType w:val="hybridMultilevel"/>
    <w:lvl w:ilvl="0">
      <w:lvlJc w:val="left"/>
      <w:lvlText w:val="(%1)"/>
      <w:numFmt w:val="lowerRoman"/>
      <w:start w:val="2"/>
    </w:lvl>
    <w:lvl w:ilvl="1">
      <w:lvlJc w:val="left"/>
      <w:lvlText w:val="(%2)"/>
      <w:numFmt w:val="lowerLetter"/>
      <w:start w:val="3"/>
    </w:lvl>
  </w:abstractNum>
  <w:abstractNum w:abstractNumId="233">
    <w:nsid w:val="822C0EF"/>
    <w:multiLevelType w:val="hybridMultilevel"/>
    <w:lvl w:ilvl="0">
      <w:lvlJc w:val="left"/>
      <w:lvlText w:val="(%1)"/>
      <w:numFmt w:val="lowerLetter"/>
      <w:start w:val="1"/>
    </w:lvl>
    <w:lvl w:ilvl="1">
      <w:lvlJc w:val="left"/>
      <w:lvlText w:val="(%2)"/>
      <w:numFmt w:val="lowerRoman"/>
      <w:start w:val="1"/>
    </w:lvl>
  </w:abstractNum>
  <w:abstractNum w:abstractNumId="234">
    <w:nsid w:val="57C5BB4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35">
    <w:nsid w:val="1803D08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6">
    <w:nsid w:val="4F3A06D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37">
    <w:nsid w:val="59A377B6"/>
    <w:multiLevelType w:val="hybridMultilevel"/>
    <w:lvl w:ilvl="0">
      <w:lvlJc w:val="left"/>
      <w:lvlText w:val="(%1)"/>
      <w:numFmt w:val="lowerLetter"/>
      <w:start w:val="1"/>
    </w:lvl>
  </w:abstractNum>
  <w:abstractNum w:abstractNumId="238">
    <w:nsid w:val="48AEB063"/>
    <w:multiLevelType w:val="hybridMultilevel"/>
    <w:lvl w:ilvl="0">
      <w:lvlJc w:val="left"/>
      <w:lvlText w:val="(%1)"/>
      <w:numFmt w:val="lowerLetter"/>
      <w:start w:val="3"/>
    </w:lvl>
  </w:abstractNum>
  <w:abstractNum w:abstractNumId="239">
    <w:nsid w:val="24E135"/>
    <w:multiLevelType w:val="hybridMultilevel"/>
    <w:lvl w:ilvl="0">
      <w:lvlJc w:val="left"/>
      <w:lvlText w:val="(%1)"/>
      <w:numFmt w:val="lowerLetter"/>
      <w:start w:val="2"/>
    </w:lvl>
  </w:abstractNum>
  <w:abstractNum w:abstractNumId="240">
    <w:nsid w:val="BB13C1"/>
    <w:multiLevelType w:val="hybridMultilevel"/>
    <w:lvl w:ilvl="0">
      <w:lvlJc w:val="left"/>
      <w:lvlText w:val="(%1)"/>
      <w:numFmt w:val="lowerLetter"/>
      <w:start w:val="1"/>
    </w:lvl>
  </w:abstractNum>
  <w:abstractNum w:abstractNumId="241">
    <w:nsid w:val="271210C7"/>
    <w:multiLevelType w:val="hybridMultilevel"/>
    <w:lvl w:ilvl="0">
      <w:lvlJc w:val="left"/>
      <w:lvlText w:val="(%1)"/>
      <w:numFmt w:val="lowerLetter"/>
      <w:start w:val="1"/>
    </w:lvl>
    <w:lvl w:ilvl="1">
      <w:lvlJc w:val="left"/>
      <w:lvlText w:val="(%2)"/>
      <w:numFmt w:val="lowerRoman"/>
      <w:start w:val="1"/>
    </w:lvl>
  </w:abstractNum>
  <w:abstractNum w:abstractNumId="242">
    <w:nsid w:val="217B22E4"/>
    <w:multiLevelType w:val="hybridMultilevel"/>
    <w:lvl w:ilvl="0">
      <w:lvlJc w:val="left"/>
      <w:lvlText w:val="%1."/>
      <w:numFmt w:val="decimal"/>
      <w:start w:val="1"/>
    </w:lvl>
    <w:lvl w:ilvl="1">
      <w:lvlJc w:val="left"/>
      <w:lvlText w:val="(%2)"/>
      <w:numFmt w:val="lowerLetter"/>
      <w:start w:val="1"/>
    </w:lvl>
  </w:abstractNum>
  <w:abstractNum w:abstractNumId="243">
    <w:nsid w:val="53E31A24"/>
    <w:multiLevelType w:val="hybridMultilevel"/>
    <w:lvl w:ilvl="0">
      <w:lvlJc w:val="left"/>
      <w:lvlText w:val="%1."/>
      <w:numFmt w:val="decimal"/>
      <w:start w:val="1"/>
    </w:lvl>
    <w:lvl w:ilvl="1">
      <w:lvlJc w:val="left"/>
      <w:lvlText w:val="(%2)"/>
      <w:numFmt w:val="lowerLetter"/>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91" Type="http://schemas.openxmlformats.org/officeDocument/2006/relationships/hyperlink" Target="http://www.sec.gov/Archives/edgar/data/1743759/000119312520254569/d65933dex31.htm" TargetMode="External"/><Relationship Id="rId92" Type="http://schemas.openxmlformats.org/officeDocument/2006/relationships/hyperlink" Target="http://www.sec.gov/Archives/edgar/data/1743759/000119312520254569/d65933dex32.htm" TargetMode="External"/><Relationship Id="rId93" Type="http://schemas.openxmlformats.org/officeDocument/2006/relationships/hyperlink" Target="http://www.sec.gov/Archives/edgar/data/1743759/000119312520248527/d507744dex42.htm" TargetMode="External"/><Relationship Id="rId94" Type="http://schemas.openxmlformats.org/officeDocument/2006/relationships/hyperlink" Target="http://www.sec.gov/Archives/edgar/data/0001743759/000119312520248527/d507744dex43.htm" TargetMode="External"/><Relationship Id="rId95" Type="http://schemas.openxmlformats.org/officeDocument/2006/relationships/hyperlink" Target="http://www.sec.gov/Archives/edgar/data/0001743759/000156459021012507/crsr-ex43_12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2021-11-02T15:16:05Z</dcterms:created>
  <dcterms:modified xsi:type="dcterms:W3CDTF">2021-11-02T15:16:05Z</dcterms:modified>
</cp:coreProperties>
</file>