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2000" w:hanging="3912"/>
        <w:spacing w:after="0" w:line="305"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-447040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7"/>
          </w:tcPr>
          <w:p>
            <w:pPr>
              <w:ind w:left="3420"/>
              <w:spacing w:after="0"/>
              <w:rPr>
                <w:sz w:val="20"/>
                <w:szCs w:val="20"/>
                <w:color w:val="auto"/>
              </w:rPr>
            </w:pPr>
            <w:r>
              <w:rPr>
                <w:rFonts w:ascii="Arial" w:cs="Arial" w:eastAsia="Arial" w:hAnsi="Arial"/>
                <w:sz w:val="18"/>
                <w:szCs w:val="18"/>
                <w:b w:val="1"/>
                <w:bCs w:val="1"/>
                <w:color w:val="auto"/>
              </w:rPr>
              <w:t>For the transition period from</w:t>
            </w:r>
          </w:p>
        </w:tc>
        <w:tc>
          <w:tcPr>
            <w:tcW w:w="160" w:type="dxa"/>
            <w:vAlign w:val="bottom"/>
          </w:tcPr>
          <w:p>
            <w:pPr>
              <w:spacing w:after="0"/>
              <w:rPr>
                <w:sz w:val="17"/>
                <w:szCs w:val="17"/>
                <w:color w:val="auto"/>
              </w:rPr>
            </w:pPr>
          </w:p>
        </w:tc>
        <w:tc>
          <w:tcPr>
            <w:tcW w:w="4560" w:type="dxa"/>
            <w:vAlign w:val="bottom"/>
            <w:gridSpan w:val="4"/>
          </w:tcPr>
          <w:p>
            <w:pPr>
              <w:ind w:left="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20" w:type="dxa"/>
            <w:vAlign w:val="bottom"/>
          </w:tcPr>
          <w:p>
            <w:pPr>
              <w:spacing w:after="0"/>
              <w:rPr>
                <w:sz w:val="24"/>
                <w:szCs w:val="24"/>
                <w:color w:val="auto"/>
              </w:rPr>
            </w:pPr>
          </w:p>
        </w:tc>
        <w:tc>
          <w:tcPr>
            <w:tcW w:w="7420" w:type="dxa"/>
            <w:vAlign w:val="bottom"/>
            <w:gridSpan w:val="11"/>
          </w:tcPr>
          <w:p>
            <w:pPr>
              <w:jc w:val="center"/>
              <w:ind w:right="3754"/>
              <w:spacing w:after="0"/>
              <w:rPr>
                <w:sz w:val="20"/>
                <w:szCs w:val="20"/>
                <w:color w:val="auto"/>
              </w:rPr>
            </w:pPr>
            <w:r>
              <w:rPr>
                <w:rFonts w:ascii="Arial" w:cs="Arial" w:eastAsia="Arial" w:hAnsi="Arial"/>
                <w:sz w:val="18"/>
                <w:szCs w:val="18"/>
                <w:b w:val="1"/>
                <w:bCs w:val="1"/>
                <w:color w:val="auto"/>
                <w:w w:val="91"/>
              </w:rPr>
              <w:t xml:space="preserve">Commission File Number </w:t>
            </w:r>
            <w:r>
              <w:rPr>
                <w:rFonts w:ascii="Arial" w:cs="Arial" w:eastAsia="Arial" w:hAnsi="Arial"/>
                <w:sz w:val="16"/>
                <w:szCs w:val="16"/>
                <w:b w:val="1"/>
                <w:bCs w:val="1"/>
                <w:color w:val="auto"/>
                <w:w w:val="91"/>
              </w:rPr>
              <w:t>001-39533</w:t>
            </w: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9"/>
        </w:trPr>
        <w:tc>
          <w:tcPr>
            <w:tcW w:w="3820" w:type="dxa"/>
            <w:vAlign w:val="bottom"/>
          </w:tcPr>
          <w:p>
            <w:pPr>
              <w:spacing w:after="0"/>
              <w:rPr>
                <w:sz w:val="24"/>
                <w:szCs w:val="24"/>
                <w:color w:val="auto"/>
              </w:rPr>
            </w:pPr>
          </w:p>
        </w:tc>
        <w:tc>
          <w:tcPr>
            <w:tcW w:w="7420" w:type="dxa"/>
            <w:vAlign w:val="bottom"/>
            <w:gridSpan w:val="11"/>
          </w:tcPr>
          <w:p>
            <w:pPr>
              <w:jc w:val="center"/>
              <w:ind w:right="3754"/>
              <w:spacing w:after="0"/>
              <w:rPr>
                <w:sz w:val="20"/>
                <w:szCs w:val="20"/>
                <w:color w:val="auto"/>
              </w:rPr>
            </w:pPr>
            <w:r>
              <w:rPr>
                <w:rFonts w:ascii="Arial" w:cs="Arial" w:eastAsia="Arial" w:hAnsi="Arial"/>
                <w:sz w:val="39"/>
                <w:szCs w:val="39"/>
                <w:b w:val="1"/>
                <w:bCs w:val="1"/>
                <w:color w:val="auto"/>
                <w:w w:val="92"/>
              </w:rPr>
              <w:t>Corsair Gaming, Inc.</w:t>
            </w:r>
          </w:p>
        </w:tc>
        <w:tc>
          <w:tcPr>
            <w:tcW w:w="0" w:type="dxa"/>
            <w:vAlign w:val="bottom"/>
          </w:tcPr>
          <w:p>
            <w:pPr>
              <w:spacing w:after="0"/>
              <w:rPr>
                <w:sz w:val="1"/>
                <w:szCs w:val="1"/>
                <w:color w:val="auto"/>
              </w:rPr>
            </w:pPr>
          </w:p>
        </w:tc>
      </w:tr>
      <w:tr>
        <w:trPr>
          <w:trHeight w:val="230"/>
        </w:trPr>
        <w:tc>
          <w:tcPr>
            <w:tcW w:w="11240" w:type="dxa"/>
            <w:vAlign w:val="bottom"/>
            <w:gridSpan w:val="12"/>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820" w:type="dxa"/>
            <w:vAlign w:val="bottom"/>
          </w:tcPr>
          <w:p>
            <w:pPr>
              <w:jc w:val="center"/>
              <w:ind w:left="1724"/>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20" w:type="dxa"/>
            <w:vAlign w:val="bottom"/>
            <w:gridSpan w:val="5"/>
          </w:tcPr>
          <w:p>
            <w:pPr>
              <w:jc w:val="center"/>
              <w:ind w:right="834"/>
              <w:spacing w:after="0"/>
              <w:rPr>
                <w:sz w:val="20"/>
                <w:szCs w:val="20"/>
                <w:color w:val="auto"/>
              </w:rPr>
            </w:pPr>
            <w:r>
              <w:rPr>
                <w:rFonts w:ascii="Arial" w:cs="Arial" w:eastAsia="Arial" w:hAnsi="Arial"/>
                <w:sz w:val="16"/>
                <w:szCs w:val="16"/>
                <w:b w:val="1"/>
                <w:bCs w:val="1"/>
                <w:color w:val="auto"/>
                <w:w w:val="91"/>
              </w:rPr>
              <w:t>82-2335306</w:t>
            </w:r>
          </w:p>
        </w:tc>
        <w:tc>
          <w:tcPr>
            <w:tcW w:w="0" w:type="dxa"/>
            <w:vAlign w:val="bottom"/>
          </w:tcPr>
          <w:p>
            <w:pPr>
              <w:spacing w:after="0"/>
              <w:rPr>
                <w:sz w:val="1"/>
                <w:szCs w:val="1"/>
                <w:color w:val="auto"/>
              </w:rPr>
            </w:pPr>
          </w:p>
        </w:tc>
      </w:tr>
      <w:tr>
        <w:trPr>
          <w:trHeight w:val="135"/>
        </w:trPr>
        <w:tc>
          <w:tcPr>
            <w:tcW w:w="3820" w:type="dxa"/>
            <w:vAlign w:val="bottom"/>
          </w:tcPr>
          <w:p>
            <w:pPr>
              <w:jc w:val="center"/>
              <w:ind w:left="1724"/>
              <w:spacing w:after="0" w:line="135" w:lineRule="exact"/>
              <w:rPr>
                <w:sz w:val="20"/>
                <w:szCs w:val="20"/>
                <w:color w:val="auto"/>
              </w:rPr>
            </w:pPr>
            <w:r>
              <w:rPr>
                <w:rFonts w:ascii="Arial" w:cs="Arial" w:eastAsia="Arial" w:hAnsi="Arial"/>
                <w:sz w:val="13"/>
                <w:szCs w:val="13"/>
                <w:color w:val="auto"/>
                <w:w w:val="89"/>
              </w:rPr>
              <w:t>(State or other jurisdiction of</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20" w:type="dxa"/>
            <w:vAlign w:val="bottom"/>
          </w:tcPr>
          <w:p>
            <w:pPr>
              <w:jc w:val="center"/>
              <w:ind w:right="2134"/>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0"/>
        </w:trPr>
        <w:tc>
          <w:tcPr>
            <w:tcW w:w="3820" w:type="dxa"/>
            <w:vAlign w:val="bottom"/>
          </w:tcPr>
          <w:p>
            <w:pPr>
              <w:jc w:val="center"/>
              <w:ind w:left="1744"/>
              <w:spacing w:after="0"/>
              <w:rPr>
                <w:sz w:val="20"/>
                <w:szCs w:val="20"/>
                <w:color w:val="auto"/>
              </w:rPr>
            </w:pPr>
            <w:r>
              <w:rPr>
                <w:rFonts w:ascii="Arial" w:cs="Arial" w:eastAsia="Arial" w:hAnsi="Arial"/>
                <w:sz w:val="13"/>
                <w:szCs w:val="13"/>
                <w:color w:val="auto"/>
                <w:w w:val="89"/>
              </w:rPr>
              <w:t>incorporation or organization)</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20" w:type="dxa"/>
            <w:vAlign w:val="bottom"/>
          </w:tcPr>
          <w:p>
            <w:pPr>
              <w:jc w:val="center"/>
              <w:ind w:right="2134"/>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47100 Bayside Pkwy</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Fremont, CA 94538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7420" w:type="dxa"/>
            <w:vAlign w:val="bottom"/>
            <w:gridSpan w:val="11"/>
          </w:tcPr>
          <w:p>
            <w:pPr>
              <w:jc w:val="center"/>
              <w:ind w:right="3734"/>
              <w:spacing w:after="0"/>
              <w:rPr>
                <w:sz w:val="20"/>
                <w:szCs w:val="20"/>
                <w:color w:val="auto"/>
              </w:rPr>
            </w:pPr>
            <w:r>
              <w:rPr>
                <w:rFonts w:ascii="Arial" w:cs="Arial" w:eastAsia="Arial" w:hAnsi="Arial"/>
                <w:sz w:val="13"/>
                <w:szCs w:val="13"/>
                <w:color w:val="auto"/>
                <w:w w:val="88"/>
              </w:rPr>
              <w:t>(Address of principal executive offices and zip code)</w:t>
            </w:r>
          </w:p>
        </w:tc>
        <w:tc>
          <w:tcPr>
            <w:tcW w:w="0" w:type="dxa"/>
            <w:vAlign w:val="bottom"/>
          </w:tcPr>
          <w:p>
            <w:pPr>
              <w:spacing w:after="0"/>
              <w:rPr>
                <w:sz w:val="1"/>
                <w:szCs w:val="1"/>
                <w:color w:val="auto"/>
              </w:rPr>
            </w:pPr>
          </w:p>
        </w:tc>
      </w:tr>
      <w:tr>
        <w:trPr>
          <w:trHeight w:val="231"/>
        </w:trPr>
        <w:tc>
          <w:tcPr>
            <w:tcW w:w="3820" w:type="dxa"/>
            <w:vAlign w:val="bottom"/>
          </w:tcPr>
          <w:p>
            <w:pPr>
              <w:spacing w:after="0"/>
              <w:rPr>
                <w:sz w:val="20"/>
                <w:szCs w:val="20"/>
                <w:color w:val="auto"/>
              </w:rPr>
            </w:pPr>
          </w:p>
        </w:tc>
        <w:tc>
          <w:tcPr>
            <w:tcW w:w="2600" w:type="dxa"/>
            <w:vAlign w:val="bottom"/>
            <w:gridSpan w:val="5"/>
          </w:tcPr>
          <w:p>
            <w:pPr>
              <w:jc w:val="center"/>
              <w:ind w:left="922"/>
              <w:spacing w:after="0"/>
              <w:rPr>
                <w:sz w:val="20"/>
                <w:szCs w:val="20"/>
                <w:color w:val="auto"/>
              </w:rPr>
            </w:pPr>
            <w:r>
              <w:rPr>
                <w:rFonts w:ascii="Arial" w:cs="Arial" w:eastAsia="Arial" w:hAnsi="Arial"/>
                <w:sz w:val="16"/>
                <w:szCs w:val="16"/>
                <w:b w:val="1"/>
                <w:bCs w:val="1"/>
                <w:color w:val="auto"/>
                <w:w w:val="93"/>
              </w:rPr>
              <w:t>(510) 657-8747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7420" w:type="dxa"/>
            <w:vAlign w:val="bottom"/>
            <w:gridSpan w:val="11"/>
          </w:tcPr>
          <w:p>
            <w:pPr>
              <w:jc w:val="center"/>
              <w:ind w:right="3734"/>
              <w:spacing w:after="0"/>
              <w:rPr>
                <w:sz w:val="20"/>
                <w:szCs w:val="20"/>
                <w:color w:val="auto"/>
              </w:rPr>
            </w:pPr>
            <w:r>
              <w:rPr>
                <w:rFonts w:ascii="Arial" w:cs="Arial" w:eastAsia="Arial" w:hAnsi="Arial"/>
                <w:sz w:val="13"/>
                <w:szCs w:val="13"/>
                <w:color w:val="auto"/>
                <w:w w:val="86"/>
              </w:rPr>
              <w:t>Registrant’s telephone number, including area code</w:t>
            </w:r>
          </w:p>
        </w:tc>
        <w:tc>
          <w:tcPr>
            <w:tcW w:w="0" w:type="dxa"/>
            <w:vAlign w:val="bottom"/>
          </w:tcPr>
          <w:p>
            <w:pPr>
              <w:spacing w:after="0"/>
              <w:rPr>
                <w:sz w:val="1"/>
                <w:szCs w:val="1"/>
                <w:color w:val="auto"/>
              </w:rPr>
            </w:pPr>
          </w:p>
        </w:tc>
      </w:tr>
      <w:tr>
        <w:trPr>
          <w:trHeight w:val="83"/>
        </w:trPr>
        <w:tc>
          <w:tcPr>
            <w:tcW w:w="4500" w:type="dxa"/>
            <w:vAlign w:val="bottom"/>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520" w:type="dxa"/>
            <w:vAlign w:val="bottom"/>
            <w:gridSpan w:val="7"/>
          </w:tcPr>
          <w:p>
            <w:pPr>
              <w:ind w:left="520"/>
              <w:spacing w:after="0"/>
              <w:rPr>
                <w:sz w:val="20"/>
                <w:szCs w:val="20"/>
                <w:color w:val="auto"/>
              </w:rPr>
            </w:pPr>
            <w:r>
              <w:rPr>
                <w:rFonts w:ascii="Arial" w:cs="Arial" w:eastAsia="Arial" w:hAnsi="Arial"/>
                <w:sz w:val="15"/>
                <w:szCs w:val="15"/>
                <w:color w:val="auto"/>
              </w:rPr>
              <w:t>Securities registered pursuant to Section 12(b) of the Act: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82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Title of each class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20" w:type="dxa"/>
            <w:vAlign w:val="bottom"/>
            <w:gridSpan w:val="2"/>
            <w:vMerge w:val="restart"/>
          </w:tcPr>
          <w:p>
            <w:pPr>
              <w:jc w:val="center"/>
              <w:ind w:right="33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Borders>
              <w:top w:val="single" w:sz="8" w:color="auto"/>
            </w:tcBorders>
          </w:tcPr>
          <w:p>
            <w:pPr>
              <w:ind w:left="1200"/>
              <w:spacing w:after="0"/>
              <w:rPr>
                <w:sz w:val="20"/>
                <w:szCs w:val="20"/>
                <w:color w:val="auto"/>
              </w:rPr>
            </w:pPr>
            <w:r>
              <w:rPr>
                <w:rFonts w:ascii="Arial" w:cs="Arial" w:eastAsia="Arial" w:hAnsi="Arial"/>
                <w:sz w:val="14"/>
                <w:szCs w:val="14"/>
                <w:color w:val="auto"/>
                <w:w w:val="93"/>
              </w:rPr>
              <w:t>Common Stock, $0.0001 par value per share</w:t>
            </w: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CRSR</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1234"/>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ind w:left="520" w:right="3080"/>
        <w:spacing w:after="0" w:line="22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31" w:lineRule="exact"/>
        <w:rPr>
          <w:sz w:val="24"/>
          <w:szCs w:val="24"/>
          <w:color w:val="auto"/>
        </w:rPr>
      </w:pPr>
    </w:p>
    <w:p>
      <w:pPr>
        <w:ind w:right="6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 w:lineRule="exact"/>
        <w:rPr>
          <w:sz w:val="24"/>
          <w:szCs w:val="24"/>
          <w:color w:val="auto"/>
        </w:rPr>
      </w:pPr>
    </w:p>
    <w:p>
      <w:pPr>
        <w:ind w:left="520"/>
        <w:spacing w:after="0" w:line="17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1" w:lineRule="exact"/>
        <w:rPr>
          <w:sz w:val="24"/>
          <w:szCs w:val="24"/>
          <w:color w:val="auto"/>
        </w:rPr>
      </w:pPr>
    </w:p>
    <w:p>
      <w:pPr>
        <w:ind w:right="140" w:firstLine="510"/>
        <w:spacing w:after="0" w:line="253" w:lineRule="auto"/>
        <w:rPr>
          <w:sz w:val="20"/>
          <w:szCs w:val="20"/>
          <w:color w:val="auto"/>
        </w:rPr>
      </w:pPr>
      <w:r>
        <w:rPr>
          <w:rFonts w:ascii="Arial" w:cs="Arial" w:eastAsia="Arial" w:hAnsi="Arial"/>
          <w:sz w:val="14"/>
          <w:szCs w:val="14"/>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26, 2021, 91.9 million shares of the registrant’s common stock, $0.0001 par value per share, were issued and outstanding.</w:t>
      </w:r>
    </w:p>
    <w:p>
      <w:pPr>
        <w:spacing w:after="0" w:line="5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ind w:right="300" w:firstLine="510"/>
        <w:spacing w:after="0" w:line="238" w:lineRule="auto"/>
        <w:rPr>
          <w:sz w:val="20"/>
          <w:szCs w:val="20"/>
          <w:color w:val="auto"/>
        </w:rPr>
      </w:pPr>
      <w:r>
        <w:rPr>
          <w:rFonts w:ascii="Arial" w:cs="Arial" w:eastAsia="Arial" w:hAnsi="Arial"/>
          <w:sz w:val="14"/>
          <w:szCs w:val="14"/>
          <w:color w:val="auto"/>
        </w:rPr>
        <w:t>Portions of the registrant’s Definitive Proxy Statement for the 2021 Annual Meeting of Stockholders, or the Proxy Statement, to be filed within 120 days of the end of the fiscal year ended December 31, 2020, are incorporated by reference in Part III hereof. Except with respect to information specifically incorporated by reference in this Annual Report on Form 10-K, the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tcPr>
          <w:p>
            <w:pPr>
              <w:spacing w:after="0"/>
              <w:rPr>
                <w:sz w:val="19"/>
                <w:szCs w:val="19"/>
                <w:color w:val="auto"/>
              </w:rPr>
            </w:pPr>
          </w:p>
        </w:tc>
        <w:tc>
          <w:tcPr>
            <w:tcW w:w="7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7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Properties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c>
          <w:tcPr>
            <w:tcW w:w="0" w:type="dxa"/>
            <w:vAlign w:val="bottom"/>
          </w:tcPr>
          <w:p>
            <w:pPr>
              <w:spacing w:after="0"/>
              <w:rPr>
                <w:sz w:val="1"/>
                <w:szCs w:val="1"/>
                <w:color w:val="auto"/>
              </w:rPr>
            </w:pPr>
          </w:p>
        </w:tc>
      </w:tr>
      <w:tr>
        <w:trPr>
          <w:trHeight w:val="458"/>
        </w:trPr>
        <w:tc>
          <w:tcPr>
            <w:tcW w:w="960" w:type="dxa"/>
            <w:vAlign w:val="bottom"/>
          </w:tcPr>
          <w:p>
            <w:pPr>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PART II</w:t>
              </w:r>
            </w:hyperlink>
          </w:p>
        </w:tc>
        <w:tc>
          <w:tcPr>
            <w:tcW w:w="950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61</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98</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98</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98</w:t>
              </w:r>
            </w:hyperlink>
          </w:p>
        </w:tc>
        <w:tc>
          <w:tcPr>
            <w:tcW w:w="0" w:type="dxa"/>
            <w:vAlign w:val="bottom"/>
          </w:tcPr>
          <w:p>
            <w:pPr>
              <w:spacing w:after="0"/>
              <w:rPr>
                <w:sz w:val="1"/>
                <w:szCs w:val="1"/>
                <w:color w:val="auto"/>
              </w:rPr>
            </w:pPr>
          </w:p>
        </w:tc>
      </w:tr>
      <w:tr>
        <w:trPr>
          <w:trHeight w:val="458"/>
        </w:trPr>
        <w:tc>
          <w:tcPr>
            <w:tcW w:w="960" w:type="dxa"/>
            <w:vAlign w:val="bottom"/>
          </w:tcPr>
          <w:p>
            <w:pPr>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PART III</w:t>
              </w:r>
            </w:hyperlink>
          </w:p>
        </w:tc>
        <w:tc>
          <w:tcPr>
            <w:tcW w:w="950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Principal Accounting Fees and Services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99</w:t>
              </w:r>
            </w:hyperlink>
          </w:p>
        </w:tc>
        <w:tc>
          <w:tcPr>
            <w:tcW w:w="0" w:type="dxa"/>
            <w:vAlign w:val="bottom"/>
          </w:tcPr>
          <w:p>
            <w:pPr>
              <w:spacing w:after="0"/>
              <w:rPr>
                <w:sz w:val="1"/>
                <w:szCs w:val="1"/>
                <w:color w:val="auto"/>
              </w:rPr>
            </w:pPr>
          </w:p>
        </w:tc>
      </w:tr>
      <w:tr>
        <w:trPr>
          <w:trHeight w:val="458"/>
        </w:trPr>
        <w:tc>
          <w:tcPr>
            <w:tcW w:w="960" w:type="dxa"/>
            <w:vAlign w:val="bottom"/>
          </w:tcPr>
          <w:p>
            <w:pPr>
              <w:spacing w:after="0"/>
              <w:rPr>
                <w:rFonts w:ascii="Arial" w:cs="Arial" w:eastAsia="Arial" w:hAnsi="Arial"/>
                <w:sz w:val="18"/>
                <w:szCs w:val="18"/>
                <w:b w:val="1"/>
                <w:bCs w:val="1"/>
                <w:u w:val="single" w:color="auto"/>
                <w:color w:val="0000EE"/>
              </w:rPr>
            </w:pPr>
            <w:hyperlink w:anchor="page102">
              <w:r>
                <w:rPr>
                  <w:rFonts w:ascii="Arial" w:cs="Arial" w:eastAsia="Arial" w:hAnsi="Arial"/>
                  <w:sz w:val="18"/>
                  <w:szCs w:val="18"/>
                  <w:b w:val="1"/>
                  <w:bCs w:val="1"/>
                  <w:u w:val="single" w:color="auto"/>
                  <w:color w:val="0000EE"/>
                </w:rPr>
                <w:t>PART IV</w:t>
              </w:r>
            </w:hyperlink>
          </w:p>
        </w:tc>
        <w:tc>
          <w:tcPr>
            <w:tcW w:w="950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100</w:t>
              </w:r>
            </w:hyperlink>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Exhibits, Financial Statement Schedules</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100</w:t>
              </w:r>
            </w:hyperlink>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Form 10-K Summary</w:t>
              </w:r>
            </w:hyperlink>
          </w:p>
        </w:tc>
        <w:tc>
          <w:tcPr>
            <w:tcW w:w="780" w:type="dxa"/>
            <w:vAlign w:val="bottom"/>
          </w:tcPr>
          <w:p>
            <w:pPr>
              <w:jc w:val="right"/>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102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ind w:right="360" w:firstLine="655"/>
        <w:spacing w:after="0" w:line="293"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Annual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164" w:lineRule="exact"/>
        <w:rPr>
          <w:sz w:val="20"/>
          <w:szCs w:val="20"/>
          <w:color w:val="auto"/>
        </w:rPr>
      </w:pPr>
    </w:p>
    <w:p>
      <w:pPr>
        <w:ind w:firstLine="655"/>
        <w:spacing w:after="0" w:line="271" w:lineRule="auto"/>
        <w:rPr>
          <w:sz w:val="20"/>
          <w:szCs w:val="20"/>
          <w:color w:val="auto"/>
        </w:rPr>
      </w:pPr>
      <w:r>
        <w:rPr>
          <w:rFonts w:ascii="Arial" w:cs="Arial" w:eastAsia="Arial" w:hAnsi="Arial"/>
          <w:sz w:val="17"/>
          <w:szCs w:val="17"/>
          <w:color w:val="auto"/>
        </w:rPr>
        <w:t>The forward-looking statements contained in this Annual Report on Form 10-K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 Item 1A, “Risk Factors” in this Annual Report on Form 10-K. These factors should not be construed as exhaustive and should be read in conjunction with the other cautionary statements that are included in this Annual Report on Form 10-K.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68"/>
        <w:spacing w:after="0" w:line="257" w:lineRule="auto"/>
        <w:rPr>
          <w:sz w:val="20"/>
          <w:szCs w:val="20"/>
          <w:color w:val="auto"/>
        </w:rPr>
      </w:pPr>
      <w:r>
        <w:rPr>
          <w:rFonts w:ascii="Arial" w:cs="Arial" w:eastAsia="Arial" w:hAnsi="Arial"/>
          <w:sz w:val="18"/>
          <w:szCs w:val="18"/>
          <w:color w:val="auto"/>
        </w:rPr>
        <w:t>Corsair Gaming, Inc. (also referred to in this document as “Corsair,” “we,” the “company,” or the “registrant”) is a leading global provider and innovator of high-performance gear for gamers and content creators. Our industry-leading gaming gear helps digital athletes, from casual gamers to committed professionals, perform at their peak across PC or console platforms, and our streaming gear enables creators to produce studio-quality content to share with friends or to broadcast to millions of fans. We design and sell high-performance gaming and streaming peripherals, components and systems to enthusiasts globally.</w:t>
      </w:r>
    </w:p>
    <w:p>
      <w:pPr>
        <w:spacing w:after="0" w:line="80" w:lineRule="exact"/>
        <w:rPr>
          <w:sz w:val="20"/>
          <w:szCs w:val="20"/>
          <w:color w:val="auto"/>
        </w:rPr>
      </w:pPr>
    </w:p>
    <w:p>
      <w:pPr>
        <w:ind w:right="220" w:firstLine="468"/>
        <w:spacing w:after="0" w:line="286" w:lineRule="auto"/>
        <w:rPr>
          <w:sz w:val="20"/>
          <w:szCs w:val="20"/>
          <w:color w:val="auto"/>
        </w:rPr>
      </w:pPr>
      <w:r>
        <w:rPr>
          <w:rFonts w:ascii="Arial" w:cs="Arial" w:eastAsia="Arial" w:hAnsi="Arial"/>
          <w:sz w:val="17"/>
          <w:szCs w:val="17"/>
          <w:color w:val="auto"/>
        </w:rPr>
        <w:t>We have served the market for over two decades and many of our products maintain a number one U.S. market share position, according to data from NPD Group and internal estimates. We have built a passionate base of loyal customers due to our brand authenticity and reputation as a provider of innovative and finely engineered products that deliver an uncompromising level of performance.</w:t>
      </w:r>
    </w:p>
    <w:p>
      <w:pPr>
        <w:spacing w:after="0" w:line="57" w:lineRule="exact"/>
        <w:rPr>
          <w:sz w:val="20"/>
          <w:szCs w:val="20"/>
          <w:color w:val="auto"/>
        </w:rPr>
      </w:pPr>
    </w:p>
    <w:p>
      <w:pPr>
        <w:ind w:right="40" w:firstLine="468"/>
        <w:spacing w:after="0" w:line="259" w:lineRule="auto"/>
        <w:rPr>
          <w:sz w:val="20"/>
          <w:szCs w:val="20"/>
          <w:color w:val="auto"/>
        </w:rPr>
      </w:pPr>
      <w:r>
        <w:rPr>
          <w:rFonts w:ascii="Arial" w:cs="Arial" w:eastAsia="Arial" w:hAnsi="Arial"/>
          <w:sz w:val="18"/>
          <w:szCs w:val="18"/>
          <w:color w:val="auto"/>
        </w:rPr>
        <w:t>Our solution is the most complete suite of gear among our major competitors and addresses the most critical components for both game performance and streaming. Our product offering is enhanced by our two proprietary software platforms: iCUE for gamers and Elgato’s streaming suite for content creators. These software platforms provide unified, intuitive performance, and aesthetic control and customization across their respective product families. We group our products into two categories (segments):</w:t>
      </w:r>
    </w:p>
    <w:p>
      <w:pPr>
        <w:spacing w:after="0" w:line="79" w:lineRule="exact"/>
        <w:rPr>
          <w:sz w:val="20"/>
          <w:szCs w:val="20"/>
          <w:color w:val="auto"/>
        </w:rPr>
      </w:pPr>
    </w:p>
    <w:p>
      <w:pPr>
        <w:jc w:val="both"/>
        <w:ind w:left="1000" w:right="5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Gamer and creator peripherals. </w:t>
      </w:r>
      <w:r>
        <w:rPr>
          <w:rFonts w:ascii="Arial" w:cs="Arial" w:eastAsia="Arial" w:hAnsi="Arial"/>
          <w:sz w:val="18"/>
          <w:szCs w:val="18"/>
          <w:color w:val="auto"/>
        </w:rPr>
        <w:t>Includes our high-performance gaming keyboards, mice, headsets, controllers, and our streaming gear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capture cards, Stream Decks, USB microphones, studio accessories and EpocCam software, as well as coaching and training services, among others.</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Gaming components and systems. </w:t>
      </w:r>
      <w:r>
        <w:rPr>
          <w:rFonts w:ascii="Arial" w:cs="Arial" w:eastAsia="Arial" w:hAnsi="Arial"/>
          <w:sz w:val="18"/>
          <w:szCs w:val="18"/>
          <w:color w:val="auto"/>
        </w:rPr>
        <w:t>Includes our high-performance power supply units, or PSUs, cooling solutions, computer cases, DRAM</w:t>
      </w:r>
      <w:r>
        <w:rPr>
          <w:rFonts w:ascii="Arial" w:cs="Arial" w:eastAsia="Arial" w:hAnsi="Arial"/>
          <w:sz w:val="18"/>
          <w:szCs w:val="18"/>
          <w:i w:val="1"/>
          <w:iCs w:val="1"/>
          <w:color w:val="auto"/>
        </w:rPr>
        <w:t xml:space="preserve"> </w:t>
      </w:r>
      <w:r>
        <w:rPr>
          <w:rFonts w:ascii="Arial" w:cs="Arial" w:eastAsia="Arial" w:hAnsi="Arial"/>
          <w:sz w:val="18"/>
          <w:szCs w:val="18"/>
          <w:color w:val="auto"/>
        </w:rPr>
        <w:t>modules, as well as high-end prebuilt and custom-built gaming PCs,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48895</wp:posOffset>
            </wp:positionV>
            <wp:extent cx="617220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firstLine="468"/>
        <w:spacing w:after="0" w:line="301" w:lineRule="auto"/>
        <w:rPr>
          <w:sz w:val="20"/>
          <w:szCs w:val="20"/>
          <w:color w:val="auto"/>
        </w:rPr>
      </w:pPr>
      <w:r>
        <w:rPr>
          <w:rFonts w:ascii="Arial" w:cs="Arial" w:eastAsia="Arial" w:hAnsi="Arial"/>
          <w:sz w:val="16"/>
          <w:szCs w:val="16"/>
          <w:color w:val="auto"/>
        </w:rPr>
        <w:t>We believe our brand, scale and global reach provide significant competitive advantages and will allow us to continue to capture a growing share of the rapidly expanding gaming and streaming market, estimated at over $36 billion in 2019 by Jon Peddie Research. We intend to continue to grow by offering market-leading gear to gamers and content creators, expanding the breadth of our product suite to meet the needs of our customers, growing our worldwide market share, continuing to invest in marketing, product innovation and sales, and selectively pursuing accretive acquisitions.</w:t>
      </w:r>
    </w:p>
    <w:p>
      <w:pPr>
        <w:spacing w:after="0" w:line="49"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We leverage our scale and operational expertise to acquire and integrate complementary brands and businesses into our portfolio, completing six acquisitions since 2018. The 2018 acquisition of Elgato allowed us to enter the streaming gear market, the 2019 acquisition of Origin PC allowed us to offer custom-built gaming PCs, and the 2019 acquisition of SCUF Gaming allowed us to enter the console gear market with a leading brand of controllers. In 2020, we acquired EpocCam to enhance the Elgato streaming camera software offering, and Gamer Sensei to offer gaming coaching services to the wide audience of gamers looking to improve their skills. In February 2021, we acquired Visuals by Impulse to provide creative services to streamers looking to professionalize the look of their broadcast.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160" w:firstLine="465"/>
        <w:spacing w:after="0" w:line="301" w:lineRule="auto"/>
        <w:rPr>
          <w:sz w:val="20"/>
          <w:szCs w:val="20"/>
          <w:color w:val="auto"/>
        </w:rPr>
      </w:pPr>
      <w:r>
        <w:rPr>
          <w:rFonts w:ascii="Arial" w:cs="Arial" w:eastAsia="Arial" w:hAnsi="Arial"/>
          <w:sz w:val="16"/>
          <w:szCs w:val="16"/>
          <w:color w:val="auto"/>
        </w:rPr>
        <w:t>Since traditional arcade games of the 1970s, gaming has evolved into the mainstream and taken a central place in the global entertainment landscape. There were an estimated 2.8 billion gamers worldwide across all devices spending more than $174 billion on games in 2020, an amount which has grown at a 12.2% compound annual growth rate over the last two years, according to Newzoo. According to Activate Research, gaming today represents approximately 11% of all American consumer internet and media activity, surpassing activities such as social media and messaging.</w:t>
      </w:r>
    </w:p>
    <w:p>
      <w:pPr>
        <w:spacing w:after="0" w:line="157" w:lineRule="exact"/>
        <w:rPr>
          <w:sz w:val="20"/>
          <w:szCs w:val="20"/>
          <w:color w:val="auto"/>
        </w:rPr>
      </w:pPr>
    </w:p>
    <w:p>
      <w:pPr>
        <w:ind w:right="180" w:firstLine="465"/>
        <w:spacing w:after="0" w:line="272" w:lineRule="auto"/>
        <w:rPr>
          <w:sz w:val="20"/>
          <w:szCs w:val="20"/>
          <w:color w:val="auto"/>
        </w:rPr>
      </w:pPr>
      <w:r>
        <w:rPr>
          <w:rFonts w:ascii="Arial" w:cs="Arial" w:eastAsia="Arial" w:hAnsi="Arial"/>
          <w:sz w:val="17"/>
          <w:szCs w:val="17"/>
          <w:color w:val="auto"/>
        </w:rPr>
        <w:t>There are a number of drivers we believe will continue to fuel the gaming market’s expansion. Technology continues to improve game quality. There is increasing availability and variety of high quality, interactive game content as game publishers use cutting-edge game development engines to rapidly create graphically sophisticated and engaging virtual worlds, many of which can support massive multiplayer experiences. Audiences are progressively engaging more with gaming content across platforms, with 71% of millennial gamers in the United States watching gaming video content on platforms like YouTube and Twitch for an average of almost six hours per week, according to a 2019 survey by Nielsen. Finally, there are decreasing barriers to gaming, where according to Newzoo, in 2020, there were 2.6 billion gamers using mobile devices, and the console and PC platforms represent a natural upgrade path for those seeking a more immersive or competitive gaming environment.</w:t>
      </w:r>
    </w:p>
    <w:p>
      <w:pPr>
        <w:spacing w:after="0" w:line="96" w:lineRule="exact"/>
        <w:rPr>
          <w:sz w:val="20"/>
          <w:szCs w:val="20"/>
          <w:color w:val="auto"/>
        </w:rPr>
      </w:pPr>
    </w:p>
    <w:p>
      <w:pPr>
        <w:ind w:right="220" w:firstLine="462"/>
        <w:spacing w:after="0" w:line="293" w:lineRule="auto"/>
        <w:rPr>
          <w:sz w:val="20"/>
          <w:szCs w:val="20"/>
          <w:color w:val="auto"/>
        </w:rPr>
      </w:pPr>
      <w:r>
        <w:rPr>
          <w:rFonts w:ascii="Arial" w:cs="Arial" w:eastAsia="Arial" w:hAnsi="Arial"/>
          <w:sz w:val="16"/>
          <w:szCs w:val="16"/>
          <w:color w:val="auto"/>
        </w:rPr>
        <w:t>In parallel, digital content creation today has democratized, with content sharing, video-first communication and voice-chat being the norm among creators, viewers and gamers. Gaming content creation and streaming is now ubiquitous, with over 40 million active gaming channels on YouTube in 2020 and over 27 billion live streaming hours watched across Twitch, Mixer, YouTube Gaming and Facebook Gaming in 2020. The proliferation of gaming content is attracting new gamers and increasing the performance focus of existing gamers. Beyond success in gaming, applications for streaming gear are proliferating across use cases including podcasting, video blogging, interactive fitness, remote learning, and work-from-home, among others. While emerging, these applications represent a promising avenue for continued expansion of the streaming gear market opportunity.</w:t>
      </w:r>
    </w:p>
    <w:p>
      <w:pPr>
        <w:spacing w:after="0" w:line="83" w:lineRule="exact"/>
        <w:rPr>
          <w:sz w:val="20"/>
          <w:szCs w:val="20"/>
          <w:color w:val="auto"/>
        </w:rPr>
      </w:pPr>
    </w:p>
    <w:p>
      <w:pPr>
        <w:ind w:firstLine="468"/>
        <w:spacing w:after="0" w:line="254" w:lineRule="auto"/>
        <w:rPr>
          <w:sz w:val="20"/>
          <w:szCs w:val="20"/>
          <w:color w:val="auto"/>
        </w:rPr>
      </w:pPr>
      <w:r>
        <w:rPr>
          <w:rFonts w:ascii="Arial" w:cs="Arial" w:eastAsia="Arial" w:hAnsi="Arial"/>
          <w:sz w:val="18"/>
          <w:szCs w:val="18"/>
          <w:color w:val="auto"/>
        </w:rPr>
        <w:t>We believe that the growth in gaming and streaming has enhanced demand for our gear by inspiring gamers and creators to reach for the next level of performance and content quality. Competitive gaming rewards speed, precision and reliability. As in other sports, specialized high-performance gear such as gaming mice, keyboards, headsets and performance controllers allow digital athletes to perform at their best. Modern games also require significant processing power to render high-resolution graphics, and reward the speed and precision of user inputs, driving demand for powerful gaming components and systems. Further, in a world where the ability to create content is democratized and competition for viewer engagement is greater than ever, content creators, particularly streamers, are increasingly seeking ways to maximize the quality of their video capture and broadcasting, which requires specialized high-performance gear.</w:t>
      </w:r>
    </w:p>
    <w:p>
      <w:pPr>
        <w:spacing w:after="0" w:line="114" w:lineRule="exact"/>
        <w:rPr>
          <w:sz w:val="20"/>
          <w:szCs w:val="20"/>
          <w:color w:val="auto"/>
        </w:rPr>
      </w:pPr>
    </w:p>
    <w:p>
      <w:pPr>
        <w:ind w:firstLine="468"/>
        <w:spacing w:after="0" w:line="289" w:lineRule="auto"/>
        <w:rPr>
          <w:sz w:val="20"/>
          <w:szCs w:val="20"/>
          <w:color w:val="auto"/>
        </w:rPr>
      </w:pPr>
      <w:r>
        <w:rPr>
          <w:rFonts w:ascii="Arial" w:cs="Arial" w:eastAsia="Arial" w:hAnsi="Arial"/>
          <w:sz w:val="16"/>
          <w:szCs w:val="16"/>
          <w:color w:val="auto"/>
        </w:rPr>
        <w:t>Competitive gamer performance needs are being met with specialized gear, such as ultra-precise optical sensors in gaming mice, very low actuation distances in gaming keyboard switches, customizable rear paddles on performance controllers, liquid cooling solutions for high-performance processors and overclocked DRAM modules to process graphically complex games. Similarly, the broadcast quality expected of streamers has increased significantly and a traditional webcam does not produce the professional quality audiences expect of content. Dedicated capture cards are required to record and broadcast video at high resolution, high fidelity microphones are required to ensure clear sound quality, studio lighting and green screens improve production quality, and dedicated software is required to integrate gear and optimize the streaming experience, preventing lag and fidelity loss. Further, gamers striving for peak performance have heightened requirements for ergonomics and durability, and gamers and streamers often wish to express their personal style or brand with their choice of gear, including a range of appealing design options and opportunities for customization. Finally, gear integration has become an important feature, where gamers and streamers need all of their gear 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integrate harmoniously and need the ability to fine-tune that gear, which we believe is an experience best delivered with a software platform that seamlessly integrates and unifies control across devices. Our two proprietary software ecosystems cover the broadest range of gaming peripherals, components and streaming gear and are unmatched by anything else in the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right="340" w:firstLine="468"/>
        <w:spacing w:after="0" w:line="277" w:lineRule="auto"/>
        <w:rPr>
          <w:sz w:val="20"/>
          <w:szCs w:val="20"/>
          <w:color w:val="auto"/>
        </w:rPr>
      </w:pPr>
      <w:r>
        <w:rPr>
          <w:rFonts w:ascii="Arial" w:cs="Arial" w:eastAsia="Arial" w:hAnsi="Arial"/>
          <w:sz w:val="18"/>
          <w:szCs w:val="18"/>
          <w:color w:val="auto"/>
        </w:rPr>
        <w:t>The global gaming PC and streaming gear markets, including peripherals, components and prebuilt PCs and laptops specifically designed for PC gaming, totaled approximately $36 billion in 2019, according to Jon Peddie Research.</w:t>
      </w:r>
    </w:p>
    <w:p>
      <w:pPr>
        <w:spacing w:after="0" w:line="170" w:lineRule="exact"/>
        <w:rPr>
          <w:sz w:val="20"/>
          <w:szCs w:val="20"/>
          <w:color w:val="auto"/>
        </w:rPr>
      </w:pPr>
    </w:p>
    <w:p>
      <w:pPr>
        <w:ind w:right="60" w:firstLine="468"/>
        <w:spacing w:after="0" w:line="254" w:lineRule="auto"/>
        <w:rPr>
          <w:sz w:val="20"/>
          <w:szCs w:val="20"/>
          <w:color w:val="auto"/>
        </w:rPr>
      </w:pPr>
      <w:r>
        <w:rPr>
          <w:rFonts w:ascii="Arial" w:cs="Arial" w:eastAsia="Arial" w:hAnsi="Arial"/>
          <w:sz w:val="18"/>
          <w:szCs w:val="18"/>
          <w:color w:val="auto"/>
        </w:rPr>
        <w:t>In 2019, there were an estimated 524 million PC gamers worldwide, comprising committed, competitive and casual PC gamers. Approximately 94 million of these gamers spent over $1,000 on their gaming PC systems. These gamers, comprising committed and competitive PC gamers, represented approximately $30 billion of the global gaming PC gear market. Further, approximately 27 million of these gamers, comprising committed PC gamers, spent over $1,800 on their gaming PC systems, representing $18 billion of the global gaming PC gear market. Globally, committed, competitive and casual gamers are estimated to have each spent on average $651, $179 and $14, respectively, on gaming PC gear in 2019. 51% of the PC gaming market comprises of machines in the $1,800+ category. The United States is a major market for PC Gaming, with an estimated 145 million PC gamers in 2020, according to Newzoo.</w:t>
      </w:r>
    </w:p>
    <w:p>
      <w:pPr>
        <w:spacing w:after="0" w:line="195" w:lineRule="exact"/>
        <w:rPr>
          <w:sz w:val="20"/>
          <w:szCs w:val="20"/>
          <w:color w:val="auto"/>
        </w:rPr>
      </w:pPr>
    </w:p>
    <w:p>
      <w:pPr>
        <w:ind w:right="120" w:firstLine="466"/>
        <w:spacing w:after="0" w:line="263" w:lineRule="auto"/>
        <w:rPr>
          <w:sz w:val="20"/>
          <w:szCs w:val="20"/>
          <w:color w:val="auto"/>
        </w:rPr>
      </w:pPr>
      <w:r>
        <w:rPr>
          <w:rFonts w:ascii="Arial" w:cs="Arial" w:eastAsia="Arial" w:hAnsi="Arial"/>
          <w:sz w:val="18"/>
          <w:szCs w:val="18"/>
          <w:color w:val="auto"/>
        </w:rPr>
        <w:t>Our gaming components products are targeted at consumers who build their own PCs. According to DFC Intelligence, these “DIY” PC gamers spent $953 on average in 2019, representing 46% of global spending on gaming PCs, and this market has grown at a 14% compounded annual growth rate from 2012 to 2019.</w:t>
      </w:r>
    </w:p>
    <w:p>
      <w:pPr>
        <w:spacing w:after="0" w:line="184" w:lineRule="exact"/>
        <w:rPr>
          <w:sz w:val="20"/>
          <w:szCs w:val="20"/>
          <w:color w:val="auto"/>
        </w:rPr>
      </w:pPr>
    </w:p>
    <w:p>
      <w:pPr>
        <w:ind w:right="380" w:firstLine="466"/>
        <w:spacing w:after="0" w:line="311" w:lineRule="auto"/>
        <w:rPr>
          <w:sz w:val="20"/>
          <w:szCs w:val="20"/>
          <w:color w:val="auto"/>
        </w:rPr>
      </w:pPr>
      <w:r>
        <w:rPr>
          <w:rFonts w:ascii="Arial" w:cs="Arial" w:eastAsia="Arial" w:hAnsi="Arial"/>
          <w:sz w:val="16"/>
          <w:szCs w:val="16"/>
          <w:color w:val="auto"/>
        </w:rPr>
        <w:t>There were an estimated 825 million console gamers globally in 2020, according to Newzoo, driving demand for gaming console gear including controllers and console headsets. In addition, there were over 40 million active gaming channels on YouTube alone in 2020 and millions more active streamers across Twitch, Facebook Gaming, Huya and DouYu, driving purchases of dedicated content creation and streaming gear.</w:t>
      </w:r>
    </w:p>
    <w:p>
      <w:pPr>
        <w:spacing w:after="0" w:line="68" w:lineRule="exact"/>
        <w:rPr>
          <w:sz w:val="20"/>
          <w:szCs w:val="20"/>
          <w:color w:val="auto"/>
        </w:rPr>
      </w:pPr>
    </w:p>
    <w:p>
      <w:pPr>
        <w:ind w:right="240" w:firstLine="460"/>
        <w:spacing w:after="0" w:line="286" w:lineRule="auto"/>
        <w:rPr>
          <w:sz w:val="20"/>
          <w:szCs w:val="20"/>
          <w:color w:val="auto"/>
        </w:rPr>
      </w:pPr>
      <w:r>
        <w:rPr>
          <w:rFonts w:ascii="Arial" w:cs="Arial" w:eastAsia="Arial" w:hAnsi="Arial"/>
          <w:sz w:val="17"/>
          <w:szCs w:val="17"/>
          <w:color w:val="auto"/>
        </w:rPr>
        <w:t>As gaming and streaming continue to expand in the mainstream, casual gamers increasingly aspire to emulate committed gamers and amateur streamers increasingly seek to improve their production quality. We expect this will bring new customers into the gaming and streaming gear market and push existing customers to improve their performance and content quality, in part through related gear spending.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Leadership</w:t>
      </w:r>
    </w:p>
    <w:p>
      <w:pPr>
        <w:spacing w:after="0" w:line="229" w:lineRule="exact"/>
        <w:rPr>
          <w:sz w:val="20"/>
          <w:szCs w:val="20"/>
          <w:color w:val="auto"/>
        </w:rPr>
      </w:pPr>
    </w:p>
    <w:p>
      <w:pPr>
        <w:jc w:val="both"/>
        <w:ind w:firstLine="468"/>
        <w:spacing w:after="0" w:line="263" w:lineRule="auto"/>
        <w:rPr>
          <w:sz w:val="20"/>
          <w:szCs w:val="20"/>
          <w:color w:val="auto"/>
        </w:rPr>
      </w:pPr>
      <w:r>
        <w:rPr>
          <w:rFonts w:ascii="Arial" w:cs="Arial" w:eastAsia="Arial" w:hAnsi="Arial"/>
          <w:sz w:val="18"/>
          <w:szCs w:val="18"/>
          <w:color w:val="auto"/>
        </w:rPr>
        <w:t>Our focus on gamers and content creators, and our dedication to providing them with integrated high-performance gear have earned us a number one U.S. market share position in many of our key product lines according to internal estimates and data from the NPD Group representing market share based on the trailing twelve months ending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262890</wp:posOffset>
            </wp:positionV>
            <wp:extent cx="6172200" cy="3514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maintain our market leadership by staying true to the following principles:</w:t>
      </w:r>
    </w:p>
    <w:p>
      <w:pPr>
        <w:spacing w:after="0" w:line="221" w:lineRule="exact"/>
        <w:rPr>
          <w:sz w:val="20"/>
          <w:szCs w:val="20"/>
          <w:color w:val="auto"/>
        </w:rPr>
      </w:pPr>
    </w:p>
    <w:p>
      <w:pPr>
        <w:ind w:left="1200" w:right="80" w:hanging="355"/>
        <w:spacing w:after="0" w:line="303"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practice a gamer- and creator-centric design philosophy. </w:t>
      </w:r>
      <w:r>
        <w:rPr>
          <w:rFonts w:ascii="Arial" w:cs="Arial" w:eastAsia="Arial" w:hAnsi="Arial"/>
          <w:sz w:val="16"/>
          <w:szCs w:val="16"/>
          <w:color w:val="auto"/>
        </w:rPr>
        <w:t>Gamers look for gaming gear to play the most sophisticated games at the</w:t>
      </w:r>
      <w:r>
        <w:rPr>
          <w:rFonts w:ascii="Arial" w:cs="Arial" w:eastAsia="Arial" w:hAnsi="Arial"/>
          <w:sz w:val="16"/>
          <w:szCs w:val="16"/>
          <w:b w:val="1"/>
          <w:bCs w:val="1"/>
          <w:color w:val="auto"/>
        </w:rPr>
        <w:t xml:space="preserve"> </w:t>
      </w:r>
      <w:r>
        <w:rPr>
          <w:rFonts w:ascii="Arial" w:cs="Arial" w:eastAsia="Arial" w:hAnsi="Arial"/>
          <w:sz w:val="16"/>
          <w:szCs w:val="16"/>
          <w:color w:val="auto"/>
        </w:rPr>
        <w:t>highest performance levels, while being able to customize such gear for differentiated control and style. Similarly, content creators seek gear that delivers exceptional production quality while remaining low in complexity, so they can focus on maximizing creativity. We continue to update and improve our gear on a regular basis to address the changing needs of gamers and content creators.</w:t>
      </w:r>
    </w:p>
    <w:p>
      <w:pPr>
        <w:spacing w:after="0" w:line="150" w:lineRule="exact"/>
        <w:rPr>
          <w:rFonts w:ascii="Arial" w:cs="Arial" w:eastAsia="Arial" w:hAnsi="Arial"/>
          <w:sz w:val="16"/>
          <w:szCs w:val="16"/>
          <w:color w:val="auto"/>
        </w:rPr>
      </w:pPr>
    </w:p>
    <w:p>
      <w:pPr>
        <w:ind w:left="1200" w:right="420" w:hanging="355"/>
        <w:spacing w:after="0" w:line="266"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We prioritize high performance and professional quality. </w:t>
      </w:r>
      <w:r>
        <w:rPr>
          <w:rFonts w:ascii="Arial" w:cs="Arial" w:eastAsia="Arial" w:hAnsi="Arial"/>
          <w:sz w:val="18"/>
          <w:szCs w:val="18"/>
          <w:color w:val="auto"/>
        </w:rPr>
        <w:t>Our gaming and streaming gear meets our customers’ demanding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features highly differentiated characteristics, including gaming precision and speed, live streaming quality and user experience, gaming PC performance, durability and ergonomics.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ind w:right="300" w:firstLine="457"/>
        <w:spacing w:after="0" w:line="342" w:lineRule="auto"/>
        <w:rPr>
          <w:sz w:val="20"/>
          <w:szCs w:val="20"/>
          <w:color w:val="auto"/>
        </w:rPr>
      </w:pPr>
      <w:r>
        <w:rPr>
          <w:rFonts w:ascii="Arial" w:cs="Arial" w:eastAsia="Arial" w:hAnsi="Arial"/>
          <w:sz w:val="16"/>
          <w:szCs w:val="16"/>
          <w:color w:val="auto"/>
        </w:rPr>
        <w:t>We are a leading global provider and innovator of high-performance gaming gear. We believe that we have a strong position in our target market, which consists of gamer and creator peripherals, and gaming components and systems markets, as a result of the following competitive strengths:</w:t>
      </w:r>
    </w:p>
    <w:p>
      <w:pPr>
        <w:spacing w:after="0" w:line="25" w:lineRule="exact"/>
        <w:rPr>
          <w:sz w:val="20"/>
          <w:szCs w:val="20"/>
          <w:color w:val="auto"/>
        </w:rPr>
      </w:pPr>
    </w:p>
    <w:p>
      <w:pPr>
        <w:ind w:left="1200" w:right="480" w:hanging="450"/>
        <w:spacing w:after="0" w:line="245"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Leading brand recognition for performance drives strong customer loyalty. </w:t>
      </w:r>
      <w:r>
        <w:rPr>
          <w:rFonts w:ascii="Arial" w:cs="Arial" w:eastAsia="Arial" w:hAnsi="Arial"/>
          <w:sz w:val="16"/>
          <w:szCs w:val="16"/>
          <w:color w:val="auto"/>
        </w:rPr>
        <w:t>Since our founding in 1994, we have shipped more</w:t>
      </w:r>
      <w:r>
        <w:rPr>
          <w:rFonts w:ascii="Arial" w:cs="Arial" w:eastAsia="Arial" w:hAnsi="Arial"/>
          <w:sz w:val="16"/>
          <w:szCs w:val="16"/>
          <w:b w:val="1"/>
          <w:bCs w:val="1"/>
          <w:color w:val="auto"/>
        </w:rPr>
        <w:t xml:space="preserve"> </w:t>
      </w:r>
      <w:r>
        <w:rPr>
          <w:rFonts w:ascii="Arial" w:cs="Arial" w:eastAsia="Arial" w:hAnsi="Arial"/>
          <w:sz w:val="16"/>
          <w:szCs w:val="16"/>
          <w:color w:val="auto"/>
        </w:rPr>
        <w:t>than 208 million gaming and streaming products as of December 31, 2020 and actively nurtured a passionate and engaged global customer base by maintaining a long history of delivering innovative, finely engineered products that have expanded the frontiers of gaming performance. As a result, we believe we have established ourselves as a leading brand among gaming enthusiasts and streamers, many of whom are active and prominent in eSports and act as ambassadors for our branded gear.</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1200" w:right="120" w:hanging="450"/>
        <w:spacing w:after="0" w:line="314"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gamer and streamer-centric R&amp;D engine focused on delivering a broad portfolio of high-performing gear. </w:t>
      </w:r>
      <w:r>
        <w:rPr>
          <w:rFonts w:ascii="Arial" w:cs="Arial" w:eastAsia="Arial" w:hAnsi="Arial"/>
          <w:sz w:val="16"/>
          <w:szCs w:val="16"/>
          <w:color w:val="auto"/>
        </w:rPr>
        <w:t>We are</w:t>
      </w:r>
      <w:r>
        <w:rPr>
          <w:rFonts w:ascii="Arial" w:cs="Arial" w:eastAsia="Arial" w:hAnsi="Arial"/>
          <w:sz w:val="16"/>
          <w:szCs w:val="16"/>
          <w:b w:val="1"/>
          <w:bCs w:val="1"/>
          <w:color w:val="auto"/>
        </w:rPr>
        <w:t xml:space="preserve"> </w:t>
      </w:r>
      <w:r>
        <w:rPr>
          <w:rFonts w:ascii="Arial" w:cs="Arial" w:eastAsia="Arial" w:hAnsi="Arial"/>
          <w:sz w:val="16"/>
          <w:szCs w:val="16"/>
          <w:color w:val="auto"/>
        </w:rPr>
        <w:t>an innovation-driven company with a rigorous development process designed to consistently deliver high-performance and quality gaming and streaming gear to the market. Our focus on innovation and performance has also earned us significant industry recognition.</w:t>
      </w:r>
    </w:p>
    <w:p>
      <w:pPr>
        <w:spacing w:after="0" w:line="60" w:lineRule="exact"/>
        <w:rPr>
          <w:rFonts w:ascii="Arial" w:cs="Arial" w:eastAsia="Arial" w:hAnsi="Arial"/>
          <w:sz w:val="16"/>
          <w:szCs w:val="16"/>
          <w:color w:val="auto"/>
        </w:rPr>
      </w:pPr>
    </w:p>
    <w:p>
      <w:pPr>
        <w:ind w:left="1200" w:right="320" w:hanging="450"/>
        <w:spacing w:after="0" w:line="303"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software-driven ecosystem. </w:t>
      </w:r>
      <w:r>
        <w:rPr>
          <w:rFonts w:ascii="Arial" w:cs="Arial" w:eastAsia="Arial" w:hAnsi="Arial"/>
          <w:sz w:val="16"/>
          <w:szCs w:val="16"/>
          <w:color w:val="auto"/>
        </w:rPr>
        <w:t>Since our inception, we have concentrated our efforts on helping gamers succeed, which</w:t>
      </w:r>
      <w:r>
        <w:rPr>
          <w:rFonts w:ascii="Arial" w:cs="Arial" w:eastAsia="Arial" w:hAnsi="Arial"/>
          <w:sz w:val="16"/>
          <w:szCs w:val="16"/>
          <w:b w:val="1"/>
          <w:bCs w:val="1"/>
          <w:color w:val="auto"/>
        </w:rPr>
        <w:t xml:space="preserve"> </w:t>
      </w:r>
      <w:r>
        <w:rPr>
          <w:rFonts w:ascii="Arial" w:cs="Arial" w:eastAsia="Arial" w:hAnsi="Arial"/>
          <w:sz w:val="16"/>
          <w:szCs w:val="16"/>
          <w:color w:val="auto"/>
        </w:rPr>
        <w:t>has led us to develop what we believe to be the most complete ecosystem of high-performance gaming gear in the market, which is connected through our iCUE software. We have applied the same ethos to our product development for streaming gear, developing a suite of streaming software under our Elgato brand that help streamers optimize their gear and maximize content quality.</w:t>
      </w:r>
    </w:p>
    <w:p>
      <w:pPr>
        <w:spacing w:after="0" w:line="69" w:lineRule="exact"/>
        <w:rPr>
          <w:rFonts w:ascii="Arial" w:cs="Arial" w:eastAsia="Arial" w:hAnsi="Arial"/>
          <w:sz w:val="16"/>
          <w:szCs w:val="16"/>
          <w:color w:val="auto"/>
        </w:rPr>
      </w:pPr>
    </w:p>
    <w:p>
      <w:pPr>
        <w:ind w:left="1200" w:right="180" w:hanging="450"/>
        <w:spacing w:after="0" w:line="298"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Global sales and distribution network. </w:t>
      </w:r>
      <w:r>
        <w:rPr>
          <w:rFonts w:ascii="Arial" w:cs="Arial" w:eastAsia="Arial" w:hAnsi="Arial"/>
          <w:sz w:val="16"/>
          <w:szCs w:val="16"/>
          <w:color w:val="auto"/>
        </w:rPr>
        <w:t>As a global company, we have developed a comprehensive worldwide marketing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network. In this network, we have established a multichannel sales model and have long-standing relationships with key distributors and retailers globally, as well as direct-to-consumer sales channels. We currently ship to more than 75 countries across six continents, with our gear being sold at leading retailers including Amazon, Best Buy, JD.com, MediaMarkt and Walmart. In 2020, sales to the Americas, EMEA and Asia Pacific represented 45.5%, 36.7% and 17.8%, respectively, of net revenue.</w:t>
      </w:r>
    </w:p>
    <w:p>
      <w:pPr>
        <w:spacing w:after="0" w:line="72" w:lineRule="exact"/>
        <w:rPr>
          <w:rFonts w:ascii="Arial" w:cs="Arial" w:eastAsia="Arial" w:hAnsi="Arial"/>
          <w:sz w:val="16"/>
          <w:szCs w:val="16"/>
          <w:color w:val="auto"/>
        </w:rPr>
      </w:pPr>
    </w:p>
    <w:p>
      <w:pPr>
        <w:ind w:left="1200" w:right="1020" w:hanging="450"/>
        <w:spacing w:after="0" w:line="347"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Management team of visionary leaders with deep industry experience and proven ability to execute. </w:t>
      </w:r>
      <w:r>
        <w:rPr>
          <w:rFonts w:ascii="Arial" w:cs="Arial" w:eastAsia="Arial" w:hAnsi="Arial"/>
          <w:sz w:val="16"/>
          <w:szCs w:val="16"/>
          <w:color w:val="auto"/>
        </w:rPr>
        <w:t>We have a strong</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team of experienced and talented executives with a track record of execution and deep industry knowledge.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We intend to grow our business by increasing value to our customers, expanding our market opportunity and further differentiating ourselves from competitors. Key components of our strategy include:</w:t>
      </w:r>
    </w:p>
    <w:p>
      <w:pPr>
        <w:spacing w:after="0" w:line="85" w:lineRule="exact"/>
        <w:rPr>
          <w:sz w:val="20"/>
          <w:szCs w:val="20"/>
          <w:color w:val="auto"/>
        </w:rPr>
      </w:pPr>
    </w:p>
    <w:p>
      <w:pPr>
        <w:ind w:left="1200" w:hanging="450"/>
        <w:spacing w:after="0" w:line="258"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Advance as the global leader in high-performance gaming and streaming gear. </w:t>
      </w:r>
      <w:r>
        <w:rPr>
          <w:rFonts w:ascii="Arial" w:cs="Arial" w:eastAsia="Arial" w:hAnsi="Arial"/>
          <w:sz w:val="18"/>
          <w:szCs w:val="18"/>
          <w:color w:val="auto"/>
        </w:rPr>
        <w:t>The gaming and streaming gear category is benefiting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growing popularity of competitive gaming and streaming, which are driving an increase in gaming and streaming participants as well as spend per participant on high-performance gear. We believe our brand name, high-performance gear and market position will allow us to capture a large share of this market growth and we intend to continue to make significant marketing investments in leading streamers, social media influencers and eSports teams.</w:t>
      </w:r>
    </w:p>
    <w:p>
      <w:pPr>
        <w:spacing w:after="0" w:line="102" w:lineRule="exact"/>
        <w:rPr>
          <w:rFonts w:ascii="Arial" w:cs="Arial" w:eastAsia="Arial" w:hAnsi="Arial"/>
          <w:sz w:val="18"/>
          <w:szCs w:val="18"/>
          <w:color w:val="auto"/>
        </w:rPr>
      </w:pPr>
    </w:p>
    <w:p>
      <w:pPr>
        <w:ind w:left="1200" w:right="240" w:hanging="450"/>
        <w:spacing w:after="0" w:line="258"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Continue to develop innovative, market-leading gaming and streaming gear. </w:t>
      </w:r>
      <w:r>
        <w:rPr>
          <w:rFonts w:ascii="Arial" w:cs="Arial" w:eastAsia="Arial" w:hAnsi="Arial"/>
          <w:sz w:val="18"/>
          <w:szCs w:val="18"/>
          <w:color w:val="auto"/>
        </w:rPr>
        <w:t>We intend to prioritize investment in creating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gaming and streaming gear and related software to enhance the customer experience by delivering cutting-edge technology. We have an exceptional engineering team, with approximately 25% of employees and contractors working on software solutions. We believe this strong bench of engineering expertise has helped us introduce 40 different products to the market across our categories in 2020, 36 in 2019 and 33 in 2018.</w:t>
      </w:r>
    </w:p>
    <w:p>
      <w:pPr>
        <w:spacing w:after="0" w:line="102" w:lineRule="exact"/>
        <w:rPr>
          <w:rFonts w:ascii="Arial" w:cs="Arial" w:eastAsia="Arial" w:hAnsi="Arial"/>
          <w:sz w:val="18"/>
          <w:szCs w:val="18"/>
          <w:color w:val="auto"/>
        </w:rPr>
      </w:pPr>
    </w:p>
    <w:p>
      <w:pPr>
        <w:ind w:left="1200" w:right="20" w:hanging="450"/>
        <w:spacing w:after="0" w:line="281"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Expand into new gear and services that grow our market opportunity. </w:t>
      </w:r>
      <w:r>
        <w:rPr>
          <w:rFonts w:ascii="Arial" w:cs="Arial" w:eastAsia="Arial" w:hAnsi="Arial"/>
          <w:sz w:val="17"/>
          <w:szCs w:val="17"/>
          <w:color w:val="auto"/>
        </w:rPr>
        <w:t>Since our inception, we have successfully entered a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new gear categories, including gaming PC peripherals, streaming accessories, console controllers, and prebuilt and gaming PCs and laptops. As the gaming and content creation landscape continues to evolve, we intend to continue to introduce new products and services to address our customers’ new and changing needs, and to grow our market opportunity.</w:t>
      </w:r>
    </w:p>
    <w:p>
      <w:pPr>
        <w:spacing w:after="0" w:line="83" w:lineRule="exact"/>
        <w:rPr>
          <w:rFonts w:ascii="Arial" w:cs="Arial" w:eastAsia="Arial" w:hAnsi="Arial"/>
          <w:sz w:val="17"/>
          <w:szCs w:val="17"/>
          <w:color w:val="auto"/>
        </w:rPr>
      </w:pPr>
    </w:p>
    <w:p>
      <w:pPr>
        <w:jc w:val="both"/>
        <w:ind w:left="1200" w:right="120" w:hanging="450"/>
        <w:spacing w:after="0" w:line="266"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software platforms to sell more gear to existing customers. </w:t>
      </w:r>
      <w:r>
        <w:rPr>
          <w:rFonts w:ascii="Arial" w:cs="Arial" w:eastAsia="Arial" w:hAnsi="Arial"/>
          <w:sz w:val="18"/>
          <w:szCs w:val="18"/>
          <w:color w:val="auto"/>
        </w:rPr>
        <w:t>Our software platforms integrate and enhance our</w:t>
      </w:r>
      <w:r>
        <w:rPr>
          <w:rFonts w:ascii="Arial" w:cs="Arial" w:eastAsia="Arial" w:hAnsi="Arial"/>
          <w:sz w:val="18"/>
          <w:szCs w:val="18"/>
          <w:b w:val="1"/>
          <w:bCs w:val="1"/>
          <w:color w:val="auto"/>
        </w:rPr>
        <w:t xml:space="preserve"> </w:t>
      </w:r>
      <w:r>
        <w:rPr>
          <w:rFonts w:ascii="Arial" w:cs="Arial" w:eastAsia="Arial" w:hAnsi="Arial"/>
          <w:sz w:val="18"/>
          <w:szCs w:val="18"/>
          <w:color w:val="auto"/>
        </w:rPr>
        <w:t>ecosystem of gaming and streaming gear, which drives customer loyalty and allows us to successfully sell additional gear to existing customers.</w:t>
      </w:r>
    </w:p>
    <w:p>
      <w:pPr>
        <w:spacing w:after="0" w:line="94" w:lineRule="exact"/>
        <w:rPr>
          <w:rFonts w:ascii="Arial" w:cs="Arial" w:eastAsia="Arial" w:hAnsi="Arial"/>
          <w:sz w:val="18"/>
          <w:szCs w:val="18"/>
          <w:color w:val="auto"/>
        </w:rPr>
      </w:pPr>
    </w:p>
    <w:p>
      <w:pPr>
        <w:ind w:left="1200" w:right="160" w:hanging="450"/>
        <w:spacing w:after="0" w:line="256"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Strengthen relationships with end-users by increasing direct-to-consumer sales. </w:t>
      </w:r>
      <w:r>
        <w:rPr>
          <w:rFonts w:ascii="Arial" w:cs="Arial" w:eastAsia="Arial" w:hAnsi="Arial"/>
          <w:sz w:val="18"/>
          <w:szCs w:val="18"/>
          <w:color w:val="auto"/>
        </w:rPr>
        <w:t>Through our acquisitions of Origin and SCUF in</w:t>
      </w:r>
      <w:r>
        <w:rPr>
          <w:rFonts w:ascii="Arial" w:cs="Arial" w:eastAsia="Arial" w:hAnsi="Arial"/>
          <w:sz w:val="18"/>
          <w:szCs w:val="18"/>
          <w:b w:val="1"/>
          <w:bCs w:val="1"/>
          <w:color w:val="auto"/>
        </w:rPr>
        <w:t xml:space="preserve"> </w:t>
      </w:r>
      <w:r>
        <w:rPr>
          <w:rFonts w:ascii="Arial" w:cs="Arial" w:eastAsia="Arial" w:hAnsi="Arial"/>
          <w:sz w:val="18"/>
          <w:szCs w:val="18"/>
          <w:color w:val="auto"/>
        </w:rPr>
        <w:t>2019, we acquired two companies whose sales are primarily generated through direct-to-consumer channels. Our acquisitions of Gamer Sensei in 2020 and Visuals by Impulse in January 2021, both of which have recurring service revenue streams, engage directly with our customer base across our brands. While sales from this channel are a relatively small contributor to our revenue today, we believe direct-to-consumer sales represent a significant avenue to drive growth by facilitating increased market penetration across our product categories.</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200" w:right="20" w:hanging="450"/>
        <w:spacing w:after="0" w:line="270"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Continue to grow market share globally. </w:t>
      </w:r>
      <w:r>
        <w:rPr>
          <w:rFonts w:ascii="Arial" w:cs="Arial" w:eastAsia="Arial" w:hAnsi="Arial"/>
          <w:sz w:val="17"/>
          <w:szCs w:val="17"/>
          <w:color w:val="auto"/>
        </w:rPr>
        <w:t>As a globally recognized brand, we have a footprint that reaches customers in more than 75</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We will continue to invest in enhancing our sales and distribution infrastructure to expand our leadership position in the Americas and Europe. In the gaming peripherals market, we have increased our U.S. market share from 5.0% in December 2013 to 15.5% in December 2020 on a trailing twelve month basis, according to NPD Group. We are a clear market leader in the gaming PC components market. According to NPD Group, we have increased our U.S. market share from 26.2% in December 2015 to 40.7% in December 2020 on a trailing twelve month basis. Additionally, for the twelve months ended December 2020, we had number two U.S. market share in gaming computer cases with an 18% market share, and number one U.S. market share in cooling solutions with a 48% market share, PSUs with a 37% market share and high-performance memory with a 55% market share. We view the Asia Pacific region as a long-term growth opportunity and recently invested in our local sales force and regional management to build out distributor networks and retail partnerships.</w:t>
      </w:r>
    </w:p>
    <w:p>
      <w:pPr>
        <w:spacing w:after="0" w:line="122" w:lineRule="exact"/>
        <w:rPr>
          <w:rFonts w:ascii="Arial" w:cs="Arial" w:eastAsia="Arial" w:hAnsi="Arial"/>
          <w:sz w:val="17"/>
          <w:szCs w:val="17"/>
          <w:color w:val="auto"/>
        </w:rPr>
      </w:pPr>
    </w:p>
    <w:p>
      <w:pPr>
        <w:ind w:left="1200" w:right="40" w:hanging="450"/>
        <w:spacing w:after="0" w:line="298"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brand, software integration and superior product quality to support a pricing premium in the gaming PC components category. </w:t>
      </w:r>
      <w:r>
        <w:rPr>
          <w:rFonts w:ascii="Arial" w:cs="Arial" w:eastAsia="Arial" w:hAnsi="Arial"/>
          <w:sz w:val="16"/>
          <w:szCs w:val="16"/>
          <w:color w:val="auto"/>
        </w:rPr>
        <w:t>In the gaming PC components category, our revenue and margins have benefited from higher pricing versus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 of the market, which we expect to continue as we invest in our brand and product portfolio. Compared to the average non-Corsair product, our computer cases, cooling solutions, PSUs and high-performance memory commanded price premiums of 29%, 54%, 31% and 4%, respectively, in the United States for the twelve months ended December 31, 2020, according to NPD data.</w:t>
      </w:r>
    </w:p>
    <w:p>
      <w:pPr>
        <w:spacing w:after="0" w:line="99" w:lineRule="exact"/>
        <w:rPr>
          <w:rFonts w:ascii="Arial" w:cs="Arial" w:eastAsia="Arial" w:hAnsi="Arial"/>
          <w:sz w:val="16"/>
          <w:szCs w:val="16"/>
          <w:color w:val="auto"/>
        </w:rPr>
      </w:pPr>
    </w:p>
    <w:p>
      <w:pPr>
        <w:ind w:left="1200" w:right="180" w:hanging="450"/>
        <w:spacing w:after="0" w:line="289"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Selectively pursue complementary acquisitions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plan to evaluate, and may pursue acquisitions, such as our acquisitions of Elgato,</w:t>
      </w:r>
      <w:r>
        <w:rPr>
          <w:rFonts w:ascii="Arial" w:cs="Arial" w:eastAsia="Arial" w:hAnsi="Arial"/>
          <w:sz w:val="17"/>
          <w:szCs w:val="17"/>
          <w:b w:val="1"/>
          <w:bCs w:val="1"/>
          <w:color w:val="auto"/>
        </w:rPr>
        <w:t xml:space="preserve"> </w:t>
      </w:r>
      <w:r>
        <w:rPr>
          <w:rFonts w:ascii="Arial" w:cs="Arial" w:eastAsia="Arial" w:hAnsi="Arial"/>
          <w:sz w:val="17"/>
          <w:szCs w:val="17"/>
          <w:color w:val="auto"/>
        </w:rPr>
        <w:t>Origin, SCUF, EpocCam, Gamer Sensei and Visuals by Impulse, which we believe strengthen our capabilities in existing segments as well as diversify our product offerings, broaden our end-user base or expand our geographic presence.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jc w:val="both"/>
        <w:ind w:right="140" w:firstLine="468"/>
        <w:spacing w:after="0" w:line="263" w:lineRule="auto"/>
        <w:rPr>
          <w:sz w:val="20"/>
          <w:szCs w:val="20"/>
          <w:color w:val="auto"/>
        </w:rPr>
      </w:pPr>
      <w:r>
        <w:rPr>
          <w:rFonts w:ascii="Arial" w:cs="Arial" w:eastAsia="Arial" w:hAnsi="Arial"/>
          <w:sz w:val="18"/>
          <w:szCs w:val="18"/>
          <w:color w:val="auto"/>
        </w:rPr>
        <w:t>We design our high-performance gear to address the needs of gamers and content creators. To help our customers perform at their peak, whether in game or on camera, we have developed the industry’s most complete integrated ecosystem of gamer and creator peripherals and gaming components and systems. We have a diversified product portfolio, with 25 primary product lines.</w:t>
      </w:r>
    </w:p>
    <w:p>
      <w:pPr>
        <w:spacing w:after="0" w:line="180" w:lineRule="exact"/>
        <w:rPr>
          <w:sz w:val="20"/>
          <w:szCs w:val="20"/>
          <w:color w:val="auto"/>
        </w:rPr>
      </w:pPr>
    </w:p>
    <w:p>
      <w:pPr>
        <w:ind w:left="1200" w:right="140" w:hanging="450"/>
        <w:spacing w:after="0" w:line="281"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Gamer and creator peripherals</w:t>
      </w:r>
      <w:r>
        <w:rPr>
          <w:rFonts w:ascii="Arial" w:cs="Arial" w:eastAsia="Arial" w:hAnsi="Arial"/>
          <w:sz w:val="17"/>
          <w:szCs w:val="17"/>
          <w:color w:val="auto"/>
        </w:rPr>
        <w:t>. Our gamer and creator peripherals seek to provide the fastest, highest fidelity, and most seamless</w:t>
      </w:r>
      <w:r>
        <w:rPr>
          <w:rFonts w:ascii="Arial" w:cs="Arial" w:eastAsia="Arial" w:hAnsi="Arial"/>
          <w:sz w:val="17"/>
          <w:szCs w:val="17"/>
          <w:b w:val="1"/>
          <w:bCs w:val="1"/>
          <w:color w:val="auto"/>
        </w:rPr>
        <w:t xml:space="preserve"> </w:t>
      </w:r>
      <w:r>
        <w:rPr>
          <w:rFonts w:ascii="Arial" w:cs="Arial" w:eastAsia="Arial" w:hAnsi="Arial"/>
          <w:sz w:val="17"/>
          <w:szCs w:val="17"/>
          <w:color w:val="auto"/>
        </w:rPr>
        <w:t>interface between digital athletes and their game, and content creators and their viewers. Our solutions include our high-performance gaming keyboards, mice, headsets, controllers, and our streaming gear including capture cards, Stream Decks, USB microphones, studio accessories, and EpocCam software, as well as coaching and training services, among others.</w:t>
      </w:r>
    </w:p>
    <w:p>
      <w:pPr>
        <w:spacing w:after="0" w:line="83" w:lineRule="exact"/>
        <w:rPr>
          <w:rFonts w:ascii="Arial" w:cs="Arial" w:eastAsia="Arial" w:hAnsi="Arial"/>
          <w:sz w:val="17"/>
          <w:szCs w:val="17"/>
          <w:color w:val="auto"/>
        </w:rPr>
      </w:pPr>
    </w:p>
    <w:p>
      <w:pPr>
        <w:ind w:left="1200" w:right="180" w:hanging="450"/>
        <w:spacing w:after="0" w:line="27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Gaming components and systems</w:t>
      </w:r>
      <w:r>
        <w:rPr>
          <w:rFonts w:ascii="Arial" w:cs="Arial" w:eastAsia="Arial" w:hAnsi="Arial"/>
          <w:sz w:val="17"/>
          <w:szCs w:val="17"/>
          <w:color w:val="auto"/>
        </w:rPr>
        <w:t>. We develop and sell high-performance gaming components to help gamers build their own custom</w:t>
      </w:r>
      <w:r>
        <w:rPr>
          <w:rFonts w:ascii="Arial" w:cs="Arial" w:eastAsia="Arial" w:hAnsi="Arial"/>
          <w:sz w:val="17"/>
          <w:szCs w:val="17"/>
          <w:b w:val="1"/>
          <w:bCs w:val="1"/>
          <w:color w:val="auto"/>
        </w:rPr>
        <w:t xml:space="preserve"> </w:t>
      </w:r>
      <w:r>
        <w:rPr>
          <w:rFonts w:ascii="Arial" w:cs="Arial" w:eastAsia="Arial" w:hAnsi="Arial"/>
          <w:sz w:val="17"/>
          <w:szCs w:val="17"/>
          <w:color w:val="auto"/>
        </w:rPr>
        <w:t>gaming PCs. We also develop and sell complete high-performance gaming systems using our gaming components. Our prebuilt systems and user-built systems are designed to deliver maximum performance, all the while providing our customers the design aesthetic and customizability they demand. Our solutions include our high-performance power supply units, or PSUs, cooling solutions, computer cases, DRAM modules, as well as high-end prebuilt and custom-built gaming PCs, among others.</w:t>
      </w:r>
    </w:p>
    <w:p>
      <w:pPr>
        <w:spacing w:after="0" w:line="86" w:lineRule="exact"/>
        <w:rPr>
          <w:rFonts w:ascii="Arial" w:cs="Arial" w:eastAsia="Arial" w:hAnsi="Arial"/>
          <w:sz w:val="17"/>
          <w:szCs w:val="17"/>
          <w:color w:val="auto"/>
        </w:rPr>
      </w:pPr>
    </w:p>
    <w:p>
      <w:pPr>
        <w:ind w:left="1200" w:right="520" w:hanging="450"/>
        <w:spacing w:after="0" w:line="266"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PC Gaming Software</w:t>
      </w:r>
      <w:r>
        <w:rPr>
          <w:rFonts w:ascii="Arial" w:cs="Arial" w:eastAsia="Arial" w:hAnsi="Arial"/>
          <w:sz w:val="18"/>
          <w:szCs w:val="18"/>
          <w:color w:val="auto"/>
        </w:rPr>
        <w:t>. Our product offering is enhanced by our two proprietary software platforms: iCUE for gamers and Elgato’s</w:t>
      </w:r>
      <w:r>
        <w:rPr>
          <w:rFonts w:ascii="Arial" w:cs="Arial" w:eastAsia="Arial" w:hAnsi="Arial"/>
          <w:sz w:val="18"/>
          <w:szCs w:val="18"/>
          <w:b w:val="1"/>
          <w:bCs w:val="1"/>
          <w:color w:val="auto"/>
        </w:rPr>
        <w:t xml:space="preserve"> </w:t>
      </w:r>
      <w:r>
        <w:rPr>
          <w:rFonts w:ascii="Arial" w:cs="Arial" w:eastAsia="Arial" w:hAnsi="Arial"/>
          <w:sz w:val="18"/>
          <w:szCs w:val="18"/>
          <w:color w:val="auto"/>
        </w:rPr>
        <w:t>streaming suite for content creators. These software platforms provide unified, intuitive performance, and aesthetic control and customization across their respective product families.</w:t>
      </w:r>
    </w:p>
    <w:p>
      <w:pPr>
        <w:spacing w:after="0" w:line="99" w:lineRule="exact"/>
        <w:rPr>
          <w:sz w:val="20"/>
          <w:szCs w:val="20"/>
          <w:color w:val="auto"/>
        </w:rPr>
      </w:pPr>
    </w:p>
    <w:p>
      <w:pPr>
        <w:jc w:val="both"/>
        <w:ind w:right="540" w:firstLine="458"/>
        <w:spacing w:after="0" w:line="286" w:lineRule="auto"/>
        <w:rPr>
          <w:sz w:val="20"/>
          <w:szCs w:val="20"/>
          <w:color w:val="auto"/>
        </w:rPr>
      </w:pPr>
      <w:r>
        <w:rPr>
          <w:rFonts w:ascii="Arial" w:cs="Arial" w:eastAsia="Arial" w:hAnsi="Arial"/>
          <w:sz w:val="17"/>
          <w:szCs w:val="17"/>
          <w:color w:val="auto"/>
        </w:rPr>
        <w:t>Our iCUE software platform powers the full range of our gear from a single intuitive interface, providing advanced performance tuning, user customization and system monitoring. By enabling our customers to fine tune the response of our gaming gear to maximize performance and match their personal preferences and styles of play, we believe that iCUE provides a distinct competitive advantage.</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Development</w:t>
      </w:r>
    </w:p>
    <w:p>
      <w:pPr>
        <w:spacing w:after="0" w:line="121" w:lineRule="exact"/>
        <w:rPr>
          <w:sz w:val="20"/>
          <w:szCs w:val="20"/>
          <w:color w:val="auto"/>
        </w:rPr>
      </w:pPr>
    </w:p>
    <w:p>
      <w:pPr>
        <w:jc w:val="both"/>
        <w:ind w:firstLine="468"/>
        <w:spacing w:after="0" w:line="263" w:lineRule="auto"/>
        <w:rPr>
          <w:sz w:val="20"/>
          <w:szCs w:val="20"/>
          <w:color w:val="auto"/>
        </w:rPr>
      </w:pPr>
      <w:r>
        <w:rPr>
          <w:rFonts w:ascii="Arial" w:cs="Arial" w:eastAsia="Arial" w:hAnsi="Arial"/>
          <w:sz w:val="18"/>
          <w:szCs w:val="18"/>
          <w:color w:val="auto"/>
        </w:rPr>
        <w:t>Our product development efforts focus on broadening our portfolio with innovative, value-added products that provide gamers with more immersive experiences. This process begins with the initial market analysis and product definition phase, where we use deep knowledge of consumer preferences and feedback to decide the exact specifications of new products desired by our end-users.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then leverage third-party manufacturers and, in some cases, engineering and design firms to help us design, prototype and fabricate our products. We select these third-party partners through a comprehensive selection process and subject them to rigorous quality controls. We perform extensive in-house testing of our products with the latest CPUs and GPUs to ensure optimal performance and compatibility of our products with the most advanced hardware. Our rigorous product development and testing is designed to give us the ability to meet the needs of our end-users consistently with well-designed, high-performance and reliable products.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right="80" w:firstLine="468"/>
        <w:spacing w:after="0" w:line="301" w:lineRule="auto"/>
        <w:rPr>
          <w:sz w:val="20"/>
          <w:szCs w:val="20"/>
          <w:color w:val="auto"/>
        </w:rPr>
      </w:pPr>
      <w:r>
        <w:rPr>
          <w:rFonts w:ascii="Arial" w:cs="Arial" w:eastAsia="Arial" w:hAnsi="Arial"/>
          <w:sz w:val="16"/>
          <w:szCs w:val="16"/>
          <w:color w:val="auto"/>
        </w:rPr>
        <w:t>Our marketing efforts are designed to enhance the Corsair, Elgato, Origin and SCUF brand names, to help us acquire new customers and to increase sales from our existing customers. We have structured our marketing organization to achieve both product- and geography-specific coverage. In addition, our marketing personnel regularly meets with other key industry suppliers such as Intel, AMD, NVIDIA and Asus, in order to ensure that our product development efforts appropriately address the needs of their new products and also to discuss trends and changes in the computer technology market.</w:t>
      </w:r>
    </w:p>
    <w:p>
      <w:pPr>
        <w:spacing w:after="0" w:line="157" w:lineRule="exact"/>
        <w:rPr>
          <w:sz w:val="20"/>
          <w:szCs w:val="20"/>
          <w:color w:val="auto"/>
        </w:rPr>
      </w:pPr>
    </w:p>
    <w:p>
      <w:pPr>
        <w:ind w:right="40" w:firstLine="468"/>
        <w:spacing w:after="0" w:line="301" w:lineRule="auto"/>
        <w:rPr>
          <w:sz w:val="20"/>
          <w:szCs w:val="20"/>
          <w:color w:val="auto"/>
        </w:rPr>
      </w:pPr>
      <w:r>
        <w:rPr>
          <w:rFonts w:ascii="Arial" w:cs="Arial" w:eastAsia="Arial" w:hAnsi="Arial"/>
          <w:sz w:val="16"/>
          <w:szCs w:val="16"/>
          <w:color w:val="auto"/>
        </w:rPr>
        <w:t>We build awareness of our products and brand through advertising campaigns, public relations efforts, marketing development funds and other financial incentives provided to retailers to promote our products, end-user rebates, online social media outreach, online and in-store promotions and merchandising, our website and other efforts. We believe that our products and brand have also benefited from social media influencers, customer referrals and positive product reviews. We also invest in sponsorships and partnerships with eSports events, leagues teams and streaming influencers.</w:t>
      </w:r>
    </w:p>
    <w:p>
      <w:pPr>
        <w:spacing w:after="0" w:line="157" w:lineRule="exact"/>
        <w:rPr>
          <w:sz w:val="20"/>
          <w:szCs w:val="20"/>
          <w:color w:val="auto"/>
        </w:rPr>
      </w:pPr>
    </w:p>
    <w:p>
      <w:pPr>
        <w:ind w:firstLine="468"/>
        <w:spacing w:after="0" w:line="275" w:lineRule="auto"/>
        <w:rPr>
          <w:sz w:val="20"/>
          <w:szCs w:val="20"/>
          <w:color w:val="auto"/>
        </w:rPr>
      </w:pPr>
      <w:r>
        <w:rPr>
          <w:rFonts w:ascii="Arial" w:cs="Arial" w:eastAsia="Arial" w:hAnsi="Arial"/>
          <w:sz w:val="17"/>
          <w:szCs w:val="17"/>
          <w:color w:val="auto"/>
        </w:rPr>
        <w:t>We benefit from an active computer gaming community whose members communicate with each other through various online social media such as forums, blogs and social networks, including Facebook, Twitter and YouTube. In addition to forums hosted by third-party domains, we host Corsair-branded forums that are accessible via our website. We actively participate in this community, enabling us to communicate directly with our end customers. Finally, we regularly publish technical and editorial content through various online and print channels and participate in industry trade shows, gaming competitions and other consumer-facing events that provide us with the opportunity to demonstrate our products.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121" w:lineRule="exact"/>
        <w:rPr>
          <w:sz w:val="20"/>
          <w:szCs w:val="20"/>
          <w:color w:val="auto"/>
        </w:rPr>
      </w:pPr>
    </w:p>
    <w:p>
      <w:pPr>
        <w:ind w:right="20" w:firstLine="468"/>
        <w:spacing w:after="0" w:line="275" w:lineRule="auto"/>
        <w:rPr>
          <w:sz w:val="20"/>
          <w:szCs w:val="20"/>
          <w:color w:val="auto"/>
        </w:rPr>
      </w:pPr>
      <w:r>
        <w:rPr>
          <w:rFonts w:ascii="Arial" w:cs="Arial" w:eastAsia="Arial" w:hAnsi="Arial"/>
          <w:sz w:val="17"/>
          <w:szCs w:val="17"/>
          <w:color w:val="auto"/>
        </w:rPr>
        <w:t>Our gear is purchased by gaming enthusiasts worldwide through either our e-tail and retail channel or our direct-to-consumer channel. In our e-tail and retail channel, we distribute our gear either directly to our reseller or through key distributors. While we historically have sold our gear directly to consumers through our website, following our acquisitions of Origin and SCUF Gaming in 2019, the volume of direct-to-consumer sales has increased as both of these companies primarily generated sales through direct-to-consumer channels. We believe direct-to-consumer sales represent a significant avenue to drive growth by facilitating increased market penetration across our product categories.</w:t>
      </w:r>
    </w:p>
    <w:p>
      <w:pPr>
        <w:spacing w:after="0" w:line="176" w:lineRule="exact"/>
        <w:rPr>
          <w:sz w:val="20"/>
          <w:szCs w:val="20"/>
          <w:color w:val="auto"/>
        </w:rPr>
      </w:pPr>
    </w:p>
    <w:p>
      <w:pPr>
        <w:ind w:right="260" w:firstLine="468"/>
        <w:spacing w:after="0" w:line="259" w:lineRule="auto"/>
        <w:rPr>
          <w:sz w:val="20"/>
          <w:szCs w:val="20"/>
          <w:color w:val="auto"/>
        </w:rPr>
      </w:pPr>
      <w:r>
        <w:rPr>
          <w:rFonts w:ascii="Arial" w:cs="Arial" w:eastAsia="Arial" w:hAnsi="Arial"/>
          <w:sz w:val="18"/>
          <w:szCs w:val="18"/>
          <w:color w:val="auto"/>
        </w:rPr>
        <w:t>We have divided our sales organization into four major regions—Europe (including the Middle East and North Africa), North America, Latin America and Asia Pacific (including South Africa)—and we have local language-speaking sales representatives in the countries that, in the aggregate, generate the majority of our net revenue. We ship our products directly to approximately 50 retailers and over 160 distributors and, through distributors, supply our products to thousands of smaller online and brick-and-mortar retailers.</w:t>
      </w:r>
    </w:p>
    <w:p>
      <w:pPr>
        <w:spacing w:after="0" w:line="187" w:lineRule="exact"/>
        <w:rPr>
          <w:sz w:val="20"/>
          <w:szCs w:val="20"/>
          <w:color w:val="auto"/>
        </w:rPr>
      </w:pPr>
    </w:p>
    <w:p>
      <w:pPr>
        <w:ind w:right="80" w:firstLine="468"/>
        <w:spacing w:after="0" w:line="293" w:lineRule="auto"/>
        <w:rPr>
          <w:sz w:val="20"/>
          <w:szCs w:val="20"/>
          <w:color w:val="auto"/>
        </w:rPr>
      </w:pPr>
      <w:r>
        <w:rPr>
          <w:rFonts w:ascii="Arial" w:cs="Arial" w:eastAsia="Arial" w:hAnsi="Arial"/>
          <w:sz w:val="16"/>
          <w:szCs w:val="16"/>
          <w:color w:val="auto"/>
        </w:rPr>
        <w:t>Our direct sales force supports leading online retailers, including Amazon and Newegg in North America; Amazon, Komplett, Mindfactory, LDLC and Scan in Europe; and JD, Tmall, Amazon and PC Case Gear in the Asia Pacific region. We also have sales relationships with leading brick-and-mortar retailers, including Best Buy and Micro Center in North America and Mediamarkt, Boulanger, Elkjop, Fnac and Dixons in Europe. A small portion of our net revenue is from sales directly to original equipment manufacturers that manufacture gaming PCs. Our distributors sell our products primarily to online and brick-and-mortar retailers and to specialist and gaming system integrators and value-added resellers. Our major distributors are Ingram Micro and D&amp;H in North America; S&amp;K, Exertis and Littlebit in Europe; and Synnex Australia, Leader, ASK and Links in the Asia Pacific region.</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2020, 2019 and 2018, Amazon accounted for more than 10% of our net revenue, at 24.6%, 25.1% and 22.4%,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Operations</w:t>
      </w:r>
    </w:p>
    <w:p>
      <w:pPr>
        <w:spacing w:after="0" w:line="121" w:lineRule="exact"/>
        <w:rPr>
          <w:sz w:val="20"/>
          <w:szCs w:val="20"/>
          <w:color w:val="auto"/>
        </w:rPr>
      </w:pPr>
    </w:p>
    <w:p>
      <w:pPr>
        <w:ind w:firstLine="468"/>
        <w:spacing w:after="0" w:line="257" w:lineRule="auto"/>
        <w:rPr>
          <w:sz w:val="20"/>
          <w:szCs w:val="20"/>
          <w:color w:val="auto"/>
        </w:rPr>
      </w:pPr>
      <w:r>
        <w:rPr>
          <w:rFonts w:ascii="Arial" w:cs="Arial" w:eastAsia="Arial" w:hAnsi="Arial"/>
          <w:sz w:val="18"/>
          <w:szCs w:val="18"/>
          <w:color w:val="auto"/>
        </w:rPr>
        <w:t>We believe we have developed a global, scalable production and operations infrastructure that allows us to deliver our products cost-effectively and in a timely manner. We operate a facility in Taiwan where we assemble, test, package and ultimately supply nearly all of our DRAM modules and a significant portion of our liquid cooling products and prebuilt gaming systems. We also assemble, test, package and ultimately supply our custom-built PCs in our U.S. facility, and our customized gaming controllers in our U.S. and U.K. facilities. All of the other gear we sell is produced at factories operated by third parties located in China, Taiwan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countries in Southeast Asia. In some regions, we also outsource storage and shipping to third-party logistics providers around the world.</w:t>
      </w:r>
    </w:p>
    <w:p>
      <w:pPr>
        <w:spacing w:after="0" w:line="225" w:lineRule="exact"/>
        <w:rPr>
          <w:sz w:val="20"/>
          <w:szCs w:val="20"/>
          <w:color w:val="auto"/>
        </w:rPr>
      </w:pPr>
    </w:p>
    <w:p>
      <w:pPr>
        <w:ind w:right="120" w:firstLine="468"/>
        <w:spacing w:after="0" w:line="259" w:lineRule="auto"/>
        <w:rPr>
          <w:sz w:val="20"/>
          <w:szCs w:val="20"/>
          <w:color w:val="auto"/>
        </w:rPr>
      </w:pPr>
      <w:r>
        <w:rPr>
          <w:rFonts w:ascii="Arial" w:cs="Arial" w:eastAsia="Arial" w:hAnsi="Arial"/>
          <w:sz w:val="18"/>
          <w:szCs w:val="18"/>
          <w:color w:val="auto"/>
        </w:rPr>
        <w:t>Production of most of our high-speed DRAM modules involves testing and speed sorting of both DRAM ICs and modules and retail packing in our facility in Taoyuan, Taiwan. Our ability to test and sort DRAM modules efficiently enables us to grade them and offer high-performance DRAM modules at higher price points. For standard speed DRAM modules, we also procure assembled modules from approved subcontractors and then test and package them in our Taiwan facility.</w:t>
      </w:r>
    </w:p>
    <w:p>
      <w:pPr>
        <w:spacing w:after="0" w:line="187" w:lineRule="exact"/>
        <w:rPr>
          <w:sz w:val="20"/>
          <w:szCs w:val="20"/>
          <w:color w:val="auto"/>
        </w:rPr>
      </w:pPr>
    </w:p>
    <w:p>
      <w:pPr>
        <w:ind w:right="200" w:firstLine="468"/>
        <w:spacing w:after="0" w:line="296" w:lineRule="auto"/>
        <w:rPr>
          <w:sz w:val="20"/>
          <w:szCs w:val="20"/>
          <w:color w:val="auto"/>
        </w:rPr>
      </w:pPr>
      <w:r>
        <w:rPr>
          <w:rFonts w:ascii="Arial" w:cs="Arial" w:eastAsia="Arial" w:hAnsi="Arial"/>
          <w:sz w:val="16"/>
          <w:szCs w:val="16"/>
          <w:color w:val="auto"/>
        </w:rPr>
        <w:t>In addition to our production capabilities, our corporate planning process places particular emphasis on driving efficiencies in demand forecasting, supply chain planning, procurement cycle time, freight costs and inventory management. Our goal of limiting the time DRAM modules are held in our inventory to a few weeks helps mitigate any impact that this volatility may have on our gross margins. Furthermore, given the products we sell and the global nature of our business, freight costs can have a significant impact on our expenses. Because of this, we have developed a sophisticated forecasting and planning process designed to reduce the cost of transporting our products to our regional distribution hubs and finally, to our customers.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Sales of our products are generally made pursuant to purchase orders and customers typically do not enter into long-term purchase agreements or commitments with us. Customer purchase orders typically call for product shipment within a few weeks, except for DRAM modules orders that are typically requested in a few days. Consequently, we do not believe that our order backlog as of any particular date is material or a reliable indicator of sales for any future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68"/>
        <w:spacing w:after="0" w:line="290" w:lineRule="auto"/>
        <w:rPr>
          <w:sz w:val="20"/>
          <w:szCs w:val="20"/>
          <w:color w:val="auto"/>
        </w:rPr>
      </w:pPr>
      <w:r>
        <w:rPr>
          <w:rFonts w:ascii="Arial" w:cs="Arial" w:eastAsia="Arial" w:hAnsi="Arial"/>
          <w:sz w:val="16"/>
          <w:szCs w:val="16"/>
          <w:color w:val="auto"/>
        </w:rPr>
        <w:t>We have experienced and expect to continue to experience seasonal fluctuations in sales due to the buying patterns of our customers and the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and GPUs,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We expect these seasonality trends to continue.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We face intense competition in the markets for all of our products.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7" w:lineRule="exact"/>
        <w:rPr>
          <w:sz w:val="20"/>
          <w:szCs w:val="20"/>
          <w:color w:val="auto"/>
        </w:rPr>
      </w:pPr>
    </w:p>
    <w:p>
      <w:pPr>
        <w:ind w:right="100" w:firstLine="468"/>
        <w:spacing w:after="0" w:line="263" w:lineRule="auto"/>
        <w:rPr>
          <w:sz w:val="20"/>
          <w:szCs w:val="20"/>
          <w:color w:val="auto"/>
        </w:rPr>
      </w:pPr>
      <w:r>
        <w:rPr>
          <w:rFonts w:ascii="Arial" w:cs="Arial" w:eastAsia="Arial" w:hAnsi="Arial"/>
          <w:sz w:val="18"/>
          <w:szCs w:val="18"/>
          <w:color w:val="auto"/>
        </w:rPr>
        <w:t>We believe that the principal competitive factors that affect customer preferences include brand awareness, reputation, breadth and depth of product offering, product performance and quality, design and aesthetics, price, user experience, online product reviews and other value propositions. We believe we compete favorably based on these factors.</w:t>
      </w:r>
    </w:p>
    <w:p>
      <w:pPr>
        <w:spacing w:after="0" w:line="184" w:lineRule="exact"/>
        <w:rPr>
          <w:sz w:val="20"/>
          <w:szCs w:val="20"/>
          <w:color w:val="auto"/>
        </w:rPr>
      </w:pPr>
    </w:p>
    <w:p>
      <w:pPr>
        <w:ind w:firstLine="468"/>
        <w:spacing w:after="0" w:line="269" w:lineRule="auto"/>
        <w:rPr>
          <w:sz w:val="20"/>
          <w:szCs w:val="20"/>
          <w:color w:val="auto"/>
        </w:rPr>
      </w:pPr>
      <w:r>
        <w:rPr>
          <w:rFonts w:ascii="Arial" w:cs="Arial" w:eastAsia="Arial" w:hAnsi="Arial"/>
          <w:sz w:val="17"/>
          <w:szCs w:val="17"/>
          <w:color w:val="auto"/>
        </w:rPr>
        <w:t>In recent years, we have added new product categories and we intend to introduce new product categories in the future. To the extent we are successful in adding new product categories, we will confront new competitors, many of which may have more experience, better known brands and greater distribution capabilities in the new product categories and markets than we do. 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 position to respond quickly to new technologies and may be able to design, develop, market, and sell their products more effectively than we can. In addition, some of our competitors are small or mid-sized specialty companies, which may enable them to react to changes in industry trends or consumer preferences or to introduce new or innovative products more quickly than we can. As a result, our product development efforts may not be successful or result in market acceptance of our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468"/>
        <w:spacing w:after="0" w:line="263" w:lineRule="auto"/>
        <w:rPr>
          <w:sz w:val="20"/>
          <w:szCs w:val="20"/>
          <w:color w:val="auto"/>
        </w:rPr>
      </w:pPr>
      <w:r>
        <w:rPr>
          <w:rFonts w:ascii="Arial" w:cs="Arial" w:eastAsia="Arial" w:hAnsi="Arial"/>
          <w:sz w:val="18"/>
          <w:szCs w:val="18"/>
          <w:color w:val="auto"/>
        </w:rPr>
        <w:t>Our ability to compete successfully is fundamental to our success in existing and new markets. If we do not compete effectively, demand for our products could decline, our net revenues and gross margin could decrease and we could lose market share, which could seriously harm our business,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firstLine="468"/>
        <w:spacing w:after="0" w:line="255" w:lineRule="auto"/>
        <w:rPr>
          <w:sz w:val="20"/>
          <w:szCs w:val="20"/>
          <w:color w:val="auto"/>
        </w:rPr>
      </w:pPr>
      <w:r>
        <w:rPr>
          <w:rFonts w:ascii="Arial" w:cs="Arial" w:eastAsia="Arial" w:hAnsi="Arial"/>
          <w:sz w:val="18"/>
          <w:szCs w:val="18"/>
          <w:color w:val="auto"/>
        </w:rPr>
        <w:t>We consider the Corsair brand to be among our most valuable assets. We also consider the Elgato, Origin, and SCUF brands; proprietary technology brands such as iCUE and Slipstream; and major product family brands such as Corsair ONE, Dark Core, Dominator, Glaive, Harpoon, Ironclaw, K70, Nightsword, Scimitar, Vengeance, and Void to be important to our business. Our future success depends to a large degree upon our ability to defend the Corsair brand and its associated sub-brands from infringement and, to a limited extent, to protect our other intellectual property. We rely on a combination of copyright, trademark, patent and other intellectual property laws and confidentiality procedures and contractual provisions such as non-disclosure terms to protect our intellectual property.</w:t>
      </w:r>
    </w:p>
    <w:p>
      <w:pPr>
        <w:spacing w:after="0" w:line="192"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As of January 14, 2021, our patent portfolio consisted of 331 patents, for which we had 238 patents registrations globally, including utility, invention, utility model and design patents, and 93 pending applications globally. As of December 31, 2020, our trademark portfolio consisted of 495 trademarks, for which we had 471 registrations globally including the European Union and with the World Intellectual Property Organization, or WIPO, and 24 pending applications for registrations globally including the European Union and with the WIPO.</w:t>
      </w:r>
    </w:p>
    <w:p>
      <w:pPr>
        <w:spacing w:after="0" w:line="187" w:lineRule="exact"/>
        <w:rPr>
          <w:sz w:val="20"/>
          <w:szCs w:val="20"/>
          <w:color w:val="auto"/>
        </w:rPr>
      </w:pPr>
    </w:p>
    <w:p>
      <w:pPr>
        <w:ind w:right="40" w:firstLine="468"/>
        <w:spacing w:after="0" w:line="269" w:lineRule="auto"/>
        <w:rPr>
          <w:sz w:val="20"/>
          <w:szCs w:val="20"/>
          <w:color w:val="auto"/>
        </w:rPr>
      </w:pPr>
      <w:r>
        <w:rPr>
          <w:rFonts w:ascii="Arial" w:cs="Arial" w:eastAsia="Arial" w:hAnsi="Arial"/>
          <w:sz w:val="17"/>
          <w:szCs w:val="17"/>
          <w:color w:val="auto"/>
        </w:rPr>
        <w:t>The expansion of our business has required us to protect our trademarks, domain names, copyrights, and patents and, to the extent that we expand our business into new geographic areas, we may be required to protect our trademarks, domain names, copyrights, patents and other intellectual property in an increasing number of jurisdictions, a process that is expensive and sometimes requires litigation. If we are unable to protect our trademarks, domain names, copyrights, patents, and other intellectual property rights, or prevent third parties from infringing upon them, our business may be adversely affected, perhaps materially. For additional information, see “Risk Factors—Risks Related to our Business—Our future success depends to a large degree upon our ability to defend the Corsair brand and product family brands such as SCUF, Vengeance, K70, Elgato and iCUE from infringement and, if we are unable to protect our brand and other intellectual property, our business may be seriously harmed.” We rely on a combination of copyright, trademark, patent and other intellectual property laws and confidentiality procedures and contractual provisions such as non-disclosure terms to protect our intellectual property. Companies in the technology industry are frequently subject to litigation or disputes based on allegations of infringement or other violations of intellectual property rights. See “Risk Factors—Risks Related to our Business—We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 w:firstLine="468"/>
        <w:spacing w:after="0" w:line="272" w:lineRule="auto"/>
        <w:rPr>
          <w:sz w:val="20"/>
          <w:szCs w:val="20"/>
          <w:color w:val="auto"/>
        </w:rPr>
      </w:pPr>
      <w:r>
        <w:rPr>
          <w:rFonts w:ascii="Arial" w:cs="Arial" w:eastAsia="Arial" w:hAnsi="Arial"/>
          <w:sz w:val="17"/>
          <w:szCs w:val="17"/>
          <w:color w:val="auto"/>
        </w:rPr>
        <w:t>Our operations, properties and products are subject to a variety of U.S. and foreign environmental laws and regulations governing, among other things, air emissions, wastewater discharges, management and disposal of hazardous and non-hazardous materials and waste and remediation of releases of hazardous materials. We believe, based on current information that we are in material compliance with environmental laws and regulations applicable to us. However, our failure to comply with present and future requirements under these laws and regulations, or environmental contamination or releases of hazardous materials on our leased premises, as well as through disposal of our products, could cause us to incur substantial costs, including clean-up costs, personal injury and property damage claims, fines and penalties, costs to redesign our products or upgrade our facilities and legal costs, or require us to curtail our operations, any of which could seriously harm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200" w:firstLine="468"/>
        <w:spacing w:after="0" w:line="286" w:lineRule="auto"/>
        <w:rPr>
          <w:sz w:val="20"/>
          <w:szCs w:val="20"/>
          <w:color w:val="auto"/>
        </w:rPr>
      </w:pPr>
      <w:r>
        <w:rPr>
          <w:rFonts w:ascii="Arial" w:cs="Arial" w:eastAsia="Arial" w:hAnsi="Arial"/>
          <w:sz w:val="17"/>
          <w:szCs w:val="17"/>
          <w:color w:val="auto"/>
        </w:rPr>
        <w:t>As of December 31, 2020, we had a total of 2,411 employees, including temporary employees and dedicated sales and software developer contractors. None of our employees is currently represented by a labor union or is covered by a collective bargaining agreement with respect to his or her employment. To date we have not experienced any work stoppages, and we consider our relationship with our employees to be good.</w:t>
      </w:r>
    </w:p>
    <w:p>
      <w:pPr>
        <w:spacing w:after="0" w:line="57" w:lineRule="exact"/>
        <w:rPr>
          <w:sz w:val="20"/>
          <w:szCs w:val="20"/>
          <w:color w:val="auto"/>
        </w:rPr>
      </w:pPr>
    </w:p>
    <w:p>
      <w:pPr>
        <w:ind w:right="120" w:firstLine="468"/>
        <w:spacing w:after="0" w:line="28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incorporated in Delaware in 2017 as EagleTree-Carbide Acquisition Corp. and we changed our name to Corsair Gaming, Inc. in 2018.</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completed the initial public offering, or the IPO, of our common stock in September 2020 and our common stock is listed on the Nasdaq Global Select Market under the symbol “CRSR.” Our principal executive offices are located at 47100 Bayside Pkwy, Fremont, California 94538, and our telephone number is (510) 657-8747.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220" w:firstLine="468"/>
        <w:spacing w:after="0" w:line="293" w:lineRule="auto"/>
        <w:rPr>
          <w:sz w:val="20"/>
          <w:szCs w:val="20"/>
          <w:color w:val="auto"/>
        </w:rPr>
      </w:pPr>
      <w:r>
        <w:rPr>
          <w:rFonts w:ascii="Arial" w:cs="Arial" w:eastAsia="Arial" w:hAnsi="Arial"/>
          <w:sz w:val="16"/>
          <w:szCs w:val="16"/>
          <w:color w:val="auto"/>
        </w:rPr>
        <w:t>On September 15, 2020, a corporate reorganization, or the Reorganization, was consummated whereby the Company now owns directly and indirectly all of the operating subsidiaries and assets of Corsair that had been owned by Corsair Group (Cayman), LP, or the Parent,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the Company were conducted by certain operating subsidiaries held by separate entities, Corsair Gaming, Inc. and Corsair Holdings (Lux) S.à r.l., or Corsair Luxco, respectively, each of which was substantially owned by and under common control of the Parent.</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Acquisition Transaction</w:t>
      </w:r>
    </w:p>
    <w:p>
      <w:pPr>
        <w:spacing w:after="0" w:line="225" w:lineRule="exact"/>
        <w:rPr>
          <w:sz w:val="20"/>
          <w:szCs w:val="20"/>
          <w:color w:val="auto"/>
        </w:rPr>
      </w:pPr>
    </w:p>
    <w:p>
      <w:pPr>
        <w:ind w:right="160" w:firstLine="468"/>
        <w:spacing w:after="0" w:line="301" w:lineRule="auto"/>
        <w:rPr>
          <w:sz w:val="20"/>
          <w:szCs w:val="20"/>
          <w:color w:val="auto"/>
        </w:rPr>
      </w:pPr>
      <w:r>
        <w:rPr>
          <w:rFonts w:ascii="Arial" w:cs="Arial" w:eastAsia="Arial" w:hAnsi="Arial"/>
          <w:sz w:val="16"/>
          <w:szCs w:val="16"/>
          <w:color w:val="auto"/>
        </w:rPr>
        <w:t>On August 28, 2017, EagleTree consummated the purchase of the shares of the subsidiaries of Corsair Components (Cayman) Ltd., or Predecessor, for aggregate consideration of approximately $550 million, or the Acquisition Transaction. In the Acquisition Transaction, Corsair Gaming, Inc. acquired the interests of the operating subsidiaries conducting our North American operations and Corsair Luxco indirectly acquired the operating subsidiaries conducting our international operations. Corsair Components (Cayman) Ltd. is our Predecessor for financial reporting purposes.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20" w:firstLine="468"/>
        <w:spacing w:after="0" w:line="257" w:lineRule="auto"/>
        <w:rPr>
          <w:sz w:val="20"/>
          <w:szCs w:val="20"/>
          <w:color w:val="auto"/>
        </w:rPr>
      </w:pPr>
      <w:r>
        <w:rPr>
          <w:rFonts w:ascii="Arial" w:cs="Arial" w:eastAsia="Arial" w:hAnsi="Arial"/>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www.corsair.com as soon as reasonably practical after we file such material with, or furnish it to, the SEC.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Corsair’s executive officers as of March 11, 2021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Name</w:t>
            </w:r>
          </w:p>
        </w:tc>
        <w:tc>
          <w:tcPr>
            <w:tcW w:w="1800" w:type="dxa"/>
            <w:vAlign w:val="bottom"/>
            <w:tcBorders>
              <w:bottom w:val="single" w:sz="8" w:color="auto"/>
            </w:tcBorders>
          </w:tcPr>
          <w:p>
            <w:pPr>
              <w:jc w:val="center"/>
              <w:ind w:left="1033"/>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504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Position(s)</w:t>
            </w:r>
          </w:p>
        </w:tc>
      </w:tr>
      <w:tr>
        <w:trPr>
          <w:trHeight w:val="411"/>
        </w:trPr>
        <w:tc>
          <w:tcPr>
            <w:tcW w:w="4180" w:type="dxa"/>
            <w:vAlign w:val="bottom"/>
          </w:tcPr>
          <w:p>
            <w:pPr>
              <w:spacing w:after="0"/>
              <w:rPr>
                <w:sz w:val="20"/>
                <w:szCs w:val="20"/>
                <w:color w:val="auto"/>
              </w:rPr>
            </w:pPr>
            <w:r>
              <w:rPr>
                <w:rFonts w:ascii="Arial" w:cs="Arial" w:eastAsia="Arial" w:hAnsi="Arial"/>
                <w:sz w:val="18"/>
                <w:szCs w:val="18"/>
                <w:color w:val="auto"/>
              </w:rPr>
              <w:t>Andrew J. Paul</w:t>
            </w:r>
          </w:p>
        </w:tc>
        <w:tc>
          <w:tcPr>
            <w:tcW w:w="1800" w:type="dxa"/>
            <w:vAlign w:val="bottom"/>
          </w:tcPr>
          <w:p>
            <w:pPr>
              <w:jc w:val="center"/>
              <w:ind w:left="1013"/>
              <w:spacing w:after="0"/>
              <w:rPr>
                <w:sz w:val="20"/>
                <w:szCs w:val="20"/>
                <w:color w:val="auto"/>
              </w:rPr>
            </w:pPr>
            <w:r>
              <w:rPr>
                <w:rFonts w:ascii="Arial" w:cs="Arial" w:eastAsia="Arial" w:hAnsi="Arial"/>
                <w:sz w:val="18"/>
                <w:szCs w:val="18"/>
                <w:color w:val="auto"/>
                <w:w w:val="89"/>
              </w:rPr>
              <w:t>63</w:t>
            </w: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Michael G. Potter</w:t>
            </w:r>
          </w:p>
        </w:tc>
        <w:tc>
          <w:tcPr>
            <w:tcW w:w="1800" w:type="dxa"/>
            <w:vAlign w:val="bottom"/>
          </w:tcPr>
          <w:p>
            <w:pPr>
              <w:jc w:val="center"/>
              <w:ind w:left="1013"/>
              <w:spacing w:after="0"/>
              <w:rPr>
                <w:sz w:val="20"/>
                <w:szCs w:val="20"/>
                <w:color w:val="auto"/>
              </w:rPr>
            </w:pPr>
            <w:r>
              <w:rPr>
                <w:rFonts w:ascii="Arial" w:cs="Arial" w:eastAsia="Arial" w:hAnsi="Arial"/>
                <w:sz w:val="18"/>
                <w:szCs w:val="18"/>
                <w:color w:val="auto"/>
                <w:w w:val="89"/>
              </w:rPr>
              <w:t>54</w:t>
            </w: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Thi L. La</w:t>
            </w:r>
          </w:p>
        </w:tc>
        <w:tc>
          <w:tcPr>
            <w:tcW w:w="1800" w:type="dxa"/>
            <w:vAlign w:val="bottom"/>
          </w:tcPr>
          <w:p>
            <w:pPr>
              <w:jc w:val="center"/>
              <w:ind w:left="1013"/>
              <w:spacing w:after="0"/>
              <w:rPr>
                <w:sz w:val="20"/>
                <w:szCs w:val="20"/>
                <w:color w:val="auto"/>
              </w:rPr>
            </w:pPr>
            <w:r>
              <w:rPr>
                <w:rFonts w:ascii="Arial" w:cs="Arial" w:eastAsia="Arial" w:hAnsi="Arial"/>
                <w:sz w:val="18"/>
                <w:szCs w:val="18"/>
                <w:color w:val="auto"/>
                <w:w w:val="89"/>
              </w:rPr>
              <w:t>55</w:t>
            </w: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Bertrand Chevalier</w:t>
            </w:r>
          </w:p>
        </w:tc>
        <w:tc>
          <w:tcPr>
            <w:tcW w:w="1800" w:type="dxa"/>
            <w:vAlign w:val="bottom"/>
          </w:tcPr>
          <w:p>
            <w:pPr>
              <w:jc w:val="center"/>
              <w:ind w:left="1013"/>
              <w:spacing w:after="0"/>
              <w:rPr>
                <w:sz w:val="20"/>
                <w:szCs w:val="20"/>
                <w:color w:val="auto"/>
              </w:rPr>
            </w:pPr>
            <w:r>
              <w:rPr>
                <w:rFonts w:ascii="Arial" w:cs="Arial" w:eastAsia="Arial" w:hAnsi="Arial"/>
                <w:sz w:val="18"/>
                <w:szCs w:val="18"/>
                <w:color w:val="auto"/>
                <w:w w:val="89"/>
              </w:rPr>
              <w:t>49</w:t>
            </w: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Gaming</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Gregg A. Lakritz</w:t>
            </w:r>
          </w:p>
        </w:tc>
        <w:tc>
          <w:tcPr>
            <w:tcW w:w="1800" w:type="dxa"/>
            <w:vAlign w:val="bottom"/>
          </w:tcPr>
          <w:p>
            <w:pPr>
              <w:jc w:val="center"/>
              <w:ind w:left="1013"/>
              <w:spacing w:after="0"/>
              <w:rPr>
                <w:sz w:val="20"/>
                <w:szCs w:val="20"/>
                <w:color w:val="auto"/>
              </w:rPr>
            </w:pPr>
            <w:r>
              <w:rPr>
                <w:rFonts w:ascii="Arial" w:cs="Arial" w:eastAsia="Arial" w:hAnsi="Arial"/>
                <w:sz w:val="18"/>
                <w:szCs w:val="18"/>
                <w:color w:val="auto"/>
                <w:w w:val="89"/>
              </w:rPr>
              <w:t>59</w:t>
            </w: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Vice President, Corporate Controller</w:t>
            </w:r>
          </w:p>
        </w:tc>
      </w:tr>
    </w:tbl>
    <w:p>
      <w:pPr>
        <w:spacing w:after="0" w:line="242" w:lineRule="exact"/>
        <w:rPr>
          <w:sz w:val="20"/>
          <w:szCs w:val="20"/>
          <w:color w:val="auto"/>
        </w:rPr>
      </w:pPr>
    </w:p>
    <w:p>
      <w:pPr>
        <w:ind w:right="100" w:firstLine="468"/>
        <w:spacing w:after="0" w:line="255" w:lineRule="auto"/>
        <w:rPr>
          <w:sz w:val="20"/>
          <w:szCs w:val="20"/>
          <w:color w:val="auto"/>
        </w:rPr>
      </w:pPr>
      <w:r>
        <w:rPr>
          <w:rFonts w:ascii="Arial" w:cs="Arial" w:eastAsia="Arial" w:hAnsi="Arial"/>
          <w:sz w:val="18"/>
          <w:szCs w:val="18"/>
          <w:b w:val="1"/>
          <w:bCs w:val="1"/>
          <w:i w:val="1"/>
          <w:iCs w:val="1"/>
          <w:color w:val="auto"/>
        </w:rPr>
        <w:t xml:space="preserve">Andrew J. Paul </w:t>
      </w:r>
      <w:r>
        <w:rPr>
          <w:rFonts w:ascii="Arial" w:cs="Arial" w:eastAsia="Arial" w:hAnsi="Arial"/>
          <w:sz w:val="18"/>
          <w:szCs w:val="18"/>
          <w:color w:val="auto"/>
        </w:rPr>
        <w:t>co-founded Corsair in 1994. He has served as our Chief Executive Officer and President since 1994 and we appointed Mr. Paul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in September 2018. Previously, Mr. Paul served as President of the Multichip Division at Cypress Semiconductor Corporation, a provider of semiconductor devices. Mr. Paul also founded Multichip Technology, Inc., a provider of high-performance memory modules and electronics in 1987, and the business was sold to Cypress Semiconductor Corporation in 1993. Prior to that, he worked as a marketing manager at Integrated Device Technology, Inc. and in several sales and marketing positions at Fairchild Semiconductor Incorporated. Mr. Paul holds a B.Sc. (Hons) in Physics from The City University, London, England.</w:t>
      </w:r>
    </w:p>
    <w:p>
      <w:pPr>
        <w:spacing w:after="0" w:line="192" w:lineRule="exact"/>
        <w:rPr>
          <w:sz w:val="20"/>
          <w:szCs w:val="20"/>
          <w:color w:val="auto"/>
        </w:rPr>
      </w:pPr>
    </w:p>
    <w:p>
      <w:pPr>
        <w:ind w:right="40" w:firstLine="468"/>
        <w:spacing w:after="0" w:line="277" w:lineRule="auto"/>
        <w:rPr>
          <w:sz w:val="20"/>
          <w:szCs w:val="20"/>
          <w:color w:val="auto"/>
        </w:rPr>
      </w:pPr>
      <w:r>
        <w:rPr>
          <w:rFonts w:ascii="Arial" w:cs="Arial" w:eastAsia="Arial" w:hAnsi="Arial"/>
          <w:sz w:val="18"/>
          <w:szCs w:val="18"/>
          <w:b w:val="1"/>
          <w:bCs w:val="1"/>
          <w:i w:val="1"/>
          <w:iCs w:val="1"/>
          <w:color w:val="auto"/>
        </w:rPr>
        <w:t xml:space="preserve">Michael G. Potter </w:t>
      </w:r>
      <w:r>
        <w:rPr>
          <w:rFonts w:ascii="Arial" w:cs="Arial" w:eastAsia="Arial" w:hAnsi="Arial"/>
          <w:sz w:val="18"/>
          <w:szCs w:val="18"/>
          <w:color w:val="auto"/>
        </w:rPr>
        <w:t>has served as our Chief Financial Officer since November 2019. Previously, Mr. Potter worked as a business consultant,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interim Chief Financial Officer work and advising a large pension fund. Prior to that, from July 2011 to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2016, Mr. Potter was Chief Financial Officer and Chief Legal Officer at Canadian Solar, a company listed on the Nasdaq Exchange. Prior to that, Mr. Potter spent 10 years in the semiconductor industry holding multiple Chief Financial Officer roles at public companies including Lattice Semiconductor Corporation, Neophotonics and STATS ChipPac. Prior to that, Mr. Potter worked for six years at Honeywell in various financing and accounting positions, and at KPMG in Montreal as an auditor. Mr. Potter is a member of the board of Cordelio Power, Inc. and serves as the chair of its audit committee. Mr. Potter is a Chartered Professional Accountant (CPA), CA. He received a Graduate Diploma of Public Accountancy from McGill University, and a BComm in Accounting from Concordia University.</w:t>
      </w:r>
    </w:p>
    <w:p>
      <w:pPr>
        <w:spacing w:after="0" w:line="192" w:lineRule="exact"/>
        <w:rPr>
          <w:sz w:val="20"/>
          <w:szCs w:val="20"/>
          <w:color w:val="auto"/>
        </w:rPr>
      </w:pPr>
    </w:p>
    <w:p>
      <w:pPr>
        <w:ind w:right="120" w:firstLine="468"/>
        <w:spacing w:after="0" w:line="275" w:lineRule="auto"/>
        <w:rPr>
          <w:sz w:val="20"/>
          <w:szCs w:val="20"/>
          <w:color w:val="auto"/>
        </w:rPr>
      </w:pPr>
      <w:r>
        <w:rPr>
          <w:rFonts w:ascii="Arial" w:cs="Arial" w:eastAsia="Arial" w:hAnsi="Arial"/>
          <w:sz w:val="17"/>
          <w:szCs w:val="17"/>
          <w:b w:val="1"/>
          <w:bCs w:val="1"/>
          <w:i w:val="1"/>
          <w:iCs w:val="1"/>
          <w:color w:val="auto"/>
        </w:rPr>
        <w:t xml:space="preserve">Thi L. La </w:t>
      </w:r>
      <w:r>
        <w:rPr>
          <w:rFonts w:ascii="Arial" w:cs="Arial" w:eastAsia="Arial" w:hAnsi="Arial"/>
          <w:sz w:val="17"/>
          <w:szCs w:val="17"/>
          <w:color w:val="auto"/>
        </w:rPr>
        <w:t>has served as our President since January 2021 and as our Chief Operating Officer since August 2013. From May 2010 to August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La served as our Senior Vice President and General Manager of our gaming PC component unit. Previously, from April 2008 to July 2010, she served as the Vice President of Global Operations and Information Technology at Opnext, Inc., a designer and manufacturer of optical gaming, modules and subsystems for communications uses. From 1997 to 2008, she held various positions at HP, including Director of Consumer Desktop PC, Display and Accessories for North America. Ms. La holds a B.S. in Electrical Engineering from San Jose State University.</w:t>
      </w:r>
    </w:p>
    <w:p>
      <w:pPr>
        <w:spacing w:after="0" w:line="176" w:lineRule="exact"/>
        <w:rPr>
          <w:sz w:val="20"/>
          <w:szCs w:val="20"/>
          <w:color w:val="auto"/>
        </w:rPr>
      </w:pPr>
    </w:p>
    <w:p>
      <w:pPr>
        <w:ind w:right="140" w:firstLine="468"/>
        <w:spacing w:after="0" w:line="255" w:lineRule="auto"/>
        <w:rPr>
          <w:sz w:val="20"/>
          <w:szCs w:val="20"/>
          <w:color w:val="auto"/>
        </w:rPr>
      </w:pPr>
      <w:r>
        <w:rPr>
          <w:rFonts w:ascii="Arial" w:cs="Arial" w:eastAsia="Arial" w:hAnsi="Arial"/>
          <w:sz w:val="18"/>
          <w:szCs w:val="18"/>
          <w:b w:val="1"/>
          <w:bCs w:val="1"/>
          <w:i w:val="1"/>
          <w:iCs w:val="1"/>
          <w:color w:val="auto"/>
        </w:rPr>
        <w:t xml:space="preserve">Bertrand Chevalier </w:t>
      </w:r>
      <w:r>
        <w:rPr>
          <w:rFonts w:ascii="Arial" w:cs="Arial" w:eastAsia="Arial" w:hAnsi="Arial"/>
          <w:sz w:val="18"/>
          <w:szCs w:val="18"/>
          <w:color w:val="auto"/>
        </w:rPr>
        <w:t>has served as our Executive Vice President, Gaming since January 2021. Previously, Mr. Chevalier served as our Chief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from August 2020 to January 2021 and our Senior Vice President, Worldwide Sales from January 2014 to August 2020. From September 2013 to December 2013, he served as our Vice President of Marketing, from January 2012 to August 2013 he served as our Senior Director of Product Marketing, and from May 2010 to January 2012 he served as our Director of Channel Marketing. Previously, from December 1995 to May 2010, he held various positions at Hewlett Packard, Inc., including Senior Operations &amp; Supply Chain Manager. Mr. Chevalier holds a Master of Engineering from Institut Catholique d’Arts et Métiers.</w:t>
      </w:r>
    </w:p>
    <w:p>
      <w:pPr>
        <w:spacing w:after="0" w:line="192" w:lineRule="exact"/>
        <w:rPr>
          <w:sz w:val="20"/>
          <w:szCs w:val="20"/>
          <w:color w:val="auto"/>
        </w:rPr>
      </w:pPr>
    </w:p>
    <w:p>
      <w:pPr>
        <w:ind w:firstLine="468"/>
        <w:spacing w:after="0" w:line="293" w:lineRule="auto"/>
        <w:rPr>
          <w:sz w:val="20"/>
          <w:szCs w:val="20"/>
          <w:color w:val="auto"/>
        </w:rPr>
      </w:pPr>
      <w:r>
        <w:rPr>
          <w:rFonts w:ascii="Arial" w:cs="Arial" w:eastAsia="Arial" w:hAnsi="Arial"/>
          <w:sz w:val="16"/>
          <w:szCs w:val="16"/>
          <w:b w:val="1"/>
          <w:bCs w:val="1"/>
          <w:i w:val="1"/>
          <w:iCs w:val="1"/>
          <w:color w:val="auto"/>
        </w:rPr>
        <w:t xml:space="preserve">Gregg A. Lakritz </w:t>
      </w:r>
      <w:r>
        <w:rPr>
          <w:rFonts w:ascii="Arial" w:cs="Arial" w:eastAsia="Arial" w:hAnsi="Arial"/>
          <w:sz w:val="16"/>
          <w:szCs w:val="16"/>
          <w:color w:val="auto"/>
        </w:rPr>
        <w:t>has served as our Vice President, Corporate Controller since November 2017. From July 2017 to October 2017, Mr. Lakritz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Senior Strategic Consultant at Trimble Inc., or Trimble. From September 2011 to June 2017 he worked at Harmonic Inc., a publicly traded company which sells high-performance video software and cable access solutions, where he served initially as the Vice President and Corporate Controller from September 2011 to December 2014, and then as Chief Accounting Officer, Vice President and Corporate Controller. Previously, Mr. Lakritz also served as a Corporate Controller at Trimble, from October 2005 to September 2011. Mr. Lakritz is a Certified Public Accountant and he earned a B.A. in Accounting from the University of Wisconsin-Milwaukee and an M.B.A. from the University of Wisconsin-Madison.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right="20" w:firstLine="510"/>
        <w:spacing w:after="0" w:line="279"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common stock.</w:t>
      </w:r>
    </w:p>
    <w:p>
      <w:pPr>
        <w:spacing w:after="0" w:line="63" w:lineRule="exact"/>
        <w:rPr>
          <w:sz w:val="20"/>
          <w:szCs w:val="20"/>
          <w:color w:val="auto"/>
        </w:rPr>
      </w:pPr>
    </w:p>
    <w:p>
      <w:pPr>
        <w:ind w:left="1000" w:right="20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38"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62" w:lineRule="exact"/>
        <w:rPr>
          <w:rFonts w:ascii="Arial" w:cs="Arial" w:eastAsia="Arial" w:hAnsi="Arial"/>
          <w:sz w:val="18"/>
          <w:szCs w:val="18"/>
          <w:color w:val="auto"/>
        </w:rPr>
      </w:pPr>
    </w:p>
    <w:p>
      <w:pPr>
        <w:ind w:left="1000" w:right="60" w:hanging="493"/>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78"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intense competition, and if we do not compete effectively, we could lose market share, demand for our gear could decline and our business may be seriously harmed.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gaming industry, including streaming and eSports, does not grow as expected or declines, our business could be seriously harmed.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lose or are unable to attract and retain key management, our ability to compete could be seriously harmed and our financial performance could suffer.</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coronavirus outbreak has had, and could continue to have, a materially disruptive effect on our business.</w:t>
      </w:r>
    </w:p>
    <w:p>
      <w:pPr>
        <w:spacing w:after="0" w:line="117"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8"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controlled by a single stockholder, whose interest in our business may be different than yours.</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i w:val="1"/>
          <w:iCs w:val="1"/>
          <w:color w:val="auto"/>
        </w:rPr>
        <w:t>Our business involves significant risks, some of which are described below. You should consider carefully the risks and uncertainties described below, together with all of the other information contained in this Annual Report on Form 10-K such as “Management’s Discussion and Analysis of Financial Condition and Results of Operations” and our combined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Unless otherwise indicated, references to our business being seriously harmed in these risk factors and elsewhere will include harm to our business, reputation, financial condition, results of operations, revenue and future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20" w:right="380"/>
        <w:spacing w:after="0" w:line="375" w:lineRule="auto"/>
        <w:rPr>
          <w:sz w:val="20"/>
          <w:szCs w:val="20"/>
          <w:color w:val="auto"/>
        </w:rPr>
      </w:pPr>
      <w:r>
        <w:rPr>
          <w:rFonts w:ascii="Arial" w:cs="Arial" w:eastAsia="Arial" w:hAnsi="Arial"/>
          <w:sz w:val="15"/>
          <w:szCs w:val="15"/>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66"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60"/>
        <w:spacing w:after="0" w:line="308" w:lineRule="auto"/>
        <w:rPr>
          <w:sz w:val="20"/>
          <w:szCs w:val="20"/>
          <w:color w:val="auto"/>
        </w:rPr>
      </w:pPr>
      <w:r>
        <w:rPr>
          <w:rFonts w:ascii="Arial" w:cs="Arial" w:eastAsia="Arial" w:hAnsi="Arial"/>
          <w:sz w:val="17"/>
          <w:szCs w:val="17"/>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38"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we entered the console controller market in 2019 following our acquisition of SCUF and in the future intend to introduce other gear designed to appeal to the console gaming market.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8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In addition, we implemented a work from home policy for many of our employees as a result of the COVID-19 coronavirus outbreak, which may have a substantial impact on attendance, morale and productivity, disrupt access to facilities, equipment, networks, corporate systems, books and records and may add additional expenses and strain on our business. 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our employees are required to work from home for many months, it could ultimately negatively impact new gear and improvements and potentially result in delays or releasing significant updates.</w:t>
      </w:r>
    </w:p>
    <w:p>
      <w:pPr>
        <w:spacing w:after="0" w:line="16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95" w:lineRule="exact"/>
        <w:rPr>
          <w:sz w:val="20"/>
          <w:szCs w:val="20"/>
          <w:color w:val="auto"/>
        </w:rPr>
      </w:pPr>
    </w:p>
    <w:p>
      <w:pPr>
        <w:ind w:left="520" w:right="140"/>
        <w:spacing w:after="0" w:line="286" w:lineRule="auto"/>
        <w:rPr>
          <w:sz w:val="20"/>
          <w:szCs w:val="20"/>
          <w:color w:val="auto"/>
        </w:rPr>
      </w:pPr>
      <w:r>
        <w:rPr>
          <w:rFonts w:ascii="Arial" w:cs="Arial" w:eastAsia="Arial" w:hAnsi="Arial"/>
          <w:sz w:val="17"/>
          <w:szCs w:val="17"/>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or if the rate at which those products are introduced declines, it may seriously harm our business.</w:t>
      </w:r>
    </w:p>
    <w:p>
      <w:pPr>
        <w:spacing w:after="0" w:line="5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also believe that sales of our gear are driven by conditions in the computer gaming industry. In particular, we believe that our business depends on the introduction and success of computer games with sophisticated graphics that place greater demands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74" w:lineRule="exact"/>
        <w:rPr>
          <w:sz w:val="20"/>
          <w:szCs w:val="20"/>
          <w:color w:val="auto"/>
        </w:rPr>
      </w:pPr>
    </w:p>
    <w:p>
      <w:pPr>
        <w:ind w:left="520" w:right="56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 to introduce new or innovative products more quickly than we can. As a result, our product development efforts may not be successful or result in market acceptance of our gear. Our primary competitors include:</w:t>
      </w:r>
    </w:p>
    <w:p>
      <w:pPr>
        <w:spacing w:after="0" w:line="177" w:lineRule="exact"/>
        <w:rPr>
          <w:sz w:val="20"/>
          <w:szCs w:val="20"/>
          <w:color w:val="auto"/>
        </w:rPr>
      </w:pPr>
    </w:p>
    <w:p>
      <w:pPr>
        <w:jc w:val="both"/>
        <w:ind w:right="60" w:firstLine="510"/>
        <w:spacing w:after="0" w:line="279" w:lineRule="auto"/>
        <w:rPr>
          <w:sz w:val="20"/>
          <w:szCs w:val="20"/>
          <w:color w:val="auto"/>
        </w:rPr>
      </w:pPr>
      <w:r>
        <w:rPr>
          <w:rFonts w:ascii="Arial" w:cs="Arial" w:eastAsia="Arial" w:hAnsi="Arial"/>
          <w:sz w:val="17"/>
          <w:szCs w:val="17"/>
          <w:i w:val="1"/>
          <w:iCs w:val="1"/>
          <w:color w:val="auto"/>
        </w:rPr>
        <w:t xml:space="preserve">Competitors in the gamer and creator peripherals market. </w:t>
      </w:r>
      <w:r>
        <w:rPr>
          <w:rFonts w:ascii="Arial" w:cs="Arial" w:eastAsia="Arial" w:hAnsi="Arial"/>
          <w:sz w:val="17"/>
          <w:szCs w:val="17"/>
          <w:color w:val="auto"/>
        </w:rPr>
        <w:t>Our primary competitors in the market for gaming keyboards and mice include Logitech</w:t>
      </w:r>
      <w:r>
        <w:rPr>
          <w:rFonts w:ascii="Arial" w:cs="Arial" w:eastAsia="Arial" w:hAnsi="Arial"/>
          <w:sz w:val="17"/>
          <w:szCs w:val="17"/>
          <w:i w:val="1"/>
          <w:iCs w:val="1"/>
          <w:color w:val="auto"/>
        </w:rPr>
        <w:t xml:space="preserve"> </w:t>
      </w:r>
      <w:r>
        <w:rPr>
          <w:rFonts w:ascii="Arial" w:cs="Arial" w:eastAsia="Arial" w:hAnsi="Arial"/>
          <w:sz w:val="17"/>
          <w:szCs w:val="17"/>
          <w:color w:val="auto"/>
        </w:rPr>
        <w:t>and Razer. Our primary competitors in the market for headset and related audio products include Logitech, Razer and Kingston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7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 xml:space="preserve">Competitors in the gaming components and systems market. </w:t>
      </w:r>
      <w:r>
        <w:rPr>
          <w:rFonts w:ascii="Arial" w:cs="Arial" w:eastAsia="Arial" w:hAnsi="Arial"/>
          <w:sz w:val="18"/>
          <w:szCs w:val="18"/>
          <w:color w:val="auto"/>
        </w:rPr>
        <w:t>Our primary competitors in the market for PSUs, cooling solutions and computer cases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Cooler Master, NZXT, EVGA, Seasonic and Thermaltake. Our primary competitors in the market for DRAM modules include G.Skill, Kingston through its HyperX brand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88"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i w:val="1"/>
          <w:iCs w:val="1"/>
          <w:color w:val="auto"/>
        </w:rPr>
        <w:t>Competitors in new markets</w:t>
      </w:r>
      <w:r>
        <w:rPr>
          <w:rFonts w:ascii="Arial" w:cs="Arial" w:eastAsia="Arial" w:hAnsi="Arial"/>
          <w:sz w:val="17"/>
          <w:szCs w:val="17"/>
          <w:color w:val="auto"/>
        </w:rPr>
        <w:t>. We are considering introducing new gear for gamers or streamers and content creators and, to the extent we introduce</w:t>
      </w:r>
      <w:r>
        <w:rPr>
          <w:rFonts w:ascii="Arial" w:cs="Arial" w:eastAsia="Arial" w:hAnsi="Arial"/>
          <w:sz w:val="17"/>
          <w:szCs w:val="17"/>
          <w:i w:val="1"/>
          <w:iCs w:val="1"/>
          <w:color w:val="auto"/>
        </w:rPr>
        <w:t xml:space="preserve"> </w:t>
      </w:r>
      <w:r>
        <w:rPr>
          <w:rFonts w:ascii="Arial" w:cs="Arial" w:eastAsia="Arial" w:hAnsi="Arial"/>
          <w:sz w:val="17"/>
          <w:szCs w:val="17"/>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65" w:lineRule="exact"/>
        <w:rPr>
          <w:sz w:val="20"/>
          <w:szCs w:val="20"/>
          <w:color w:val="auto"/>
        </w:rPr>
      </w:pPr>
    </w:p>
    <w:p>
      <w:pPr>
        <w:jc w:val="both"/>
        <w:ind w:right="140" w:firstLine="510"/>
        <w:spacing w:after="0" w:line="301" w:lineRule="auto"/>
        <w:rPr>
          <w:sz w:val="20"/>
          <w:szCs w:val="20"/>
          <w:color w:val="auto"/>
        </w:rPr>
      </w:pPr>
      <w:r>
        <w:rPr>
          <w:rFonts w:ascii="Arial" w:cs="Arial" w:eastAsia="Arial" w:hAnsi="Arial"/>
          <w:sz w:val="16"/>
          <w:szCs w:val="16"/>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5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gaming, including streaming and eSports, does not grow as expected or declines our business could be seriously harmed.</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Over the past two decades, gaming has grown from a relatively niche industry to a significant segment of the global entertainment industry with a wide following across various demographic groups globally. This growth includes, and has been driven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76" w:lineRule="exact"/>
        <w:rPr>
          <w:sz w:val="20"/>
          <w:szCs w:val="20"/>
          <w:color w:val="auto"/>
        </w:rPr>
      </w:pPr>
    </w:p>
    <w:p>
      <w:pPr>
        <w:ind w:left="1000" w:right="1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growth of PCs and gaming consoles or the migration of gamers to mobile devices and tablets away from PCs, which historically have been the core focus of our business;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growth of streaming, including its popularity among fans and aspiring content creators and how it impacts their desire to purchase high-performance gaming and streaming gear;</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growth of eSports, including its increasing popularity among fans and amateur eSports athletes and how it impacts their desire to purchase high-performance gaming gear;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particularly economic conditions adversely affecting discretionary consumer spending;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social perceptions of gaming, especially those related to the impact of gaming on health and social development;</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availability and popularity of other forms of entertainment;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consumer demographics, tastes and preferences.</w:t>
      </w:r>
    </w:p>
    <w:p>
      <w:pPr>
        <w:spacing w:after="0" w:line="22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generate a significant portion of our net revenue from gaming-related gear. As a result, any decline or slowdown in the growth of the gaming industry or the declining popularity of the gaming industry could materially and adversely affect our business. Further, while Newzoo has reported that there were 2.4 billion mobile gamers in 2019, 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74"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Our growth prospects are, to a certain extent, connected with the ongoing growth of eSports and live game streaming and any reduction in the growth or popularity of eSports or live game streaming may seriously harm our business.</w:t>
      </w:r>
    </w:p>
    <w:p>
      <w:pPr>
        <w:spacing w:after="0" w:line="62"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The success of our business depends on eSports and live game streaming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5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competitors marketing products that gain broader acceptance among eSports participants or streamers and content creators;</w:t>
      </w:r>
    </w:p>
    <w:p>
      <w:pPr>
        <w:spacing w:after="0" w:line="128" w:lineRule="exact"/>
        <w:rPr>
          <w:rFonts w:ascii="Arial" w:cs="Arial" w:eastAsia="Arial" w:hAnsi="Arial"/>
          <w:sz w:val="17"/>
          <w:szCs w:val="17"/>
          <w:color w:val="auto"/>
        </w:rPr>
      </w:pPr>
    </w:p>
    <w:p>
      <w:pPr>
        <w:ind w:left="1000" w:right="2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popularity of eSports games that do not utilize any of our gear, for example games that run on mobile devices or tablets that replace more traditional eSports; and</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research and development and the gear we sell failing to satisfy the increasing high-performance requirements of competitive gamers or streamers.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Further, there are a number of factors which could result in the growth in the eSports or live game streaming markets stagnating, or even decreasing.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w:t>
      </w:r>
    </w:p>
    <w:p>
      <w:pPr>
        <w:spacing w:after="0" w:line="103"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consumer interest in watching either live or streamed broadcasts of competitors playing video games diminishing or even disappearing;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regulations limiting the broadcast of eSports or live streaming;</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accessibility of streaming and other gaming video content, whether due to platform fragmentation, the erection of paywalls, or otherwise;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20" w:right="540" w:hanging="13"/>
        <w:spacing w:after="0" w:line="527" w:lineRule="auto"/>
        <w:tabs>
          <w:tab w:leader="none" w:pos="10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economics or monetization of eSports performing below expectations, ultimately causing a decrease in outside investments in eSports. If one or more of the above factors are realized, our business may be seriously harmed.</w:t>
      </w:r>
    </w:p>
    <w:p>
      <w:pPr>
        <w:spacing w:after="0" w:line="63"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performance depends to a significant degree upon the contributions of our management team, particularly Andrew J. Paul, our co-</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9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w:t>
      </w:r>
    </w:p>
    <w:p>
      <w:pPr>
        <w:spacing w:after="0" w:line="274"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For example, continuing uncertainty of financial conditions in Europe, including concerns regarding the United Kingdom’s exit from the European Union, and the resulting economic instability and fluctuations in the values of the Euro and British pound compared to the U.S. dollar have led to variations in the local currency selling prices of, and therefore affected demand for, our gear in Europe and the United Kingdom.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0"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b w:val="1"/>
          <w:bCs w:val="1"/>
          <w:i w:val="1"/>
          <w:iCs w:val="1"/>
          <w:color w:val="auto"/>
        </w:rPr>
        <w:t>Total unit shipments of our gear tend to be higher during the third and fourth quarters of the year. As a result, our sales are subject to seasonal fluctuations, which may seriously harm our business.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We expect these seasonality trends to continue. As a result, our total unit shipments are subject to seasonal fluctuations, which may seriously harm our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results of operations are subject to substantial quarterly and annual fluctuations, which may adversely affect the market price of our common stock.</w:t>
      </w:r>
    </w:p>
    <w:p>
      <w:pPr>
        <w:spacing w:after="0" w:line="62"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19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i w:val="1"/>
          <w:iCs w:val="1"/>
          <w:color w:val="auto"/>
        </w:rPr>
        <w:t xml:space="preserve">Factors affecting our business and markets. </w:t>
      </w:r>
      <w:r>
        <w:rPr>
          <w:rFonts w:ascii="Arial" w:cs="Arial" w:eastAsia="Arial" w:hAnsi="Arial"/>
          <w:sz w:val="18"/>
          <w:szCs w:val="18"/>
          <w:color w:val="auto"/>
        </w:rPr>
        <w:t>Our result of operations may be materially adversely affected by factors that directly affect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competitive conditions in our markets, including the following:</w:t>
      </w:r>
    </w:p>
    <w:p>
      <w:pPr>
        <w:spacing w:after="0" w:line="62"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demand for our lower margin products relative to demand for our higher margin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introduction or enhancement of products by us and our competitors, and market acceptance of these new or enhanced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significant retail customers, cancellations or reductions of orders and product returns;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average selling prices of and demand for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in demand for our gear due to our gear having higher price-points than products supplied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discounts and price reductions offered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delay, reduction or cessation of deliveries from one or more of the third parties that manufacture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costs or shortages of our gear or components used in our gear;</w:t>
      </w:r>
    </w:p>
    <w:p>
      <w:pPr>
        <w:spacing w:after="0" w:line="117" w:lineRule="exact"/>
        <w:rPr>
          <w:rFonts w:ascii="Arial" w:cs="Arial" w:eastAsia="Arial" w:hAnsi="Arial"/>
          <w:sz w:val="18"/>
          <w:szCs w:val="18"/>
          <w:color w:val="auto"/>
        </w:rPr>
      </w:pPr>
    </w:p>
    <w:p>
      <w:pPr>
        <w:ind w:left="1000" w:right="34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75"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in trade relations arising from policy initiatives implemented by the current U.S. administration, which has been critical of existing and proposed trade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laws, including tax and trade laws, and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problems in our introduction of new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or problems in the shipment or delivery of gear to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freight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purchasing patterns by the distributors and retailers to which we sell our gear;</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electronics product purchasing patterns by our retail and distributor customers, as well as the gamers and streamers that purchase their gear directly from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pressures resulting in, among other things, lower selling prices or loss of market share;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and adverse outcomes of litigation, governmental proceedings or any proceedings to protect our brand or other intellectual property.</w:t>
      </w:r>
    </w:p>
    <w:p>
      <w:pPr>
        <w:spacing w:after="0" w:line="248"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i w:val="1"/>
          <w:iCs w:val="1"/>
          <w:color w:val="auto"/>
        </w:rPr>
        <w:t>General economic conditions</w:t>
      </w:r>
      <w:r>
        <w:rPr>
          <w:rFonts w:ascii="Arial" w:cs="Arial" w:eastAsia="Arial" w:hAnsi="Arial"/>
          <w:sz w:val="18"/>
          <w:szCs w:val="18"/>
          <w:color w:val="auto"/>
        </w:rPr>
        <w:t>. Our business may be materially adversely affected by factors relating to global, national and regional economies,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in economic conditions, either globally or in specific countries or regions;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outbreaks of pandemics, such as the novel coronavirus;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political instability, natural disasters, war and/or events of terrorism;</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fluctuations in the United States and global economies, including those that impact discretionary consumer spending such as may result from the COVID-19 coronavirus outbreak;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business cycles that affect the markets in which we sell our gear;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fluctuations in interest rates on consumer disposable income.</w:t>
      </w:r>
    </w:p>
    <w:p>
      <w:pPr>
        <w:spacing w:after="0" w:line="22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Technological factors</w:t>
      </w:r>
      <w:r>
        <w:rPr>
          <w:rFonts w:ascii="Arial" w:cs="Arial" w:eastAsia="Arial" w:hAnsi="Arial"/>
          <w:sz w:val="18"/>
          <w:szCs w:val="18"/>
          <w:color w:val="auto"/>
        </w:rPr>
        <w:t>. In addition to technological developments directly relating to our gear, more generalized changes in technology may have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Cloud computing may seriously harm our business.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303"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Conditions in the retail and consumer electronics markets may significantly affect our business and could have an adverse effect on our net revenue.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8"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costs for promotions, customer incentive programs and other initiatives used to stimulate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risk of excess and obsolete inventories, which may require write-downs or impairment charges;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distress or bankruptcy of key suppliers or third-party manufacturers, resulting in insufficient product quantities to meet demand or increases in the cost of producing our gear;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distress or bankruptcy of key distributors, resellers or retailers.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Depressed economic conditions, whether in our key regional markets or globally, could result in a decline in both product prices and the demand for our gear, which may seriously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b w:val="1"/>
          <w:bCs w:val="1"/>
          <w:i w:val="1"/>
          <w:iCs w:val="1"/>
          <w:color w:val="auto"/>
        </w:rPr>
        <w:t>Our sponsorship of individuals, teams and events within the gaming community is subject to numerous risks that may seriously harm our business.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273" w:lineRule="exact"/>
        <w:rPr>
          <w:sz w:val="20"/>
          <w:szCs w:val="20"/>
          <w:color w:val="auto"/>
        </w:rPr>
      </w:pPr>
    </w:p>
    <w:p>
      <w:pPr>
        <w:ind w:left="520" w:right="660"/>
        <w:spacing w:after="0" w:line="277" w:lineRule="auto"/>
        <w:rPr>
          <w:sz w:val="20"/>
          <w:szCs w:val="20"/>
          <w:color w:val="auto"/>
        </w:rPr>
      </w:pPr>
      <w:r>
        <w:rPr>
          <w:rFonts w:ascii="Arial" w:cs="Arial" w:eastAsia="Arial" w:hAnsi="Arial"/>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62"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68"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market share data for DRAM IC manufacturers appearing on the website of DRAM Exchange, a market research firm, Samsung, a manufacturer of DRAM ICs, had an approximately 46% share of the worldwide DRAM IC market for 2017, compared to approximately 29% for Hynix and approximately 21%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coronavirus outbreak has had, and could continue to have, a materially disruptive effect on our business.</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6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spread of COVID-19 has and could continue to seriously harm our business. Current and potential impacts include, but are not limited to, the following:</w:t>
      </w:r>
    </w:p>
    <w:p>
      <w:pPr>
        <w:spacing w:after="0" w:line="62" w:lineRule="exact"/>
        <w:rPr>
          <w:sz w:val="20"/>
          <w:szCs w:val="20"/>
          <w:color w:val="auto"/>
        </w:rPr>
      </w:pPr>
    </w:p>
    <w:p>
      <w:pPr>
        <w:jc w:val="both"/>
        <w:ind w:left="1000" w:right="38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supply and transportation costs have increased, and may continue to increase, as alternate suppliers are sought;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labor shortages within delivery and other industries due to extended worker absences could create further supply chain disruptions;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right="4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exchange rates could make our products less competitive in a price-sensitive environment for our non-US customers; and</w:t>
      </w:r>
    </w:p>
    <w:p>
      <w:pPr>
        <w:spacing w:after="0" w:line="62"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70"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The extent to which the COVID-19 outbreak, including the spread of more contagious and deadly variants,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92" w:lineRule="exact"/>
        <w:rPr>
          <w:sz w:val="20"/>
          <w:szCs w:val="20"/>
          <w:color w:val="auto"/>
        </w:rPr>
      </w:pPr>
    </w:p>
    <w:p>
      <w:pPr>
        <w:jc w:val="both"/>
        <w:ind w:right="140" w:firstLine="510"/>
        <w:spacing w:after="0" w:line="259" w:lineRule="auto"/>
        <w:rPr>
          <w:sz w:val="20"/>
          <w:szCs w:val="20"/>
          <w:color w:val="auto"/>
        </w:rPr>
      </w:pPr>
      <w:r>
        <w:rPr>
          <w:rFonts w:ascii="Arial" w:cs="Arial" w:eastAsia="Arial" w:hAnsi="Arial"/>
          <w:sz w:val="18"/>
          <w:szCs w:val="18"/>
          <w:color w:val="auto"/>
        </w:rPr>
        <w:t>While the extent and duration of the COVID-19 outbreak remains uncertain, the approval and distribution of vaccines could result in the pandemic subsiding in the near term. If and when the pandemic subsides and shelter-in-place and other restrictions are lifted, consumers may start to enjoy activities outside of the home again. If this occurs, demand for our products could decrease. Such a drop in demand could result in a decrease in revenue that would seriously harm our business.</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62" w:lineRule="exact"/>
        <w:rPr>
          <w:sz w:val="20"/>
          <w:szCs w:val="20"/>
          <w:color w:val="auto"/>
        </w:rPr>
      </w:pPr>
    </w:p>
    <w:p>
      <w:pPr>
        <w:ind w:right="420" w:firstLine="510"/>
        <w:spacing w:after="0" w:line="301" w:lineRule="auto"/>
        <w:rPr>
          <w:sz w:val="20"/>
          <w:szCs w:val="20"/>
          <w:color w:val="auto"/>
        </w:rPr>
      </w:pPr>
      <w:r>
        <w:rPr>
          <w:rFonts w:ascii="Arial" w:cs="Arial" w:eastAsia="Arial" w:hAnsi="Arial"/>
          <w:sz w:val="16"/>
          <w:szCs w:val="16"/>
          <w:color w:val="auto"/>
        </w:rPr>
        <w:t>A significant percentage of our net revenue is generated by sales of DRAM modules. In particular, net revenue generated by sales of DRAM modules accounted for a total of 32.9% and 39.1% of our net revenue in 2020 and 2019,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265"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2020 and 2019, sales to Amazon, accounted for 24.6% and 25.1%, of our net revenue, and sales to our ten largest customers accounted for 52.7% and 51.6% of the same periods, respectively, of our net revenue.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or for any customer in China. As a result, if either Amazon or any customer in China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94"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maintain limited manufacturing facilities that only produce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example, each model of our gaming keyboards, gaming mice, gaming headsets, computer cases, PSUs and cooling solutions is produced by a single manufacturer. We do not have long-term supply agreements with some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reliance upon a limited number of manufacturers and suppliers exposes us to numerous risks, including those described below.</w:t>
      </w:r>
    </w:p>
    <w:p>
      <w:pPr>
        <w:spacing w:after="0" w:line="22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i w:val="1"/>
          <w:iCs w:val="1"/>
          <w:color w:val="auto"/>
        </w:rPr>
        <w:t xml:space="preserve">Risks relating to production and manufacturing. </w:t>
      </w:r>
      <w:r>
        <w:rPr>
          <w:rFonts w:ascii="Arial" w:cs="Arial" w:eastAsia="Arial" w:hAnsi="Arial"/>
          <w:sz w:val="16"/>
          <w:szCs w:val="16"/>
          <w:color w:val="auto"/>
        </w:rPr>
        <w:t>Our business could be seriously harmed if our manufacturers or suppliers ceased or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Furthermore,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168"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i w:val="1"/>
          <w:iCs w:val="1"/>
          <w:color w:val="auto"/>
        </w:rPr>
        <w:t>Risks relating to product quality</w:t>
      </w:r>
      <w:r>
        <w:rPr>
          <w:rFonts w:ascii="Arial" w:cs="Arial" w:eastAsia="Arial" w:hAnsi="Arial"/>
          <w:sz w:val="17"/>
          <w:szCs w:val="17"/>
          <w:color w:val="auto"/>
        </w:rPr>
        <w:t>. Our manufacturers or suppliers may provide us with products or components that do not perform reliably or do not</w:t>
      </w:r>
      <w:r>
        <w:rPr>
          <w:rFonts w:ascii="Arial" w:cs="Arial" w:eastAsia="Arial" w:hAnsi="Arial"/>
          <w:sz w:val="17"/>
          <w:szCs w:val="17"/>
          <w:i w:val="1"/>
          <w:iCs w:val="1"/>
          <w:color w:val="auto"/>
        </w:rPr>
        <w:t xml:space="preserve"> </w:t>
      </w:r>
      <w:r>
        <w:rPr>
          <w:rFonts w:ascii="Arial" w:cs="Arial" w:eastAsia="Arial" w:hAnsi="Arial"/>
          <w:sz w:val="17"/>
          <w:szCs w:val="17"/>
          <w:color w:val="auto"/>
        </w:rPr>
        <w:t>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6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i w:val="1"/>
          <w:iCs w:val="1"/>
          <w:color w:val="auto"/>
        </w:rPr>
        <w:t xml:space="preserve">Risks relating to product and component shortages. </w:t>
      </w:r>
      <w:r>
        <w:rPr>
          <w:rFonts w:ascii="Arial" w:cs="Arial" w:eastAsia="Arial" w:hAnsi="Arial"/>
          <w:sz w:val="18"/>
          <w:szCs w:val="18"/>
          <w:color w:val="auto"/>
        </w:rPr>
        <w:t>From time to time we have experienced product shortages due to both disruptions in supply</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69" w:lineRule="exact"/>
        <w:rPr>
          <w:sz w:val="20"/>
          <w:szCs w:val="20"/>
          <w:color w:val="auto"/>
        </w:rPr>
      </w:pPr>
    </w:p>
    <w:p>
      <w:pPr>
        <w:ind w:left="520" w:right="620"/>
        <w:spacing w:after="0" w:line="342" w:lineRule="auto"/>
        <w:rPr>
          <w:sz w:val="20"/>
          <w:szCs w:val="20"/>
          <w:color w:val="auto"/>
        </w:rPr>
      </w:pPr>
      <w:r>
        <w:rPr>
          <w:rFonts w:ascii="Arial" w:cs="Arial" w:eastAsia="Arial" w:hAnsi="Arial"/>
          <w:sz w:val="16"/>
          <w:szCs w:val="16"/>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240"/>
        <w:spacing w:after="0" w:line="263" w:lineRule="auto"/>
        <w:rPr>
          <w:sz w:val="20"/>
          <w:szCs w:val="20"/>
          <w:color w:val="auto"/>
        </w:rPr>
      </w:pPr>
      <w:r>
        <w:rPr>
          <w:rFonts w:ascii="Arial" w:cs="Arial" w:eastAsia="Arial" w:hAnsi="Arial"/>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276" w:lineRule="exact"/>
        <w:rPr>
          <w:sz w:val="20"/>
          <w:szCs w:val="20"/>
          <w:color w:val="auto"/>
        </w:rPr>
      </w:pPr>
    </w:p>
    <w:p>
      <w:pPr>
        <w:ind w:left="520" w:right="80"/>
        <w:spacing w:after="0" w:line="375" w:lineRule="auto"/>
        <w:rPr>
          <w:sz w:val="20"/>
          <w:szCs w:val="20"/>
          <w:color w:val="auto"/>
        </w:rPr>
      </w:pPr>
      <w:r>
        <w:rPr>
          <w:rFonts w:ascii="Arial" w:cs="Arial" w:eastAsia="Arial" w:hAnsi="Arial"/>
          <w:sz w:val="15"/>
          <w:szCs w:val="15"/>
          <w:b w:val="1"/>
          <w:bCs w:val="1"/>
          <w:i w:val="1"/>
          <w:iCs w:val="1"/>
          <w:color w:val="auto"/>
        </w:rPr>
        <w:t>While we operate a facility in Taiwan that assembles, tests and packages most of our DRAM modules and certain other products, we rely upon manufacturers in China to produce a significant portion of our other products, which exposes us to risks that may seriously harm our business.</w:t>
      </w:r>
    </w:p>
    <w:p>
      <w:pPr>
        <w:spacing w:after="0" w:line="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operate a facility in Taiwan that assembles, tests, packages and ultimately supplies nearly all of our DRAM modules and a significant portion of our cooling solutions and prebuilt and custom gaming systems.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Taiwan and China exposes us to numerous risks.</w:t>
      </w:r>
    </w:p>
    <w:p>
      <w:pPr>
        <w:spacing w:after="0" w:line="176"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believe one of the most significant risks associated with this concentration in Taiwan and China is that production may be interrupted or limited because of labor shortages in southern China and by strains on the local infrastructure. In addition, production at facilities located in China or Taiwan,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risks resulting from this concentration of our manufacturing facilities and our suppliers in Taiwan and China include the following:</w:t>
      </w:r>
    </w:p>
    <w:p>
      <w:pPr>
        <w:spacing w:after="0" w:line="129" w:lineRule="exact"/>
        <w:rPr>
          <w:sz w:val="20"/>
          <w:szCs w:val="20"/>
          <w:color w:val="auto"/>
        </w:rPr>
      </w:pPr>
    </w:p>
    <w:p>
      <w:pPr>
        <w:ind w:left="1000" w:right="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and enforcement of China’s laws continues to evolve, which may make it more difficult for us to obtain a reliable supply of our gear at predictable costs;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costs may be increased and deliveries of our gear may be decreased or delayed by trade restrictions; and</w:t>
      </w:r>
    </w:p>
    <w:p>
      <w:pPr>
        <w:spacing w:after="0" w:line="117"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occurrence of any one or more of these risks may seriously harm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successfully coordinate the worldwide manufacturing and distribution of our gear, we could lose sales.</w:t>
      </w:r>
    </w:p>
    <w:p>
      <w:pPr>
        <w:spacing w:after="0" w:line="11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79" w:lineRule="exact"/>
        <w:rPr>
          <w:sz w:val="20"/>
          <w:szCs w:val="20"/>
          <w:color w:val="auto"/>
        </w:rPr>
      </w:pPr>
    </w:p>
    <w:p>
      <w:pPr>
        <w:ind w:left="520" w:right="240"/>
        <w:spacing w:after="0" w:line="375" w:lineRule="auto"/>
        <w:rPr>
          <w:sz w:val="20"/>
          <w:szCs w:val="20"/>
          <w:color w:val="auto"/>
        </w:rPr>
      </w:pPr>
      <w:r>
        <w:rPr>
          <w:rFonts w:ascii="Arial" w:cs="Arial" w:eastAsia="Arial" w:hAnsi="Arial"/>
          <w:sz w:val="15"/>
          <w:szCs w:val="15"/>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79"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effective tax rate may increase in the future, including as a result of the Reorganization and recent U.S. tax legislation.</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 In the past, we have experienced fluctuations in our effective income tax rate which reflects a variety of factors that may or may not be present in any given year.</w:t>
      </w:r>
    </w:p>
    <w:p>
      <w:pPr>
        <w:spacing w:after="0" w:line="18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As a result of the Reorganization, we acquired a number of non-U.S. affiliated entities with substantial non-U.S. assets and operations. Following the Reorganization, we may be subject to current U.S. federal income taxes on the earnings of such non-U.S. affiliates in a manner that may adversely impact our effective tax rate.</w:t>
      </w:r>
    </w:p>
    <w:p>
      <w:pPr>
        <w:spacing w:after="0" w:line="18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On December 22, 2017, the Tax Cuts and Jobs Act of 2017, or Tax Act, was enacted, which has significantly changed the U.S. federal income taxation of U.S. corporations, including by reducing the U.S. corporate income tax rate, limiting interest deductions, permitting immediate expensing of certain capital expenditures, adopting elements of a partially territorial tax system, revising the rules governing net operating losses and the rules governing foreign tax credits, and introducing new anti-base erosion provisions. The legislation is unclear in many respects and could be subject to potential amendments and technical corrections, as well as interpretations and implementing regulations by the Treasury and Internal Revenue Service, or the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w:t>
      </w:r>
    </w:p>
    <w:p>
      <w:pPr>
        <w:spacing w:after="0" w:line="16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On March 27, 2020, the Coronavirus Aid, Relief and Economic Security, or CARES, Act was enacted, which provides temporary relief from certain aspects of the Tax Act that had imposed limitations on the utilization of certain losses, interest expense deductions, and minimum tax credits. We have recorded additional income tax benefits of $0.6 million during the year ended December 31, 2020 resulting from the enactment of the CARES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light of these factors, there can be no assurance that our effective income tax rate will not change in future periods. Accordingly, if this were to occur, and if our effective tax rate were to increase, our business may be seriously harmed.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ability to utilize our net operating losses, or NOLs, carryforwards and certain other tax attributes may be limited.</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8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86"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b w:val="1"/>
          <w:bCs w:val="1"/>
          <w:i w:val="1"/>
          <w:iCs w:val="1"/>
          <w:color w:val="auto"/>
        </w:rPr>
        <w:t>Technological developments or other changes in our industry could render our gear less competitive or obsolete, which may seriously harm our business.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$50.1 million and $37.5 million for 2020 and 2019, respectively, representing 2.9% and 3.4% of our net revenue for these periods, respectively. Our failure to improve our gear, create new and relevant categories of gear and adapt to changing business models in a timely manner may seriously harm our business.</w:t>
      </w:r>
    </w:p>
    <w:p>
      <w:pPr>
        <w:spacing w:after="0" w:line="287" w:lineRule="exact"/>
        <w:rPr>
          <w:sz w:val="20"/>
          <w:szCs w:val="20"/>
          <w:color w:val="auto"/>
        </w:rPr>
      </w:pPr>
    </w:p>
    <w:p>
      <w:pPr>
        <w:ind w:left="520"/>
        <w:spacing w:after="0" w:line="263" w:lineRule="auto"/>
        <w:rPr>
          <w:sz w:val="20"/>
          <w:szCs w:val="20"/>
          <w:color w:val="auto"/>
        </w:rPr>
      </w:pPr>
      <w:r>
        <w:rPr>
          <w:rFonts w:ascii="Arial" w:cs="Arial" w:eastAsia="Arial" w:hAnsi="Arial"/>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7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6"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Over the past few years, we have expanded the number and type of gear we sell, and the geographic markets in which we sell them, and we will endeavor to further expand our product portfolio and sales reach. The growth of our product portfolio and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92" w:lineRule="exact"/>
        <w:rPr>
          <w:sz w:val="20"/>
          <w:szCs w:val="20"/>
          <w:color w:val="auto"/>
        </w:rPr>
      </w:pPr>
    </w:p>
    <w:p>
      <w:pPr>
        <w:ind w:left="520" w:right="200"/>
        <w:spacing w:after="0" w:line="308" w:lineRule="auto"/>
        <w:rPr>
          <w:sz w:val="20"/>
          <w:szCs w:val="20"/>
          <w:color w:val="auto"/>
        </w:rPr>
      </w:pPr>
      <w:r>
        <w:rPr>
          <w:rFonts w:ascii="Arial" w:cs="Arial" w:eastAsia="Arial" w:hAnsi="Arial"/>
          <w:sz w:val="17"/>
          <w:szCs w:val="17"/>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38"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4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87" w:lineRule="exact"/>
        <w:rPr>
          <w:sz w:val="20"/>
          <w:szCs w:val="20"/>
          <w:color w:val="auto"/>
        </w:rPr>
      </w:pPr>
    </w:p>
    <w:p>
      <w:pPr>
        <w:ind w:right="260" w:firstLine="510"/>
        <w:spacing w:after="0" w:line="272" w:lineRule="auto"/>
        <w:rPr>
          <w:sz w:val="20"/>
          <w:szCs w:val="20"/>
          <w:color w:val="auto"/>
        </w:rPr>
      </w:pPr>
      <w:r>
        <w:rPr>
          <w:rFonts w:ascii="Arial" w:cs="Arial" w:eastAsia="Arial" w:hAnsi="Arial"/>
          <w:sz w:val="17"/>
          <w:szCs w:val="17"/>
          <w:color w:val="auto"/>
        </w:rPr>
        <w:t>In addition, we provide a variety of rebates to both customers and gamers, including instant rebates, volume incentive rebates, back end rebates and mail-in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 result of all of these rebates and other financial incentives is offset from our gross revenue. For 2020 and 2019, our gross revenue was reduced approximately by between 6% and 9% as a result of these rebates and other financial incentives. In the future, we also may be required to write down inventory or receivables due to product obsolescence or because of declines in market prices of our gear. Any write-downs or offsets could seriously harm our business.</w:t>
      </w:r>
    </w:p>
    <w:p>
      <w:pPr>
        <w:spacing w:after="0" w:line="28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6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78"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74" w:lineRule="exact"/>
        <w:rPr>
          <w:sz w:val="20"/>
          <w:szCs w:val="20"/>
          <w:color w:val="auto"/>
        </w:rPr>
      </w:pPr>
    </w:p>
    <w:p>
      <w:pPr>
        <w:ind w:left="520" w:right="680"/>
        <w:spacing w:after="0" w:line="277" w:lineRule="auto"/>
        <w:rPr>
          <w:sz w:val="20"/>
          <w:szCs w:val="20"/>
          <w:color w:val="auto"/>
        </w:rPr>
      </w:pPr>
      <w:r>
        <w:rPr>
          <w:rFonts w:ascii="Arial" w:cs="Arial" w:eastAsia="Arial" w:hAnsi="Arial"/>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62"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competition for attractive acquisitions and other strategic transactions, and we may not be successful in completing any such acquisitions or other strategic transactions in the future. Acquisitions may be particularly challenging during the COVID-19 pandemic. For example, we will likely not be able to travel to conduct in-person meetings and due diligence sessions with potential target companies.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6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7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92"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 unable to meet our working capital needs, we may be required to reduce expenses or product purchases, or delay the development, commercialization and marketing of our gear, which would seriously harm our business.</w:t>
      </w:r>
    </w:p>
    <w:p>
      <w:pPr>
        <w:spacing w:after="0" w:line="7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debt financing may be limited by a covenant in our credit facilities, which requires our Consolidated Total Net Leverage Ratio (as defined in our credit facilities) to be no greater than 8.0 to 1.0 if our revolving credit facility is more than 35% drawn. As a result, the restriction imposed by our debt covenants could limit, perhaps substantially, the amount we are permitted to borrow under our credit facilities or under other debt arrangements.</w:t>
      </w:r>
    </w:p>
    <w:p>
      <w:pPr>
        <w:spacing w:after="0" w:line="182"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69"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had $321.4 million of indebtedness as of December 31, 2020.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76"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i w:val="1"/>
          <w:iCs w:val="1"/>
          <w:color w:val="auto"/>
        </w:rPr>
        <w:t xml:space="preserve">Cash flow required to pay debt service. </w:t>
      </w:r>
      <w:r>
        <w:rPr>
          <w:rFonts w:ascii="Arial" w:cs="Arial" w:eastAsia="Arial" w:hAnsi="Arial"/>
          <w:sz w:val="18"/>
          <w:szCs w:val="18"/>
          <w:color w:val="auto"/>
        </w:rPr>
        <w:t>We may be required to dedicate a substantial portion of our available cash flow to debt service. This risk 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the fact that borrowings under our credit facilities bear interest at a variable rate. This exposes us to the risk that the amount of cash required to pay interest under our credit facilities will increase to the extent that market interest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increases. Our indebtedness and debt service obligations may also increase our vulnerability to economic downturns and adverse competitive and industry conditions.</w:t>
      </w:r>
    </w:p>
    <w:p>
      <w:pPr>
        <w:spacing w:after="0" w:line="170"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i w:val="1"/>
          <w:iCs w:val="1"/>
          <w:color w:val="auto"/>
        </w:rPr>
        <w:t>Adverse effect of financial and other covenants</w:t>
      </w:r>
      <w:r>
        <w:rPr>
          <w:rFonts w:ascii="Arial" w:cs="Arial" w:eastAsia="Arial" w:hAnsi="Arial"/>
          <w:sz w:val="17"/>
          <w:szCs w:val="17"/>
          <w:color w:val="auto"/>
        </w:rPr>
        <w:t>. The covenants and other restrictions in our credit facilities and any debt instruments we may enter</w:t>
      </w:r>
      <w:r>
        <w:rPr>
          <w:rFonts w:ascii="Arial" w:cs="Arial" w:eastAsia="Arial" w:hAnsi="Arial"/>
          <w:sz w:val="17"/>
          <w:szCs w:val="17"/>
          <w:i w:val="1"/>
          <w:iCs w:val="1"/>
          <w:color w:val="auto"/>
        </w:rPr>
        <w:t xml:space="preserve"> </w:t>
      </w:r>
      <w:r>
        <w:rPr>
          <w:rFonts w:ascii="Arial" w:cs="Arial" w:eastAsia="Arial" w:hAnsi="Arial"/>
          <w:sz w:val="17"/>
          <w:szCs w:val="17"/>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Risks of default</w:t>
      </w:r>
      <w:r>
        <w:rPr>
          <w:rFonts w:ascii="Arial" w:cs="Arial" w:eastAsia="Arial" w:hAnsi="Arial"/>
          <w:sz w:val="17"/>
          <w:szCs w:val="17"/>
          <w:color w:val="auto"/>
        </w:rPr>
        <w:t>. If we breach or are unable to comply with a covenant or other agreement contained in a debt instrument, the lender generally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some of the shares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 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17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i w:val="1"/>
          <w:iCs w:val="1"/>
          <w:color w:val="auto"/>
        </w:rPr>
        <w:t>Restrictions under our credit facilities</w:t>
      </w:r>
      <w:r>
        <w:rPr>
          <w:rFonts w:ascii="Arial" w:cs="Arial" w:eastAsia="Arial" w:hAnsi="Arial"/>
          <w:sz w:val="16"/>
          <w:szCs w:val="16"/>
          <w:color w:val="auto"/>
        </w:rPr>
        <w:t>. We must comply with covenants under our current credit facilities, one of which requires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Total Net Leverage Ratio (as defined in our credit facilities) to be no greater than 8.0 to 1.0 if the revolving credit facility is more than 35% drawn. Our Consolidated Total Net Leverage Ratio as of December 31, 2020 was 0.9 to 1.0. While we were in compliance with this covenant as of December 31, 2020, there can be no assurance that we will not breach these covenants in our credit facilities in the future or other covenants in our future credit facilities.</w:t>
      </w:r>
    </w:p>
    <w:p>
      <w:pPr>
        <w:spacing w:after="0" w:line="15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Our credit facilities also include covenants that limit or restrict our ability to, among other things, incur liens on our properties, make acquisitions and other investments and sell assets, subject to specified exceptions. In addition to the covenants described in the preceding sentence, we are also prohibited from incurring indebtedness other than debt owed to the lender under our credit facilities, debt associated with certain liens permitted by our credit facilities or subordinated debt. Our credit facilities also contain restrictions on our ability to pay dividends or make distributions in respect of our common stock or redemptions or repurchases of our common stock.</w:t>
      </w:r>
    </w:p>
    <w:p>
      <w:pPr>
        <w:spacing w:after="0" w:line="296"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The phase-out of the London Interbank Offered Rate, or LIBOR, or the replacement of LIBOR with a different reference rate, may adversely affect interest rates.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Borrowings under our credit facilities bear interest at rates determined using LIBOR as the reference rate. On July 27, 2017, the Financial Conduct Authority (the authority that regulates LIBOR) announced that it would phase-out LIBOR by the end of 2021. It is unclear whether new methods of calculating LIBOR will be established such that it continues to exist after 2021, or if alternative rates or benchmarks will be adopted, and currently it appears highly likely that LIBOR will be discontinued or substantially modified by 2021.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Furthermore, we may need to renegotiate our revolving credit facility or incur other indebtedness, and changes in the method of calculating LIBOR, or the use of an alternative rate or benchmark, may negatively impact the terms of such indebtedness.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62"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Sales to customers outside the United States accounted for 62.1% and 64.7% our net revenue for 2020 and 2019,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76"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gear;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trade and technical standards in a variety of jurisdictions;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 including the risks associated with fraud, theft and other illegal conduct;</w:t>
      </w:r>
    </w:p>
    <w:p>
      <w:pPr>
        <w:spacing w:after="0" w:line="128" w:lineRule="exact"/>
        <w:rPr>
          <w:rFonts w:ascii="Arial" w:cs="Arial" w:eastAsia="Arial" w:hAnsi="Arial"/>
          <w:sz w:val="17"/>
          <w:szCs w:val="17"/>
          <w:color w:val="auto"/>
        </w:rPr>
      </w:pPr>
    </w:p>
    <w:p>
      <w:pPr>
        <w:ind w:left="1000" w:right="4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62"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or between China and the United States;</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United States and foreign trade restrictions, including those that may limit the importation of technology or components to or from various countries or impose tariffs or quotas;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or increased costs in establishing sales and distribution channels in unfamiliar markets, with their own market characteristics and competition;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currency exchange controls or taxes that make it impracticable or costly to repatriate funds from foreign countries.</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78"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6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Actual or perceived breaches of our security measures or the accidental loss, inadvertent disclosure or unapproved dissemination of proprietary information or sensitive or confidential data about us, our partners, our customers or third parties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92"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are subject to a variety of laws and regulations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5"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5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9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62"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76" w:lineRule="exact"/>
        <w:rPr>
          <w:sz w:val="20"/>
          <w:szCs w:val="20"/>
          <w:color w:val="auto"/>
        </w:rPr>
      </w:pPr>
    </w:p>
    <w:p>
      <w:pPr>
        <w:ind w:right="140" w:firstLine="510"/>
        <w:spacing w:after="0" w:line="284" w:lineRule="auto"/>
        <w:rPr>
          <w:sz w:val="20"/>
          <w:szCs w:val="20"/>
          <w:color w:val="auto"/>
        </w:rPr>
      </w:pPr>
      <w:r>
        <w:rPr>
          <w:rFonts w:ascii="Arial" w:cs="Arial" w:eastAsia="Arial" w:hAnsi="Arial"/>
          <w:sz w:val="16"/>
          <w:szCs w:val="16"/>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 member states may make their own additional laws and regulations in relation to certain data processing activities, which could limit our ability to use and share personal data or could require localized changes to our operating model. Under the GDPR, fines of up</w:t>
      </w:r>
    </w:p>
    <w:p>
      <w:pPr>
        <w:spacing w:after="0" w:line="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8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while the Data Protection Act of 2018, which “implements” and complements the GDPR, achieved Royal Assent on May 23, 2018 and is now effective in the United Kingdom, it is still unclear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whether transfer of data from the EEA to the United Kingdom will remain lawful under GDPR. During the period of “transition” (i.e., until December 31, 2020), EU law will continue to apply in the United Kingdom, and the GDPR will be converted into UK law. Beginning in 2021, the UK will be a “third country” under the GDPR, and we may incur liabilities, expenses, costs, and other operational losses under the GDPR and applicable EU Member States, and the United Kingdom privacy laws, in connection with any measures that we take to comply with them.</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to the United States could result in further limitations on the ability to transfer personal data across borders, particularly if governments are unable or unwilling to reach new or maintain existing agreements that support cross-border data transfers, such as the EU-U.S. and Swiss-U.S. Privacy Shield Frameworks. Specifically, on July 16, 2020, the Court of Justice of the European Union invalidated Decision 2016/1250 on the adequacy of the protection provided by the EU-U.S. Privacy Shield Framework. To the extent that we were to rely on the EU-U.S. Privacy Shield Framework, we will not be able to do so in the future, which could increase our costs and limit our ability to process personal data from the EU. The same decision also casts doubt on the alternatives to the Privacy Shield, in particular the European Commission’s Standard Contractual Clauses to lawfully transfer personal data from Europe to the United States and most other countries, and by requiring additional risk assessments increasing the regulatory burden relating to such alternatives. At present, there are few if any viable alternatives to the Privacy Shield and the Standard Contractual Clauses.</w:t>
      </w:r>
    </w:p>
    <w:p>
      <w:pPr>
        <w:spacing w:after="0" w:line="179"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would also create a new California data protection agency specifically tasked to enforce the law, which would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85"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Furthermore,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6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w:t>
      </w:r>
    </w:p>
    <w:p>
      <w:pPr>
        <w:spacing w:after="0" w:line="296"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62"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 product line and disposes of inventory at reduced prices, this may also result in over-supply of and reduced demand for our gear and could have a short-term adverse effect on our results of operations and financial condition.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online operations are subject to numerous risks that may seriously harm our business.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79"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62"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2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are required to test goodwill, intangible assets and other long-lived assets for recoverability and may be required to record charges if there are indicators of impairment, and we have in the past recognized impairment charges. As of December 31, 2020, we had approximately $312.8 million of goodwill, $259.3 million of intangible assets and $16.5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8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Nightsword, Scimitar, Vengeance,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use the Corsair, Corsair ONE, Dark Core, Dominator, Elgato, Glaive, Harpoon, iCUE, Ironclaw, K70, Nightsword, Origin, SCUF, Slipstream, Scimitar, Vengeance and Void brand names, or other brand names we maintain, to sell their products in countries where we do not have trademark protection, it may seriously harm our business.</w:t>
      </w:r>
    </w:p>
    <w:p>
      <w:pPr>
        <w:spacing w:after="0" w:line="184" w:lineRule="exact"/>
        <w:rPr>
          <w:sz w:val="20"/>
          <w:szCs w:val="20"/>
          <w:color w:val="auto"/>
        </w:rPr>
      </w:pPr>
    </w:p>
    <w:p>
      <w:pPr>
        <w:ind w:right="360" w:firstLine="510"/>
        <w:spacing w:after="0" w:line="257" w:lineRule="auto"/>
        <w:rPr>
          <w:sz w:val="20"/>
          <w:szCs w:val="20"/>
          <w:color w:val="auto"/>
        </w:rPr>
      </w:pPr>
      <w:r>
        <w:rPr>
          <w:rFonts w:ascii="Arial" w:cs="Arial" w:eastAsia="Arial" w:hAnsi="Arial"/>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84"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7"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Some of our products contain open source software, which may pose particular risks to our proprietary software and products.</w:t>
      </w:r>
    </w:p>
    <w:p>
      <w:pPr>
        <w:spacing w:after="0" w:line="129"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Furthermore,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84" w:lineRule="exact"/>
        <w:rPr>
          <w:sz w:val="20"/>
          <w:szCs w:val="20"/>
          <w:color w:val="auto"/>
        </w:rPr>
      </w:pPr>
    </w:p>
    <w:p>
      <w:pPr>
        <w:ind w:left="520" w:right="200"/>
        <w:spacing w:after="0" w:line="308" w:lineRule="auto"/>
        <w:rPr>
          <w:sz w:val="20"/>
          <w:szCs w:val="20"/>
          <w:color w:val="auto"/>
        </w:rPr>
      </w:pPr>
      <w:r>
        <w:rPr>
          <w:rFonts w:ascii="Arial" w:cs="Arial" w:eastAsia="Arial" w:hAnsi="Arial"/>
          <w:sz w:val="17"/>
          <w:szCs w:val="17"/>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3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w:t>
      </w:r>
    </w:p>
    <w:p>
      <w:pPr>
        <w:spacing w:after="0" w:line="2" w:lineRule="exact"/>
        <w:rPr>
          <w:sz w:val="20"/>
          <w:szCs w:val="20"/>
          <w:color w:val="auto"/>
        </w:rPr>
      </w:pPr>
    </w:p>
    <w:p>
      <w:pPr>
        <w:jc w:val="both"/>
        <w:ind w:right="260"/>
        <w:spacing w:after="0" w:line="277" w:lineRule="auto"/>
        <w:rPr>
          <w:sz w:val="20"/>
          <w:szCs w:val="20"/>
          <w:color w:val="auto"/>
        </w:rPr>
      </w:pPr>
      <w:r>
        <w:rPr>
          <w:rFonts w:ascii="Arial" w:cs="Arial" w:eastAsia="Arial" w:hAnsi="Arial"/>
          <w:sz w:val="17"/>
          <w:szCs w:val="17"/>
          <w:color w:val="auto"/>
        </w:rPr>
        <w:t>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81"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74"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controls over financial reporting. If our remediation of the material weaknesses is not effective or we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preparation of our 2018 audited financial statements, we identified material weaknesses in our internal controls over financial reporting. A material weakness is a deficiency, or a combination of deficiencies, in internal controls over financial reporting, such that there is a reasonable possibility that a material misstatement of our annual or interim consolidated financial statements will not be prevented or detected on a timely basis.</w:t>
      </w:r>
    </w:p>
    <w:p>
      <w:pPr>
        <w:spacing w:after="0" w:line="1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These material weaknesses related to maintaining an insufficient compliment of appropriately trained resources, which resulted in the failure to identify risks related to appropriate process level controls over accounting across multiple areas of financial reporting, including inventory, income taxes, general information technology controls, warranty reserves, sales returns and web based sales.</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After these material weaknesses were identified, during 2019 management implemented a remediation plan that included hiring key accounting personnel. While we have taken steps to remediate these material weaknesses, there can be no assurance that these measures will significantly improve or fully remediate the material weaknesses described above. If we are unable to remediate the above material weaknesses, our reputation and the market price of our stock could be seriously harmed.</w:t>
      </w:r>
    </w:p>
    <w:p>
      <w:pPr>
        <w:spacing w:after="0" w:line="295"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6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1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7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controlled by EagleTree, whose interests in our business may be different than yours.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As of December 31, 2020, and after giving effect to the registered secondary offering in January 2021, EagleTree beneficially owned approximately 67%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16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76"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9" w:lineRule="exact"/>
        <w:rPr>
          <w:sz w:val="20"/>
          <w:szCs w:val="20"/>
          <w:color w:val="auto"/>
        </w:rPr>
      </w:pPr>
    </w:p>
    <w:p>
      <w:pPr>
        <w:ind w:left="5540" w:right="2460" w:hanging="5033"/>
        <w:spacing w:after="0" w:line="527" w:lineRule="auto"/>
        <w:tabs>
          <w:tab w:leader="none" w:pos="10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1000" w:right="80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may decline.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8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concerning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estimates or guidance that we or our competitors may give to the market;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of new technologies or other innovations;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outbreak of epidemics or pandemics, such as the coronavirus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widespread civil unrest;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liquid and orderly market for our common stock may not be maintained.</w:t>
      </w:r>
    </w:p>
    <w:p>
      <w:pPr>
        <w:spacing w:after="0" w:line="117"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Prior to our initial public offering, there had been no public market for shares of our common stock. Our stock only recently began trading on Nasdaq, but we can provide no assurance that we will be able to maintain an active trading market on Nasdaq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17" w:lineRule="exact"/>
        <w:rPr>
          <w:sz w:val="20"/>
          <w:szCs w:val="20"/>
          <w:color w:val="auto"/>
        </w:rPr>
      </w:pPr>
    </w:p>
    <w:p>
      <w:pPr>
        <w:jc w:val="both"/>
        <w:ind w:right="100" w:firstLine="510"/>
        <w:spacing w:after="0" w:line="287"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described in the related prospectus dated September 22, 2020 and the prospectus dated January 21, 2021 lapse, the trading price of our common stock could decline. Based upon the number of shares outstanding as of December 31, 2020, we had outstanding a total of</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91,934,639 shares of common stock. Of these shares, all of the shares of our common stock sold in the initial public offering and in the subsequent exercise of the underwriters’ option to purchase additional shares, are freely tradable, without restriction, in the public market.</w:t>
      </w:r>
    </w:p>
    <w:p>
      <w:pPr>
        <w:spacing w:after="0" w:line="18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lock-up agreements pertaining to our initial public offering will expire on March 21, 2021, or the IPO Lockups, and the lock-up agreements pertaining to our January 2021 secondary offering will expire on April 21, 2021, or the Secondary Lockups. We note that the Secondary Lockups, or 65.7 million shares, were initially part of the IPO Lockups. After the IPO Lockups expire, as of December 31, 2020 and giving effect to the January 2021 secondary offering, up to approximately 2.5 million additional shares of common stock will be eligible for sale in the public market, none of which shares are held by directors, executive officers and other affiliates and may be subject to Rule 144 under the U.S. Securities Act of 1933, as amended, or the Securities Act. After the Secondary Lockups expire, as of December 31, 2020, up to approximately 65.7 million additional shares of common stock will be eligible for sale in the public market, which is in addition to the shares eligible for sale after the IPO Lockups expire, approximately 65.4 million of which shares are held by directors, executive officers and other affiliates and may be subject to Rule 144. Goldman Sachs &amp; Co. LLC may, however, in its sole discretion, permit our officers, directors, the selling stockholders and the other stockholders who are subject to these lock-up agreements to sell shares prior to the expiration of the lock-up agreements.</w:t>
      </w:r>
    </w:p>
    <w:p>
      <w:pPr>
        <w:spacing w:after="0" w:line="185"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as of December 31, 2020, approximately 10.2 million shares of common stock that are either subject to outstanding options or reserved for future issuance under our equity incentive plans became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spacing w:after="0" w:line="17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As of December 31, 2020 and after giving effect to sale of our common stock by EagleTree in the secondary offering in January 2021, the holders of approximately 61.9 million shares of our common stock, or approximately 67.3% of our total outstanding common stock based upon the number of shares outstanding as of December 31, 2020, will be entitled to rights with respect to the registration of their shares under the Securities Act, subject to vesting schedules and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8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7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80" w:lineRule="exact"/>
        <w:rPr>
          <w:sz w:val="20"/>
          <w:szCs w:val="20"/>
          <w:color w:val="auto"/>
        </w:rPr>
      </w:pPr>
    </w:p>
    <w:p>
      <w:pPr>
        <w:ind w:left="1000" w:right="8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62"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75"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submit nominations of candidates for election to our board of directors and other proposals to be brought before a stockholders meeting;</w:t>
      </w:r>
    </w:p>
    <w:p>
      <w:pPr>
        <w:spacing w:after="0" w:line="62"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75" w:lineRule="exact"/>
        <w:rPr>
          <w:rFonts w:ascii="Arial" w:cs="Arial" w:eastAsia="Arial" w:hAnsi="Arial"/>
          <w:sz w:val="18"/>
          <w:szCs w:val="18"/>
          <w:color w:val="auto"/>
        </w:rPr>
      </w:pPr>
    </w:p>
    <w:p>
      <w:pPr>
        <w:ind w:left="1000" w:right="22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terms of three years each;</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62"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62" w:lineRule="exact"/>
        <w:rPr>
          <w:rFonts w:ascii="Arial" w:cs="Arial" w:eastAsia="Arial" w:hAnsi="Arial"/>
          <w:sz w:val="18"/>
          <w:szCs w:val="18"/>
          <w:color w:val="auto"/>
        </w:rPr>
      </w:pPr>
    </w:p>
    <w:p>
      <w:pPr>
        <w:jc w:val="both"/>
        <w:ind w:left="1000" w:hanging="493"/>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26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62" w:lineRule="exact"/>
        <w:rPr>
          <w:sz w:val="20"/>
          <w:szCs w:val="20"/>
          <w:color w:val="auto"/>
        </w:rPr>
      </w:pPr>
    </w:p>
    <w:p>
      <w:pPr>
        <w:ind w:left="1000" w:right="120" w:hanging="493"/>
        <w:spacing w:after="0" w:line="279"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left="1000" w:right="20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00" w:right="26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78"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65" w:lineRule="exact"/>
        <w:rPr>
          <w:sz w:val="20"/>
          <w:szCs w:val="20"/>
          <w:color w:val="auto"/>
        </w:rPr>
      </w:pPr>
    </w:p>
    <w:p>
      <w:pPr>
        <w:ind w:left="520" w:right="2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7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96" w:lineRule="exact"/>
        <w:rPr>
          <w:sz w:val="20"/>
          <w:szCs w:val="20"/>
          <w:color w:val="auto"/>
        </w:rPr>
      </w:pPr>
    </w:p>
    <w:p>
      <w:pPr>
        <w:ind w:left="520"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w:t>
      </w:r>
    </w:p>
    <w:p>
      <w:pPr>
        <w:spacing w:after="0" w:line="1" w:lineRule="exact"/>
        <w:rPr>
          <w:sz w:val="20"/>
          <w:szCs w:val="20"/>
          <w:color w:val="auto"/>
        </w:rPr>
      </w:pPr>
    </w:p>
    <w:p>
      <w:pPr>
        <w:ind w:right="40" w:firstLine="8"/>
        <w:spacing w:after="0" w:line="268"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89" w:lineRule="exact"/>
        <w:rPr>
          <w:sz w:val="20"/>
          <w:szCs w:val="20"/>
          <w:color w:val="auto"/>
        </w:rPr>
      </w:pPr>
    </w:p>
    <w:p>
      <w:pPr>
        <w:ind w:left="520" w:right="6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contains a provision renouncing our interest and expectancy in certain corporate opportunities.</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December 31, 2020,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future tax audits in various jurisdictions, which may seriously harm our business.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including in the Acquisition Transaction, and the tax positions we have adopted in connection with these restructuring transactions may be subject to challenge. While we have contractual rights to indemnification in respect of certain taxable periods ending on or before the date of the Acquisition Transaction, such indemnity protection does not address all potential tax risks that may arise from such taxable periods, and there can be no assurance that we would be successful in collecting on an indemnification claim if such tax matters were to arise. Accordingly, a material assessment by a tax authority in any jurisdiction could require that we make significant cash payments without reimbursement. If this were to occur, our business may be seriously harmed.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Failure to comply with other laws and governmental regulations may seriously harm our business.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7" w:lineRule="exact"/>
        <w:rPr>
          <w:sz w:val="20"/>
          <w:szCs w:val="20"/>
          <w:color w:val="auto"/>
        </w:rPr>
      </w:pPr>
    </w:p>
    <w:p>
      <w:pPr>
        <w:ind w:right="660" w:firstLine="510"/>
        <w:spacing w:after="0" w:line="308" w:lineRule="auto"/>
        <w:rPr>
          <w:sz w:val="20"/>
          <w:szCs w:val="20"/>
          <w:color w:val="auto"/>
        </w:rPr>
      </w:pPr>
      <w:r>
        <w:rPr>
          <w:rFonts w:ascii="Arial" w:cs="Arial" w:eastAsia="Arial" w:hAnsi="Arial"/>
          <w:sz w:val="17"/>
          <w:szCs w:val="17"/>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400"/>
        <w:spacing w:after="0" w:line="342" w:lineRule="auto"/>
        <w:rPr>
          <w:sz w:val="20"/>
          <w:szCs w:val="20"/>
          <w:color w:val="auto"/>
        </w:rPr>
      </w:pPr>
      <w:r>
        <w:rPr>
          <w:rFonts w:ascii="Arial" w:cs="Arial" w:eastAsia="Arial" w:hAnsi="Arial"/>
          <w:sz w:val="16"/>
          <w:szCs w:val="16"/>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16"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68"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financial performance.</w:t>
      </w:r>
    </w:p>
    <w:p>
      <w:pPr>
        <w:spacing w:after="0" w:line="1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Furthermore, if we are unable to satisfy our obligations as a public company, we could be subject to delisting of our common stock, fines, sanctions and other regulatory action and potentially civil litigation.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right="120"/>
        <w:spacing w:after="0" w:line="279" w:lineRule="auto"/>
        <w:rPr>
          <w:sz w:val="20"/>
          <w:szCs w:val="20"/>
          <w:color w:val="auto"/>
        </w:rPr>
      </w:pPr>
      <w:r>
        <w:rPr>
          <w:rFonts w:ascii="Arial" w:cs="Arial" w:eastAsia="Arial" w:hAnsi="Arial"/>
          <w:sz w:val="17"/>
          <w:szCs w:val="17"/>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6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by the time our annual report for the year ending December 31, 2021 is due and thereafter, which will require us to document and make significant changes to our internal controls over financial reporting. Likewise, our independent registered public accounting firm will be required to provide an attestation report on the effectiveness of our internal controls over financial reporting in our Annual Report on Form 10-K to be filed in 2022. As a result, we will be required to improve our financial and managerial controls, reporting systems and procedures, to incur substantial expenses to test our systems to make such improvements and to hire additional personnel.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such as those described more fully above,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principal executive office is located in Fremont, California and consists of approximately 96,000 square feet of space under a lease that expires in March 2022. We lease manufacturing and warehousing facilities in Suwanee, Georgia and Miami, Florida, Netherlands and Taoyuan, Taiwan and we also lease properties in various parts of the United States, Europe and Asia for our product development, sales and service support and administrative functions. Our property leases, which expire at various dates through August 2030 are for an aggregate of approximately 470,000 square feet. In addition, we have approximately 275,000 of space dedicated to us in our contracts with various third-party distribution centers in California and China for additional warehouses to store our inventory).</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Both our gamer and creator peripherals segment and gaming components and systems segment utilize substantially each of our leased facilities.</w:t>
      </w:r>
    </w:p>
    <w:p>
      <w:pPr>
        <w:spacing w:after="0" w:line="140"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We believe that the facilities that we currently occupy are adequate for our current needs and that suitable additional space will be available, as needed, to accommodate the presently foreseeable expansion of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186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of our Common Stock</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traded on the Nasdaq Global Select Market under the symbol “CRSR”.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According to the records of our transfer agent, there were 19 holders of record of our common stock on February 26, 2021. Because many of such shares are held by brokers and other institutions on behalf of stockholders, we are unable to estimate the total number of stockholders represented by these record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Further, our credit facilities also contain restrictions on our ability to pay dividends or make distributions in respect of our common stock or redemptions or repurchases of our common stock and future credit facilities or other borrowing arrangements may contain similar provisions.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graph below compares (i) the cumulative total stockholder return on our common stock from September 23, 2020 (the date our common stock commenced trading on Nasdaq Global Select Market) through December 31, 2020 with (ii) the cumulative total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return of the Nasdaq Composite Index and the S&amp;P Information Technology Index over the same period, assuming the investment of $100 in our common stock and in both of the indices on September 23, 2020 and the reinvestments of dividends,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117475</wp:posOffset>
            </wp:positionV>
            <wp:extent cx="5760720" cy="4783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From January 1, 2020 through December 31, 2020, there were no sales or issuances of unregistered securities that were not otherwise reported in a Form 10-Q or Form 8-K.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Other than nine shares of common stock that were repurchased in connection with our Reorganization in September 2020, we did not repurchase any of our equity securities during the fiscal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following selected financial data should be read in conjunction with “Management’s Discussion and Analysis of Financial Condition and Results of Operations” and the combined consolidated financial statements and related notes thereto included elsewhere in this Annual Report on Form 10-K.</w:t>
      </w:r>
    </w:p>
    <w:p>
      <w:pPr>
        <w:spacing w:after="0" w:line="184"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In connection with the consummation of the IPO of our common stock, we completed a corporate reorganization, which was accounted for as a combination of entities under common control. As a result of the Acquisition Transaction, we applied purchase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accounting and a new basis of accounting beginning on August 28, 2017, the date of the Acquisition Transaction. Further, we were required by GAAP to record all assets and liabilities at fair value as of the effective date of the Acquisition Transaction. Accordingly, the financial statements are presented for two periods: (i) the accounts of Corsair Components (Cayman) Ltd. and its wholly-owned subsidiaries through August 27, 2017 and (ii) our and our subsidiaries’ accounts on and after August 28, 2017. We refer to the periods through August 27, 2017 as the Predecessor and the periods on and after August 28, 2017 as the Successor.</w:t>
      </w:r>
    </w:p>
    <w:p>
      <w:pPr>
        <w:spacing w:after="0" w:line="18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selected statement of operations data for the year ended December 31, 2016 and the period from January 1, 2017 to August 27, 2017, which relate to the Predecessor, and for the period from August 28, 2017 to December 31, 2017, which relate to the Successor, and the selected balance sheet data as of December 31, 2016, 2017 and 2018 are derived from audited financial statements that are not included in this Annual Report on Form 10-K. The selected statement of operations data for the years ended December 31, 2018, 2019 and 2020 and the selected balance sheet data as of December 31, 2019 and 2020, which relate to the Successor, are derived from audited financial statements that are included elsewhere in this Annual Report on Form 10-K. Our historical results are not necessarily indicative of the results that may be expected in the future.</w:t>
      </w:r>
    </w:p>
    <w:p>
      <w:pPr>
        <w:spacing w:after="0" w:line="178"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Although the period from January 1, 2017 to August 27, 2017 relates to the Predecessor and the period from August 28, 2017 to December 31, 2017 relates to the Successor, in order to assist in the period to period comparison, we are presenting an unaudited pro forma statement of operations for the year ended December 31, 2017. See “Unaudited Pro Forma Financial Information for the Acquisition Transaction” included in final prospectus on Form 424B filed with the SEC on September 24, 2020 for an explanation of the pro forma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88"/>
              </w:rPr>
              <w:t>Successor</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8"/>
              </w:rPr>
              <w:t>Pro Forma</w:t>
            </w:r>
          </w:p>
        </w:tc>
        <w:tc>
          <w:tcPr>
            <w:tcW w:w="10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5"/>
              </w:rPr>
              <w:t>Period from</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Year Ended</w:t>
            </w:r>
          </w:p>
        </w:tc>
        <w:tc>
          <w:tcPr>
            <w:tcW w:w="10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1"/>
              </w:rPr>
              <w:t>August 28 to</w:t>
            </w: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January 1 to</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December 31,</w:t>
            </w:r>
          </w:p>
        </w:tc>
        <w:tc>
          <w:tcPr>
            <w:tcW w:w="114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w w:val="92"/>
              </w:rPr>
              <w:t>December 31,</w:t>
            </w: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August 27,</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9"/>
              </w:rPr>
              <w:t>2017</w:t>
            </w:r>
          </w:p>
        </w:tc>
        <w:tc>
          <w:tcPr>
            <w:tcW w:w="200" w:type="dxa"/>
            <w:vAlign w:val="bottom"/>
            <w:tcBorders>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(Unaudited)</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8"/>
          </w:tcPr>
          <w:p>
            <w:pPr>
              <w:jc w:val="right"/>
              <w:ind w:right="460"/>
              <w:spacing w:after="0"/>
              <w:rPr>
                <w:sz w:val="20"/>
                <w:szCs w:val="20"/>
                <w:color w:val="auto"/>
              </w:rPr>
            </w:pPr>
            <w:r>
              <w:rPr>
                <w:rFonts w:ascii="Arial" w:cs="Arial" w:eastAsia="Arial" w:hAnsi="Arial"/>
                <w:sz w:val="13"/>
                <w:szCs w:val="13"/>
                <w:b w:val="1"/>
                <w:bCs w:val="1"/>
                <w:color w:val="auto"/>
              </w:rPr>
              <w:t>(in thousands, except per share amount)</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Net revenues</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1,702,367</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1,097,174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937,553</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855,549</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366,110</w:t>
            </w: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489,439</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595,402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4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1,236,938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872,887</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744,858</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683,058</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289,854</w:t>
            </w:r>
          </w:p>
        </w:tc>
        <w:tc>
          <w:tcPr>
            <w:tcW w:w="200" w:type="dxa"/>
            <w:vAlign w:val="bottom"/>
            <w:tcBorders>
              <w:bottom w:val="single" w:sz="8" w:color="CFF0FC"/>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393,204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467,424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465,429</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224,287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192,695</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172,491</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76,256</w:t>
            </w: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96,235</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Operating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Sales, general and administrative</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257,004</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163,033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138,915</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117,596</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54,526</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69,326</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Product development</w:t>
            </w:r>
          </w:p>
        </w:tc>
        <w:tc>
          <w:tcPr>
            <w:tcW w:w="4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37,547</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31,990</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25,598</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w:t>
            </w:r>
          </w:p>
        </w:tc>
        <w:tc>
          <w:tcPr>
            <w:tcW w:w="200" w:type="dxa"/>
            <w:vAlign w:val="bottom"/>
            <w:tcBorders>
              <w:bottom w:val="single" w:sz="8" w:color="CFF0FC"/>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4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307,068</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200,580</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170,905</w:t>
            </w: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143,194</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63,725</w:t>
            </w: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81,281</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88,172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Arial" w:cs="Arial" w:eastAsia="Arial" w:hAnsi="Arial"/>
                <w:sz w:val="16"/>
                <w:szCs w:val="16"/>
                <w:color w:val="auto"/>
              </w:rPr>
              <w:t>Operating income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158,361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23,707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21,790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29,297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12,531</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(35,137)</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(35,548)</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(32,680)</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(24,490)</w:t>
            </w: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(8,753)</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(3,474)</w:t>
            </w:r>
          </w:p>
        </w:tc>
        <w:tc>
          <w:tcPr>
            <w:tcW w:w="0" w:type="dxa"/>
            <w:vAlign w:val="bottom"/>
          </w:tcPr>
          <w:p>
            <w:pPr>
              <w:spacing w:after="0"/>
              <w:rPr>
                <w:sz w:val="1"/>
                <w:szCs w:val="1"/>
                <w:color w:val="auto"/>
              </w:rPr>
            </w:pPr>
          </w:p>
        </w:tc>
      </w:tr>
      <w:tr>
        <w:trPr>
          <w:trHeight w:val="219"/>
        </w:trPr>
        <w:tc>
          <w:tcPr>
            <w:tcW w:w="3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 (expense) income, net</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(1,558)</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(96)</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(2,236)</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6"/>
                <w:szCs w:val="16"/>
                <w:color w:val="auto"/>
              </w:rPr>
              <w:t>Total other expense, net</w:t>
            </w: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(36,319)</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(37,106)</w:t>
            </w:r>
          </w:p>
        </w:tc>
        <w:tc>
          <w:tcPr>
            <w:tcW w:w="2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(32,497)</w:t>
            </w: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(23,973)</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(8,849)</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(1,636)</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(5,710)</w:t>
            </w:r>
          </w:p>
        </w:tc>
        <w:tc>
          <w:tcPr>
            <w:tcW w:w="0" w:type="dxa"/>
            <w:vAlign w:val="bottom"/>
          </w:tcPr>
          <w:p>
            <w:pPr>
              <w:spacing w:after="0"/>
              <w:rPr>
                <w:sz w:val="1"/>
                <w:szCs w:val="1"/>
                <w:color w:val="auto"/>
              </w:rPr>
            </w:pPr>
          </w:p>
        </w:tc>
      </w:tr>
      <w:tr>
        <w:trPr>
          <w:trHeight w:val="21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Income (loss) before income taxes</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122,042</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(13,399)</w:t>
            </w:r>
          </w:p>
        </w:tc>
        <w:tc>
          <w:tcPr>
            <w:tcW w:w="200" w:type="dxa"/>
            <w:vAlign w:val="bottom"/>
            <w:shd w:val="clear" w:color="auto" w:fill="CFF0FC"/>
          </w:tcPr>
          <w:p>
            <w:pPr>
              <w:spacing w:after="0"/>
              <w:rPr>
                <w:sz w:val="19"/>
                <w:szCs w:val="19"/>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(10,707)</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5,324</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3,682</w:t>
            </w:r>
          </w:p>
        </w:tc>
        <w:tc>
          <w:tcPr>
            <w:tcW w:w="20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13,318</w:t>
            </w:r>
          </w:p>
        </w:tc>
        <w:tc>
          <w:tcPr>
            <w:tcW w:w="1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40"/>
              <w:spacing w:after="0"/>
              <w:rPr>
                <w:sz w:val="20"/>
                <w:szCs w:val="20"/>
                <w:color w:val="auto"/>
              </w:rPr>
            </w:pPr>
            <w:r>
              <w:rPr>
                <w:rFonts w:ascii="Arial" w:cs="Arial" w:eastAsia="Arial" w:hAnsi="Arial"/>
                <w:sz w:val="16"/>
                <w:szCs w:val="16"/>
                <w:color w:val="auto"/>
              </w:rPr>
              <w:t>Income tax (expense) benefit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(18,825)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(3,013)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1,877</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(4,775)</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(5,519)</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103,217</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(8,394)</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(13,720)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7,439</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5,559</w:t>
            </w: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8,543</w:t>
            </w: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bottom w:val="single" w:sz="8" w:color="CFF0FC"/>
            </w:tcBorders>
            <w:vMerge w:val="restart"/>
          </w:tcPr>
          <w:p>
            <w:pPr>
              <w:spacing w:after="0" w:line="240" w:lineRule="exact"/>
              <w:rPr>
                <w:sz w:val="20"/>
                <w:szCs w:val="20"/>
                <w:color w:val="auto"/>
              </w:rPr>
            </w:pPr>
            <w:r>
              <w:rPr>
                <w:rFonts w:ascii="Arial" w:cs="Arial" w:eastAsia="Arial" w:hAnsi="Arial"/>
                <w:sz w:val="16"/>
                <w:szCs w:val="16"/>
                <w:color w:val="auto"/>
              </w:rPr>
              <w:t xml:space="preserve">Net income (loss) per share </w:t>
            </w:r>
            <w:r>
              <w:rPr>
                <w:rFonts w:ascii="Arial" w:cs="Arial" w:eastAsia="Arial" w:hAnsi="Arial"/>
                <w:sz w:val="27"/>
                <w:szCs w:val="27"/>
                <w:color w:val="auto"/>
                <w:vertAlign w:val="superscript"/>
              </w:rPr>
              <w:t>(1)</w:t>
            </w: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(0.11)</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(0.18)</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(0.11)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(0.18)</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0.07</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used to compute net</w:t>
            </w:r>
          </w:p>
        </w:tc>
        <w:tc>
          <w:tcPr>
            <w:tcW w:w="4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right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(loss) per share</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3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86,256</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76,223</w:t>
            </w: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75,458</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75,025</w:t>
            </w:r>
          </w:p>
        </w:tc>
        <w:tc>
          <w:tcPr>
            <w:tcW w:w="200" w:type="dxa"/>
            <w:vAlign w:val="bottom"/>
            <w:tcBorders>
              <w:bottom w:val="single" w:sz="8" w:color="CFF0FC"/>
              <w:right w:val="single" w:sz="8" w:color="auto"/>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3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90,577</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76,223</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75,458</w:t>
            </w: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75,025</w:t>
            </w:r>
          </w:p>
        </w:tc>
        <w:tc>
          <w:tcPr>
            <w:tcW w:w="200" w:type="dxa"/>
            <w:vAlign w:val="bottom"/>
            <w:tcBorders>
              <w:bottom w:val="single" w:sz="8" w:color="CFF0FC"/>
              <w:right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right="100" w:hanging="372"/>
        <w:spacing w:after="0" w:line="25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Net income per share information for the Predecessor periods is not presented because it is not meaningful due to the change in capital structure that occurred as a result of the Acquisition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4"/>
              </w:rPr>
              <w:t>Successor</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3"/>
            <w:vMerge w:val="restart"/>
          </w:tcPr>
          <w:p>
            <w:pPr>
              <w:jc w:val="center"/>
              <w:ind w:left="321"/>
              <w:spacing w:after="0"/>
              <w:rPr>
                <w:sz w:val="20"/>
                <w:szCs w:val="20"/>
                <w:color w:val="auto"/>
              </w:rPr>
            </w:pPr>
            <w:r>
              <w:rPr>
                <w:rFonts w:ascii="Arial" w:cs="Arial" w:eastAsia="Arial" w:hAnsi="Arial"/>
                <w:sz w:val="14"/>
                <w:szCs w:val="14"/>
                <w:b w:val="1"/>
                <w:bCs w:val="1"/>
                <w:color w:val="auto"/>
                <w:w w:val="90"/>
              </w:rPr>
              <w:t>As of December 31,</w:t>
            </w:r>
          </w:p>
        </w:tc>
        <w:tc>
          <w:tcPr>
            <w:tcW w:w="7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41"/>
              <w:spacing w:after="0" w:line="133"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w w:val="83"/>
              </w:rPr>
              <w:t>2018</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Cash and restricted cash</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133,568</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51,947</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27,920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19,030</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226,007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151,063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149,022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114,986</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185,590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129,880</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97,199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102,081</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259,317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291,027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247,812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259,363</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312,750</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226,679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203,122</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1,314,115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1,059,718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810,993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734,607</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Debt,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321,393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505,812</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422,717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284,156</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33,820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34,690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42,314</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Retained earnings (accumulated deficit)</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(106,030) </w:t>
            </w:r>
            <w:r>
              <w:rPr>
                <w:rFonts w:ascii="Arial" w:cs="Arial" w:eastAsia="Arial" w:hAnsi="Arial"/>
                <w:sz w:val="13"/>
                <w:szCs w:val="13"/>
                <w:color w:val="auto"/>
              </w:rPr>
              <w:t>(1)</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(93,161) </w:t>
            </w:r>
            <w:r>
              <w:rPr>
                <w:rFonts w:ascii="Arial" w:cs="Arial" w:eastAsia="Arial" w:hAnsi="Arial"/>
                <w:sz w:val="13"/>
                <w:szCs w:val="13"/>
                <w:color w:val="auto"/>
              </w:rPr>
              <w:t>(1)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5,560</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Total stockholders' (deficit) equity</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437,390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216,775</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162,702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254,661</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(38,229)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Reflects the payment of an $85 million special dividend. See “Management’s Discussion and Analysis of Financial Condition and Results of Operations—Liquidity and Capital Resources.”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468"/>
        <w:spacing w:after="0" w:line="275" w:lineRule="auto"/>
        <w:rPr>
          <w:sz w:val="20"/>
          <w:szCs w:val="20"/>
          <w:color w:val="auto"/>
        </w:rPr>
      </w:pPr>
      <w:r>
        <w:rPr>
          <w:rFonts w:ascii="Arial" w:cs="Arial" w:eastAsia="Arial" w:hAnsi="Arial"/>
          <w:sz w:val="17"/>
          <w:szCs w:val="17"/>
          <w:i w:val="1"/>
          <w:iCs w:val="1"/>
          <w:color w:val="auto"/>
        </w:rPr>
        <w:t xml:space="preserve">You should read the following discussion of our financial condition and results of operations in conjunction with the combined consolidated financial statements and the related notes included elsewhere in this Annual Report on Form 10-K. The following discussion contains forward-looking statements that involve risks and uncertainties. Our actual results could differ materially from such forward-looking statements. Factors that could cause or contribute to these differences include those discussed below and elsewhere in this Annual Report on Form 10-K, particularly in the section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below in Item 7A, </w:t>
      </w:r>
      <w:r>
        <w:rPr>
          <w:rFonts w:ascii="Arial" w:cs="Arial" w:eastAsia="Arial" w:hAnsi="Arial"/>
          <w:sz w:val="17"/>
          <w:szCs w:val="17"/>
          <w:color w:val="auto"/>
        </w:rPr>
        <w:t>“</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468"/>
        <w:spacing w:after="0" w:line="272" w:lineRule="auto"/>
        <w:rPr>
          <w:sz w:val="20"/>
          <w:szCs w:val="20"/>
          <w:color w:val="auto"/>
        </w:rPr>
      </w:pPr>
      <w:r>
        <w:rPr>
          <w:rFonts w:ascii="Arial" w:cs="Arial" w:eastAsia="Arial" w:hAnsi="Arial"/>
          <w:sz w:val="17"/>
          <w:szCs w:val="17"/>
          <w:color w:val="auto"/>
        </w:rPr>
        <w:t>We are a leading global provider and innovator of high-performance gear for gamers, streamers and content creators. We design industry-leading gaming gear that helps digital athletes, from casual gamers to committed professionals, to perform at their peak across PC or console platforms, and streaming gear that enables creators to produce studio-quality content to share with friends or to broadcast to millions of fans. Our solution is a complete suite of gear that addresses the most critical components for both game performance and streaming. Our product offering is enhanced by our two proprietary software platforms: iCUE for gamers and the Elgato streaming suite for content creators, which provide unified, intuitive performance, and aesthetic control and customization across their respective product families. During 2020, we further enhanced our streaming product offerings through acquiring EpocCam software and Gamer Sensei gaming coaching services.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group our products into two categories (segments):</w:t>
      </w:r>
    </w:p>
    <w:p>
      <w:pPr>
        <w:spacing w:after="0" w:line="131" w:lineRule="exact"/>
        <w:rPr>
          <w:sz w:val="20"/>
          <w:szCs w:val="20"/>
          <w:color w:val="auto"/>
        </w:rPr>
      </w:pPr>
    </w:p>
    <w:p>
      <w:pPr>
        <w:jc w:val="both"/>
        <w:ind w:left="1000" w:right="500" w:hanging="493"/>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Gamer and creator peripherals. </w:t>
      </w:r>
      <w:r>
        <w:rPr>
          <w:rFonts w:ascii="Arial" w:cs="Arial" w:eastAsia="Arial" w:hAnsi="Arial"/>
          <w:sz w:val="18"/>
          <w:szCs w:val="18"/>
          <w:color w:val="auto"/>
        </w:rPr>
        <w:t>Includes our high-performance gaming keyboards, mice, headsets, controllers, and our streaming gear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capture cards, Stream Decks, USB microphones, studio accessories, and EpocCam software, as well as coaching and training services, among others.</w:t>
      </w:r>
    </w:p>
    <w:p>
      <w:pPr>
        <w:spacing w:after="0" w:line="89"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Gaming components and systems. </w:t>
      </w:r>
      <w:r>
        <w:rPr>
          <w:rFonts w:ascii="Arial" w:cs="Arial" w:eastAsia="Arial" w:hAnsi="Arial"/>
          <w:sz w:val="18"/>
          <w:szCs w:val="18"/>
          <w:color w:val="auto"/>
        </w:rPr>
        <w:t>Includes our high-performance power supply units, or PSUs, cooling solutions, computer cases, DRAM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modules, as well as high-end prebuilt and custom-built gaming PCs, among others.</w:t>
      </w:r>
    </w:p>
    <w:p>
      <w:pPr>
        <w:spacing w:after="0" w:line="170" w:lineRule="exact"/>
        <w:rPr>
          <w:sz w:val="20"/>
          <w:szCs w:val="20"/>
          <w:color w:val="auto"/>
        </w:rPr>
      </w:pPr>
    </w:p>
    <w:p>
      <w:pPr>
        <w:ind w:right="200" w:firstLine="468"/>
        <w:spacing w:after="0" w:line="275" w:lineRule="auto"/>
        <w:rPr>
          <w:sz w:val="20"/>
          <w:szCs w:val="20"/>
          <w:color w:val="auto"/>
        </w:rPr>
      </w:pPr>
      <w:r>
        <w:rPr>
          <w:rFonts w:ascii="Arial" w:cs="Arial" w:eastAsia="Arial" w:hAnsi="Arial"/>
          <w:sz w:val="17"/>
          <w:szCs w:val="17"/>
          <w:color w:val="auto"/>
        </w:rPr>
        <w:t>Our gear is sold to gaming enthusiasts worldwide through either our retail channel or our direct-to-consumer channel. In our retail channel, we distribute our gear either directly to the retailer, such as Amazon and Best Buy, or through key distributors. While we historically have sold a small percentage of our gear directly to consumers through our website, following the SCUF Acquisition and the Origin Acquisition in 2019, the volume of direct-to-consumer sales has increased as both of these companies primarily generated sales through direct-to-consumer channels. We expect net revenue from our direct-to-consumer channel to increase as a percentage of total net revenue in future periods.</w:t>
      </w:r>
    </w:p>
    <w:p>
      <w:pPr>
        <w:spacing w:after="0" w:line="68" w:lineRule="exact"/>
        <w:rPr>
          <w:sz w:val="20"/>
          <w:szCs w:val="20"/>
          <w:color w:val="auto"/>
        </w:rPr>
      </w:pPr>
    </w:p>
    <w:p>
      <w:pPr>
        <w:ind w:right="120" w:firstLine="468"/>
        <w:spacing w:after="0" w:line="288" w:lineRule="auto"/>
        <w:rPr>
          <w:sz w:val="20"/>
          <w:szCs w:val="20"/>
          <w:color w:val="auto"/>
        </w:rPr>
      </w:pPr>
      <w:r>
        <w:rPr>
          <w:rFonts w:ascii="Arial" w:cs="Arial" w:eastAsia="Arial" w:hAnsi="Arial"/>
          <w:sz w:val="16"/>
          <w:szCs w:val="16"/>
          <w:color w:val="auto"/>
        </w:rPr>
        <w:t>From time to time, we may seek to partner with or, when appropriate, acquire companies that have products, personnel, and technologies that complement our strategic direction. In July 2019, we acquired Origin PC Corporation, a company based in Florida, specializing in delivering hand-built, personalized high-end gaming PCs and in December 2019, we acquired SCUF Holdings, Inc. and its subsidiaries. SCUF, headquartered in Georgia, specializes in delivering superior accessories and customized gaming controllers for gaming consoles and PCs that are used by top professional gamers as well as competitive amateur gamers. The addition of Origin’s and SCUF’s products enhances and expands our product offering to PC and console gamers, respectively. We subsequently completed three more immaterial acquisitions. In August 2020, we acquired EpocCam to enhance the Elgato streaming camera software offering; in October 2020, we acquired Gamer Sensei to offer gaming coaching services to the wide audience of gamers looking to improve their skills and in February 2021, we acquired Visuals by Impulse to provide creative services to streamers looking to professionalize the look of their broadcast. Origin is part of our gaming components and systems segment and SCUF, EpocCam, Gamer Sensei and Visual by Impulse are part of our gamer and creator peripherals segment. See Note 5 of the Notes to our combined consolidated financial statements for additional information.</w:t>
      </w:r>
    </w:p>
    <w:p>
      <w:pPr>
        <w:spacing w:after="0" w:line="168" w:lineRule="exact"/>
        <w:rPr>
          <w:sz w:val="20"/>
          <w:szCs w:val="20"/>
          <w:color w:val="auto"/>
        </w:rPr>
      </w:pPr>
    </w:p>
    <w:p>
      <w:pPr>
        <w:ind w:right="240" w:firstLine="468"/>
        <w:spacing w:after="0" w:line="311" w:lineRule="auto"/>
        <w:rPr>
          <w:sz w:val="20"/>
          <w:szCs w:val="20"/>
          <w:color w:val="auto"/>
        </w:rPr>
      </w:pPr>
      <w:r>
        <w:rPr>
          <w:rFonts w:ascii="Arial" w:cs="Arial" w:eastAsia="Arial" w:hAnsi="Arial"/>
          <w:sz w:val="16"/>
          <w:szCs w:val="16"/>
          <w:color w:val="auto"/>
        </w:rPr>
        <w:t>Our net revenue was $1.7 billion, $1.1 billion, and $937.6 million for 2020, 2019, and 2018, respectively, representing year-over-year increases of 55.2% and 17.0% for 2020 and 2019, respectively. We had net income (loss) of $103.2 million, $(8.4) million, and $(13.7) million for 2020, 2019, and 2018, respectively. Net cash provided by operating activities was $169.0 million, $37.1 million and $0.4 million for 2020, 2019, and 2018,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right="240" w:firstLine="468"/>
        <w:spacing w:after="0" w:line="277" w:lineRule="auto"/>
        <w:rPr>
          <w:sz w:val="20"/>
          <w:szCs w:val="20"/>
          <w:color w:val="auto"/>
        </w:rPr>
      </w:pPr>
      <w:r>
        <w:rPr>
          <w:rFonts w:ascii="Arial" w:cs="Arial" w:eastAsia="Arial" w:hAnsi="Arial"/>
          <w:sz w:val="18"/>
          <w:szCs w:val="18"/>
          <w:color w:val="auto"/>
        </w:rPr>
        <w:t>Our results of operations and financial condition are affected by numerous factors, including those discussed in the section titled “Risk Factors” in Part I, Item 1A of this Annual Report on Form 10-K and those described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Impact of Industry Trends</w:t>
      </w:r>
      <w:r>
        <w:rPr>
          <w:rFonts w:ascii="Arial" w:cs="Arial" w:eastAsia="Arial" w:hAnsi="Arial"/>
          <w:sz w:val="17"/>
          <w:szCs w:val="17"/>
          <w:color w:val="auto"/>
        </w:rPr>
        <w:t>. Our results of operations and financial condition are impacted by industry trends in the gaming market, including:</w:t>
      </w:r>
    </w:p>
    <w:p>
      <w:pPr>
        <w:spacing w:after="0" w:line="129" w:lineRule="exact"/>
        <w:rPr>
          <w:sz w:val="20"/>
          <w:szCs w:val="20"/>
          <w:color w:val="auto"/>
        </w:rPr>
      </w:pPr>
    </w:p>
    <w:p>
      <w:pPr>
        <w:ind w:left="1000" w:right="200" w:hanging="533"/>
        <w:spacing w:after="0" w:line="30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Increasing gaming engagement</w:t>
      </w:r>
      <w:r>
        <w:rPr>
          <w:rFonts w:ascii="Arial" w:cs="Arial" w:eastAsia="Arial" w:hAnsi="Arial"/>
          <w:sz w:val="16"/>
          <w:szCs w:val="16"/>
          <w:color w:val="auto"/>
        </w:rPr>
        <w:t>. We believe that gaming’s increasing time share of global entertainment consumption will drive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in spending on both games and gaming gear. Gaming continues to become increasingly social and streaming viewership is more widely adopted along with increasing numbers of content creators. We believe this trend, which has accelerated in the current environment, will continue and Corsair is well positioned to serve the streaming market with best-in-class tools for content creation.</w:t>
      </w:r>
    </w:p>
    <w:p>
      <w:pPr>
        <w:spacing w:after="0" w:line="49" w:lineRule="exact"/>
        <w:rPr>
          <w:rFonts w:ascii="Arial" w:cs="Arial" w:eastAsia="Arial" w:hAnsi="Arial"/>
          <w:sz w:val="16"/>
          <w:szCs w:val="16"/>
          <w:color w:val="auto"/>
        </w:rPr>
      </w:pPr>
    </w:p>
    <w:p>
      <w:pPr>
        <w:ind w:left="1000" w:right="20" w:hanging="533"/>
        <w:spacing w:after="0" w:line="289"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Introduction of new high-performance computing hardware and sophisticated games</w:t>
      </w:r>
      <w:r>
        <w:rPr>
          <w:rFonts w:ascii="Arial" w:cs="Arial" w:eastAsia="Arial" w:hAnsi="Arial"/>
          <w:sz w:val="16"/>
          <w:szCs w:val="16"/>
          <w:color w:val="auto"/>
        </w:rPr>
        <w:t>. We believe that the introduction of more powerful</w:t>
      </w:r>
      <w:r>
        <w:rPr>
          <w:rFonts w:ascii="Arial" w:cs="Arial" w:eastAsia="Arial" w:hAnsi="Arial"/>
          <w:sz w:val="16"/>
          <w:szCs w:val="16"/>
          <w:i w:val="1"/>
          <w:iCs w:val="1"/>
          <w:color w:val="auto"/>
        </w:rPr>
        <w:t xml:space="preserve"> </w:t>
      </w:r>
      <w:r>
        <w:rPr>
          <w:rFonts w:ascii="Arial" w:cs="Arial" w:eastAsia="Arial" w:hAnsi="Arial"/>
          <w:sz w:val="16"/>
          <w:szCs w:val="16"/>
          <w:color w:val="auto"/>
        </w:rPr>
        <w:t>CPUs and GPUs 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66" w:lineRule="exact"/>
        <w:rPr>
          <w:sz w:val="20"/>
          <w:szCs w:val="20"/>
          <w:color w:val="auto"/>
        </w:rPr>
      </w:pPr>
    </w:p>
    <w:p>
      <w:pPr>
        <w:ind w:right="140" w:firstLine="468"/>
        <w:spacing w:after="0" w:line="257" w:lineRule="auto"/>
        <w:rPr>
          <w:sz w:val="20"/>
          <w:szCs w:val="20"/>
          <w:color w:val="auto"/>
        </w:rPr>
      </w:pPr>
      <w:r>
        <w:rPr>
          <w:rFonts w:ascii="Arial" w:cs="Arial" w:eastAsia="Arial" w:hAnsi="Arial"/>
          <w:sz w:val="18"/>
          <w:szCs w:val="18"/>
          <w:b w:val="1"/>
          <w:bCs w:val="1"/>
          <w:i w:val="1"/>
          <w:iCs w:val="1"/>
          <w:color w:val="auto"/>
        </w:rPr>
        <w:t>Impact of Product Mix</w:t>
      </w:r>
      <w:r>
        <w:rPr>
          <w:rFonts w:ascii="Arial" w:cs="Arial" w:eastAsia="Arial" w:hAnsi="Arial"/>
          <w:sz w:val="18"/>
          <w:szCs w:val="18"/>
          <w:color w:val="auto"/>
        </w:rPr>
        <w:t>. Our gamer and creator peripherals segment has a higher gross margin than our gaming components and systems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88" w:lineRule="exact"/>
        <w:rPr>
          <w:sz w:val="20"/>
          <w:szCs w:val="20"/>
          <w:color w:val="auto"/>
        </w:rPr>
      </w:pPr>
    </w:p>
    <w:p>
      <w:pPr>
        <w:ind w:right="280" w:firstLine="468"/>
        <w:spacing w:after="0" w:line="287" w:lineRule="auto"/>
        <w:rPr>
          <w:sz w:val="20"/>
          <w:szCs w:val="20"/>
          <w:color w:val="auto"/>
        </w:rPr>
      </w:pPr>
      <w:r>
        <w:rPr>
          <w:rFonts w:ascii="Arial" w:cs="Arial" w:eastAsia="Arial" w:hAnsi="Arial"/>
          <w:sz w:val="16"/>
          <w:szCs w:val="16"/>
          <w:b w:val="1"/>
          <w:bCs w:val="1"/>
          <w:i w:val="1"/>
          <w:iCs w:val="1"/>
          <w:color w:val="auto"/>
        </w:rPr>
        <w:t>Impact of Customer Concentration</w:t>
      </w:r>
      <w:r>
        <w:rPr>
          <w:rFonts w:ascii="Arial" w:cs="Arial" w:eastAsia="Arial" w:hAnsi="Arial"/>
          <w:sz w:val="16"/>
          <w:szCs w:val="16"/>
          <w:color w:val="auto"/>
        </w:rPr>
        <w:t>. We operate a global sales network that consists primarily of retailers, as well as distributors we use to access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retailers. Further, a limited number of retailers and distributors represent a significant portion of our net revenue, with Amazon accounting for 24.6%, 25.1% and 22.4% of our net revenue for 2020, 2019, and 2018, respectively, and sales to our ten largest customers accounting for approximately</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52.7%, 51.6%, and 51.0% of our net revenue for the same periods,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80" w:lineRule="exact"/>
        <w:rPr>
          <w:sz w:val="20"/>
          <w:szCs w:val="20"/>
          <w:color w:val="auto"/>
        </w:rPr>
      </w:pPr>
    </w:p>
    <w:p>
      <w:pPr>
        <w:ind w:right="100" w:firstLine="468"/>
        <w:spacing w:after="0" w:line="275" w:lineRule="auto"/>
        <w:rPr>
          <w:sz w:val="20"/>
          <w:szCs w:val="20"/>
          <w:color w:val="auto"/>
        </w:rPr>
      </w:pPr>
      <w:r>
        <w:rPr>
          <w:rFonts w:ascii="Arial" w:cs="Arial" w:eastAsia="Arial" w:hAnsi="Arial"/>
          <w:sz w:val="17"/>
          <w:szCs w:val="17"/>
          <w:b w:val="1"/>
          <w:bCs w:val="1"/>
          <w:i w:val="1"/>
          <w:iCs w:val="1"/>
          <w:color w:val="auto"/>
        </w:rPr>
        <w:t>Impact of New Product Introductions</w:t>
      </w:r>
      <w:r>
        <w:rPr>
          <w:rFonts w:ascii="Arial" w:cs="Arial" w:eastAsia="Arial" w:hAnsi="Arial"/>
          <w:sz w:val="17"/>
          <w:szCs w:val="17"/>
          <w:color w:val="auto"/>
        </w:rPr>
        <w:t>. Gamers demand new technology and product features, and we expect our ability to accurately anticipate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 these demands will be one of the main drivers for any future sales growth and market share expansion. To date, we have had several new product introductions that had a favorable impact on our net revenue and operating results, such as the introduction of our new high-performance Elgato Wave microphone in the second quarter of 2020. However, there can be no assurance that our new product introductions will have a favorable impact on our operating results or that customers will choose our new gear over those of our competitors.</w:t>
      </w:r>
    </w:p>
    <w:p>
      <w:pPr>
        <w:spacing w:after="0" w:line="176" w:lineRule="exact"/>
        <w:rPr>
          <w:sz w:val="20"/>
          <w:szCs w:val="20"/>
          <w:color w:val="auto"/>
        </w:rPr>
      </w:pPr>
    </w:p>
    <w:p>
      <w:pPr>
        <w:ind w:right="40" w:firstLine="468"/>
        <w:spacing w:after="0" w:line="270" w:lineRule="auto"/>
        <w:rPr>
          <w:sz w:val="20"/>
          <w:szCs w:val="20"/>
          <w:color w:val="auto"/>
        </w:rPr>
      </w:pPr>
      <w:r>
        <w:rPr>
          <w:rFonts w:ascii="Arial" w:cs="Arial" w:eastAsia="Arial" w:hAnsi="Arial"/>
          <w:sz w:val="17"/>
          <w:szCs w:val="17"/>
          <w:b w:val="1"/>
          <w:bCs w:val="1"/>
          <w:i w:val="1"/>
          <w:iCs w:val="1"/>
          <w:color w:val="auto"/>
        </w:rPr>
        <w:t xml:space="preserve">Impact of Seasonal Sales Trends. </w:t>
      </w:r>
      <w:r>
        <w:rPr>
          <w:rFonts w:ascii="Arial" w:cs="Arial" w:eastAsia="Arial" w:hAnsi="Arial"/>
          <w:sz w:val="17"/>
          <w:szCs w:val="17"/>
          <w:color w:val="auto"/>
        </w:rPr>
        <w:t>We have experienced and expect to continue to experience seasonal fluctuations in sales due to the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We expect these seasonality trends to continue.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468"/>
        <w:spacing w:after="0" w:line="273" w:lineRule="auto"/>
        <w:rPr>
          <w:sz w:val="20"/>
          <w:szCs w:val="20"/>
          <w:color w:val="auto"/>
        </w:rPr>
      </w:pPr>
      <w:r>
        <w:rPr>
          <w:rFonts w:ascii="Arial" w:cs="Arial" w:eastAsia="Arial" w:hAnsi="Arial"/>
          <w:sz w:val="17"/>
          <w:szCs w:val="17"/>
          <w:b w:val="1"/>
          <w:bCs w:val="1"/>
          <w:i w:val="1"/>
          <w:iCs w:val="1"/>
          <w:color w:val="auto"/>
        </w:rPr>
        <w:t>Impact of Fluctuations in Currency Exchange Rates</w:t>
      </w:r>
      <w:r>
        <w:rPr>
          <w:rFonts w:ascii="Arial" w:cs="Arial" w:eastAsia="Arial" w:hAnsi="Arial"/>
          <w:sz w:val="17"/>
          <w:szCs w:val="17"/>
          <w:color w:val="auto"/>
        </w:rPr>
        <w:t>. We are subject to inherent risks attributed to operating in a global economy. Some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As a result of our foreign sales and operations, we have other expenses, assets and liabilities that are denominated in foreign currencies, in particular the Chinese Yuan, Euro and British Pound.</w:t>
      </w:r>
    </w:p>
    <w:p>
      <w:pPr>
        <w:spacing w:after="0" w:line="178" w:lineRule="exact"/>
        <w:rPr>
          <w:sz w:val="20"/>
          <w:szCs w:val="20"/>
          <w:color w:val="auto"/>
        </w:rPr>
      </w:pPr>
    </w:p>
    <w:p>
      <w:pPr>
        <w:jc w:val="both"/>
        <w:ind w:right="60" w:firstLine="468"/>
        <w:spacing w:after="0" w:line="286" w:lineRule="auto"/>
        <w:rPr>
          <w:sz w:val="20"/>
          <w:szCs w:val="20"/>
          <w:color w:val="auto"/>
        </w:rPr>
      </w:pPr>
      <w:r>
        <w:rPr>
          <w:rFonts w:ascii="Arial" w:cs="Arial" w:eastAsia="Arial" w:hAnsi="Arial"/>
          <w:sz w:val="17"/>
          <w:szCs w:val="17"/>
          <w:b w:val="1"/>
          <w:bCs w:val="1"/>
          <w:i w:val="1"/>
          <w:iCs w:val="1"/>
          <w:color w:val="auto"/>
        </w:rPr>
        <w:t xml:space="preserve">Impact of COVID-19. </w:t>
      </w:r>
      <w:r>
        <w:rPr>
          <w:rFonts w:ascii="Arial" w:cs="Arial" w:eastAsia="Arial" w:hAnsi="Arial"/>
          <w:sz w:val="17"/>
          <w:szCs w:val="17"/>
          <w:color w:val="auto"/>
        </w:rPr>
        <w:t>In March 2020, the World Health Organization declared a global pandemic related to the rapidly growing outbreak of a novel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strain of coronavirus known as COVID-19. In the following weeks, many countries responded by implementing a number of measures designed to prevent its spread, including stay-at-home or shelter-in-place orders, quarantines and closure of all non-essential businesses.</w:t>
      </w:r>
    </w:p>
    <w:p>
      <w:pPr>
        <w:spacing w:after="0" w:line="16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have operations and employees in various regions affected by coronavirus, including our headquarters in California, which is subject to a shelter-in-place order. Our manufacturing facilities in Atlanta and the United Kingdom, and our contract manufacturing facilities in Southeast Asia, many of which closed between one to two months in early 2020 have caused some disruptions in our supply chain which also resulted in increased air freight costs. Although we have seen some significant business disruptions due to COVID-19, the broader implications of COVID-19 on our results of operations and overall financial performance remain uncertain. The negative financial impact from the temporary stoppage in our factories, disruption in our supply chain and increased air freight costs experienced in the first quarter of 2020 was offset by strong revenue growth year-over-year partly due to an increase in demand for our gear as more people in more countries are under shelter-in-place restrictions. We believe that shelter-in-place and other similar restrictions have resulted in increased demand for our gear because such restrictions have limited people’s access to alternative forms of entertainment and social interaction, and thus have increased the demand for home entertainment and connecting with others through content creation. Further, we believe the increased demand for our gear has been driven in part by individuals seeking to improve their work from home setup. This increase in demand continued into the second half of 2020 as the COVID-19 pandemic continues. However, as global economic activity slows down, the demand for our gear could decline despite these trends. Moreover, travel restrictions, factory closures and disruptions in our supply chain are likely to happen and we or our suppliers may not be able to obtain adequate inventory to sell. The dynamic nature and uncertainty of the circumstances surrounding COVID-19 pandemic may have adverse consequences on our results of operations for 2020 and may negatively impact future fiscal periods in the event of prolonged disruptions associated with the outbreak. In contrast, if the COVID-19 pandemic subsides in 2021, resulting in shelter-in-place and other similar restrictions being eased, it could result in consumers returning to other alternative forms of entertainment and interaction. This in turn could result in a decline in demand for our products.</w:t>
      </w:r>
    </w:p>
    <w:p>
      <w:pPr>
        <w:spacing w:after="0" w:line="1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continue to evaluate the nature and extent of the impact of the COVID-19 pandemic to our business and we have implemented various measures to attempt to mitigate the disruptive logistic impact specifically around managing inventory stocking level at our distribution hubs and determining the mode of shipment used to deploy our gear to the customers, and we are also ready to implement adjustments to our expenses and cash flow in the event of declines in revenues.</w:t>
      </w:r>
    </w:p>
    <w:p>
      <w:pPr>
        <w:spacing w:after="0" w:line="187" w:lineRule="exact"/>
        <w:rPr>
          <w:sz w:val="20"/>
          <w:szCs w:val="20"/>
          <w:color w:val="auto"/>
        </w:rPr>
      </w:pPr>
    </w:p>
    <w:p>
      <w:pPr>
        <w:ind w:right="180" w:firstLine="468"/>
        <w:spacing w:after="0" w:line="279" w:lineRule="auto"/>
        <w:rPr>
          <w:sz w:val="20"/>
          <w:szCs w:val="20"/>
          <w:color w:val="auto"/>
        </w:rPr>
      </w:pPr>
      <w:r>
        <w:rPr>
          <w:rFonts w:ascii="Arial" w:cs="Arial" w:eastAsia="Arial" w:hAnsi="Arial"/>
          <w:sz w:val="17"/>
          <w:szCs w:val="17"/>
          <w:b w:val="1"/>
          <w:bCs w:val="1"/>
          <w:i w:val="1"/>
          <w:iCs w:val="1"/>
          <w:color w:val="auto"/>
        </w:rPr>
        <w:t>Impact of Fluctuations in Integrated Circuits Pricing</w:t>
      </w:r>
      <w:r>
        <w:rPr>
          <w:rFonts w:ascii="Arial" w:cs="Arial" w:eastAsia="Arial" w:hAnsi="Arial"/>
          <w:sz w:val="17"/>
          <w:szCs w:val="17"/>
          <w:color w:val="auto"/>
        </w:rPr>
        <w:t>. Integrated circuits, or ICs, account for most of the cost of producing our high-performance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40" w:firstLine="468"/>
        <w:spacing w:after="0" w:line="263" w:lineRule="auto"/>
        <w:rPr>
          <w:sz w:val="20"/>
          <w:szCs w:val="20"/>
          <w:color w:val="auto"/>
        </w:rPr>
      </w:pPr>
      <w:r>
        <w:rPr>
          <w:rFonts w:ascii="Arial" w:cs="Arial" w:eastAsia="Arial" w:hAnsi="Arial"/>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300" w:firstLine="468"/>
        <w:spacing w:after="0" w:line="263" w:lineRule="auto"/>
        <w:rPr>
          <w:sz w:val="20"/>
          <w:szCs w:val="20"/>
          <w:color w:val="auto"/>
        </w:rPr>
      </w:pPr>
      <w:r>
        <w:rPr>
          <w:rFonts w:ascii="Arial" w:cs="Arial" w:eastAsia="Arial" w:hAnsi="Arial"/>
          <w:sz w:val="18"/>
          <w:szCs w:val="18"/>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certain allocated costs related to facilities and information technology, or IT, and personnel-related expenses and other operating expenses related to supply chain logistics.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Operating expenses consist of sales, general and administrative expenses and product development expenses.</w:t>
      </w:r>
    </w:p>
    <w:p>
      <w:pPr>
        <w:spacing w:after="0" w:line="225" w:lineRule="exact"/>
        <w:rPr>
          <w:sz w:val="20"/>
          <w:szCs w:val="20"/>
          <w:color w:val="auto"/>
        </w:rPr>
      </w:pPr>
    </w:p>
    <w:p>
      <w:pPr>
        <w:ind w:right="120" w:firstLine="468"/>
        <w:spacing w:after="0" w:line="254" w:lineRule="auto"/>
        <w:rPr>
          <w:sz w:val="20"/>
          <w:szCs w:val="20"/>
          <w:color w:val="auto"/>
        </w:rPr>
      </w:pPr>
      <w:r>
        <w:rPr>
          <w:rFonts w:ascii="Arial" w:cs="Arial" w:eastAsia="Arial" w:hAnsi="Arial"/>
          <w:sz w:val="18"/>
          <w:szCs w:val="18"/>
          <w:i w:val="1"/>
          <w:iCs w:val="1"/>
          <w:color w:val="auto"/>
        </w:rPr>
        <w:t xml:space="preserve">Sales, general and administrative. </w:t>
      </w:r>
      <w:r>
        <w:rPr>
          <w:rFonts w:ascii="Arial" w:cs="Arial" w:eastAsia="Arial" w:hAnsi="Arial"/>
          <w:sz w:val="18"/>
          <w:szCs w:val="18"/>
          <w:color w:val="auto"/>
        </w:rPr>
        <w:t>Sales, general and administrative, or SG&amp;A expenses represent the largest component of our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and personnel-related cost. General and administrative costs consist primarily of personnel-related expenses for our finance, legal, human resources, IT and administrative personnel, as well as the costs of professional services related to these functions.</w:t>
      </w:r>
    </w:p>
    <w:p>
      <w:pPr>
        <w:spacing w:after="0" w:line="195" w:lineRule="exact"/>
        <w:rPr>
          <w:sz w:val="20"/>
          <w:szCs w:val="20"/>
          <w:color w:val="auto"/>
        </w:rPr>
      </w:pPr>
    </w:p>
    <w:p>
      <w:pPr>
        <w:jc w:val="both"/>
        <w:ind w:right="360" w:firstLine="468"/>
        <w:spacing w:after="0" w:line="286" w:lineRule="auto"/>
        <w:rPr>
          <w:sz w:val="20"/>
          <w:szCs w:val="20"/>
          <w:color w:val="auto"/>
        </w:rPr>
      </w:pPr>
      <w:r>
        <w:rPr>
          <w:rFonts w:ascii="Arial" w:cs="Arial" w:eastAsia="Arial" w:hAnsi="Arial"/>
          <w:sz w:val="17"/>
          <w:szCs w:val="17"/>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 in legal, accounting, insurance, compliance, investor relations and other costs associated with becoming a public company.</w:t>
      </w:r>
    </w:p>
    <w:p>
      <w:pPr>
        <w:spacing w:after="0" w:line="165" w:lineRule="exact"/>
        <w:rPr>
          <w:sz w:val="20"/>
          <w:szCs w:val="20"/>
          <w:color w:val="auto"/>
        </w:rPr>
      </w:pPr>
    </w:p>
    <w:p>
      <w:pPr>
        <w:ind w:right="180" w:firstLine="468"/>
        <w:spacing w:after="0" w:line="259"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costs are generally expensed as incurred and reported in the combined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w:t>
      </w:r>
    </w:p>
    <w:p>
      <w:pPr>
        <w:spacing w:after="0" w:line="187" w:lineRule="exact"/>
        <w:rPr>
          <w:sz w:val="20"/>
          <w:szCs w:val="20"/>
          <w:color w:val="auto"/>
        </w:rPr>
      </w:pPr>
    </w:p>
    <w:p>
      <w:pPr>
        <w:ind w:right="460" w:firstLine="468"/>
        <w:spacing w:after="0" w:line="277" w:lineRule="auto"/>
        <w:rPr>
          <w:sz w:val="20"/>
          <w:szCs w:val="20"/>
          <w:color w:val="auto"/>
        </w:rPr>
      </w:pPr>
      <w:r>
        <w:rPr>
          <w:rFonts w:ascii="Arial" w:cs="Arial" w:eastAsia="Arial" w:hAnsi="Arial"/>
          <w:sz w:val="18"/>
          <w:szCs w:val="18"/>
          <w:color w:val="auto"/>
        </w:rPr>
        <w:t>We expect our product development expenses to increase in absolute dollars as we continue to make significant investments in developing new products and enhancing existing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380" w:firstLine="468"/>
        <w:spacing w:after="0" w:line="263" w:lineRule="auto"/>
        <w:rPr>
          <w:sz w:val="20"/>
          <w:szCs w:val="20"/>
          <w:color w:val="auto"/>
        </w:rPr>
      </w:pPr>
      <w:r>
        <w:rPr>
          <w:rFonts w:ascii="Arial" w:cs="Arial" w:eastAsia="Arial" w:hAnsi="Arial"/>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 and the change in fair value of our interest rate cap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20" w:firstLine="468"/>
        <w:spacing w:after="0" w:line="263" w:lineRule="auto"/>
        <w:rPr>
          <w:sz w:val="20"/>
          <w:szCs w:val="20"/>
          <w:color w:val="auto"/>
        </w:rPr>
      </w:pPr>
      <w:r>
        <w:rPr>
          <w:rFonts w:ascii="Arial" w:cs="Arial" w:eastAsia="Arial" w:hAnsi="Arial"/>
          <w:sz w:val="18"/>
          <w:szCs w:val="18"/>
          <w:color w:val="auto"/>
        </w:rPr>
        <w:t>Other (expense) income, net consists primarily of our foreign currency exchange gains and losses relating to transactions and remeasurement of asset and liability balances denominated in currencies other than the U.S. dollar. We expect our foreign currency gains and losses to continue to fluctuate in the future due to changes in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firstLine="468"/>
        <w:spacing w:after="0" w:line="301" w:lineRule="auto"/>
        <w:rPr>
          <w:sz w:val="20"/>
          <w:szCs w:val="20"/>
          <w:color w:val="auto"/>
        </w:rPr>
      </w:pPr>
      <w:r>
        <w:rPr>
          <w:rFonts w:ascii="Arial" w:cs="Arial" w:eastAsia="Arial" w:hAnsi="Arial"/>
          <w:sz w:val="16"/>
          <w:szCs w:val="16"/>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157" w:lineRule="exact"/>
        <w:rPr>
          <w:sz w:val="20"/>
          <w:szCs w:val="20"/>
          <w:color w:val="auto"/>
        </w:rPr>
      </w:pPr>
    </w:p>
    <w:p>
      <w:pPr>
        <w:ind w:right="40" w:firstLine="468"/>
        <w:spacing w:after="0" w:line="31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40" w:firstLine="468"/>
        <w:spacing w:after="0" w:line="277" w:lineRule="auto"/>
        <w:rPr>
          <w:sz w:val="20"/>
          <w:szCs w:val="20"/>
          <w:color w:val="auto"/>
        </w:rPr>
      </w:pPr>
      <w:r>
        <w:rPr>
          <w:rFonts w:ascii="Arial" w:cs="Arial" w:eastAsia="Arial" w:hAnsi="Arial"/>
          <w:sz w:val="18"/>
          <w:szCs w:val="18"/>
          <w:color w:val="auto"/>
        </w:rPr>
        <w:t>The following tables set forth the components of our combined consolidated statements of operations, in dollars and as a percentage of total net revenue, for each of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1,702,367</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1,097,174</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937,553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1,236,938</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872,887</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744,858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465,429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224,287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192,695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general and administrative</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257,004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163,033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138,915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Product development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50,064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37,547</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307,068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200,580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158,361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23,707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(35,137)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(35,548)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(32,680)</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(36,319)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(37,106)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(32,497)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(13,399)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6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(18,825)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103,217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(8,394)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general and administrative</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260"/>
              <w:spacing w:after="0"/>
              <w:rPr>
                <w:sz w:val="20"/>
                <w:szCs w:val="20"/>
                <w:color w:val="auto"/>
              </w:rPr>
            </w:pPr>
            <w:r>
              <w:rPr>
                <w:rFonts w:ascii="Arial" w:cs="Arial" w:eastAsia="Arial" w:hAnsi="Arial"/>
                <w:sz w:val="18"/>
                <w:szCs w:val="18"/>
                <w:color w:val="auto"/>
              </w:rPr>
              <w:t>Product development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gridSpan w:val="2"/>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Components of Results of Operations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1,702,367</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1,097,174</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937,553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firstLine="468"/>
        <w:spacing w:after="0" w:line="257" w:lineRule="auto"/>
        <w:rPr>
          <w:sz w:val="20"/>
          <w:szCs w:val="20"/>
          <w:color w:val="auto"/>
        </w:rPr>
      </w:pPr>
      <w:r>
        <w:rPr>
          <w:rFonts w:ascii="Arial" w:cs="Arial" w:eastAsia="Arial" w:hAnsi="Arial"/>
          <w:sz w:val="18"/>
          <w:szCs w:val="18"/>
          <w:color w:val="auto"/>
        </w:rPr>
        <w:t>Net revenue increased $605.2 million, or 55.2%, in 2020 as compared to 2019. This increase was due to strong revenue growth in both our gaming components and systems segment and gamer and creator peripherals segment. We believe the increased demand of our products is generally due to a larger number of consumers gaming and working from home due to the COVID-19 pandemic, in addition to existing customers upgrading their systems and gear for a better gaming and/or streaming experience, and to a lesser extent, the inclusion of post-acquisition revenues from the SCUF Acquisition and the Origin Acquisition.</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00" w:firstLine="468"/>
        <w:spacing w:after="0" w:line="308" w:lineRule="auto"/>
        <w:rPr>
          <w:sz w:val="20"/>
          <w:szCs w:val="20"/>
          <w:color w:val="auto"/>
        </w:rPr>
      </w:pPr>
      <w:r>
        <w:rPr>
          <w:rFonts w:ascii="Arial" w:cs="Arial" w:eastAsia="Arial" w:hAnsi="Arial"/>
          <w:sz w:val="17"/>
          <w:szCs w:val="17"/>
          <w:color w:val="auto"/>
        </w:rPr>
        <w:t>Net revenue increased $159.6 million, or 17.0%, in 2019 as compared to 2018, due to strong growth in both of our segments largely as a result of higher sales of Corsair-branded products and also from the addition of the Elgato product portfolio after its acquisition in July 2018.</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83"/>
        </w:trPr>
        <w:tc>
          <w:tcPr>
            <w:tcW w:w="6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465,429</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224,287</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192,695</w:t>
            </w:r>
          </w:p>
        </w:tc>
        <w:tc>
          <w:tcPr>
            <w:tcW w:w="180" w:type="dxa"/>
            <w:vAlign w:val="bottom"/>
            <w:shd w:val="clear" w:color="auto" w:fill="CFF0FC"/>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r>
    </w:tbl>
    <w:p>
      <w:pPr>
        <w:spacing w:after="0" w:line="241" w:lineRule="exact"/>
        <w:rPr>
          <w:sz w:val="20"/>
          <w:szCs w:val="20"/>
          <w:color w:val="auto"/>
        </w:rPr>
      </w:pPr>
    </w:p>
    <w:p>
      <w:pPr>
        <w:ind w:right="100" w:firstLine="468"/>
        <w:spacing w:after="0" w:line="263" w:lineRule="auto"/>
        <w:rPr>
          <w:sz w:val="20"/>
          <w:szCs w:val="20"/>
          <w:color w:val="auto"/>
        </w:rPr>
      </w:pPr>
      <w:r>
        <w:rPr>
          <w:rFonts w:ascii="Arial" w:cs="Arial" w:eastAsia="Arial" w:hAnsi="Arial"/>
          <w:sz w:val="18"/>
          <w:szCs w:val="18"/>
          <w:color w:val="auto"/>
        </w:rPr>
        <w:t>Gross margin for 2020 increased to 27.3% from 20.4% for 2019. The increase in gross margin was primarily driven by increased sales volume, an improved product mix with more higher margin products being sold in 2020 as compared to 2019 and less promotional activity, and was partially offset by increased air freight costs driven primarily by tightness in inventory supply due to the COVID-19 pandemic.</w:t>
      </w:r>
    </w:p>
    <w:p>
      <w:pPr>
        <w:spacing w:after="0" w:line="184"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Gross margin for 2019 was positively impacted by a favorable shift in product mix but was largely offset by a negative impact from additional tariff costs, resulting in relatively flat gross margin of 20.4% in 2019 as compared to 20.6% in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 (SG&amp;A)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Sales, general and administrative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257,004</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163,033</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138,915</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SG&amp;A expenses increased $94.0 million, or 57.6%, in 2020 as compared to 2019. The increase was primarily due to the inclusion of $29.1 million of SCUF’s post-acquisition SG&amp;A expenses, including debt refinancing costs for funding the SCUF acquisition and acquisition and integration costs related to the SCUF Acquisition, a $27.4 million increase in distribution costs including outbound freight and the costs to operate our distribution hubs due to increased sales volume, a $24.3 million increase in personnel-related costs due to headcount growth and higher bonus expense, a $6.0 million increase in marketing expenses and a $4.4 million increase in fees primarily related to increased credit card fees due to increased sales through our webstore and fees from our insurance policies.</w:t>
      </w:r>
    </w:p>
    <w:p>
      <w:pPr>
        <w:spacing w:after="0" w:line="192" w:lineRule="exact"/>
        <w:rPr>
          <w:sz w:val="20"/>
          <w:szCs w:val="20"/>
          <w:color w:val="auto"/>
        </w:rPr>
      </w:pPr>
    </w:p>
    <w:p>
      <w:pPr>
        <w:ind w:right="80" w:firstLine="468"/>
        <w:spacing w:after="0" w:line="275" w:lineRule="auto"/>
        <w:rPr>
          <w:sz w:val="20"/>
          <w:szCs w:val="20"/>
          <w:color w:val="auto"/>
        </w:rPr>
      </w:pPr>
      <w:r>
        <w:rPr>
          <w:rFonts w:ascii="Arial" w:cs="Arial" w:eastAsia="Arial" w:hAnsi="Arial"/>
          <w:sz w:val="17"/>
          <w:szCs w:val="17"/>
          <w:color w:val="auto"/>
        </w:rPr>
        <w:t>SG&amp;A expenses increased $24.1 million, or 17.4%, in 2019 as compared to 2018. The increase was primarily driven by a $9.0 million increase in personnel-related costs due to headcount growth, a $4.4 million increase in marketing and advertising expenses to increase worldwide brand awareness for our products, a $3.6 million increase in outbound freight costs due to increased sales, an inclusion of $4.0 million of SCUF’s post acquisition SG&amp;A expense, including debt refinancing costs for funding the acquisition, and acquisition and integration costs related to the SCUF acquisition, a $2.1 million increase in professional fees, and a $1.0 million one-time severance and separation cost with an executive.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50,064</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37,547</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31,990</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60" w:firstLine="468"/>
        <w:spacing w:after="0" w:line="259" w:lineRule="auto"/>
        <w:rPr>
          <w:sz w:val="20"/>
          <w:szCs w:val="20"/>
          <w:color w:val="auto"/>
        </w:rPr>
      </w:pPr>
      <w:r>
        <w:rPr>
          <w:rFonts w:ascii="Arial" w:cs="Arial" w:eastAsia="Arial" w:hAnsi="Arial"/>
          <w:sz w:val="18"/>
          <w:szCs w:val="18"/>
          <w:color w:val="auto"/>
        </w:rPr>
        <w:t>Product development expenses increased $12.5 million, or 33.3%, in 2020 as compared to 2019. The increase was primarily driven by a $5.7 million increase in personnel-related expenses due to headcount growth and higher bonus expense, the inclusion of $5.8 million of SCUF’s post-acquisition product development expenses and a $5.5 million increase in other product development related expenses. These increases were partially offset by a $4.5 million decrease in amortization expense of developed technologies intangible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140" w:firstLine="468"/>
        <w:spacing w:after="0" w:line="263" w:lineRule="auto"/>
        <w:rPr>
          <w:sz w:val="20"/>
          <w:szCs w:val="20"/>
          <w:color w:val="auto"/>
        </w:rPr>
      </w:pPr>
      <w:r>
        <w:rPr>
          <w:rFonts w:ascii="Arial" w:cs="Arial" w:eastAsia="Arial" w:hAnsi="Arial"/>
          <w:sz w:val="18"/>
          <w:szCs w:val="18"/>
          <w:color w:val="auto"/>
        </w:rPr>
        <w:t>Product development expenses increased $5.6 million, or 17.4%, in 2019 as compared to 2018. The increase was primarily driven by a $3.2 million increase in personnel-related expenses due to headcount growth, a $1.6 million increase in consultant and contractor expenses and a $0.5 million increase in IT-related expenses to support product development efforts.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(35,137)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(35,548)</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(32,680)</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right="240" w:firstLine="468"/>
        <w:spacing w:after="0" w:line="275" w:lineRule="auto"/>
        <w:rPr>
          <w:sz w:val="20"/>
          <w:szCs w:val="20"/>
          <w:color w:val="auto"/>
        </w:rPr>
      </w:pPr>
      <w:r>
        <w:rPr>
          <w:rFonts w:ascii="Arial" w:cs="Arial" w:eastAsia="Arial" w:hAnsi="Arial"/>
          <w:sz w:val="17"/>
          <w:szCs w:val="17"/>
          <w:color w:val="auto"/>
        </w:rPr>
        <w:t>Interest expense decreased $0.4 million, or 1.2%, in 2020 as compared to 2019. The decrease was primarily due to lower interest expense paid in 2020 for our First Lien Term Loan and Second Lien Term Loan as a result of the partial extinguishment of our First Lien Term Loan and full extinguishment of our Second Lien Term Loan as well as a decrease in interest from borrowings from our line of credit. The decrease in interest expense was partially offset by an aggregate of $4.2 million write-off of deferred debt discounts and issuance costs associated with extinguishments of our term loans and a $0.5 million loss recognized for the change in fair value of our interest rate cap contracts.</w:t>
      </w:r>
    </w:p>
    <w:p>
      <w:pPr>
        <w:spacing w:after="0" w:line="176" w:lineRule="exact"/>
        <w:rPr>
          <w:sz w:val="20"/>
          <w:szCs w:val="20"/>
          <w:color w:val="auto"/>
        </w:rPr>
      </w:pPr>
    </w:p>
    <w:p>
      <w:pPr>
        <w:ind w:right="180" w:firstLine="468"/>
        <w:spacing w:after="0" w:line="263" w:lineRule="auto"/>
        <w:rPr>
          <w:sz w:val="20"/>
          <w:szCs w:val="20"/>
          <w:color w:val="auto"/>
        </w:rPr>
      </w:pPr>
      <w:r>
        <w:rPr>
          <w:rFonts w:ascii="Arial" w:cs="Arial" w:eastAsia="Arial" w:hAnsi="Arial"/>
          <w:sz w:val="18"/>
          <w:szCs w:val="18"/>
          <w:color w:val="auto"/>
        </w:rPr>
        <w:t>Interest expense increased $2.9 million, or 8.8%, in 2019 as compared to 2018. The increase was primarily due to additional cash interest and amortization of debt issuance costs and debt discounts for our additional debt borrowings entered into in March 2018, October 2018 and December 2019, as well as an increase in borrowings from our line of credit throughout 2019, as compared to 2018.</w:t>
      </w:r>
    </w:p>
    <w:p>
      <w:pPr>
        <w:spacing w:after="0" w:line="184" w:lineRule="exact"/>
        <w:rPr>
          <w:sz w:val="20"/>
          <w:szCs w:val="20"/>
          <w:color w:val="auto"/>
        </w:rPr>
      </w:pPr>
    </w:p>
    <w:p>
      <w:pPr>
        <w:ind w:right="300" w:firstLine="468"/>
        <w:spacing w:after="0" w:line="311" w:lineRule="auto"/>
        <w:rPr>
          <w:sz w:val="20"/>
          <w:szCs w:val="20"/>
          <w:color w:val="auto"/>
        </w:rPr>
      </w:pPr>
      <w:r>
        <w:rPr>
          <w:rFonts w:ascii="Arial" w:cs="Arial" w:eastAsia="Arial" w:hAnsi="Arial"/>
          <w:sz w:val="16"/>
          <w:szCs w:val="16"/>
          <w:color w:val="auto"/>
        </w:rPr>
        <w:t>Other (expense) income, net relates primarily to the gains and losses resulting from the impact of foreign exchange rate changes on our cash, accounts receivable and intercompany balances denominated in currencies other than the functional currencies in our subsidiaries. Our foreign currency exposure is primarily driven by fluctuations in the foreign currency exchanges rates of the Euro, British Pound and the Chinese Yuan.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83"/>
        </w:trPr>
        <w:tc>
          <w:tcPr>
            <w:tcW w:w="6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122,042</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(13,399)</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(10,707)</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(18,825)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5,005</w:t>
            </w:r>
          </w:p>
        </w:tc>
        <w:tc>
          <w:tcPr>
            <w:tcW w:w="3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(3,013)</w:t>
            </w: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28.1%</w:t>
            </w:r>
          </w:p>
        </w:tc>
      </w:tr>
    </w:tbl>
    <w:p>
      <w:pPr>
        <w:spacing w:after="0" w:line="229" w:lineRule="exact"/>
        <w:rPr>
          <w:sz w:val="20"/>
          <w:szCs w:val="20"/>
          <w:color w:val="auto"/>
        </w:rPr>
      </w:pPr>
    </w:p>
    <w:p>
      <w:pPr>
        <w:ind w:firstLine="468"/>
        <w:spacing w:after="0" w:line="279" w:lineRule="auto"/>
        <w:rPr>
          <w:sz w:val="20"/>
          <w:szCs w:val="20"/>
          <w:color w:val="auto"/>
        </w:rPr>
      </w:pPr>
      <w:r>
        <w:rPr>
          <w:rFonts w:ascii="Arial" w:cs="Arial" w:eastAsia="Arial" w:hAnsi="Arial"/>
          <w:sz w:val="17"/>
          <w:szCs w:val="17"/>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71"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Our effective tax rates were tax expense of 15.4% and tax benefit of 37.4% for 2020 and 2019, respectively. The change in effective tax rate for 2020 as compared to 2019 was primarily due to an increase in income before income tax compared to 2019, the change in the mix of income and losses in the various tax jurisdictions in which we operate, the recognition of a $4.6 million tax benefit resulting from the change in management’s assessment of the realizability of certain deferred tax assets as a result of the Reorganization and a $0.6 million one-time benefit from the change in tax law resulting from the enactment of the CARES Act in the first quarter 2020.</w:t>
      </w:r>
    </w:p>
    <w:p>
      <w:pPr>
        <w:spacing w:after="0" w:line="188" w:lineRule="exact"/>
        <w:rPr>
          <w:sz w:val="20"/>
          <w:szCs w:val="20"/>
          <w:color w:val="auto"/>
        </w:rPr>
      </w:pPr>
    </w:p>
    <w:p>
      <w:pPr>
        <w:ind w:right="20" w:firstLine="468"/>
        <w:spacing w:after="0" w:line="257" w:lineRule="auto"/>
        <w:rPr>
          <w:sz w:val="20"/>
          <w:szCs w:val="20"/>
          <w:color w:val="auto"/>
        </w:rPr>
      </w:pPr>
      <w:r>
        <w:rPr>
          <w:rFonts w:ascii="Arial" w:cs="Arial" w:eastAsia="Arial" w:hAnsi="Arial"/>
          <w:sz w:val="18"/>
          <w:szCs w:val="18"/>
          <w:color w:val="auto"/>
        </w:rPr>
        <w:t>Our effective tax rates were tax benefit of 37.4% and tax expense of 28.1% for 2019 and 2018, respectively. The change in effective tax rate for 2019 as compared to 2018 was primarily due to an increase in loss before income tax compared to 2018, realizing a tax benefit of a net operating loss of a foreign subsidiary and management’s reassessment of the realizability of our deferred tax assets from our U.S. net operating loss carried forward. In 2018, we recognized an income tax expense of $3.0 million primarily due to management’s assessment of the realizability of our deferred tax assets from tax credits and stock-based compensation expenses that may not be realized.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Revenue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net revenue by segment expressed both in dollars (thousands) and as a percentage of net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0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Gamer and Creator Peripherals Segment</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539,366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294,141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233,536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24.9%</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Memory Products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609,053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463,406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405,642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Component Products</w:t>
            </w:r>
          </w:p>
        </w:tc>
        <w:tc>
          <w:tcPr>
            <w:tcW w:w="5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553,948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339,627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298,375</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FF0FC"/>
          </w:tcPr>
          <w:p>
            <w:pPr>
              <w:spacing w:after="0"/>
              <w:rPr>
                <w:sz w:val="19"/>
                <w:szCs w:val="19"/>
                <w:color w:val="auto"/>
              </w:rPr>
            </w:pPr>
          </w:p>
        </w:tc>
      </w:tr>
      <w:tr>
        <w:trPr>
          <w:trHeight w:val="223"/>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Gaming Components and Systems Segment</w:t>
            </w:r>
          </w:p>
        </w:tc>
        <w:tc>
          <w:tcPr>
            <w:tcW w:w="5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1,163,001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803,033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704,017</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Borders>
              <w:bottom w:val="single" w:sz="8" w:color="CFF0FC"/>
            </w:tcBorders>
          </w:tcPr>
          <w:p>
            <w:pPr>
              <w:spacing w:after="0"/>
              <w:rPr>
                <w:sz w:val="19"/>
                <w:szCs w:val="19"/>
                <w:color w:val="auto"/>
              </w:rPr>
            </w:pPr>
          </w:p>
        </w:tc>
      </w:tr>
      <w:tr>
        <w:trPr>
          <w:trHeight w:val="223"/>
        </w:trPr>
        <w:tc>
          <w:tcPr>
            <w:tcW w:w="4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Net Revenue</w:t>
            </w: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1,702,367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1,097,174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937,553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jc w:val="both"/>
        <w:ind w:right="140" w:firstLine="468"/>
        <w:spacing w:after="0" w:line="263" w:lineRule="auto"/>
        <w:rPr>
          <w:sz w:val="20"/>
          <w:szCs w:val="20"/>
          <w:color w:val="auto"/>
        </w:rPr>
      </w:pPr>
      <w:r>
        <w:rPr>
          <w:rFonts w:ascii="Arial" w:cs="Arial" w:eastAsia="Arial" w:hAnsi="Arial"/>
          <w:sz w:val="18"/>
          <w:szCs w:val="18"/>
          <w:color w:val="auto"/>
        </w:rPr>
        <w:t>Net revenue of the gamer and creator peripherals segment increased $245.2 million, or 83.4%, in 2020 as compared to 2019 primarily due to strong sales growth in sales of Elgato branded streaming products, we believe driven in part by the COVID-19 shelter-in-place orders as consumers spend more time working and gaming at home, and the inclusion of SCUF post-acquisition revenue.</w:t>
      </w:r>
    </w:p>
    <w:p>
      <w:pPr>
        <w:spacing w:after="0" w:line="184" w:lineRule="exact"/>
        <w:rPr>
          <w:sz w:val="20"/>
          <w:szCs w:val="20"/>
          <w:color w:val="auto"/>
        </w:rPr>
      </w:pPr>
    </w:p>
    <w:p>
      <w:pPr>
        <w:ind w:right="460" w:firstLine="468"/>
        <w:spacing w:after="0" w:line="277" w:lineRule="auto"/>
        <w:rPr>
          <w:sz w:val="20"/>
          <w:szCs w:val="20"/>
          <w:color w:val="auto"/>
        </w:rPr>
      </w:pPr>
      <w:r>
        <w:rPr>
          <w:rFonts w:ascii="Arial" w:cs="Arial" w:eastAsia="Arial" w:hAnsi="Arial"/>
          <w:sz w:val="18"/>
          <w:szCs w:val="18"/>
          <w:color w:val="auto"/>
        </w:rPr>
        <w:t>Net revenue of the gamer and creator peripherals segment increased $60.6 million, or 26.0%, in 2019 as compared to 2018 primarily due to the addition of Elgato product portfolio which increased the volume of the segment’s sales.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jc w:val="both"/>
        <w:ind w:right="120" w:firstLine="468"/>
        <w:spacing w:after="0" w:line="263" w:lineRule="auto"/>
        <w:rPr>
          <w:sz w:val="20"/>
          <w:szCs w:val="20"/>
          <w:color w:val="auto"/>
        </w:rPr>
      </w:pPr>
      <w:r>
        <w:rPr>
          <w:rFonts w:ascii="Arial" w:cs="Arial" w:eastAsia="Arial" w:hAnsi="Arial"/>
          <w:sz w:val="18"/>
          <w:szCs w:val="18"/>
          <w:color w:val="auto"/>
        </w:rPr>
        <w:t>Net revenue of the gaming components and systems segment increased $360.0 million, or 44.8%, in 2020 as compared to 2019 primarily as a result of strong sales growth across all products due to continued strong market demand, we believe driven in part by the COVID-19 shelter-in-place orders, and to a lesser extent, the inclusion of Origin post-acquisition revenue.</w:t>
      </w:r>
    </w:p>
    <w:p>
      <w:pPr>
        <w:spacing w:after="0" w:line="184" w:lineRule="exact"/>
        <w:rPr>
          <w:sz w:val="20"/>
          <w:szCs w:val="20"/>
          <w:color w:val="auto"/>
        </w:rPr>
      </w:pPr>
    </w:p>
    <w:p>
      <w:pPr>
        <w:jc w:val="both"/>
        <w:ind w:right="280" w:firstLine="468"/>
        <w:spacing w:after="0" w:line="259" w:lineRule="auto"/>
        <w:rPr>
          <w:sz w:val="20"/>
          <w:szCs w:val="20"/>
          <w:color w:val="auto"/>
        </w:rPr>
      </w:pPr>
      <w:r>
        <w:rPr>
          <w:rFonts w:ascii="Arial" w:cs="Arial" w:eastAsia="Arial" w:hAnsi="Arial"/>
          <w:sz w:val="18"/>
          <w:szCs w:val="18"/>
          <w:color w:val="auto"/>
        </w:rPr>
        <w:t>Net revenue of the gaming components and systems segment increased $99.0 million, or 14.1%, in 2019 as compared to 2018 primarily due to an increase in other components products sales following the normalization of the DIY PC market after the surge in the cryptocurrency mining in 2018, as well as an increase in sales volume in our DRAM products. The increase in our DRAM product sales was primarily due to market share gain in United States and China coupled with increased volumes due to lower selling prices.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Gross Profit and Gross Margin</w:t>
      </w:r>
    </w:p>
    <w:p>
      <w:pPr>
        <w:spacing w:after="0" w:line="117" w:lineRule="exact"/>
        <w:rPr>
          <w:sz w:val="20"/>
          <w:szCs w:val="20"/>
          <w:color w:val="auto"/>
        </w:rPr>
      </w:pPr>
    </w:p>
    <w:p>
      <w:pPr>
        <w:ind w:right="140" w:firstLine="468"/>
        <w:spacing w:after="0" w:line="277" w:lineRule="auto"/>
        <w:rPr>
          <w:sz w:val="20"/>
          <w:szCs w:val="20"/>
          <w:color w:val="auto"/>
        </w:rPr>
      </w:pPr>
      <w:r>
        <w:rPr>
          <w:rFonts w:ascii="Arial" w:cs="Arial" w:eastAsia="Arial" w:hAnsi="Arial"/>
          <w:sz w:val="18"/>
          <w:szCs w:val="18"/>
          <w:color w:val="auto"/>
        </w:rPr>
        <w:t>The following table sets forth our gross profit expressed in dollars (thousands) and gross margin (which we define as gross profit as a percentage of net revenue) by segment: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0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Gamer and Creator Peripherals Segment</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189,742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81,363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73,489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31.5%</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Memory Products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w w:val="91"/>
              </w:rPr>
              <w:t>20.5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74,781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w w:val="85"/>
              </w:rPr>
              <w:t>16.1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48,490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w w:val="85"/>
              </w:rPr>
              <w:t>12.0</w:t>
            </w:r>
          </w:p>
        </w:tc>
        <w:tc>
          <w:tcPr>
            <w:tcW w:w="180" w:type="dxa"/>
            <w:vAlign w:val="bottom"/>
          </w:tcPr>
          <w:p>
            <w:pPr>
              <w:spacing w:after="0"/>
              <w:rPr>
                <w:sz w:val="19"/>
                <w:szCs w:val="19"/>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Component Products</w:t>
            </w:r>
          </w:p>
        </w:tc>
        <w:tc>
          <w:tcPr>
            <w:tcW w:w="5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150,661</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w w:val="91"/>
              </w:rPr>
              <w:t>27.2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w w:val="85"/>
              </w:rPr>
              <w:t>20.1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70,716</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w w:val="85"/>
              </w:rPr>
              <w:t>23.7</w:t>
            </w:r>
          </w:p>
        </w:tc>
        <w:tc>
          <w:tcPr>
            <w:tcW w:w="180" w:type="dxa"/>
            <w:vAlign w:val="bottom"/>
            <w:shd w:val="clear" w:color="auto" w:fill="CFF0FC"/>
          </w:tcPr>
          <w:p>
            <w:pPr>
              <w:spacing w:after="0"/>
              <w:rPr>
                <w:sz w:val="19"/>
                <w:szCs w:val="19"/>
                <w:color w:val="auto"/>
              </w:rPr>
            </w:pPr>
          </w:p>
        </w:tc>
      </w:tr>
      <w:tr>
        <w:trPr>
          <w:trHeight w:val="223"/>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Gaming Components and Systems Segment</w:t>
            </w:r>
          </w:p>
        </w:tc>
        <w:tc>
          <w:tcPr>
            <w:tcW w:w="5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275,687</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1"/>
              </w:rPr>
              <w:t>23.7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142,924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5"/>
              </w:rPr>
              <w:t>17.8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119,206</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85"/>
              </w:rPr>
              <w:t>16.9</w:t>
            </w:r>
          </w:p>
        </w:tc>
        <w:tc>
          <w:tcPr>
            <w:tcW w:w="180" w:type="dxa"/>
            <w:vAlign w:val="bottom"/>
            <w:tcBorders>
              <w:bottom w:val="single" w:sz="8" w:color="CFF0FC"/>
            </w:tcBorders>
          </w:tcPr>
          <w:p>
            <w:pPr>
              <w:spacing w:after="0"/>
              <w:rPr>
                <w:sz w:val="19"/>
                <w:szCs w:val="19"/>
                <w:color w:val="auto"/>
              </w:rPr>
            </w:pPr>
          </w:p>
        </w:tc>
      </w:tr>
      <w:tr>
        <w:trPr>
          <w:trHeight w:val="223"/>
        </w:trPr>
        <w:tc>
          <w:tcPr>
            <w:tcW w:w="4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Gross Profit</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465,429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224,287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192,695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20.6%</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Gamer and Creator Peripherals Segment</w:t>
      </w:r>
    </w:p>
    <w:p>
      <w:pPr>
        <w:spacing w:after="0" w:line="117" w:lineRule="exact"/>
        <w:rPr>
          <w:sz w:val="20"/>
          <w:szCs w:val="20"/>
          <w:color w:val="auto"/>
        </w:rPr>
      </w:pPr>
    </w:p>
    <w:p>
      <w:pPr>
        <w:ind w:right="180" w:firstLine="468"/>
        <w:spacing w:after="0" w:line="311" w:lineRule="auto"/>
        <w:rPr>
          <w:sz w:val="20"/>
          <w:szCs w:val="20"/>
          <w:color w:val="auto"/>
        </w:rPr>
      </w:pPr>
      <w:r>
        <w:rPr>
          <w:rFonts w:ascii="Arial" w:cs="Arial" w:eastAsia="Arial" w:hAnsi="Arial"/>
          <w:sz w:val="16"/>
          <w:szCs w:val="16"/>
          <w:color w:val="auto"/>
        </w:rPr>
        <w:t>The gross profit of the gamer and creator peripherals segment increased in 2020 by $108.4 million, or 133.2%, as compared to 2019, largely due to strong revenue growth of 83.4% in the same period. The 7.5% increase in gross margin was primarily driven by the addition of higher margin SCUF products and the strong growth in sales of higher margin Elgato branded streaming products, coupled with less promotional activities.</w:t>
      </w:r>
    </w:p>
    <w:p>
      <w:pPr>
        <w:spacing w:after="0" w:line="149"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The gross profit of the gamer and creator peripherals segment increased in 2019 by $7.9 million, or 10.7%, compared to 2018, largely due to the net revenue growth of 26.0% in the same period. The 3.8% decrease in gross margin was primarily due to increased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promotional activity, additional tariff costs in 2019 and higher return and rework costs, partially offset by a favorable shift in product mix towards sales of higher margin Elgato products.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Components and Systems Segment</w:t>
      </w:r>
    </w:p>
    <w:p>
      <w:pPr>
        <w:spacing w:after="0" w:line="117" w:lineRule="exact"/>
        <w:rPr>
          <w:sz w:val="20"/>
          <w:szCs w:val="20"/>
          <w:color w:val="auto"/>
        </w:rPr>
      </w:pPr>
    </w:p>
    <w:p>
      <w:pPr>
        <w:ind w:right="60" w:firstLine="468"/>
        <w:spacing w:after="0" w:line="263" w:lineRule="auto"/>
        <w:rPr>
          <w:sz w:val="20"/>
          <w:szCs w:val="20"/>
          <w:color w:val="auto"/>
        </w:rPr>
      </w:pPr>
      <w:r>
        <w:rPr>
          <w:rFonts w:ascii="Arial" w:cs="Arial" w:eastAsia="Arial" w:hAnsi="Arial"/>
          <w:sz w:val="18"/>
          <w:szCs w:val="18"/>
          <w:color w:val="auto"/>
        </w:rPr>
        <w:t>The gross profit of the gaming components and systems segment increased in 2020 by $132.8 million, or 92.9%, compared to 2019, primarily due to strong revenue growth in the same period. The 5.9% increase in gross margin was primarily driven by a higher margin product mix and less promotional activities.</w:t>
      </w:r>
    </w:p>
    <w:p>
      <w:pPr>
        <w:spacing w:after="0" w:line="184" w:lineRule="exact"/>
        <w:rPr>
          <w:sz w:val="20"/>
          <w:szCs w:val="20"/>
          <w:color w:val="auto"/>
        </w:rPr>
      </w:pPr>
    </w:p>
    <w:p>
      <w:pPr>
        <w:ind w:right="60" w:firstLine="468"/>
        <w:spacing w:after="0" w:line="259" w:lineRule="auto"/>
        <w:rPr>
          <w:sz w:val="20"/>
          <w:szCs w:val="20"/>
          <w:color w:val="auto"/>
        </w:rPr>
      </w:pPr>
      <w:r>
        <w:rPr>
          <w:rFonts w:ascii="Arial" w:cs="Arial" w:eastAsia="Arial" w:hAnsi="Arial"/>
          <w:sz w:val="18"/>
          <w:szCs w:val="18"/>
          <w:color w:val="auto"/>
        </w:rPr>
        <w:t>The gross profit of the gaming components and systems segment increased in 2019 by $23.7 million, or 19.9%, compared to 2018, largely due to the net revenue growth of 14.1% in the same period. The 0.9% increase in gross margin was primarily due to efficiencies from our leading position in the consumer, high performance memory market, which were offset partially by unfavorable margin impact from higher tariff costs and lower selling prices of our PSU products resulting from the volatility in the cryptocurrency mining market.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68"/>
        <w:spacing w:after="0" w:line="296" w:lineRule="auto"/>
        <w:rPr>
          <w:sz w:val="20"/>
          <w:szCs w:val="20"/>
          <w:color w:val="auto"/>
        </w:rPr>
      </w:pPr>
      <w:r>
        <w:rPr>
          <w:rFonts w:ascii="Arial" w:cs="Arial" w:eastAsia="Arial" w:hAnsi="Arial"/>
          <w:sz w:val="16"/>
          <w:szCs w:val="16"/>
          <w:color w:val="auto"/>
        </w:rPr>
        <w:t>Our principal sources of liquidity have been the payments received from customers purchasing our products, the net proceeds we received from private sales of equity securities, the borrowings under our credit facilities and the net proceeds we received from our IPO. On September 25, 2020, we completed our IPO which resulted in aggregate net proceeds of $118.6 million, after underwriting discounts and commissions, and before deducting offering costs of $12.0 million. As of December 31, 2020, we had cash and restricted cash, in aggregate of $133.6 million and $48.1 million capacity under our revolving credit facility. Our total borrowings outstanding as of December 31, 2020 consisted of $321.4 million of long-term debt.</w:t>
      </w:r>
    </w:p>
    <w:p>
      <w:pPr>
        <w:spacing w:after="0" w:line="161" w:lineRule="exact"/>
        <w:rPr>
          <w:sz w:val="20"/>
          <w:szCs w:val="20"/>
          <w:color w:val="auto"/>
        </w:rPr>
      </w:pPr>
    </w:p>
    <w:p>
      <w:pPr>
        <w:ind w:firstLine="468"/>
        <w:spacing w:after="0" w:line="269" w:lineRule="auto"/>
        <w:rPr>
          <w:sz w:val="20"/>
          <w:szCs w:val="20"/>
          <w:color w:val="auto"/>
        </w:rPr>
      </w:pPr>
      <w:r>
        <w:rPr>
          <w:rFonts w:ascii="Arial" w:cs="Arial" w:eastAsia="Arial" w:hAnsi="Arial"/>
          <w:sz w:val="17"/>
          <w:szCs w:val="17"/>
          <w:color w:val="auto"/>
        </w:rPr>
        <w:t>We anticipate our principal uses of cash will include purchases of inventory, payroll and other operating expenses related to the development and marketing of our gear, repayments of debt and related interest, and purchases of property and equipment and other contractual obligations for the foreseeable future. We believe that our existing cash balances and cash flow from operations will be sufficient to fund our principal uses of cash for at least the next 12 months. Our future capital requirements may vary materially from those currently planned and will depend on many factors, including our rate of revenue growth (if any), the timing and extent of spending on research and development efforts and other business initiatives, the expansion of sales and marketing activities, the timing of new product introductions, market acceptance and demand for our products and overall economic conditions. To the extent that current and anticipated future sources of liquidity are insufficient to fund our future business activities and requirements, we may be required to seek additional equity or debt financing. In addition, we may enter into other arrangements for potential investments in, or acquisitions of, complementary businesses, services or technologies, which could require us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4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168,953</w:t>
            </w:r>
          </w:p>
        </w:tc>
        <w:tc>
          <w:tcPr>
            <w:tcW w:w="10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37,103</w:t>
            </w:r>
          </w:p>
        </w:tc>
        <w:tc>
          <w:tcPr>
            <w:tcW w:w="2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(10,280)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(145,427)</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(38,555)</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(79,131)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132,314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47,354</w:t>
            </w:r>
          </w:p>
        </w:tc>
        <w:tc>
          <w:tcPr>
            <w:tcW w:w="10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Net cash provided by operating activities for 2020 was $169.0 million and consisted of net income of $103.2 million, non-cash adjustments of $50.8 million and $14.9 million from changes in our net operating assets and liabilities. The non-cash adjustments consisted primarily of amortization of intangibles and depreciation, stock-based compensation expense, loss on debt extinguishment and amortization of debt issuance costs, which were partially offset by changes in deferred income taxes. The net cash inflow from changes in our net operating assets and liabilities was primarily related to increase in accounts payable, other liabilities and accrued expenses. The increase in accounts payable was mainly due to timing of payments and purchases with longer payment terms, and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increase in other liabilities and accrued expenses was mainly from an increase in the bonus accrual and a higher accrual for sales returns and customer incentives. The cash inflow was partially offset by an increase in inventory, accounts receivable and prepaid expenses and other assets.</w:t>
      </w:r>
    </w:p>
    <w:p>
      <w:pPr>
        <w:spacing w:after="0" w:line="124" w:lineRule="exact"/>
        <w:rPr>
          <w:sz w:val="20"/>
          <w:szCs w:val="20"/>
          <w:color w:val="auto"/>
        </w:rPr>
      </w:pPr>
    </w:p>
    <w:p>
      <w:pPr>
        <w:ind w:firstLine="468"/>
        <w:spacing w:after="0" w:line="273" w:lineRule="auto"/>
        <w:rPr>
          <w:sz w:val="20"/>
          <w:szCs w:val="20"/>
          <w:color w:val="auto"/>
        </w:rPr>
      </w:pPr>
      <w:r>
        <w:rPr>
          <w:rFonts w:ascii="Arial" w:cs="Arial" w:eastAsia="Arial" w:hAnsi="Arial"/>
          <w:sz w:val="17"/>
          <w:szCs w:val="17"/>
          <w:color w:val="auto"/>
        </w:rPr>
        <w:t>Net cash provided by operating activities for 2019 was $37.1 million and consisted of non-cash adjustments of $32.5 million and a net cash inflow of $13.0 million from changes in our net operating assets and liabilities, which were offset partially by a net loss of $8.4 million. The non-cash adjustments consisted primarily of amortization of intangibles and depreciation, stock-based compensation expense and amortization of debt issuance costs, which were partially offset by changes in deferred income taxes. The net cash inflow from changes in our net operating assets and liabilities was primarily related to increases in accounts payable and other liabilities and accrued expenses mainly due to timing of payments, as well as a decrease in inventories. The cash inflow was partially offset by an increase in accounts receivable and other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280" w:firstLine="468"/>
        <w:spacing w:after="0" w:line="277" w:lineRule="auto"/>
        <w:rPr>
          <w:sz w:val="20"/>
          <w:szCs w:val="20"/>
          <w:color w:val="auto"/>
        </w:rPr>
      </w:pPr>
      <w:r>
        <w:rPr>
          <w:rFonts w:ascii="Arial" w:cs="Arial" w:eastAsia="Arial" w:hAnsi="Arial"/>
          <w:sz w:val="18"/>
          <w:szCs w:val="18"/>
          <w:color w:val="auto"/>
        </w:rPr>
        <w:t>Cash used in investing activities was $10.3 million for 2020 and consisted of $9.0 million for the purchase of capital equipment and software and $1.3 million for acquisitions of immaterial businesses.</w:t>
      </w:r>
    </w:p>
    <w:p>
      <w:pPr>
        <w:spacing w:after="0" w:line="170" w:lineRule="exact"/>
        <w:rPr>
          <w:sz w:val="20"/>
          <w:szCs w:val="20"/>
          <w:color w:val="auto"/>
        </w:rPr>
      </w:pPr>
    </w:p>
    <w:p>
      <w:pPr>
        <w:ind w:right="20" w:firstLine="468"/>
        <w:spacing w:after="0" w:line="342" w:lineRule="auto"/>
        <w:rPr>
          <w:sz w:val="20"/>
          <w:szCs w:val="20"/>
          <w:color w:val="auto"/>
        </w:rPr>
      </w:pPr>
      <w:r>
        <w:rPr>
          <w:rFonts w:ascii="Arial" w:cs="Arial" w:eastAsia="Arial" w:hAnsi="Arial"/>
          <w:sz w:val="16"/>
          <w:szCs w:val="16"/>
          <w:color w:val="auto"/>
        </w:rPr>
        <w:t>Cash used in investing activities was $145.4 million for 2019 and consisted primarily of $126.0 million that was used for the acquisition of SCUF and Origin, $10.3 million payment for the deferred consideration of Elgato acquisition and $8.8 million for the purchase of capital equipment and software.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20" w:firstLine="468"/>
        <w:spacing w:after="0" w:line="311" w:lineRule="auto"/>
        <w:rPr>
          <w:sz w:val="20"/>
          <w:szCs w:val="20"/>
          <w:color w:val="auto"/>
        </w:rPr>
      </w:pPr>
      <w:r>
        <w:rPr>
          <w:rFonts w:ascii="Arial" w:cs="Arial" w:eastAsia="Arial" w:hAnsi="Arial"/>
          <w:sz w:val="16"/>
          <w:szCs w:val="16"/>
          <w:color w:val="auto"/>
        </w:rPr>
        <w:t>Cash used in financing activities was $79.1 million for 2020 and consisted of repayments of debt of $190.4 million and the payment of offering costs of $8.5 million. These cash outflows were partially offset by proceeds received from issuance of our common stock in connection with our IPO of $118.6 million, after deducting underwriting discounts and commissions, and proceeds received from exercises of employee stock options of $1.3 million.</w:t>
      </w:r>
    </w:p>
    <w:p>
      <w:pPr>
        <w:spacing w:after="0" w:line="149" w:lineRule="exact"/>
        <w:rPr>
          <w:sz w:val="20"/>
          <w:szCs w:val="20"/>
          <w:color w:val="auto"/>
        </w:rPr>
      </w:pPr>
    </w:p>
    <w:p>
      <w:pPr>
        <w:ind w:right="80" w:firstLine="468"/>
        <w:spacing w:after="0" w:line="311" w:lineRule="auto"/>
        <w:rPr>
          <w:sz w:val="20"/>
          <w:szCs w:val="20"/>
          <w:color w:val="auto"/>
        </w:rPr>
      </w:pPr>
      <w:r>
        <w:rPr>
          <w:rFonts w:ascii="Arial" w:cs="Arial" w:eastAsia="Arial" w:hAnsi="Arial"/>
          <w:sz w:val="16"/>
          <w:szCs w:val="16"/>
          <w:color w:val="auto"/>
        </w:rPr>
        <w:t>Cash provided by financing activities was $132.3 million for 2019 and consisted of the net proceeds from issuance of debt of $113.9 million and the proceeds from issuance of common stock of $53.5 million, which were partially offset by the cash used for the repayment of our credit facilities of $27.0 million, the repayment of debt of $4.0 million, the payment of debt issuance costs of $2.5 million and the repurchase of common stock of $1.5 million.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Dividend</w:t>
      </w:r>
    </w:p>
    <w:p>
      <w:pPr>
        <w:spacing w:after="0" w:line="117" w:lineRule="exact"/>
        <w:rPr>
          <w:sz w:val="20"/>
          <w:szCs w:val="20"/>
          <w:color w:val="auto"/>
        </w:rPr>
      </w:pPr>
    </w:p>
    <w:p>
      <w:pPr>
        <w:ind w:right="100" w:firstLine="468"/>
        <w:spacing w:after="0" w:line="259" w:lineRule="auto"/>
        <w:rPr>
          <w:sz w:val="20"/>
          <w:szCs w:val="20"/>
          <w:color w:val="auto"/>
        </w:rPr>
      </w:pPr>
      <w:r>
        <w:rPr>
          <w:rFonts w:ascii="Arial" w:cs="Arial" w:eastAsia="Arial" w:hAnsi="Arial"/>
          <w:sz w:val="18"/>
          <w:szCs w:val="18"/>
          <w:color w:val="auto"/>
        </w:rPr>
        <w:t>In August 2017, we entered into a syndicated First Lien Credit and Guaranty Agreement, or the First Lien, with various financial institutions. The First Lien originally provided a $235 million term loan, or the First Lien Term Loan, for a business acquisition and to repay existing indebtedness of the acquired company and a $50 million revolving line-of-credit, or the Revolver. The First Lien and the Revolver mature on August 28, 2024 and August 28, 2022, respectively.</w:t>
      </w:r>
    </w:p>
    <w:p>
      <w:pPr>
        <w:spacing w:after="0" w:line="187" w:lineRule="exact"/>
        <w:rPr>
          <w:sz w:val="20"/>
          <w:szCs w:val="20"/>
          <w:color w:val="auto"/>
        </w:rPr>
      </w:pPr>
    </w:p>
    <w:p>
      <w:pPr>
        <w:ind w:right="120" w:firstLine="468"/>
        <w:spacing w:after="0" w:line="311" w:lineRule="auto"/>
        <w:rPr>
          <w:sz w:val="20"/>
          <w:szCs w:val="20"/>
          <w:color w:val="auto"/>
        </w:rPr>
      </w:pPr>
      <w:r>
        <w:rPr>
          <w:rFonts w:ascii="Arial" w:cs="Arial" w:eastAsia="Arial" w:hAnsi="Arial"/>
          <w:sz w:val="16"/>
          <w:szCs w:val="16"/>
          <w:color w:val="auto"/>
        </w:rPr>
        <w:t>Subsequently, we entered into several amendments to the First Lien and the principal amount of the First Lien Term Loan was increased by $10 million in 2017 and increased by $115 million in each of 2018 and 2019. The increase in First Lien in 2018 was primarily to fund an $85 million dividend distribution to the unitholders of EagleTree and for operational needs. The increase in the First Lien in 2019 was primarily to fund the SCUF Acquisition.</w:t>
      </w:r>
    </w:p>
    <w:p>
      <w:pPr>
        <w:spacing w:after="0" w:line="149"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 Funds Effective Rate plus 0.5%, (iii) one month LIBOR plus 1.0% and (iv) 2%, plus a margin of 3.5%, or (b) the greater of (i) LIBOR and (ii) 1.0%, plus a margin of 4.5%. The Revolver initially carried interest at a rate equal to, at our election, either the (a) greatest of (i) the prime rate, (ii) sum of the Federal Funds Effective Rate plus 0.5%, (iii) one month LIBOR plus 1.0% and (iv) 2%, plus 3.5%, or (b) the greater of (i) LIBOR and (ii) 1.0%, plus a margin of 4.5%. As a result of the First Lien amendment in October 2018, the margin for the First Lien term loan and Revolver margin were both changed to range from 2.75% to 3.25% for base rate loans and to range from 3.75% to 4.25% for Eurodollar loans, in each case, based on our net leverage ratio.</w:t>
      </w:r>
    </w:p>
    <w:p>
      <w:pPr>
        <w:spacing w:after="0" w:line="164" w:lineRule="exact"/>
        <w:rPr>
          <w:sz w:val="20"/>
          <w:szCs w:val="20"/>
          <w:color w:val="auto"/>
        </w:rPr>
      </w:pPr>
    </w:p>
    <w:p>
      <w:pPr>
        <w:ind w:right="20" w:firstLine="468"/>
        <w:spacing w:after="0" w:line="275" w:lineRule="auto"/>
        <w:rPr>
          <w:sz w:val="20"/>
          <w:szCs w:val="20"/>
          <w:color w:val="auto"/>
        </w:rPr>
      </w:pPr>
      <w:r>
        <w:rPr>
          <w:rFonts w:ascii="Arial" w:cs="Arial" w:eastAsia="Arial" w:hAnsi="Arial"/>
          <w:sz w:val="17"/>
          <w:szCs w:val="17"/>
          <w:color w:val="auto"/>
        </w:rPr>
        <w:t>Additionally, new contingent repayment provisions were added as a result of the First Lien amendment in October 2018. Five business days after our IPO, we were required to prepay all amounts (principal and interest) outstanding under the Second Lien Term Loan (as defined below). Concurrently, we were also required to prepay the First Lien Term Loan in an amount equal to the proceeds from the IPO, less the amount used to repay the Second Lien Term Loan, multiplied by 50%. Accordingly, in September 2020, with the IPO proceeds, we repaid the mandatory minimum amount of $55.8 million and made an additional $30.8 million voluntary repayment from the use of the IPO proceeds.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700" w:firstLine="468"/>
        <w:spacing w:after="0" w:line="311" w:lineRule="auto"/>
        <w:rPr>
          <w:sz w:val="20"/>
          <w:szCs w:val="20"/>
          <w:color w:val="auto"/>
        </w:rPr>
      </w:pPr>
      <w:r>
        <w:rPr>
          <w:rFonts w:ascii="Arial" w:cs="Arial" w:eastAsia="Arial" w:hAnsi="Arial"/>
          <w:sz w:val="16"/>
          <w:szCs w:val="16"/>
          <w:color w:val="auto"/>
        </w:rPr>
        <w:t>We may prepay the First Lien Term Loan and the Revolver at any time without premium or penalty other than customary LIBOR breakage. According to the Consolidated Excess Cash Flow clause as defined in the First Lien, in April 2020, we prepaid $2.6 million of the First Lien Term Loan. In the fourth quarter of 2020, we prepaid an additional $50.0 million of the First Lien Term Loan with our excess cash on hand.</w:t>
      </w:r>
    </w:p>
    <w:p>
      <w:pPr>
        <w:spacing w:after="0" w:line="149" w:lineRule="exact"/>
        <w:rPr>
          <w:sz w:val="20"/>
          <w:szCs w:val="20"/>
          <w:color w:val="auto"/>
        </w:rPr>
      </w:pPr>
    </w:p>
    <w:p>
      <w:pPr>
        <w:ind w:right="140" w:firstLine="468"/>
        <w:spacing w:after="0" w:line="255" w:lineRule="auto"/>
        <w:rPr>
          <w:sz w:val="20"/>
          <w:szCs w:val="20"/>
          <w:color w:val="auto"/>
        </w:rPr>
      </w:pPr>
      <w:r>
        <w:rPr>
          <w:rFonts w:ascii="Arial" w:cs="Arial" w:eastAsia="Arial" w:hAnsi="Arial"/>
          <w:sz w:val="18"/>
          <w:szCs w:val="18"/>
          <w:color w:val="auto"/>
        </w:rPr>
        <w:t>In August 2017, we also entered into a syndicated Second Lien Credit and Guaranty Agreement, or the Second Lien, with various financial institutions. The Second Lien initially provided a $65 million term loan, or the Second Lien Term Loan,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w:t>
      </w:r>
    </w:p>
    <w:p>
      <w:pPr>
        <w:spacing w:after="0" w:line="192" w:lineRule="exact"/>
        <w:rPr>
          <w:sz w:val="20"/>
          <w:szCs w:val="20"/>
          <w:color w:val="auto"/>
        </w:rPr>
      </w:pPr>
    </w:p>
    <w:p>
      <w:pPr>
        <w:jc w:val="both"/>
        <w:ind w:right="200" w:firstLine="468"/>
        <w:spacing w:after="0" w:line="311" w:lineRule="auto"/>
        <w:rPr>
          <w:sz w:val="20"/>
          <w:szCs w:val="20"/>
          <w:color w:val="auto"/>
        </w:rPr>
      </w:pPr>
      <w:r>
        <w:rPr>
          <w:rFonts w:ascii="Arial" w:cs="Arial" w:eastAsia="Arial" w:hAnsi="Arial"/>
          <w:sz w:val="16"/>
          <w:szCs w:val="16"/>
          <w:color w:val="auto"/>
        </w:rPr>
        <w:t>We had the ability to prepay the Second Lien Term Loan any time after the first and second anniversary without premium or penalty. In the second and third quarter of 2020, with excess cash on hand, we repaid an aggregate of $50 million of the outstanding principal balance of the Second Lien Term Loan and following this repayment, the Second Lien Term Loan was fully repaid and all obligations and covenants thereunder were terminated.</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All accrued and unpaid interest on the borrowed amounts is due and payable on a quarterly basis.</w:t>
      </w:r>
    </w:p>
    <w:p>
      <w:pPr>
        <w:spacing w:after="0" w:line="225" w:lineRule="exact"/>
        <w:rPr>
          <w:sz w:val="20"/>
          <w:szCs w:val="20"/>
          <w:color w:val="auto"/>
        </w:rPr>
      </w:pPr>
    </w:p>
    <w:p>
      <w:pPr>
        <w:ind w:right="220" w:firstLine="468"/>
        <w:spacing w:after="0" w:line="257" w:lineRule="auto"/>
        <w:rPr>
          <w:sz w:val="20"/>
          <w:szCs w:val="20"/>
          <w:color w:val="auto"/>
        </w:rPr>
      </w:pPr>
      <w:r>
        <w:rPr>
          <w:rFonts w:ascii="Arial" w:cs="Arial" w:eastAsia="Arial" w:hAnsi="Arial"/>
          <w:sz w:val="18"/>
          <w:szCs w:val="18"/>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us,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We were in compliance with all of the covenants as of December 31, 2020.</w:t>
      </w:r>
    </w:p>
    <w:p>
      <w:pPr>
        <w:spacing w:after="0" w:line="188" w:lineRule="exact"/>
        <w:rPr>
          <w:sz w:val="20"/>
          <w:szCs w:val="20"/>
          <w:color w:val="auto"/>
        </w:rPr>
      </w:pPr>
    </w:p>
    <w:p>
      <w:pPr>
        <w:ind w:right="20" w:firstLine="468"/>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ind w:right="107"/>
              <w:spacing w:after="0"/>
              <w:rPr>
                <w:sz w:val="20"/>
                <w:szCs w:val="20"/>
                <w:color w:val="auto"/>
              </w:rPr>
            </w:pPr>
            <w:r>
              <w:rPr>
                <w:rFonts w:ascii="Arial" w:cs="Arial" w:eastAsia="Arial" w:hAnsi="Arial"/>
                <w:sz w:val="14"/>
                <w:szCs w:val="14"/>
                <w:b w:val="1"/>
                <w:bCs w:val="1"/>
                <w:color w:val="auto"/>
                <w:w w:val="91"/>
              </w:rPr>
              <w:t>Payments Due by Period</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84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98"/>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15"/>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principal and interest </w:t>
            </w:r>
            <w:r>
              <w:rPr>
                <w:rFonts w:ascii="Arial" w:cs="Arial" w:eastAsia="Arial" w:hAnsi="Arial"/>
                <w:sz w:val="15"/>
                <w:szCs w:val="15"/>
                <w:color w:val="auto"/>
              </w:rPr>
              <w:t>(1)</w:t>
            </w:r>
          </w:p>
        </w:tc>
        <w:tc>
          <w:tcPr>
            <w:tcW w:w="3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15,745</w:t>
            </w:r>
          </w:p>
        </w:tc>
        <w:tc>
          <w:tcPr>
            <w:tcW w:w="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31,490</w:t>
            </w:r>
          </w:p>
        </w:tc>
        <w:tc>
          <w:tcPr>
            <w:tcW w:w="4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337,464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w w:val="94"/>
              </w:rPr>
              <w:t>Contingent and deferred consideration in connection with business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5,642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5,642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02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20" w:type="dxa"/>
            <w:vAlign w:val="bottom"/>
            <w:tcBorders>
              <w:bottom w:val="single" w:sz="8" w:color="CFF0FC"/>
            </w:tcBorders>
            <w:vMerge w:val="continue"/>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515,004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122,015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343,727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40" w:hanging="372"/>
        <w:spacing w:after="0" w:line="258"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our syndicated First Lien Term Loan and our anticipated repayment schedule for the loan as of December 31, 2020. See Note 8 “Debt” to our combined consolidated financial statements for more information.</w:t>
      </w:r>
    </w:p>
    <w:p>
      <w:pPr>
        <w:spacing w:after="0" w:line="1" w:lineRule="exact"/>
        <w:rPr>
          <w:rFonts w:ascii="Arial" w:cs="Arial" w:eastAsia="Arial" w:hAnsi="Arial"/>
          <w:sz w:val="18"/>
          <w:szCs w:val="18"/>
          <w:color w:val="auto"/>
        </w:rPr>
      </w:pPr>
    </w:p>
    <w:p>
      <w:pPr>
        <w:ind w:left="380" w:right="200" w:hanging="372"/>
        <w:spacing w:after="0" w:line="250"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an estimate of our non-cancelable open purchase orders and contractual obligations in the ordinary course of business for which we have not received the goods or services as of December 31, 2020.</w:t>
      </w: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contractual obligations from our non-cancelable operating leases for office and warehouse spaces.</w:t>
      </w:r>
    </w:p>
    <w:p>
      <w:pPr>
        <w:spacing w:after="0" w:line="9" w:lineRule="exact"/>
        <w:rPr>
          <w:rFonts w:ascii="Arial" w:cs="Arial" w:eastAsia="Arial" w:hAnsi="Arial"/>
          <w:sz w:val="18"/>
          <w:szCs w:val="18"/>
          <w:color w:val="auto"/>
        </w:rPr>
      </w:pPr>
    </w:p>
    <w:p>
      <w:pPr>
        <w:ind w:left="380" w:right="140" w:hanging="372"/>
        <w:spacing w:after="0" w:line="277" w:lineRule="auto"/>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 of December 31, 2020, we had $0.8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obligation table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right="20" w:firstLine="468"/>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combined consolidated financial statements, which have been prepared in accordance with GAAP. The preparation of these combined consolidated financial statements requires us to make estimates and assumptions that affect the reported amounts of assets and liabilities and the disclosure of contingent assets and liabilities at the date of the combined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20" w:firstLine="468"/>
        <w:spacing w:after="0" w:line="277"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more significant areas involving management’s estimates, assumptions, and judgments.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firstLine="468"/>
        <w:spacing w:after="0" w:line="263" w:lineRule="auto"/>
        <w:rPr>
          <w:sz w:val="20"/>
          <w:szCs w:val="20"/>
          <w:color w:val="auto"/>
        </w:rPr>
      </w:pPr>
      <w:r>
        <w:rPr>
          <w:rFonts w:ascii="Arial" w:cs="Arial" w:eastAsia="Arial" w:hAnsi="Arial"/>
          <w:sz w:val="18"/>
          <w:szCs w:val="18"/>
          <w:color w:val="auto"/>
        </w:rPr>
        <w:t>Our products are primarily sold through a network of distributors and retailers, including online retailers, and to a lesser extent direct to consumers. We sell hardware products, such as gamer and creator peripherals and gaming components and systems, which may include embedded software that provides advanced performance tuning, user customization and system monitoring.</w:t>
      </w:r>
    </w:p>
    <w:p>
      <w:pPr>
        <w:spacing w:after="0" w:line="184" w:lineRule="exact"/>
        <w:rPr>
          <w:sz w:val="20"/>
          <w:szCs w:val="20"/>
          <w:color w:val="auto"/>
        </w:rPr>
      </w:pPr>
    </w:p>
    <w:p>
      <w:pPr>
        <w:ind w:right="100" w:firstLine="468"/>
        <w:spacing w:after="0" w:line="277" w:lineRule="auto"/>
        <w:rPr>
          <w:sz w:val="20"/>
          <w:szCs w:val="20"/>
          <w:color w:val="auto"/>
        </w:rPr>
      </w:pPr>
      <w:r>
        <w:rPr>
          <w:rFonts w:ascii="Arial" w:cs="Arial" w:eastAsia="Arial" w:hAnsi="Arial"/>
          <w:sz w:val="18"/>
          <w:szCs w:val="18"/>
          <w:color w:val="auto"/>
        </w:rPr>
        <w:t>Hardware devices are generally plug and play, requiring no configuration and little or no installation. Revenue is recognized at a point in time when control of the products is transferred to the customer, which generally occurs upon shipment or delivery to the customer.</w:t>
      </w:r>
    </w:p>
    <w:p>
      <w:pPr>
        <w:spacing w:after="0" w:line="170" w:lineRule="exact"/>
        <w:rPr>
          <w:sz w:val="20"/>
          <w:szCs w:val="20"/>
          <w:color w:val="auto"/>
        </w:rPr>
      </w:pPr>
    </w:p>
    <w:p>
      <w:pPr>
        <w:ind w:right="20" w:firstLine="468"/>
        <w:spacing w:after="0" w:line="277" w:lineRule="auto"/>
        <w:rPr>
          <w:sz w:val="20"/>
          <w:szCs w:val="20"/>
          <w:color w:val="auto"/>
        </w:rPr>
      </w:pPr>
      <w:r>
        <w:rPr>
          <w:rFonts w:ascii="Arial" w:cs="Arial" w:eastAsia="Arial" w:hAnsi="Arial"/>
          <w:sz w:val="18"/>
          <w:szCs w:val="18"/>
          <w:color w:val="auto"/>
        </w:rPr>
        <w:t>We offer return rights and customer incentive programs. Customer incentive programs include special pricing arrangements, promotions, rebates and volume-based incentives.</w:t>
      </w:r>
    </w:p>
    <w:p>
      <w:pPr>
        <w:spacing w:after="0" w:line="170" w:lineRule="exact"/>
        <w:rPr>
          <w:sz w:val="20"/>
          <w:szCs w:val="20"/>
          <w:color w:val="auto"/>
        </w:rPr>
      </w:pPr>
    </w:p>
    <w:p>
      <w:pPr>
        <w:ind w:right="100" w:firstLine="468"/>
        <w:spacing w:after="0" w:line="255" w:lineRule="auto"/>
        <w:rPr>
          <w:sz w:val="20"/>
          <w:szCs w:val="20"/>
          <w:color w:val="auto"/>
        </w:rPr>
      </w:pPr>
      <w:r>
        <w:rPr>
          <w:rFonts w:ascii="Arial" w:cs="Arial" w:eastAsia="Arial" w:hAnsi="Arial"/>
          <w:sz w:val="18"/>
          <w:szCs w:val="18"/>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trends. Return trends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us to estimate expected future product returns.</w:t>
      </w:r>
    </w:p>
    <w:p>
      <w:pPr>
        <w:spacing w:after="0" w:line="192" w:lineRule="exact"/>
        <w:rPr>
          <w:sz w:val="20"/>
          <w:szCs w:val="20"/>
          <w:color w:val="auto"/>
        </w:rPr>
      </w:pPr>
    </w:p>
    <w:p>
      <w:pPr>
        <w:ind w:firstLine="468"/>
        <w:spacing w:after="0" w:line="291" w:lineRule="auto"/>
        <w:rPr>
          <w:sz w:val="20"/>
          <w:szCs w:val="20"/>
          <w:color w:val="auto"/>
        </w:rPr>
      </w:pPr>
      <w:r>
        <w:rPr>
          <w:rFonts w:ascii="Arial" w:cs="Arial" w:eastAsia="Arial" w:hAnsi="Arial"/>
          <w:sz w:val="16"/>
          <w:szCs w:val="16"/>
          <w:color w:val="auto"/>
        </w:rPr>
        <w:t>Customer incentive programs are considered variable consideration, which we estimate and record as a reduction to revenue at the time of sale based on actual sales data, historical experiences and forecasted incentives. Certain customer incentives require management to estimate the percentage of those programs which will not be claimed or will not be earned by customers based on historical experience and on the specific terms and conditions of particular programs. The percentage of these customer programs that will not be claimed or earned is commonly referred to as “breakage”. We account for breakage as part of variable consideration, subject to constraint, and record the estimated impact in the same period when revenue is recognized at the expected value. Significant management judgments and estimates are used to determine the amount of variable consideration to be recognized, as well as any subsequent adjustments to it, such that it is probable that a significant reversal of revenue will not occur.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firstLine="468"/>
        <w:spacing w:after="0" w:line="254" w:lineRule="auto"/>
        <w:rPr>
          <w:sz w:val="20"/>
          <w:szCs w:val="20"/>
          <w:color w:val="auto"/>
        </w:rPr>
      </w:pPr>
      <w:r>
        <w:rPr>
          <w:rFonts w:ascii="Arial" w:cs="Arial" w:eastAsia="Arial" w:hAnsi="Arial"/>
          <w:sz w:val="18"/>
          <w:szCs w:val="18"/>
          <w:color w:val="auto"/>
        </w:rPr>
        <w:t>We allocate the fair value of purchase consideration to tangible assets, liabilities including contingencies assumed, and intangible assets acquired in a business combination. Any excess fair value of purchase consideration over the estimated fair value of assets acquired and liabilities assumed is recorded as goodwill. The allocation of the purchase consideration requires management to make estimates and assumptions, based in part on our judgments, in determining the fair value of assets acquired and liabilities assumed, especially with respect to intangible assets. These estimates are inherently difficult, subjective and have varying degrees of estimation uncertainty, and if different estimates were used, the fair value allocation to the acquired intangible assets could be different. Therefore, our assessment of the estimated fair value of each of these assets can have a material effect on our combined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100" w:firstLine="468"/>
        <w:spacing w:after="0" w:line="277" w:lineRule="auto"/>
        <w:rPr>
          <w:sz w:val="20"/>
          <w:szCs w:val="20"/>
          <w:color w:val="auto"/>
        </w:rPr>
      </w:pPr>
      <w:r>
        <w:rPr>
          <w:rFonts w:ascii="Arial" w:cs="Arial" w:eastAsia="Arial" w:hAnsi="Arial"/>
          <w:sz w:val="18"/>
          <w:szCs w:val="18"/>
          <w:color w:val="auto"/>
        </w:rPr>
        <w:t>Refer to Note 1 to the combined consolidated financial statements included in this Annual Report on Form 10-K for recent accounting pronouncements adopted and to be adopted.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46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468"/>
        <w:spacing w:after="0" w:line="301" w:lineRule="auto"/>
        <w:rPr>
          <w:sz w:val="20"/>
          <w:szCs w:val="20"/>
          <w:color w:val="auto"/>
        </w:rPr>
      </w:pPr>
      <w:r>
        <w:rPr>
          <w:rFonts w:ascii="Arial" w:cs="Arial" w:eastAsia="Arial" w:hAnsi="Arial"/>
          <w:sz w:val="16"/>
          <w:szCs w:val="16"/>
          <w:color w:val="auto"/>
        </w:rPr>
        <w:t>As of December 31, 2020, we had cash and restricted cash of $133.6 million, which consisted primarily of bank deposits. Our cash is held for working capital purposes. As of December 31, 2020, we had indebtedness of $321.4 million under the syndicated First Lien Term Loan which bears variable market rates, primarily LIBOR. A significant change in these market rates may adversely affect our operating results. As of December 31, 2020, a hypothetical 100 basis point change in interest rates would result in a change to interest expense by approximately $0.5 million in fiscal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 w:firstLine="468"/>
        <w:spacing w:after="0" w:line="255" w:lineRule="auto"/>
        <w:rPr>
          <w:sz w:val="20"/>
          <w:szCs w:val="20"/>
          <w:color w:val="auto"/>
        </w:rPr>
      </w:pPr>
      <w:r>
        <w:rPr>
          <w:rFonts w:ascii="Arial" w:cs="Arial" w:eastAsia="Arial" w:hAnsi="Arial"/>
          <w:sz w:val="18"/>
          <w:szCs w:val="18"/>
          <w:color w:val="auto"/>
        </w:rPr>
        <w:t>Approximately 18% of our net revenue in fiscal 2020 was denominated in foreign currencies. Any unfavorable movement in the exchange rate between U.S. dollars and the currencies in which we conduct sales in foreign countries could have an adverse impact on our net revenue and gross margins as we may have to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84" w:lineRule="exact"/>
        <w:rPr>
          <w:sz w:val="20"/>
          <w:szCs w:val="20"/>
          <w:color w:val="auto"/>
        </w:rPr>
      </w:pPr>
    </w:p>
    <w:p>
      <w:pPr>
        <w:ind w:right="260" w:firstLine="468"/>
        <w:spacing w:after="0" w:line="259" w:lineRule="auto"/>
        <w:rPr>
          <w:sz w:val="20"/>
          <w:szCs w:val="20"/>
          <w:color w:val="auto"/>
        </w:rPr>
      </w:pPr>
      <w:r>
        <w:rPr>
          <w:rFonts w:ascii="Arial" w:cs="Arial" w:eastAsia="Arial" w:hAnsi="Arial"/>
          <w:sz w:val="18"/>
          <w:szCs w:val="18"/>
          <w:color w:val="auto"/>
        </w:rPr>
        <w:t>We analyzed our foreign currency exposure to identify assets and liabilities denominated in other currencies. As we grow our operations, our exposure to foreign currency risk could become more significant. A hypothetical ten percent change in exchange rates between those currencies and the U.S. dollar would increase or decrease our gains or losses on foreign currency exchange of approximately $5.5 million in our combined consolidated financial statements in fiscal 2020.</w:t>
      </w:r>
    </w:p>
    <w:p>
      <w:pPr>
        <w:spacing w:after="0" w:line="187" w:lineRule="exact"/>
        <w:rPr>
          <w:sz w:val="20"/>
          <w:szCs w:val="20"/>
          <w:color w:val="auto"/>
        </w:rPr>
      </w:pPr>
    </w:p>
    <w:p>
      <w:pPr>
        <w:ind w:firstLine="468"/>
        <w:spacing w:after="0" w:line="296" w:lineRule="auto"/>
        <w:rPr>
          <w:sz w:val="20"/>
          <w:szCs w:val="20"/>
          <w:color w:val="auto"/>
        </w:rPr>
      </w:pPr>
      <w:r>
        <w:rPr>
          <w:rFonts w:ascii="Arial" w:cs="Arial" w:eastAsia="Arial" w:hAnsi="Arial"/>
          <w:sz w:val="16"/>
          <w:szCs w:val="16"/>
          <w:color w:val="auto"/>
        </w:rPr>
        <w:t>The primary currency fluctuations to which we are exposed are the Euro, British Pound and the Chinese Yuan. We enter into forward currency contracts to reduce the short-term effects of currency fluctuations on Euro, British Pound, and Chinese Yuan denominated cash, accounts receivable, and intercompany receivable and payable balances. These forward contracts generally mature within three months and we do not enter into foreign currency forward contracts for trading purposes. The outstanding notional principal amount was $41.6 million and $18.3 million as of December 31, 2020 and 2019, respectively. The gains or losses on these contracts are recognized in earnings based on the changes in fair value of the foreign currency forward contracts.</w:t>
      </w:r>
    </w:p>
    <w:p>
      <w:pPr>
        <w:spacing w:after="0" w:line="161" w:lineRule="exact"/>
        <w:rPr>
          <w:sz w:val="20"/>
          <w:szCs w:val="20"/>
          <w:color w:val="auto"/>
        </w:rPr>
      </w:pPr>
    </w:p>
    <w:p>
      <w:pPr>
        <w:ind w:right="20" w:firstLine="468"/>
        <w:spacing w:after="0" w:line="277" w:lineRule="auto"/>
        <w:rPr>
          <w:sz w:val="20"/>
          <w:szCs w:val="20"/>
          <w:color w:val="auto"/>
        </w:rPr>
      </w:pPr>
      <w:r>
        <w:rPr>
          <w:rFonts w:ascii="Arial" w:cs="Arial" w:eastAsia="Arial" w:hAnsi="Arial"/>
          <w:sz w:val="18"/>
          <w:szCs w:val="18"/>
          <w:color w:val="auto"/>
        </w:rPr>
        <w:t>The net impact of changes in foreign currency rates recognized in other (expense) income, net was $(1.5) million, $(1.6) million, and $0.4 million in fiscal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320" w:type="dxa"/>
            <w:vAlign w:val="bottom"/>
          </w:tcPr>
          <w:p>
            <w:pPr>
              <w:spacing w:after="0"/>
              <w:rPr>
                <w:sz w:val="20"/>
                <w:szCs w:val="20"/>
                <w:color w:val="auto"/>
              </w:rPr>
            </w:pPr>
          </w:p>
        </w:tc>
      </w:tr>
      <w:tr>
        <w:trPr>
          <w:trHeight w:val="648"/>
        </w:trPr>
        <w:tc>
          <w:tcPr>
            <w:tcW w:w="990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320" w:type="dxa"/>
            <w:vAlign w:val="bottom"/>
          </w:tcPr>
          <w:p>
            <w:pPr>
              <w:spacing w:after="0"/>
              <w:rPr>
                <w:sz w:val="24"/>
                <w:szCs w:val="24"/>
                <w:color w:val="auto"/>
              </w:rPr>
            </w:pPr>
          </w:p>
        </w:tc>
      </w:tr>
      <w:tr>
        <w:trPr>
          <w:trHeight w:val="648"/>
        </w:trPr>
        <w:tc>
          <w:tcPr>
            <w:tcW w:w="9900" w:type="dxa"/>
            <w:vAlign w:val="bottom"/>
          </w:tcPr>
          <w:p>
            <w:pPr>
              <w:ind w:left="3000"/>
              <w:spacing w:after="0"/>
              <w:rPr>
                <w:sz w:val="20"/>
                <w:szCs w:val="20"/>
                <w:color w:val="auto"/>
              </w:rPr>
            </w:pPr>
            <w:r>
              <w:rPr>
                <w:rFonts w:ascii="Arial" w:cs="Arial" w:eastAsia="Arial" w:hAnsi="Arial"/>
                <w:sz w:val="18"/>
                <w:szCs w:val="18"/>
                <w:b w:val="1"/>
                <w:bCs w:val="1"/>
                <w:color w:val="auto"/>
              </w:rPr>
              <w:t>INDEX TO COMBINED CONSOLIDATED FINANCIAL STATEMENTS</w:t>
            </w:r>
          </w:p>
        </w:tc>
        <w:tc>
          <w:tcPr>
            <w:tcW w:w="1320" w:type="dxa"/>
            <w:vAlign w:val="bottom"/>
          </w:tcPr>
          <w:p>
            <w:pPr>
              <w:spacing w:after="0"/>
              <w:rPr>
                <w:sz w:val="24"/>
                <w:szCs w:val="24"/>
                <w:color w:val="auto"/>
              </w:rPr>
            </w:pPr>
          </w:p>
        </w:tc>
      </w:tr>
      <w:tr>
        <w:trPr>
          <w:trHeight w:val="486"/>
        </w:trPr>
        <w:tc>
          <w:tcPr>
            <w:tcW w:w="99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Report of Independent Registered Public Accounting Firm</w:t>
              </w:r>
            </w:hyperlink>
          </w:p>
        </w:tc>
        <w:tc>
          <w:tcPr>
            <w:tcW w:w="132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tc>
      </w:tr>
      <w:tr>
        <w:trPr>
          <w:trHeight w:val="364"/>
        </w:trPr>
        <w:tc>
          <w:tcPr>
            <w:tcW w:w="99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Combined Consolidated Statements of Operations - Years ended December 31, 2020, 2019, and 2018</w:t>
              </w:r>
            </w:hyperlink>
          </w:p>
        </w:tc>
        <w:tc>
          <w:tcPr>
            <w:tcW w:w="132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r>
      <w:tr>
        <w:trPr>
          <w:trHeight w:val="364"/>
        </w:trPr>
        <w:tc>
          <w:tcPr>
            <w:tcW w:w="99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Combined Consolidated Statements of Comprehensive Income (Loss) – Years ended December 31, 2020, 2019, and 2018</w:t>
              </w:r>
            </w:hyperlink>
          </w:p>
        </w:tc>
        <w:tc>
          <w:tcPr>
            <w:tcW w:w="132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65</w:t>
              </w:r>
            </w:hyperlink>
          </w:p>
        </w:tc>
      </w:tr>
      <w:tr>
        <w:trPr>
          <w:trHeight w:val="365"/>
        </w:trPr>
        <w:tc>
          <w:tcPr>
            <w:tcW w:w="99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Combined Consolidated Balance Sheets – As of December 31, 2020 and 2019</w:t>
              </w:r>
            </w:hyperlink>
          </w:p>
        </w:tc>
        <w:tc>
          <w:tcPr>
            <w:tcW w:w="132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66</w:t>
              </w:r>
            </w:hyperlink>
          </w:p>
        </w:tc>
      </w:tr>
      <w:tr>
        <w:trPr>
          <w:trHeight w:val="364"/>
        </w:trPr>
        <w:tc>
          <w:tcPr>
            <w:tcW w:w="99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Combined Consolidated Statements of Stockholders’ Equity - Years ended December 31, 2020, 2019, and 2018</w:t>
              </w:r>
            </w:hyperlink>
          </w:p>
        </w:tc>
        <w:tc>
          <w:tcPr>
            <w:tcW w:w="132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67</w:t>
              </w:r>
            </w:hyperlink>
          </w:p>
        </w:tc>
      </w:tr>
      <w:tr>
        <w:trPr>
          <w:trHeight w:val="364"/>
        </w:trPr>
        <w:tc>
          <w:tcPr>
            <w:tcW w:w="99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Combined Consolidated Statements of Cash Flows - Years ended December 31, 2020 and 2019, and 2018</w:t>
              </w:r>
            </w:hyperlink>
          </w:p>
        </w:tc>
        <w:tc>
          <w:tcPr>
            <w:tcW w:w="132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r>
      <w:tr>
        <w:trPr>
          <w:trHeight w:val="365"/>
        </w:trPr>
        <w:tc>
          <w:tcPr>
            <w:tcW w:w="99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Notes to Combined Consolidated Financial Statements</w:t>
              </w:r>
            </w:hyperlink>
          </w:p>
        </w:tc>
        <w:tc>
          <w:tcPr>
            <w:tcW w:w="1320" w:type="dxa"/>
            <w:vAlign w:val="bottom"/>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Corsair Gaming,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Combined Consolidated Financial Statements</w:t>
      </w:r>
    </w:p>
    <w:p>
      <w:pPr>
        <w:spacing w:after="0" w:line="90" w:lineRule="exact"/>
        <w:rPr>
          <w:sz w:val="20"/>
          <w:szCs w:val="20"/>
          <w:color w:val="auto"/>
        </w:rPr>
      </w:pPr>
    </w:p>
    <w:p>
      <w:pPr>
        <w:ind w:right="100"/>
        <w:spacing w:after="0" w:line="219" w:lineRule="exact"/>
        <w:rPr>
          <w:sz w:val="20"/>
          <w:szCs w:val="20"/>
          <w:color w:val="auto"/>
        </w:rPr>
      </w:pPr>
      <w:r>
        <w:rPr>
          <w:rFonts w:ascii="Arial" w:cs="Arial" w:eastAsia="Arial" w:hAnsi="Arial"/>
          <w:sz w:val="17"/>
          <w:szCs w:val="17"/>
          <w:color w:val="auto"/>
        </w:rPr>
        <w:t>We have audited the accompanying combined consolidated balance sheets of Corsair Gaming, Inc. and subsidiaries (the Company) as of December 31, 2020 and 2019, the related combined consolidated statements of operations, comprehensive income (loss), stockholders’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and the related notes and financial statement schedule II (collectively, the combined consolidated financial statements). In our opinion, the combined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U.S. generally accepted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discussed in Note 2 to the combined consolidated financial statements, the Company has changed its method of accounting for leases as of January 1, 2020, due to the adoption of Accounting Standards Codification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has changed its method of accounting for revenue as of January 1, 2019, due to the adoption of ASC 606, </w:t>
      </w:r>
      <w:r>
        <w:rPr>
          <w:rFonts w:ascii="Arial" w:cs="Arial" w:eastAsia="Arial" w:hAnsi="Arial"/>
          <w:sz w:val="18"/>
          <w:szCs w:val="18"/>
          <w:i w:val="1"/>
          <w:iCs w:val="1"/>
          <w:color w:val="auto"/>
        </w:rPr>
        <w:t>Revenue from Contracts with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These combined consolidated financial statements are the responsibility of the Company’s management. Our responsibility is to express an opinion on these combined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combined consolidated financial statements are free of material misstatement, whether due to error or fraud. Our audits included performing procedures to assess the risks of material misstatement of the combined consolidated financial statements, whether due to error or fraud, and performing procedures that respond to those risks. Such procedures included examining, on a test basis, evidence regarding the amounts and disclosures in the combined consolidated financial statements. Our audits also included evaluating the accounting principles used and significant estimates made by management, as well as evaluating the overall presentation of the combined consolidated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combined consolidated financial statements that was communicated or required to be communicated to the audit committee and that: (1) relates to accounts or disclosures that are material to the combined consolidated financial statements and (2) involved our especially challenging, subjective, or complex judgments. The communication of a critical audit matter does not alter in any way our opinion on the combined consolidated financial statements, taken as a whole, and we are not, by communicating the critical audit matter below, providing a separate opinion on the critical audit matter or on the accounts or disclosures to which it relates.</w:t>
      </w:r>
    </w:p>
    <w:p>
      <w:pPr>
        <w:spacing w:after="0" w:line="28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Evaluation of the transaction price in contracts with customers</w:t>
      </w:r>
    </w:p>
    <w:p>
      <w:pPr>
        <w:spacing w:after="0" w:line="185" w:lineRule="exact"/>
        <w:rPr>
          <w:sz w:val="20"/>
          <w:szCs w:val="20"/>
          <w:color w:val="auto"/>
        </w:rPr>
      </w:pPr>
    </w:p>
    <w:p>
      <w:pPr>
        <w:ind w:left="760" w:right="160"/>
        <w:spacing w:after="0" w:line="255" w:lineRule="auto"/>
        <w:rPr>
          <w:sz w:val="20"/>
          <w:szCs w:val="20"/>
          <w:color w:val="auto"/>
        </w:rPr>
      </w:pPr>
      <w:r>
        <w:rPr>
          <w:rFonts w:ascii="Arial" w:cs="Arial" w:eastAsia="Arial" w:hAnsi="Arial"/>
          <w:sz w:val="18"/>
          <w:szCs w:val="18"/>
          <w:color w:val="auto"/>
        </w:rPr>
        <w:t>As discussed in Note 2 to the combined consolidated financial statements, the transaction price received by the Company from sales to distributors and retailers is net of variable consideration that may include product returns and customer incentives. Estimates of expected future product returns are recorded based on historical return rates, among other factors. Customer incentive programs include special pricing arrangements, promotions, rebates, volume-based incentives, and price protection credits for certain customers. The amounts recorded for accrued reserves for sales returns and accrued reserves for customer incentive programs were $35,673,000 and $49,619,000, respectively, as of December 31, 2020.</w:t>
      </w:r>
    </w:p>
    <w:p>
      <w:pPr>
        <w:spacing w:after="0" w:line="165" w:lineRule="exact"/>
        <w:rPr>
          <w:sz w:val="20"/>
          <w:szCs w:val="20"/>
          <w:color w:val="auto"/>
        </w:rPr>
      </w:pPr>
    </w:p>
    <w:p>
      <w:pPr>
        <w:ind w:left="760" w:right="520"/>
        <w:spacing w:after="0" w:line="277" w:lineRule="auto"/>
        <w:rPr>
          <w:sz w:val="20"/>
          <w:szCs w:val="20"/>
          <w:color w:val="auto"/>
        </w:rPr>
      </w:pPr>
      <w:r>
        <w:rPr>
          <w:rFonts w:ascii="Arial" w:cs="Arial" w:eastAsia="Arial" w:hAnsi="Arial"/>
          <w:sz w:val="18"/>
          <w:szCs w:val="18"/>
          <w:color w:val="auto"/>
        </w:rPr>
        <w:t>We identified the evaluation of the transaction price in contracts with customers as a critical audit matter. Subjective auditor judgment was required to evaluate changes in conditions and events affecting the Company’s (1) historical return rates,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760" w:right="620" w:hanging="3"/>
        <w:spacing w:after="0" w:line="263" w:lineRule="auto"/>
        <w:tabs>
          <w:tab w:leader="none" w:pos="10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length of time between when a sale occurs and a return is processed, which are used to determine accrued sales returns. In addition, subjective auditor judgment was required to evaluate the reliability of data used to determine the accrual for certain accrued reserves for customer incentive programs.</w:t>
      </w:r>
    </w:p>
    <w:p>
      <w:pPr>
        <w:spacing w:after="0" w:line="143" w:lineRule="exact"/>
        <w:rPr>
          <w:sz w:val="20"/>
          <w:szCs w:val="20"/>
          <w:color w:val="auto"/>
        </w:rPr>
      </w:pPr>
    </w:p>
    <w:p>
      <w:pPr>
        <w:ind w:left="76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historical sales return rate by assessing the historical relationship between sales and returns, considering the effect of external market conditions obtained from peer company data and market publications. We evaluated the length of time between when a sale occurs and return is processed by comparing (1) the return date obtained from return claims from customers to (2) the estimated date the sale occurred obtained from supporting documentation. We evaluated the reliability of data used to determine the accrual for certain customer incentive programs by selecting a sample of incentives recorded during the year and (1) comparing the key inputs to correspondence with customers and customer agreements, and (2) recalculating the total incentive amount and comparing it to the incentive recorded and the claim from the customer if it was received by the Company before December 31, 2020.</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1,702,367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1,097,174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1,236,938</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872,887</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224,287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general and administrative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37,547</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307,068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200,580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23,707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(35,137)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(35,548)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(32,680)</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(36,319)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(18,825)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used to compute net income (loss) per share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86,256</w:t>
            </w: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76,223</w:t>
            </w:r>
          </w:p>
        </w:tc>
        <w:tc>
          <w:tcPr>
            <w:tcW w:w="2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76,223</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75,458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6"/>
              </w:rPr>
              <w:t>Years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103,217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(13,720)</w:t>
            </w:r>
          </w:p>
        </w:tc>
        <w:tc>
          <w:tcPr>
            <w:tcW w:w="120" w:type="dxa"/>
            <w:vAlign w:val="bottom"/>
            <w:shd w:val="clear" w:color="auto" w:fill="CFF0FC"/>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Foreign currency translation adjustments, net of zero tax</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(706)</w:t>
            </w:r>
          </w:p>
        </w:tc>
      </w:tr>
      <w:tr>
        <w:trPr>
          <w:trHeight w:val="215"/>
        </w:trPr>
        <w:tc>
          <w:tcPr>
            <w:tcW w:w="6620" w:type="dxa"/>
            <w:vAlign w:val="bottom"/>
          </w:tcPr>
          <w:p>
            <w:pPr>
              <w:ind w:left="140"/>
              <w:spacing w:after="0"/>
              <w:rPr>
                <w:sz w:val="20"/>
                <w:szCs w:val="20"/>
                <w:color w:val="auto"/>
              </w:rPr>
            </w:pPr>
            <w:r>
              <w:rPr>
                <w:rFonts w:ascii="Arial" w:cs="Arial" w:eastAsia="Arial" w:hAnsi="Arial"/>
                <w:sz w:val="18"/>
                <w:szCs w:val="18"/>
                <w:color w:val="auto"/>
              </w:rPr>
              <w:t>Unrealized foreign exchange gain (loss) from long-term intercompany</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20" w:type="dxa"/>
            <w:vAlign w:val="bottom"/>
          </w:tcPr>
          <w:p>
            <w:pPr>
              <w:ind w:left="260"/>
              <w:spacing w:after="0"/>
              <w:rPr>
                <w:sz w:val="20"/>
                <w:szCs w:val="20"/>
                <w:color w:val="auto"/>
              </w:rPr>
            </w:pPr>
            <w:r>
              <w:rPr>
                <w:rFonts w:ascii="Arial" w:cs="Arial" w:eastAsia="Arial" w:hAnsi="Arial"/>
                <w:sz w:val="18"/>
                <w:szCs w:val="18"/>
                <w:color w:val="auto"/>
              </w:rPr>
              <w:t>loans, net of tax benefit (expense) of $(150), $55, and $300 for the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years ended December 31, 2020, 2019, and 2018, respectively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r>
      <w:tr>
        <w:trPr>
          <w:trHeight w:val="223"/>
        </w:trPr>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Combined 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5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5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129,543</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48,165</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293,629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202,334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226,007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151,063</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37,997</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24,696</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690,971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429,810</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312,760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312,750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259,317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291,027</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Restricted cash, noncurrent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10,536</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1,314,115</w:t>
            </w:r>
          </w:p>
        </w:tc>
        <w:tc>
          <w:tcPr>
            <w:tcW w:w="3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1,059,718</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299,636</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182,025</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Current portion of debt, net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2,364</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205,745</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115,541</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505,381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299,930</w:t>
            </w:r>
          </w:p>
        </w:tc>
        <w:tc>
          <w:tcPr>
            <w:tcW w:w="120" w:type="dxa"/>
            <w:vAlign w:val="bottom"/>
          </w:tcPr>
          <w:p>
            <w:pPr>
              <w:spacing w:after="0"/>
              <w:rPr>
                <w:sz w:val="19"/>
                <w:szCs w:val="19"/>
                <w:color w:val="auto"/>
              </w:rPr>
            </w:pPr>
          </w:p>
        </w:tc>
      </w:tr>
      <w:tr>
        <w:trPr>
          <w:trHeight w:val="215"/>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Debt, net including related party balance of nil and $5,779 as of December 31, 2020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2019, respectively</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321,393</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503,448</w:t>
            </w:r>
          </w:p>
        </w:tc>
        <w:tc>
          <w:tcPr>
            <w:tcW w:w="120" w:type="dxa"/>
            <w:vAlign w:val="bottom"/>
            <w:shd w:val="clear" w:color="auto" w:fill="CFF0FC"/>
          </w:tcPr>
          <w:p>
            <w:pPr>
              <w:spacing w:after="0"/>
              <w:rPr>
                <w:sz w:val="20"/>
                <w:szCs w:val="20"/>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29,752</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33,820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noncurrent</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20,199</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876,725</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842,943</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5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1"/>
              </w:rPr>
              <w:t>Preferred stock, $0.0001 par value: 5,000 shares and nil authorized; nil and nil issued and outstanding</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of December 31, 2020 and 2019, respectively</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580" w:type="dxa"/>
            <w:vAlign w:val="bottom"/>
          </w:tcPr>
          <w:p>
            <w:pPr>
              <w:ind w:left="140"/>
              <w:spacing w:after="0"/>
              <w:rPr>
                <w:sz w:val="20"/>
                <w:szCs w:val="20"/>
                <w:color w:val="auto"/>
              </w:rPr>
            </w:pPr>
            <w:r>
              <w:rPr>
                <w:rFonts w:ascii="Arial" w:cs="Arial" w:eastAsia="Arial" w:hAnsi="Arial"/>
                <w:sz w:val="18"/>
                <w:szCs w:val="18"/>
                <w:color w:val="auto"/>
                <w:w w:val="90"/>
              </w:rPr>
              <w:t>Common stock, $0.0001 par value: 300,000 shares and 100,000 shares authorized; 91,935 and 84,079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shares issued and outstanding as of December 31, 2020 and 2019, respectively</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r>
      <w:tr>
        <w:trPr>
          <w:trHeight w:val="230"/>
        </w:trPr>
        <w:tc>
          <w:tcPr>
            <w:tcW w:w="7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438,667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324,968</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(2,813)</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(106,030)</w:t>
            </w:r>
          </w:p>
        </w:tc>
      </w:tr>
      <w:tr>
        <w:trPr>
          <w:trHeight w:val="229"/>
        </w:trPr>
        <w:tc>
          <w:tcPr>
            <w:tcW w:w="7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(2,171)</w:t>
            </w:r>
          </w:p>
        </w:tc>
      </w:tr>
      <w:tr>
        <w:trPr>
          <w:trHeight w:val="223"/>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437,390</w:t>
            </w:r>
          </w:p>
        </w:tc>
        <w:tc>
          <w:tcPr>
            <w:tcW w:w="3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216,775</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1,314,115</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1,059,718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80" w:type="dxa"/>
            <w:vAlign w:val="bottom"/>
            <w:gridSpan w:val="4"/>
            <w:vMerge w:val="restart"/>
          </w:tcPr>
          <w:p>
            <w:pPr>
              <w:jc w:val="right"/>
              <w:ind w:right="107"/>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(Accumulated</w:t>
            </w: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3"/>
                <w:szCs w:val="13"/>
                <w:color w:val="auto"/>
              </w:rPr>
            </w:pPr>
          </w:p>
        </w:tc>
        <w:tc>
          <w:tcPr>
            <w:tcW w:w="12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249,251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254,661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8"/>
                <w:szCs w:val="18"/>
                <w:color w:val="auto"/>
              </w:rPr>
              <w:t>Issuance of common stock in relation to</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acquisition</w:t>
            </w:r>
          </w:p>
        </w:tc>
        <w:tc>
          <w:tcPr>
            <w:tcW w:w="1120" w:type="dxa"/>
            <w:vAlign w:val="bottom"/>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for stock</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 exercises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Dividends paid to common stockholders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Other comprehensive loss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(13,720)</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Balance as of December 31, 2018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258,238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(93,161)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Cumulative effect of adoption of new</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accounting standard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(3,686)</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8"/>
                <w:szCs w:val="18"/>
                <w:color w:val="auto"/>
              </w:rPr>
              <w:t>Issuance of common stock in relation to</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acquisitions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1,322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for stock</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 exercises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8"/>
                <w:szCs w:val="18"/>
                <w:color w:val="auto"/>
              </w:rPr>
              <w:t>Issuance of common stock for capital</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contribution from stockholders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7,046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 of common stock</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(8,394)</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324,968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(106,030)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Issuance of common stock to directors</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for</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8"/>
                <w:szCs w:val="18"/>
                <w:color w:val="auto"/>
              </w:rPr>
              <w:t>Issuance of common stock upon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 of common stock upon initial</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public offering, net of underwriting</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discounts and commissions and other</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offering costs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106,566</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103,217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103,217</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(8,394)</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(13,720)</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by</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Debt issuance costs amortization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Loss on debt extinguishment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(7,476)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(11,535)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(91,492)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(48,033)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(7,339)</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(80,086)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(29,753)</w:t>
            </w:r>
          </w:p>
        </w:tc>
        <w:tc>
          <w:tcPr>
            <w:tcW w:w="0" w:type="dxa"/>
            <w:vAlign w:val="bottom"/>
          </w:tcPr>
          <w:p>
            <w:pPr>
              <w:spacing w:after="0"/>
              <w:rPr>
                <w:sz w:val="1"/>
                <w:szCs w:val="1"/>
                <w:color w:val="auto"/>
              </w:rPr>
            </w:pP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(7,953)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(1,619)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(10,869)</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116,522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Other liabilities and accrued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77,933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(3,413)</w:t>
            </w:r>
          </w:p>
        </w:tc>
        <w:tc>
          <w:tcPr>
            <w:tcW w:w="0" w:type="dxa"/>
            <w:vAlign w:val="bottom"/>
          </w:tcPr>
          <w:p>
            <w:pPr>
              <w:spacing w:after="0"/>
              <w:rPr>
                <w:sz w:val="1"/>
                <w:szCs w:val="1"/>
                <w:color w:val="auto"/>
              </w:rPr>
            </w:pPr>
          </w:p>
        </w:tc>
      </w:tr>
      <w:tr>
        <w:trPr>
          <w:trHeight w:val="213"/>
        </w:trPr>
        <w:tc>
          <w:tcPr>
            <w:tcW w:w="66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168,953</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37,103</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(1,291)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(126,104)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(30,210)</w:t>
            </w: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Payment of deferred consideration</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(10,300)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(8,989)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(8,848)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(8,345)</w:t>
            </w: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Purchase of intangible asset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FF0FC"/>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2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(10,280)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(145,427)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(38,555)</w:t>
            </w:r>
          </w:p>
        </w:tc>
        <w:tc>
          <w:tcPr>
            <w:tcW w:w="0" w:type="dxa"/>
            <w:vAlign w:val="bottom"/>
          </w:tcPr>
          <w:p>
            <w:pPr>
              <w:spacing w:after="0"/>
              <w:rPr>
                <w:sz w:val="1"/>
                <w:szCs w:val="1"/>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issuance of debt, net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Repayment of debt</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(190,394)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(3,969)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(3,088)</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Payment of debt issuance costs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(2,450)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(Repayments of) borrowings from line of credit, net</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(27,000)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initial public offering, net of $8,925 underwriting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discounts and commissions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118,575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Payment of other offering costs</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(8,455)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(3,307)</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Proceeds from issuance of common stock to common stockholders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Cash dividends paid to common stockholders</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(85,000)</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2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(79,131)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132,314</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and restricted cash</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81,621</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24,027</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8,890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restricted cash at the beginning of the period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51,947</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27,920</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19,030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Cash and restricted cash at the end of the period</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133,568</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51,947</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disclosures: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27,957</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32,842</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Equipment purchased and unpaid at period end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1,832</w:t>
            </w:r>
          </w:p>
        </w:tc>
        <w:tc>
          <w:tcPr>
            <w:tcW w:w="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927</w:t>
            </w:r>
          </w:p>
        </w:tc>
        <w:tc>
          <w:tcPr>
            <w:tcW w:w="2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Issuance of common stock relating to business acquisitions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Deferred purchase consideration (Note 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Measurement period adjustments relating to business acquisitions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620" w:type="dxa"/>
            <w:vAlign w:val="bottom"/>
          </w:tcPr>
          <w:p>
            <w:pPr>
              <w:ind w:left="140"/>
              <w:spacing w:after="0"/>
              <w:rPr>
                <w:sz w:val="20"/>
                <w:szCs w:val="20"/>
                <w:color w:val="auto"/>
              </w:rPr>
            </w:pPr>
            <w:r>
              <w:rPr>
                <w:rFonts w:ascii="Arial" w:cs="Arial" w:eastAsia="Arial" w:hAnsi="Arial"/>
                <w:sz w:val="16"/>
                <w:szCs w:val="16"/>
                <w:color w:val="auto"/>
              </w:rPr>
              <w:t>Deferred offering costs included in accounts payable and accrued expenses</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combined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 xml:space="preserve">Corsair Gaming, Inc., a Delaware corporation, together with its subsidiaries </w:t>
      </w:r>
      <w:r>
        <w:rPr>
          <w:rFonts w:ascii="Arial" w:cs="Arial" w:eastAsia="Arial" w:hAnsi="Arial"/>
          <w:sz w:val="18"/>
          <w:szCs w:val="18"/>
          <w:i w:val="1"/>
          <w:iCs w:val="1"/>
          <w:color w:val="auto"/>
        </w:rPr>
        <w:t>(collectively, “Corsair” the “Company”, “we”, “us”, or “our”)</w:t>
      </w:r>
      <w:r>
        <w:rPr>
          <w:rFonts w:ascii="Arial" w:cs="Arial" w:eastAsia="Arial" w:hAnsi="Arial"/>
          <w:sz w:val="18"/>
          <w:szCs w:val="18"/>
          <w:color w:val="auto"/>
        </w:rPr>
        <w:t>, is a global provider and innovator of high-performance gear for gamers, streamers and content creators.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Corsair is organized into two reportable segments:</w:t>
      </w:r>
    </w:p>
    <w:p>
      <w:pPr>
        <w:spacing w:after="0" w:line="113" w:lineRule="exact"/>
        <w:rPr>
          <w:sz w:val="20"/>
          <w:szCs w:val="20"/>
          <w:color w:val="auto"/>
        </w:rPr>
      </w:pPr>
    </w:p>
    <w:p>
      <w:pPr>
        <w:ind w:left="1000" w:right="360" w:hanging="493"/>
        <w:spacing w:after="0" w:line="266"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Includes our high-performance gaming keyboards, mice, headsets, controllers, and our streaming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capture cards, Stream Decks, USB microphones, studio accessories and EpocCam software, as well as coaching and training services, among others.</w:t>
      </w:r>
    </w:p>
    <w:p>
      <w:pPr>
        <w:spacing w:after="0" w:line="67" w:lineRule="exact"/>
        <w:rPr>
          <w:rFonts w:ascii="Arial" w:cs="Arial" w:eastAsia="Arial" w:hAnsi="Arial"/>
          <w:sz w:val="18"/>
          <w:szCs w:val="18"/>
          <w:color w:val="auto"/>
        </w:rPr>
      </w:pPr>
    </w:p>
    <w:p>
      <w:pPr>
        <w:ind w:left="1000" w:right="80" w:hanging="493"/>
        <w:spacing w:after="0" w:line="282"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Includes our high-performance power supply units, or PSUs, cooling solutions, computer cases, DRAM</w:t>
      </w:r>
      <w:r>
        <w:rPr>
          <w:rFonts w:ascii="Arial" w:cs="Arial" w:eastAsia="Arial" w:hAnsi="Arial"/>
          <w:sz w:val="18"/>
          <w:szCs w:val="18"/>
          <w:b w:val="1"/>
          <w:bCs w:val="1"/>
          <w:color w:val="auto"/>
        </w:rPr>
        <w:t xml:space="preserve"> </w:t>
      </w:r>
      <w:r>
        <w:rPr>
          <w:rFonts w:ascii="Arial" w:cs="Arial" w:eastAsia="Arial" w:hAnsi="Arial"/>
          <w:sz w:val="18"/>
          <w:szCs w:val="18"/>
          <w:color w:val="auto"/>
        </w:rPr>
        <w:t>modules, as well as high-end prebuilt and custom-built gaming PCs, among others.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 xml:space="preserve">On September 15, 2020, a corporate reorganization </w:t>
      </w:r>
      <w:r>
        <w:rPr>
          <w:rFonts w:ascii="Arial" w:cs="Arial" w:eastAsia="Arial" w:hAnsi="Arial"/>
          <w:sz w:val="17"/>
          <w:szCs w:val="17"/>
          <w:i w:val="1"/>
          <w:iCs w:val="1"/>
          <w:color w:val="auto"/>
        </w:rPr>
        <w:t>(the “Reorganization”)</w:t>
      </w:r>
      <w:r>
        <w:rPr>
          <w:rFonts w:ascii="Arial" w:cs="Arial" w:eastAsia="Arial" w:hAnsi="Arial"/>
          <w:sz w:val="17"/>
          <w:szCs w:val="17"/>
          <w:color w:val="auto"/>
        </w:rPr>
        <w:t xml:space="preserve"> was consummated whereby we now own directly and indirectly all of the operating subsidiaries and assets that were formerly owned by Corsair Group (Cayman), LP </w:t>
      </w:r>
      <w:r>
        <w:rPr>
          <w:rFonts w:ascii="Arial" w:cs="Arial" w:eastAsia="Arial" w:hAnsi="Arial"/>
          <w:sz w:val="17"/>
          <w:szCs w:val="17"/>
          <w:i w:val="1"/>
          <w:iCs w:val="1"/>
          <w:color w:val="auto"/>
        </w:rPr>
        <w:t>(the “Parent”)</w:t>
      </w:r>
      <w:r>
        <w:rPr>
          <w:rFonts w:ascii="Arial" w:cs="Arial" w:eastAsia="Arial" w:hAnsi="Arial"/>
          <w:sz w:val="17"/>
          <w:szCs w:val="17"/>
          <w:color w:val="auto"/>
        </w:rPr>
        <w:t xml:space="preserve"> and Corsair Group (US), LLC, a minority interest holder. The Parent is a limited partnership domiciled in the Cayman Islands. The Parent and Corsair Group (US), LLC are under common control of the affiliates of EagleTree Capital, LP, a private equity investment firm. Prior to the Reorganization, the North American and international operations of Corsair were conducted by certain operating subsidiaries held by separate entities, Corsair Gaming, Inc. and Corsair Holdings (Lux) S.à r.l. </w:t>
      </w:r>
      <w:r>
        <w:rPr>
          <w:rFonts w:ascii="Arial" w:cs="Arial" w:eastAsia="Arial" w:hAnsi="Arial"/>
          <w:sz w:val="17"/>
          <w:szCs w:val="17"/>
          <w:i w:val="1"/>
          <w:iCs w:val="1"/>
          <w:color w:val="auto"/>
        </w:rPr>
        <w:t>(or “Corsair</w:t>
      </w:r>
      <w:r>
        <w:rPr>
          <w:rFonts w:ascii="Arial" w:cs="Arial" w:eastAsia="Arial" w:hAnsi="Arial"/>
          <w:sz w:val="17"/>
          <w:szCs w:val="17"/>
          <w:color w:val="auto"/>
        </w:rPr>
        <w:t xml:space="preserve"> </w:t>
      </w:r>
      <w:r>
        <w:rPr>
          <w:rFonts w:ascii="Arial" w:cs="Arial" w:eastAsia="Arial" w:hAnsi="Arial"/>
          <w:sz w:val="17"/>
          <w:szCs w:val="17"/>
          <w:i w:val="1"/>
          <w:iCs w:val="1"/>
          <w:color w:val="auto"/>
        </w:rPr>
        <w:t>Luxco”)</w:t>
      </w:r>
      <w:r>
        <w:rPr>
          <w:rFonts w:ascii="Arial" w:cs="Arial" w:eastAsia="Arial" w:hAnsi="Arial"/>
          <w:sz w:val="17"/>
          <w:szCs w:val="17"/>
          <w:color w:val="auto"/>
        </w:rPr>
        <w:t>, respectively, each of which was substantially owned by and under common control of the Parent.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Reorganization was comprised of a series of steps as set forth below:</w:t>
      </w:r>
    </w:p>
    <w:p>
      <w:pPr>
        <w:spacing w:after="0" w:line="117"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Parent acquired the minority interest held by Corsair Group (US), LLC in exchange for its own units.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Corsair Gaming, Inc. acquired all of the outstanding capital stock of Corsair Luxco from the Parent in exchange for its own stock.</w:t>
      </w:r>
    </w:p>
    <w:p>
      <w:pPr>
        <w:spacing w:after="0" w:line="128" w:lineRule="exact"/>
        <w:rPr>
          <w:rFonts w:ascii="Arial" w:cs="Arial" w:eastAsia="Arial" w:hAnsi="Arial"/>
          <w:sz w:val="17"/>
          <w:szCs w:val="17"/>
          <w:color w:val="auto"/>
        </w:rPr>
      </w:pPr>
    </w:p>
    <w:p>
      <w:pPr>
        <w:jc w:val="both"/>
        <w:ind w:left="1000" w:right="28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order for management and certain other partnership unit holders of the Parent to hold Corsair’s common stock directly, we entered into exchange agreements with such holders to exchange the Parent’s units for shares of Corsair’s common stock on a pro rata basis relative to their holdings in the Parent prior to the Reorganization.</w:t>
      </w:r>
    </w:p>
    <w:p>
      <w:pPr>
        <w:spacing w:after="0" w:line="75"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Parent’s 2017 Equity Incentive Program was assumed by Corsair and all of the outstanding options to acquire units under the Parent’s 2017 Equity Incentive Program were converted into options to purchase Corsair’s common stock on a pro rata basis with an adjusted exercise price to reflect the assumption.</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implemented a 1-for-28,693.596843964 stock split resulting in there being 84,405,366 shares of Corsair’s common stock outstanding and 10,029,388 options outstanding to purchase Corsair’s common stock as of the date of the Reorganization.</w:t>
      </w:r>
    </w:p>
    <w:p>
      <w:pPr>
        <w:spacing w:after="0" w:line="17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As all legal entities included in the Reorganization are under common control of the Parent, all steps of the Reorganization were accounted for as a combination of entities under common control.</w:t>
      </w:r>
    </w:p>
    <w:p>
      <w:pPr>
        <w:spacing w:after="0" w:line="170"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Unless otherwise indicated, the accompanying combined consolidated financial statements and related notes that reference Corsair’s capitalization, including other matters relating to equity, share, and per share information, have been retroactively revised to reflect the Reorganization for all periods presented. Accordingly, references in the footnotes related to transactions entered into by the Parent involving the Parent’s units or options to purchase the Parent’s units have been revised as common share equivalents of Corsair and options to purchase shares of Corsair’s common stock using the ratio of Corsair’s issued and outstanding shares immediately post-Reorganization to the Parent’s issued and outstanding units immediately post-Reorganization but prior to the unit exchanges described above.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Secondary Offering</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 xml:space="preserve">On September 25, 2020, we completed our initial public offering </w:t>
      </w:r>
      <w:r>
        <w:rPr>
          <w:rFonts w:ascii="Arial" w:cs="Arial" w:eastAsia="Arial" w:hAnsi="Arial"/>
          <w:sz w:val="17"/>
          <w:szCs w:val="17"/>
          <w:i w:val="1"/>
          <w:iCs w:val="1"/>
          <w:color w:val="auto"/>
        </w:rPr>
        <w:t>(IPO)</w:t>
      </w:r>
      <w:r>
        <w:rPr>
          <w:rFonts w:ascii="Arial" w:cs="Arial" w:eastAsia="Arial" w:hAnsi="Arial"/>
          <w:sz w:val="17"/>
          <w:szCs w:val="17"/>
          <w:color w:val="auto"/>
        </w:rPr>
        <w:t>. In connection with the IPO, we sold 7,500,000 shares of common stock at $17.00 per share, resulting in proceeds of $118.6 million, net of the underwriting discounts and commissions and before offering costs. In connection with the IPO, certain selling stockholders sold 6,500,000 shares of common stock at $17.00 per share. Subsequent to the IPO, certain selling stockholders further sold 1,135,375 shares pursuant to the underwriters’ exercise of their option to purchase additional shares.</w:t>
      </w:r>
    </w:p>
    <w:p>
      <w:pPr>
        <w:spacing w:after="0" w:line="63"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On January 26, 2021, we completed a secondary offering of our common stock where certain selling stockholders sold 8,625,000, shares of common stock at $35.00 per share.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receive any of the proceeds from the sale of shares by the selling stockholders.</w:t>
      </w:r>
    </w:p>
    <w:p>
      <w:pPr>
        <w:spacing w:after="0" w:line="225"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Deferred offering costs consist primarily of accounting, legal, and other fees related to the IPO. Prior to the IPO, all deferred offering costs were capitalized in other assets in the combined consolidated balance sheets. After the IPO, $12.0 million of deferred offering costs were reclassified into stockholders’ equity as a reduction of the IPO proceeds in the combined consolidated balance sheet as of December 31, 2020. The amount of deferred offering costs capitalized as of December 31, 2019 was $5.8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The accompanying combined consolidated financial statements include those of Corsair and its subsidiaries, after elimination of all intercompany balances and transactions. These combined consolidated financial statements have been prepared in accordance with United States generally accepted accounting principles (“U.S. GAAP”) and pursuant to the rules and regulations of the United States Securities and Exchange Commission (the “SEC”).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The preparation of combined consolidated financial statements in conformity with U.S. GAAP requires management to make estimates and assumptions that affect the reported amounts of assets and liabilities and disclosure of contingent assets and liabilities as of the date of the combined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deferred income tax, and common stock (prior to the IPO completed in September 2020).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As future events and their effects cannot be determined with precision, actual results could differ significantly from these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the COVID-19 Pandemic</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Due to the COVID-19 pandemic, there has been and will continue to be uncertainty and disruption in the global economy and financial markets. Since early 2020, we have experienced some business disruptions due to COVID-19 including the stoppage in our factories in early 2020, disruption in our supply chain and increased distribution costs, which led to an increase in operating costs. This negative financial impact has been offset by strong revenue growth year-over-year partly due to an increase in demand for our gear as more people in more countries are under shelter-in-place restrictions. The increase in demand continued into the second half of 2020 as the COVID-19 pandemic continues. However, as the global economic activity slows down, the demand for our gear could decline despite these trends. The extent to which the COVID-19 outbreak ultimately impacts our business, sales, results of operations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6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As of the date of issuance of these combined consolidated financial statements, we are not aware of any specific event or circumstance that would require updates to our estimates and judgments or revisions due to COVID-19 to the carrying value of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assets or liabilities. These estimates may change, as new events occur and additional information is obtained, and are recognized in the combined consolidated financial statements as soon as they become known. Actual results could differ from those estimates and any such differences may be material to the combined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Our products are primarily sold through a network of distributors and retailers, including online retailers, and to a lesser extent direct to consumers. We sell hardware products, such as gamer and creator peripherals and gaming components and systems, which may include embedded software that provides advanced performance tuning, user customization and system monitoring. Hardware devices are generally plug and play, requiring no configuration and little or no installation.</w:t>
      </w:r>
    </w:p>
    <w:p>
      <w:pPr>
        <w:spacing w:after="0" w:line="18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Under Topic 605, we recognized revenue when persuasive evidence of an arrangement exists, delivery has occurred, title has transferred, the price becomes fixed or determinable and collectability is reasonably assured. Evidence of an arrangement existed when there is a customer contract or a standard customer purchase order. We considered delivery complete when title and risk of loss transfer to the customer, which is generally upon shipment, but no later than physical receipt by the customer.</w:t>
      </w:r>
    </w:p>
    <w:p>
      <w:pPr>
        <w:spacing w:after="0" w:line="18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On January 1, 2019 we adopted Topic 606 using the modified retrospective method applied to those contracts which were not completed as of December 31, 2018. Results for reporting periods beginning after December 31, 2018 are presented under Topic 606, while prior period amounts are not adjusted and continue to be reported under Topic 605.</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117"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 is fulfilled</w:t>
      </w:r>
    </w:p>
    <w:p>
      <w:pPr>
        <w:spacing w:after="0" w:line="252" w:lineRule="exact"/>
        <w:rPr>
          <w:sz w:val="20"/>
          <w:szCs w:val="20"/>
          <w:color w:val="auto"/>
        </w:rPr>
      </w:pPr>
    </w:p>
    <w:p>
      <w:pPr>
        <w:ind w:right="200" w:firstLine="562"/>
        <w:spacing w:after="0" w:line="311" w:lineRule="auto"/>
        <w:rPr>
          <w:sz w:val="20"/>
          <w:szCs w:val="20"/>
          <w:color w:val="auto"/>
        </w:rPr>
      </w:pPr>
      <w:r>
        <w:rPr>
          <w:rFonts w:ascii="Arial" w:cs="Arial" w:eastAsia="Arial" w:hAnsi="Arial"/>
          <w:sz w:val="16"/>
          <w:szCs w:val="16"/>
          <w:color w:val="auto"/>
        </w:rPr>
        <w:t>With the adoption of Topic 606, revenue is recognized when performance obligations are satisfied under the terms of the contracts, and control of the products is transferred to the customers in an amount that reflects the consideration we expect to receive from the customers in exchange for those products or services. Generally, the control of the products is transferred to the customer occurs upon shipment or delivery to customer.</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revenue recognition policies are consistent worldwide.</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Our products are primarily sold through a network of distributors and retailers, including online retailers, and to a lesser extent direct to consumers. We sell hardware products, such as gamer and creator peripherals and gaming components and systems. These products are hardware devices, which may include embedded software that function together, and are considered as one performance obligation. Hardware devices are generally plug and play, requiring no configuration and little or no installation. Revenue is recognized at a point in time when control of the products is transferred to the customer which generally occurs upon shipment or delivery to customer. We report revenue net of any required taxes collected from customers and remitted to government authorities, with the collected taxes recorded as other liabilities and accrued expenses until remitted to the relevant government authority.</w:t>
      </w:r>
    </w:p>
    <w:p>
      <w:pPr>
        <w:spacing w:after="0" w:line="5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Shipping and handling costs associated with outbound freight are accounted for as a fulfillment cost and are included as part of our distribution costs recorded under sales, general and administrative expenses. Costs of maintaining our web store and credit card processing fees related to sales on our webstore are recorded under sales, general and administrative expenses.</w:t>
      </w:r>
    </w:p>
    <w:p>
      <w:pPr>
        <w:spacing w:after="0" w:line="7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 xml:space="preserve">We generally provide a warranty on products that provides assurance that our products conform to published specifications. Such assurance-type warranties are not deemed to be separate performance obligations from the product, and costs associated with providing the warranties are accrued in accordance with ASC 460-10, </w:t>
      </w:r>
      <w:r>
        <w:rPr>
          <w:rFonts w:ascii="Arial" w:cs="Arial" w:eastAsia="Arial" w:hAnsi="Arial"/>
          <w:sz w:val="18"/>
          <w:szCs w:val="18"/>
          <w:i w:val="1"/>
          <w:iCs w:val="1"/>
          <w:color w:val="auto"/>
        </w:rPr>
        <w:t>Guarantees</w:t>
      </w:r>
      <w:r>
        <w:rPr>
          <w:rFonts w:ascii="Arial" w:cs="Arial" w:eastAsia="Arial" w:hAnsi="Arial"/>
          <w:sz w:val="18"/>
          <w:szCs w:val="18"/>
          <w:color w:val="auto"/>
        </w:rPr>
        <w:t>.</w:t>
      </w:r>
    </w:p>
    <w:p>
      <w:pPr>
        <w:spacing w:after="0" w:line="1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offer return rights and customer incentive programs. Customer incentive programs include special pricing arrangements, promotions, rebates and volume-based incentives.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We have agreements with certain customers that contain terms allowing price protection credits to be issued in the event of a subsequent price reduction. Our decision to make price reductions is influenced by product life cycle stage, market acceptance of products, the competitive environment, new product introductions and other factors. Accruals for estimated expected future pricing actions are recognized at the time of sale based on analysis of historical pricing actions by customer and by product, inventories owned by and located at distributors and retailers, current customer demand, current operating conditions, and other relevant customer and product information, such as stage of product life-cycle.</w:t>
      </w:r>
    </w:p>
    <w:p>
      <w:pPr>
        <w:spacing w:after="0" w:line="176"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 transaction price received by us from sales to distributors and retailers is calculated as selling price net of variable consideration which may include product returns, price protection, and our estimate of claims for customer incentive programs related to current period product revenue.</w:t>
      </w:r>
    </w:p>
    <w:p>
      <w:pPr>
        <w:spacing w:after="0" w:line="124"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trends. Return trends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us to estimate expected future product returns.</w:t>
      </w:r>
    </w:p>
    <w:p>
      <w:pPr>
        <w:spacing w:after="0" w:line="192"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We normally require payments from customers within 30 to 90 days from invoice date. We do not generally modify payment terms on existing receivables. Our contracts with customers typically do not include significant financing components as the period between the satisfaction of the performance obligations and timing of payment are generally within one year.</w:t>
      </w:r>
    </w:p>
    <w:p>
      <w:pPr>
        <w:spacing w:after="0" w:line="18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Customer incentive programs are considered variable consideration, which we estimate and record as a reduction to revenue at the time of sale based on historical experience and forecasted incentives. Certain customer incentives require management to estimate the percentage of those programs which will not be claimed or will not be earned by customers based on historical experience and on the specific terms and conditions of particular programs. The percentage of these customer programs that will not be claimed or earned is commonly referred to as “breakage”. We account for breakage as part of variable consideration, subject to constraint, and record the estimated impact in the same period when revenue is recognized at the expected value. Significant management judgment and estimates are used to determine the amount of variable consideration to be recognized, as well as any subsequent adjustments to it, such that it is probable that a significant reversal of revenue will not occur.</w:t>
      </w:r>
    </w:p>
    <w:p>
      <w:pPr>
        <w:spacing w:after="0" w:line="17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During the years ended December 31, 2020 and 2019, we did not recognize any material revenue adjustments related to performance obligations satisfied in prior periods as a result of changes in estimated variable consideration. Because performance obligations in our contracts with customers relate to contracts with a duration of less than one year, we have elected to apply the optional exemption to not disclose the aggregate amount of the transaction price allocated to performance obligations that are unsatisfied or partially unsatisfied at the end of the reporting period.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280" w:firstLine="510"/>
        <w:spacing w:after="0" w:line="259" w:lineRule="auto"/>
        <w:rPr>
          <w:sz w:val="20"/>
          <w:szCs w:val="20"/>
          <w:color w:val="auto"/>
        </w:rPr>
      </w:pPr>
      <w:r>
        <w:rPr>
          <w:rFonts w:ascii="Arial" w:cs="Arial" w:eastAsia="Arial" w:hAnsi="Arial"/>
          <w:sz w:val="18"/>
          <w:szCs w:val="18"/>
          <w:color w:val="auto"/>
        </w:rPr>
        <w:t>Cost of revenue consists of product costs, including costs of contract manufacturers, inbound freight costs from manufacturers to our distribution hubs, as well as inter-hubs shipments, duties and tariffs, warranty replacement costs, costs to process and rework returned items, depreciation of tooling equipment, warehousing costs, excess and obsolete inventory write-downs, certain allocated costs related to facilities and IT department, and personnel-related expenses and other operating expenses related to supply chain logistics.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Costs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Distribution costs, recorded as a component of sales, general and administrative expenses, include the costs to operate two of our distribution hubs internally and the costs paid to third-party logistics providers to operate our remaining four distribution hubs. Distribution costs also include the costs of shipping products to customers through third party carriers. Amounts billed to customers for shipping and handling of products are recorded in net revenue. We do not consider distribution costs to be part of the costs to bring our products to the finished condition and therefore record such distribution costs as sales, general and administrative expense rather than in cost of revenue.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Product development costs are generally expensed as incurred and reported in the combined consolidated statements of operations.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To date, almost all of the software development costs have been expensed as incurred because the period between achieving technological feasibility and the release of the software has been short and development costs qualifying for capitalization have been insignificant.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600" w:firstLine="510"/>
        <w:spacing w:after="0" w:line="263" w:lineRule="auto"/>
        <w:rPr>
          <w:sz w:val="20"/>
          <w:szCs w:val="20"/>
          <w:color w:val="auto"/>
        </w:rPr>
      </w:pPr>
      <w:r>
        <w:rPr>
          <w:rFonts w:ascii="Arial" w:cs="Arial" w:eastAsia="Arial" w:hAnsi="Arial"/>
          <w:sz w:val="18"/>
          <w:szCs w:val="18"/>
          <w:color w:val="auto"/>
        </w:rPr>
        <w:t>Advertising costs are expensed as incurred and are included as a component of sales, general and administrative expense in the combined consolidated statements of operations. Advertising and promotion expenses were $19.1 million, $11.3 million, and $8.7 million for the years ended December 31, 2020, 2019, and 2018,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300" w:firstLine="510"/>
        <w:spacing w:after="0" w:line="275" w:lineRule="auto"/>
        <w:rPr>
          <w:sz w:val="20"/>
          <w:szCs w:val="20"/>
          <w:color w:val="auto"/>
        </w:rPr>
      </w:pPr>
      <w:r>
        <w:rPr>
          <w:rFonts w:ascii="Arial" w:cs="Arial" w:eastAsia="Arial" w:hAnsi="Arial"/>
          <w:sz w:val="17"/>
          <w:szCs w:val="17"/>
          <w:color w:val="auto"/>
        </w:rPr>
        <w:t>We measure and recognize compensation for all stock-based compensation awards, including stock options and restricted stock units (“RSU”), based upon the grant-date fair value of those awards. The fair value of our stock option awards is estimated at grant date using a Black-Scholes-Merton option-pricing model. The fair value of our RSUs is calculated based on the market value of our stock at the grant date. Stock-based compensation is recognized on a straight-line basis over the requisite service period based on awards ultimately expected to vest. We have elected to recognize actual forfeitures by reducing the stock-based compensation in the same period as the forfeitures occur.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ind w:right="20" w:firstLine="596"/>
        <w:spacing w:after="0" w:line="291" w:lineRule="auto"/>
        <w:rPr>
          <w:sz w:val="20"/>
          <w:szCs w:val="20"/>
          <w:color w:val="auto"/>
        </w:rPr>
      </w:pPr>
      <w:r>
        <w:rPr>
          <w:rFonts w:ascii="Arial" w:cs="Arial" w:eastAsia="Arial" w:hAnsi="Arial"/>
          <w:sz w:val="16"/>
          <w:szCs w:val="16"/>
          <w:color w:val="auto"/>
        </w:rPr>
        <w:t>Operating segments are based on components of a company that engage in business activity that earn revenue and incur expenses and (a) whose operating results are regularly reviewed by its chief operating decision maker (“CODM”) to make decisions about resource allocation and performance and</w:t>
      </w:r>
    </w:p>
    <w:p>
      <w:pPr>
        <w:ind w:left="520" w:right="7160" w:hanging="512"/>
        <w:spacing w:after="0" w:line="386" w:lineRule="auto"/>
        <w:tabs>
          <w:tab w:leader="none" w:pos="2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which discrete financial information is available. We have two reportable segments:</w:t>
      </w:r>
    </w:p>
    <w:p>
      <w:pPr>
        <w:ind w:left="1000" w:right="280" w:hanging="493"/>
        <w:spacing w:after="0" w:line="266"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Gamer and Creator Peripherals</w:t>
      </w:r>
      <w:r>
        <w:rPr>
          <w:rFonts w:ascii="Arial" w:cs="Arial" w:eastAsia="Arial" w:hAnsi="Arial"/>
          <w:sz w:val="18"/>
          <w:szCs w:val="18"/>
          <w:color w:val="auto"/>
        </w:rPr>
        <w:t>, which includes high-performance gaming keyboards, mice, headsets, controllers, and our gaming gear</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capture cards, Stream Decks, USB microphones, studio accessories and EpocCam software, as well as coaching and training services, among others.</w:t>
      </w:r>
    </w:p>
    <w:p>
      <w:pPr>
        <w:spacing w:after="0" w:line="67" w:lineRule="exact"/>
        <w:rPr>
          <w:rFonts w:ascii="Arial" w:cs="Arial" w:eastAsia="Arial" w:hAnsi="Arial"/>
          <w:sz w:val="18"/>
          <w:szCs w:val="18"/>
          <w:color w:val="auto"/>
        </w:rPr>
      </w:pPr>
    </w:p>
    <w:p>
      <w:pPr>
        <w:ind w:left="1000" w:right="400" w:hanging="493"/>
        <w:spacing w:after="0" w:line="282" w:lineRule="auto"/>
        <w:tabs>
          <w:tab w:leader="none" w:pos="1000"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Gaming Components and Systems</w:t>
      </w:r>
      <w:r>
        <w:rPr>
          <w:rFonts w:ascii="Arial" w:cs="Arial" w:eastAsia="Arial" w:hAnsi="Arial"/>
          <w:sz w:val="18"/>
          <w:szCs w:val="18"/>
          <w:color w:val="auto"/>
        </w:rPr>
        <w:t>, which includes high performance power supply units, or PSUs, cooling solutions, computer cases,</w:t>
      </w:r>
      <w:r>
        <w:rPr>
          <w:rFonts w:ascii="Arial" w:cs="Arial" w:eastAsia="Arial" w:hAnsi="Arial"/>
          <w:sz w:val="18"/>
          <w:szCs w:val="18"/>
          <w:b w:val="1"/>
          <w:bCs w:val="1"/>
          <w:color w:val="auto"/>
        </w:rPr>
        <w:t xml:space="preserve"> </w:t>
      </w:r>
      <w:r>
        <w:rPr>
          <w:rFonts w:ascii="Arial" w:cs="Arial" w:eastAsia="Arial" w:hAnsi="Arial"/>
          <w:sz w:val="18"/>
          <w:szCs w:val="18"/>
          <w:color w:val="auto"/>
        </w:rPr>
        <w:t>DRAM modules, as well as high-end prebuilt and custom-built gaming PCs, among others.</w:t>
      </w:r>
    </w:p>
    <w:p>
      <w:pPr>
        <w:spacing w:after="0" w:line="166" w:lineRule="exact"/>
        <w:rPr>
          <w:sz w:val="20"/>
          <w:szCs w:val="20"/>
          <w:color w:val="auto"/>
        </w:rPr>
      </w:pPr>
    </w:p>
    <w:p>
      <w:pPr>
        <w:ind w:right="60" w:firstLine="562"/>
        <w:spacing w:after="0" w:line="263" w:lineRule="auto"/>
        <w:rPr>
          <w:sz w:val="20"/>
          <w:szCs w:val="20"/>
          <w:color w:val="auto"/>
        </w:rPr>
      </w:pPr>
      <w:r>
        <w:rPr>
          <w:rFonts w:ascii="Arial" w:cs="Arial" w:eastAsia="Arial" w:hAnsi="Arial"/>
          <w:sz w:val="18"/>
          <w:szCs w:val="18"/>
          <w:color w:val="auto"/>
        </w:rPr>
        <w:t>Our CODM is determined to be Corsair’s Chief Executive Officer. The results of the reportable segments are derived directly from our reporting system and are based on the methods of internal reporting which are not necessarily in conformity with GAAP. The segmental net revenue and gross profit are used to evaluate the performance of, and allocate resources to, each of the segments.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Total restricted cash as of December 31, 2020 and 2019 was $4.0 million and $3.8 million, respectively. The restricted cash serves as collateral for certain bank guarantees, customer deposits and security deposits.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Accounts receivable from contracts with customers are recorded at the invoiced amount when we have an unconditional right to consideration, net of allowance for credit losses. We maintain trade credit insurance to mitigate credit risks on certain of our accounts receivable that reimburse us for up to 90% of collection losses. We estimate an allowance for credit losses by using a combination of relevant information including historical loss information, adjusted to take into account current market conditions and our customers’ financial condition, the amount of any receivables in dispute, the current receivables aging, and the current payment terms.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Our financial instruments that are exposed to concentrations of credit risk consist principally of cash, restricted cash and accounts receivable. We maintain our cash and restricted cash with various high-quality financial institutions with investment-grade ratings and we have not experienced any losses.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 customer accounted for more than 10% of our consolidated net revenue for the years ended December 31, 2020, 2019 and 2018.</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and 2019, two customers each represented more than 10% of our accounts receivable, net.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Inventories primarily consist of finished goods and to a lesser extent component parts, which are purchased from contract manufacturers and component suppliers. Inventories are stated at lower of cost and net realizable value using the weighted average cost method of accounting. We assess the valuation of inventory balances including an assessment to determine potential excess and/or obsolete inventory. We may be required to write down the value of inventory if estimates of future demand and market conditions indicate estimated excess or obsolete inventory. For the periods presented, we have not experienced significant write-downs.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Property and equipment are stated at cost, less accumulated depreciation. Major improvements that extend the life, capacity or improve the safety of an asset are capitalized, while maintenance and repairs are expensed as incurred. Depreciation is calculated on the straight-line method over the estimated useful lives of the assets, determined to be two to seven years. Leasehold improvements are amortized over the shorter of the remaining lease term or the estimated useful lives of the improvements.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are available in active markets for identical assets or liabilities as of the measurement date.</w:t>
      </w:r>
    </w:p>
    <w:p>
      <w:pPr>
        <w:spacing w:after="0" w:line="11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—Pricing inputs are other than quoted prices in active market, which are either directly or indirectly observable as of the report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76"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—Securities that have little to no pricing observability as of the report date. These securities are measured using management’s best estimate</w:t>
      </w:r>
      <w:r>
        <w:rPr>
          <w:rFonts w:ascii="Arial" w:cs="Arial" w:eastAsia="Arial" w:hAnsi="Arial"/>
          <w:sz w:val="16"/>
          <w:szCs w:val="16"/>
          <w:i w:val="1"/>
          <w:iCs w:val="1"/>
          <w:color w:val="auto"/>
        </w:rPr>
        <w:t xml:space="preserve"> </w:t>
      </w:r>
      <w:r>
        <w:rPr>
          <w:rFonts w:ascii="Arial" w:cs="Arial" w:eastAsia="Arial" w:hAnsi="Arial"/>
          <w:sz w:val="16"/>
          <w:szCs w:val="16"/>
          <w:color w:val="auto"/>
        </w:rPr>
        <w:t>of fair value, where the inputs into the determination of fair value are not observable and require significant management judgment or estimation.</w:t>
      </w:r>
    </w:p>
    <w:p>
      <w:pPr>
        <w:spacing w:after="0" w:line="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Fair value accounting is applied to all financial assets and liabilities that are recognized or disclosed at fair value in our combined consolidated financial statements on a recurring basis. Our financial instruments, including cash, restricted cash, accounts receivable, accounts payable, borrowings from credit lines and other liabilities and accrued expenses approximate fair value due to their short-term maturities. Management believes that the long-term debt bearing variable interest rates represents the prevailing market rates for instruments with similar characteristics; accordingly, the carrying value of this instrument approximates its fair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account for business combinations using the acquisition method of accounting, which requires that the assets acquired, liabilities assumed, contractual contingencies and contingent consideration are recorded at the date of acquisition at their respective fair values. Goodwill is recorded when consideration paid in a purchase acquisition exceeds the fair value of the net assets acquired. Amounts recorded in a business combination may change during the measurement period, which is a period not to exceed one year from the date of acquisition, as additional information about conditions existing at the acquisition date becomes available. We include the results of operations of the acquired business in the combined consolidated financial statements prospectively from the date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 Acquisition-related charges, including primarily third-party professional fees, accounting fees and legal fees are recognized separately from the business combination and are expensed as incurred.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Goodwill represents the excess purchase price over the estimated fair value of net assets acquired in a business combination. Identifiable intangible assets with finite lives are carried at cost and amortized using a method that reflects the pattern in which the economic benefits of the intangible asset are consumed or otherwise used up or, if that pattern cannot be reliably determined, using a straight-line amortization method. Amortization expense related to patents is included in cost of revenues. Amortization expense related to developed technology is included in product development costs. Amortization expense related to customer relationships, trade name and non-compete agreements is included in sales, general and administrative costs.</w:t>
      </w:r>
    </w:p>
    <w:p>
      <w:pPr>
        <w:spacing w:after="0" w:line="16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For definite-lived intangible assets, we evaluate the recoverability of intangible assets for impairment whenever events or circumstances indicate that the carrying amount of such assets may not be recoverable. Recoverability of these assets is measured by a comparison of the carrying amounts to the future undiscounted cash flows the assets are expected to generate. If the carrying amount exceeds the fair value, an impairment charge is recognized in an amount equal to that excess. No such impairment charges were recorded in the periods presented.</w:t>
      </w:r>
    </w:p>
    <w:p>
      <w:pPr>
        <w:spacing w:after="0" w:line="17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test for goodwill impairment at the reporting unit level on an annual basis at October 1, or more frequently if events or changes in circumstances indicate that the asset is more likely than not impaired. In reviewing goodwill for impairment, we have the option to first assess qualitative factors to determine whether the existence of events or circumstances leads to a determination that it is more likely than not (greater than 50%) that the estimated fair value of a reporting unit is less than its carrying amount. We also may elect not to perform the qualitative assessment and, instead, proceed directly to the quantitative impairment test. The ultimate outcome of the goodwill impairment review for a reporting unit should be the same whether we choose to perform the qualitative assessment or proceeds directly to the quantitative impairment test.</w:t>
      </w:r>
    </w:p>
    <w:p>
      <w:pPr>
        <w:spacing w:after="0" w:line="17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 qualitative assessment requires that we consider events or circumstances including macroeconomic conditions, industry and market considerations, cost factors, overall financial performance, changes in management or key personnel, changes in strategy, changes in customers, changes in the composition or carrying amount of a reporting segment’s net assets and changes in our stock price. If, after assessing the totality of events or circumstances, we determine that it is more likely than not that the fair values of our reporting units are greater than the carrying amounts, then the quantitative goodwill impairment test is not performed.</w:t>
      </w:r>
    </w:p>
    <w:p>
      <w:pPr>
        <w:spacing w:after="0" w:line="18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For the year ended December 31, 2020, we elected to perform the qualitative assessment and determined that an impairment was not more likely than not and no further analysis was required.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All of our products are covered by warranty to be free from defects in material and workmanship for periods ranging from six months to five years, and for life for memory products. Our warranty does not provide a service beyond assuring that the product complies with agreed-upon specifications and is generally not sold separately. At the time of sale, an estimate of future warranty costs is recorded as a component of cost of revenue and a warranty liability is recorded for estimated costs to satisfy the warranty obligation. The estimate of the costs to fulfill our warranty obligations is based on historical experience and expectations of future costs to repair or replace.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Issuance Costs and Debt Discounts</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Costs incurred in obtaining long-term financing paid to parties other than creditors are considered a debt issuance cost. Amounts paid to creditors are recorded as a reduction in the proceeds received by the creditor and are considered a discount on the issuance of debt. Deferred issuance costs and debt discounts are amortized over the terms of the long-term financing agreements using the effective-interest method and recorded as a deduction of the carrying amount of the debt in the combined consolidated balance sheets. Deferred issuance costs of our revolving line of credit are recorded in prepaid expenses and other current assets and other assets, according to the timing of amortization.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Nonmonetary Transactions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repurchase price, which replaces the initial nonmonetary transaction and inventory will be reflected at carrying value, which includes the costs for the raw materials and the incremental costs charged by the manufacturer for additional work performed on the inventory. As of December 31, 2020, and 2019, we recognized $5.9 million and $0.8 million, respectively, in prepaid inventories and accrued liabilities in the combined consolidated balance sheet related to such nonmonetary transactions with our manufacturers.</w:t>
      </w:r>
    </w:p>
    <w:p>
      <w:pPr>
        <w:spacing w:after="0" w:line="16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 xml:space="preserve">Because the transactions are nonmonetary, they have not been included in the combined consolidated statements of cash flows pursuant to ASC 230, </w:t>
      </w:r>
      <w:r>
        <w:rPr>
          <w:rFonts w:ascii="Arial" w:cs="Arial" w:eastAsia="Arial" w:hAnsi="Arial"/>
          <w:sz w:val="18"/>
          <w:szCs w:val="18"/>
          <w:i w:val="1"/>
          <w:iCs w:val="1"/>
          <w:color w:val="auto"/>
        </w:rPr>
        <w:t>Statement of Cash Flows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20" w:firstLine="562"/>
        <w:spacing w:after="0" w:line="261" w:lineRule="auto"/>
        <w:rPr>
          <w:sz w:val="20"/>
          <w:szCs w:val="20"/>
          <w:color w:val="auto"/>
        </w:rPr>
      </w:pPr>
      <w:r>
        <w:rPr>
          <w:rFonts w:ascii="Arial" w:cs="Arial" w:eastAsia="Arial" w:hAnsi="Arial"/>
          <w:sz w:val="18"/>
          <w:szCs w:val="18"/>
          <w:color w:val="auto"/>
        </w:rPr>
        <w:t>For subsidiaries that have non-U.S. dollar functional currencies, the assets and liabilities of these subsidiaries are translated using period-end exchange rates. Revenues and expenses are translated using average exchange rates in effect during the reporting period. Cumulative translation gains and losses are included as a component of stockholders’ equity in accumulated other comprehensive loss.</w:t>
      </w:r>
    </w:p>
    <w:p>
      <w:pPr>
        <w:spacing w:after="0" w:line="200" w:lineRule="exact"/>
        <w:rPr>
          <w:sz w:val="20"/>
          <w:szCs w:val="20"/>
          <w:color w:val="auto"/>
        </w:rPr>
      </w:pPr>
    </w:p>
    <w:p>
      <w:pPr>
        <w:spacing w:after="0" w:line="205" w:lineRule="exact"/>
        <w:rPr>
          <w:sz w:val="20"/>
          <w:szCs w:val="20"/>
          <w:color w:val="auto"/>
        </w:rPr>
      </w:pPr>
    </w:p>
    <w:p>
      <w:pPr>
        <w:ind w:right="200" w:firstLine="562"/>
        <w:spacing w:after="0" w:line="257" w:lineRule="auto"/>
        <w:rPr>
          <w:sz w:val="20"/>
          <w:szCs w:val="20"/>
          <w:color w:val="auto"/>
        </w:rPr>
      </w:pPr>
      <w:r>
        <w:rPr>
          <w:rFonts w:ascii="Arial" w:cs="Arial" w:eastAsia="Arial" w:hAnsi="Arial"/>
          <w:sz w:val="18"/>
          <w:szCs w:val="18"/>
          <w:color w:val="auto"/>
        </w:rPr>
        <w:t>Monetary assets or liabilities denominated in currencies other than the functional currency are remeasured using exchange rates prevailing on the balance sheet date. Foreign currency remeasurement gains and (losses), net is included in other (expense) income, net in the combined consolidated statements of operations and the amounts were $1.6 million, $1.4 million and $(0.4) million for the years ended December 31, 2020, 2019 and 2018, respectively. These amounts do not include the change in fair value of our foreign currency forward contracts. Refer to Note 4, Derivative Financial Instruments for more information on our hedging instruments.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Gains and losses on long-term intercompany loans not intended to be repaid in the foreseeable future are recorded in other comprehensive loss.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We are subject to foreign income taxes on our foreign operations. All deferred tax assets and liabilities are classified as non-current in the combined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recognize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71" w:lineRule="exact"/>
        <w:rPr>
          <w:sz w:val="20"/>
          <w:szCs w:val="20"/>
          <w:color w:val="auto"/>
        </w:rPr>
      </w:pPr>
    </w:p>
    <w:p>
      <w:pPr>
        <w:ind w:right="460" w:firstLine="510"/>
        <w:spacing w:after="0" w:line="308" w:lineRule="auto"/>
        <w:rPr>
          <w:sz w:val="20"/>
          <w:szCs w:val="20"/>
          <w:color w:val="auto"/>
        </w:rPr>
      </w:pPr>
      <w:r>
        <w:rPr>
          <w:rFonts w:ascii="Arial" w:cs="Arial" w:eastAsia="Arial" w:hAnsi="Arial"/>
          <w:sz w:val="17"/>
          <w:szCs w:val="17"/>
          <w:color w:val="auto"/>
        </w:rPr>
        <w:t>We consider many factors when evaluating and estimating our tax positions and tax benefits, which may require periodic adjustments. Interest charges and penalties related to unrecognized tax benefits are recognized as a component of the income tax (expense) benefit.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Basic net income (loss) per share is computed by dividing net income (loss) by the weighted-average number of shares outstanding during the period, without consideration of potential dilutive securities. Diluted net income per share is computed based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the weighted-average number of shares outstanding during the period, adjusted to include the incremental shares expected to be issued for assumed exercise of options under the treasury stock method.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and subsequent updates (collectively, referred to as Accounting Standard Codification 842 or Topic 842). Topic 842 requires a lessee to recognize right of use (“ROU”) assets and lease liabilities on the combined consolidated balance sheet and to disclose key information related to the leasing arrangements.</w:t>
      </w:r>
    </w:p>
    <w:p>
      <w:pPr>
        <w:spacing w:after="0" w:line="184"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On January 1, 2020, we adopted Topic 842 using the modified retrospective method, applying Topic 842 to all leases existing at the date of initial application. We elected to use the effective date as the date of initial application. Consequently, prior period balances and disclosures have not been restated. We elected the package of transitional practical expedients, which among other provisions, allows us to carry forward prior conclusions about lease identification and classification. In addition, for operating leases, we elected to account for lease and non-lease components as a single lease component. We also made an accounting policy election not to apply the recognition guidance of Topic 842 to record all leases that, at the lease commencement date, have a lease term of 12 months or less on the combined consolidated balance sheet.</w:t>
      </w:r>
    </w:p>
    <w:p>
      <w:pPr>
        <w:spacing w:after="0" w:line="178" w:lineRule="exact"/>
        <w:rPr>
          <w:sz w:val="20"/>
          <w:szCs w:val="20"/>
          <w:color w:val="auto"/>
        </w:rPr>
      </w:pPr>
    </w:p>
    <w:p>
      <w:pPr>
        <w:ind w:right="500" w:firstLine="510"/>
        <w:spacing w:after="0" w:line="286" w:lineRule="auto"/>
        <w:rPr>
          <w:sz w:val="20"/>
          <w:szCs w:val="20"/>
          <w:color w:val="auto"/>
        </w:rPr>
      </w:pPr>
      <w:r>
        <w:rPr>
          <w:rFonts w:ascii="Arial" w:cs="Arial" w:eastAsia="Arial" w:hAnsi="Arial"/>
          <w:sz w:val="17"/>
          <w:szCs w:val="17"/>
          <w:color w:val="auto"/>
        </w:rPr>
        <w:t>The adoption of Topic 842 had a material impact to our combined consolidated balance sheet but did not have an impact on our combined consolidated statements of operations or cash flows. As a result of adopting Topic 842 as of January 1, 2020, we recognized lease liabilities of $17.9 million and corresponding ROU assets of $17.7 million. See Note 17, Leases, for additional information.</w:t>
      </w:r>
    </w:p>
    <w:p>
      <w:pPr>
        <w:spacing w:after="0" w:line="16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was further updated and clarified by the FASB through issuance of additional related ASUs. ASU 2016-13 replaces the incurred-loss</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methodology and requires immediate recognition of estimated credit losses expected to occur for most financial assets, including trade receivables. We adopted this standard effective January 1, 2020 using a modified retrospective approach. The adoption of this new standard did not have a material impact on our combined consolidated financial statements.</w:t>
      </w:r>
    </w:p>
    <w:p>
      <w:pPr>
        <w:spacing w:after="0" w:line="188"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ASU simplifies the subsequent measurement of goodwill by eliminating the second step of the goodwill impairment test. The second step measures goodwill impairment loss by comparing the implied fair value of a reporting unit’s goodwill with the carrying amount of that goodwill. Under the new guidance, a company will record an impairment charge based on the excess of a reporting unit’s carrying amount over its fair value. We adopted this standard effective January 1, 2020. The adoption of this new standard did not have a material impact on our combined consolidated financial statements.</w:t>
      </w:r>
    </w:p>
    <w:p>
      <w:pPr>
        <w:spacing w:after="0" w:line="16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to modify certain disclosure requirements on fair value measurements in Topic 820. We adopted this standard effective January 1, 2020. The adoption of this new standard did not have a material impact on our combined consolidated financial statements.</w:t>
      </w:r>
    </w:p>
    <w:p>
      <w:pPr>
        <w:spacing w:after="0" w:line="18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The amendments in ASU 2018-15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or obtain internal-use software. As permitted by ASU 2018-15, we early-adopted this standard on a prospective basis beginning January 1, 2019. The adoption of this ASU did not have a material impact on our combined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December 2019, the FASB issued ASU No. 2019-12, Income Taxes (Topic 740), to simplify various aspects related to the accounting for income taxes. The new guidance is effective for us beginning in year 2021. We do not anticipate the adoption of this accounting standard update will have a material impact on our combined consolidated financial statements.</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 Reference Rate Reform (Topic 848)</w:t>
      </w:r>
      <w:r>
        <w:rPr>
          <w:rFonts w:ascii="Arial" w:cs="Arial" w:eastAsia="Arial" w:hAnsi="Arial"/>
          <w:sz w:val="18"/>
          <w:szCs w:val="18"/>
          <w:color w:val="auto"/>
        </w:rPr>
        <w:t>, to provide optional expedients and exceptions for applying generally accepted accounting principles to contracts, hedging relationships, and other transactions affected by reference rate reform if certain criteria are met. The new guidance is effective, at our election, beginning March 12, 2020 through</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December 31, 2022. Our term loan and revolving line of credit have interest payments that are correlated to a reference rate, and we are currently evaluating the impact of adopting this guidance and the potential effects it could have on our combined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22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tables summarize our financial assets and liabilities that were measured at fair value on a recurring basis, and indicate the fair value hierarchy of the valuation inputs utilized to determine such fair value: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481"/>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0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83"/>
        </w:trPr>
        <w:tc>
          <w:tcPr>
            <w:tcW w:w="3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4"/>
          </w:tcPr>
          <w:p>
            <w:pPr>
              <w:jc w:val="center"/>
              <w:ind w:left="481"/>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820" w:type="dxa"/>
            <w:vAlign w:val="bottom"/>
            <w:gridSpan w:val="2"/>
          </w:tcPr>
          <w:p>
            <w:pPr>
              <w:spacing w:after="0"/>
              <w:rPr>
                <w:sz w:val="20"/>
                <w:szCs w:val="20"/>
                <w:color w:val="auto"/>
              </w:rPr>
            </w:pPr>
            <w:r>
              <w:rPr>
                <w:rFonts w:ascii="Arial" w:cs="Arial" w:eastAsia="Arial" w:hAnsi="Arial"/>
                <w:sz w:val="18"/>
                <w:szCs w:val="18"/>
                <w:color w:val="auto"/>
              </w:rPr>
              <w:t>Contingent cash consideration in connection with a</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(1)</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81"/>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2,887</w:t>
            </w:r>
          </w:p>
        </w:tc>
        <w:tc>
          <w:tcPr>
            <w:tcW w:w="26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r>
      <w:tr>
        <w:trPr>
          <w:trHeight w:val="215"/>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Contingent cash consideration in connection with a</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8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20"/>
                <w:szCs w:val="20"/>
                <w:color w:val="auto"/>
              </w:rPr>
            </w:pPr>
          </w:p>
        </w:tc>
      </w:tr>
      <w:tr>
        <w:trPr>
          <w:trHeight w:val="215"/>
        </w:trPr>
        <w:tc>
          <w:tcPr>
            <w:tcW w:w="5820" w:type="dxa"/>
            <w:vAlign w:val="bottom"/>
            <w:gridSpan w:val="2"/>
          </w:tcPr>
          <w:p>
            <w:pPr>
              <w:spacing w:after="0"/>
              <w:rPr>
                <w:sz w:val="20"/>
                <w:szCs w:val="20"/>
                <w:color w:val="auto"/>
              </w:rPr>
            </w:pPr>
            <w:r>
              <w:rPr>
                <w:rFonts w:ascii="Arial" w:cs="Arial" w:eastAsia="Arial" w:hAnsi="Arial"/>
                <w:sz w:val="18"/>
                <w:szCs w:val="18"/>
                <w:color w:val="auto"/>
              </w:rPr>
              <w:t>Deferred cash consideration in connection with a</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88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20"/>
                <w:szCs w:val="20"/>
                <w:color w:val="auto"/>
              </w:rPr>
            </w:pP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(4)</w:t>
            </w: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819</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gridSpan w:val="2"/>
          </w:tcPr>
          <w:p>
            <w:pPr>
              <w:ind w:left="260"/>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819</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3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left="481"/>
              <w:spacing w:after="0"/>
              <w:rPr>
                <w:sz w:val="20"/>
                <w:szCs w:val="20"/>
                <w:color w:val="auto"/>
              </w:rPr>
            </w:pPr>
            <w:r>
              <w:rPr>
                <w:rFonts w:ascii="Arial" w:cs="Arial" w:eastAsia="Arial" w:hAnsi="Arial"/>
                <w:sz w:val="14"/>
                <w:szCs w:val="14"/>
                <w:b w:val="1"/>
                <w:bCs w:val="1"/>
                <w:color w:val="auto"/>
                <w:w w:val="91"/>
              </w:rPr>
              <w:t>December 31, 2019</w:t>
            </w: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30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bottom w:val="single" w:sz="8" w:color="auto"/>
            </w:tcBorders>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83"/>
        </w:trPr>
        <w:tc>
          <w:tcPr>
            <w:tcW w:w="3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4"/>
          </w:tcPr>
          <w:p>
            <w:pPr>
              <w:jc w:val="center"/>
              <w:ind w:left="481"/>
              <w:spacing w:after="0"/>
              <w:rPr>
                <w:sz w:val="20"/>
                <w:szCs w:val="20"/>
                <w:color w:val="auto"/>
              </w:rPr>
            </w:pPr>
            <w:r>
              <w:rPr>
                <w:rFonts w:ascii="Arial" w:cs="Arial" w:eastAsia="Arial" w:hAnsi="Arial"/>
                <w:sz w:val="14"/>
                <w:szCs w:val="14"/>
                <w:b w:val="1"/>
                <w:bCs w:val="1"/>
                <w:color w:val="auto"/>
                <w:w w:val="91"/>
              </w:rPr>
              <w:t>(In thousands)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820" w:type="dxa"/>
            <w:vAlign w:val="bottom"/>
            <w:gridSpan w:val="2"/>
          </w:tcPr>
          <w:p>
            <w:pPr>
              <w:spacing w:after="0"/>
              <w:rPr>
                <w:sz w:val="20"/>
                <w:szCs w:val="20"/>
                <w:color w:val="auto"/>
              </w:rPr>
            </w:pPr>
            <w:r>
              <w:rPr>
                <w:rFonts w:ascii="Arial" w:cs="Arial" w:eastAsia="Arial" w:hAnsi="Arial"/>
                <w:sz w:val="18"/>
                <w:szCs w:val="18"/>
                <w:color w:val="auto"/>
              </w:rPr>
              <w:t>Contingent cash consideration in connection with a</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(1)</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81"/>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3,964</w:t>
            </w:r>
          </w:p>
        </w:tc>
        <w:tc>
          <w:tcPr>
            <w:tcW w:w="26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Pr>
          <w:p>
            <w:pPr>
              <w:spacing w:after="0"/>
              <w:rPr>
                <w:sz w:val="20"/>
                <w:szCs w:val="20"/>
                <w:color w:val="auto"/>
              </w:rPr>
            </w:pPr>
          </w:p>
        </w:tc>
      </w:tr>
      <w:tr>
        <w:trPr>
          <w:trHeight w:val="215"/>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Contingent consideration in connection with a</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business acquisition—SCUF</w:t>
            </w:r>
            <w:r>
              <w:rPr>
                <w:rFonts w:ascii="Arial" w:cs="Arial" w:eastAsia="Arial" w:hAnsi="Arial"/>
                <w:sz w:val="15"/>
                <w:szCs w:val="15"/>
                <w:color w:val="auto"/>
              </w:rPr>
              <w:t>(2)</w:t>
            </w:r>
          </w:p>
        </w:tc>
        <w:tc>
          <w:tcPr>
            <w:tcW w:w="8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FF0FC"/>
          </w:tcPr>
          <w:p>
            <w:pPr>
              <w:spacing w:after="0"/>
              <w:rPr>
                <w:sz w:val="20"/>
                <w:szCs w:val="20"/>
                <w:color w:val="auto"/>
              </w:rPr>
            </w:pPr>
          </w:p>
        </w:tc>
      </w:tr>
      <w:tr>
        <w:trPr>
          <w:trHeight w:val="215"/>
        </w:trPr>
        <w:tc>
          <w:tcPr>
            <w:tcW w:w="5820" w:type="dxa"/>
            <w:vAlign w:val="bottom"/>
            <w:gridSpan w:val="2"/>
          </w:tcPr>
          <w:p>
            <w:pPr>
              <w:spacing w:after="0"/>
              <w:rPr>
                <w:sz w:val="20"/>
                <w:szCs w:val="20"/>
                <w:color w:val="auto"/>
              </w:rPr>
            </w:pPr>
            <w:r>
              <w:rPr>
                <w:rFonts w:ascii="Arial" w:cs="Arial" w:eastAsia="Arial" w:hAnsi="Arial"/>
                <w:sz w:val="18"/>
                <w:szCs w:val="18"/>
                <w:color w:val="auto"/>
              </w:rPr>
              <w:t>Deferred cash consideration in connection with a</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business acquisition—Origin</w:t>
            </w:r>
            <w:r>
              <w:rPr>
                <w:rFonts w:ascii="Arial" w:cs="Arial" w:eastAsia="Arial" w:hAnsi="Arial"/>
                <w:sz w:val="15"/>
                <w:szCs w:val="15"/>
                <w:color w:val="auto"/>
              </w:rPr>
              <w:t>(3)</w:t>
            </w:r>
          </w:p>
        </w:tc>
        <w:tc>
          <w:tcPr>
            <w:tcW w:w="88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0"/>
                <w:szCs w:val="20"/>
                <w:color w:val="auto"/>
              </w:rPr>
            </w:pPr>
          </w:p>
        </w:tc>
      </w:tr>
      <w:tr>
        <w:trPr>
          <w:trHeight w:val="230"/>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forward contracts</w:t>
            </w:r>
            <w:r>
              <w:rPr>
                <w:rFonts w:ascii="Arial" w:cs="Arial" w:eastAsia="Arial" w:hAnsi="Arial"/>
                <w:sz w:val="15"/>
                <w:szCs w:val="15"/>
                <w:color w:val="auto"/>
              </w:rPr>
              <w:t>(4)</w:t>
            </w: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335</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335</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ind w:left="380" w:right="40" w:hanging="372"/>
        <w:spacing w:after="0" w:line="223"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fair value of the Origin earn-out liability is estimated at acquisition date using a Monte Carlo Simulation, a simulation-based measurement technique with significant inputs that are not observable in the market and thus represents a level 3 fair value measurement. The significant inputs in the fair value measurement not supported by market activity included the expected future standalone EBITDA of Origin during the earn-out period, appropriately discounted by a risk adjustment factor, considering the uncertainties associated with the obligation, its associated volatility, and calculated in accordance with the terms of the Unit Purchase Agreement for this acquisition. As a result of fair value remeasurements on the Origin earnout liability, we have recorded a charge of $1.0 million and a credit of $0.6 million in the year ended December 31, 2020 and 2019, respectively to our sales, general and administrative expenses. The earn-out liability of $2.4 million based on Origin’s 2019 standalone EBITDA was fully paid in April 2020. The remaining earnout liability of $2.9 million, determined based on the contractual amount, will be paid in 2021.</w:t>
      </w:r>
    </w:p>
    <w:p>
      <w:pPr>
        <w:spacing w:after="0" w:line="4" w:lineRule="exact"/>
        <w:rPr>
          <w:rFonts w:ascii="Arial" w:cs="Arial" w:eastAsia="Arial" w:hAnsi="Arial"/>
          <w:sz w:val="14"/>
          <w:szCs w:val="14"/>
          <w:color w:val="auto"/>
        </w:rPr>
      </w:pPr>
    </w:p>
    <w:p>
      <w:pPr>
        <w:ind w:left="380" w:right="300" w:hanging="372"/>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fair value of the SCUF contingent consideration was determined based on the estimates of acquired tax benefits owed to SCUF’s sellers according to the merger agreement. These estimates involve unobservable inputs and thus represent a level 3 fair value measurement. The $1.6 million liability as of December 31, 2019 was subject to update upon filing our tax returns for tax years 2019 through 2021. The $1.3 million liability as of December 31, 2020 is consisted of $0.1 million based on contractual amount and the remaining $1.2 million is subject to update upon filing our tax returns for tax years 2020 and 2021.</w:t>
      </w:r>
    </w:p>
    <w:p>
      <w:pPr>
        <w:spacing w:after="0" w:line="1" w:lineRule="exact"/>
        <w:rPr>
          <w:rFonts w:ascii="Arial" w:cs="Arial" w:eastAsia="Arial" w:hAnsi="Arial"/>
          <w:sz w:val="14"/>
          <w:szCs w:val="14"/>
          <w:color w:val="auto"/>
        </w:rPr>
      </w:pPr>
    </w:p>
    <w:p>
      <w:pPr>
        <w:jc w:val="both"/>
        <w:ind w:left="380" w:right="240" w:hanging="372"/>
        <w:spacing w:after="0" w:line="221"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fair value of Origin’s deferred cash consideration is determined at the Origin acquisition date by using the contractual cash payments and a discount rate of 6.5%. This discount rate approximated our borrowing rate under the revolving line of credit at the acquisition date and represented a Level 3 input under the fair value hierarchy. This liability was fully repaid in January 2021.</w:t>
      </w:r>
    </w:p>
    <w:p>
      <w:pPr>
        <w:ind w:left="380" w:right="60" w:hanging="372"/>
        <w:spacing w:after="0" w:line="237" w:lineRule="auto"/>
        <w:tabs>
          <w:tab w:leader="none" w:pos="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fair values of the forward contracts and interest rate cap contract are based on similar exchange traded derivatives and the related asset or liability is, therefore, included within Level 2 of the fair value hierarchy.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2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31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cap contracts, to minimize our exposure to interest rate movements on our variable rate debts. The derivative instruments are recorded at fair value in prepaid expenses and other current assets or other liabilities and accrued expenses on the combined consolidated balance sheets. We do not designate such instruments as hedges for accounting purposes; accordingly, changes in the value of these contracts are recognized in each reporting period in other (expense) income, net in the combined consolidated statements of operations. We do not enter into derivative instruments for trading purposes.</w:t>
      </w:r>
    </w:p>
    <w:p>
      <w:pPr>
        <w:spacing w:after="0" w:line="4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foreign currency forward contracts generally mature within three to four months. The notional principal amount of outstanding foreign exchange forward contracts was $41.6 million and $18.3 million as of December 31, 2020 and December 31, 2019, respectively. The fair value gain (loss) recognized in other (expense) income, net in relation to these derivative instruments was $(3.0) million, $(0.2) million, and $0.1 million for the year ended December 31, 2020, 2019, and 2018, respectively.</w:t>
      </w:r>
    </w:p>
    <w:p>
      <w:pPr>
        <w:spacing w:after="0" w:line="18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entered into interest rate contracts in 2020 and the contracts mature on June 30, 2022. We recognized $0.5 million net loss for the change in fair value of the interest rate contracts in interest expense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Immaterial Acquisitions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year ended December 31, 2020, we completed two immaterial acquisitions, EpocCam and Gamer Sensei, for total cash consideration of $1.3 million, which were accounted for using the acquisition method of accounting.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SCUF Acquisition</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 xml:space="preserve">On December 19, 2019 </w:t>
      </w:r>
      <w:r>
        <w:rPr>
          <w:rFonts w:ascii="Arial" w:cs="Arial" w:eastAsia="Arial" w:hAnsi="Arial"/>
          <w:sz w:val="16"/>
          <w:szCs w:val="16"/>
          <w:i w:val="1"/>
          <w:iCs w:val="1"/>
          <w:color w:val="auto"/>
        </w:rPr>
        <w:t>(the “SCUF Acquisition Closing Date”)</w:t>
      </w:r>
      <w:r>
        <w:rPr>
          <w:rFonts w:ascii="Arial" w:cs="Arial" w:eastAsia="Arial" w:hAnsi="Arial"/>
          <w:sz w:val="16"/>
          <w:szCs w:val="16"/>
          <w:color w:val="auto"/>
        </w:rPr>
        <w:t xml:space="preserve">, one of our subsidiaries entered into an Agreement and Plan of Merger with Scuf Holdings, Inc. and subsidiaries </w:t>
      </w:r>
      <w:r>
        <w:rPr>
          <w:rFonts w:ascii="Arial" w:cs="Arial" w:eastAsia="Arial" w:hAnsi="Arial"/>
          <w:sz w:val="16"/>
          <w:szCs w:val="16"/>
          <w:i w:val="1"/>
          <w:iCs w:val="1"/>
          <w:color w:val="auto"/>
        </w:rPr>
        <w:t>(collectively “SCUF”)</w:t>
      </w:r>
      <w:r>
        <w:rPr>
          <w:rFonts w:ascii="Arial" w:cs="Arial" w:eastAsia="Arial" w:hAnsi="Arial"/>
          <w:sz w:val="16"/>
          <w:szCs w:val="16"/>
          <w:color w:val="auto"/>
        </w:rPr>
        <w:t xml:space="preserve"> and acquired 100% of their equity interests </w:t>
      </w:r>
      <w:r>
        <w:rPr>
          <w:rFonts w:ascii="Arial" w:cs="Arial" w:eastAsia="Arial" w:hAnsi="Arial"/>
          <w:sz w:val="16"/>
          <w:szCs w:val="16"/>
          <w:i w:val="1"/>
          <w:iCs w:val="1"/>
          <w:color w:val="auto"/>
        </w:rPr>
        <w:t>(the “SCUF Acquisition”)</w:t>
      </w:r>
      <w:r>
        <w:rPr>
          <w:rFonts w:ascii="Arial" w:cs="Arial" w:eastAsia="Arial" w:hAnsi="Arial"/>
          <w:sz w:val="16"/>
          <w:szCs w:val="16"/>
          <w:color w:val="auto"/>
        </w:rPr>
        <w:t>. SCUF, headquartered in Georgia, U.S., specializes in delivering high-performance accessories and customized gaming controllers for consoles and PCs used by top professionals as well as casual gamers. We believe that the SCUF Acquisition will enhance our product and service offerings to both console and PC gamers.</w:t>
      </w:r>
    </w:p>
    <w:p>
      <w:pPr>
        <w:spacing w:after="0" w:line="15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Because the acquired companies met the definition of a business, the SCUF Acquisition has been accounted for as a business combination using the acquisition method of accounting.</w:t>
      </w:r>
    </w:p>
    <w:p>
      <w:pPr>
        <w:spacing w:after="0" w:line="17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Subsequent to the SCUF Acquisition Closing Date, we recorded measurement period adjustments which reduced purchase price, inventories and goodwill by $1.8 million, $0.5 million and $1.3 million, respectively, and accordingly, the SCUF Acquisition total adjusted purchase consideration was $136.0 million. The SCUF Acquisition purchase consideration consisted of (i) $128.2 million cash consideration (including the payment of SCUF’s transaction costs and debt on behalf of SCUF), (ii) $8.0 million equity consideration (an issuance of approximately 1.1 million equivalent shares of our common stock immediately post-Reorganization and prior to the exchange agreements described in Note 1), (iii) $1.3 million estimated contingent cash consideration relating to our expected utilization of the acquired SCUF tax liabilities or tax benefits relating to pre-acquisition SCUF results in our taxable periods from 2019 to 2021, (iv) additional cash earn-out based on the achievement of certain SCUF standalone EBITDA targets for 2019 and the ability of SCUF to renew a licensing agreement with a certain vendor, which were determined to have zero value based on the assessment of the outcome of these contingent events on the SCUF Acquisition Closing Date, and (v) net of $1.5 million contingent cash consideration paid on the SCUF Acquisition Closing Date that is expected to be returned by the sellers to us to fund an incentive payment to certain ex-SCUF employees who joined Corsair and are required to remain employed through a contractual service period.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Final purchase price allocation</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following table summarizes the final allocation of the purchase consideration to the estimated fair value of the assets acquired and liabilities assumed at the SCUF Acquisition Closing Date.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3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Cash</w:t>
            </w:r>
          </w:p>
        </w:tc>
        <w:tc>
          <w:tcPr>
            <w:tcW w:w="35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6,947</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Inventories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assets</w:t>
            </w:r>
          </w:p>
        </w:tc>
        <w:tc>
          <w:tcPr>
            <w:tcW w:w="3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71,890</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Other assets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Accounts payable</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(9,182)</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3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(5,533)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Deferred revenue</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(3,752)</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and accrued expenses</w:t>
            </w:r>
          </w:p>
        </w:tc>
        <w:tc>
          <w:tcPr>
            <w:tcW w:w="3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(8,416)</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(10,015)</w:t>
            </w:r>
          </w:p>
        </w:tc>
      </w:tr>
      <w:tr>
        <w:trPr>
          <w:trHeight w:val="223"/>
        </w:trPr>
        <w:tc>
          <w:tcPr>
            <w:tcW w:w="60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identifiable net assets acquired</w:t>
            </w:r>
          </w:p>
        </w:tc>
        <w:tc>
          <w:tcPr>
            <w:tcW w:w="3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72,339</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assets acquired</w:t>
            </w:r>
          </w:p>
        </w:tc>
        <w:tc>
          <w:tcPr>
            <w:tcW w:w="3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fair value of the inventory acquired was estimated using the expected selling price of the inventory, then deducting direct selling expenses and a reasonable allocation of profit to a likely buyer. The difference between the fair value of the inventories and the amount recorded by SCUF immediately before the acquisition date was $1.5 million, which was recognized in cost of revenue in the combined consolidated statements of operations upon the sale of the acquired inventory.</w:t>
      </w:r>
    </w:p>
    <w:p>
      <w:pPr>
        <w:spacing w:after="0" w:line="254"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excess of the purchase price over the net tangible assets and intangible assets was recorded as goodwill at $72.3 million, is primarily related to the value of the acquired workforce and the ability to design and generate revenue from future technology and customers. The goodwill and identifiable intangible assets are not deductible for tax purposes.</w:t>
      </w:r>
    </w:p>
    <w:p>
      <w:pPr>
        <w:spacing w:after="0" w:line="184"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The following table summarizes the components of identifiable intangible assets acquired and their estimated useful lives as of the SCUF Acquisition Closing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7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(In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Patents</w:t>
            </w:r>
          </w:p>
        </w:tc>
        <w:tc>
          <w:tcPr>
            <w:tcW w:w="2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30,500</w:t>
            </w:r>
          </w:p>
        </w:tc>
        <w:tc>
          <w:tcPr>
            <w:tcW w:w="2040" w:type="dxa"/>
            <w:vAlign w:val="bottom"/>
            <w:gridSpan w:val="2"/>
            <w:shd w:val="clear" w:color="auto" w:fill="CFF0FC"/>
          </w:tcPr>
          <w:p>
            <w:pPr>
              <w:jc w:val="center"/>
              <w:ind w:left="290"/>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Developed technology</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18,600</w:t>
            </w:r>
          </w:p>
        </w:tc>
        <w:tc>
          <w:tcPr>
            <w:tcW w:w="204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40" w:type="dxa"/>
            <w:vAlign w:val="bottom"/>
            <w:gridSpan w:val="2"/>
            <w:shd w:val="clear" w:color="auto" w:fill="CFF0FC"/>
          </w:tcPr>
          <w:p>
            <w:pPr>
              <w:jc w:val="center"/>
              <w:ind w:left="290"/>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Trade name</w:t>
            </w:r>
          </w:p>
        </w:tc>
        <w:tc>
          <w:tcPr>
            <w:tcW w:w="2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w:t>
            </w:r>
          </w:p>
        </w:tc>
        <w:tc>
          <w:tcPr>
            <w:tcW w:w="2040" w:type="dxa"/>
            <w:vAlign w:val="bottom"/>
            <w:tcBorders>
              <w:bottom w:val="single" w:sz="8" w:color="CFF0FC"/>
            </w:tcBorders>
            <w:gridSpan w:val="2"/>
          </w:tcPr>
          <w:p>
            <w:pPr>
              <w:jc w:val="center"/>
              <w:ind w:left="290"/>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identifiable intangible assets</w:t>
            </w:r>
          </w:p>
        </w:tc>
        <w:tc>
          <w:tcPr>
            <w:tcW w:w="2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71,890</w:t>
            </w:r>
          </w:p>
        </w:tc>
        <w:tc>
          <w:tcPr>
            <w:tcW w:w="3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Intangible assets acquired as a result of the SCUF Acquisition are being amortized over their estimated useful lives using the straight-line method of amortization, which reflects the pattern in which the economic benefits of the intangible asset are consumed or otherwise used up. Amortization expenses of patent and developed technology are included in cost of revenue and product development expense, respectively. Amortization expenses of customer relationships and trade names are included in sales, general and administrative expense in the combined consolidated statements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 Acquisition</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 xml:space="preserve">On July 22, 2019 </w:t>
      </w:r>
      <w:r>
        <w:rPr>
          <w:rFonts w:ascii="Arial" w:cs="Arial" w:eastAsia="Arial" w:hAnsi="Arial"/>
          <w:sz w:val="18"/>
          <w:szCs w:val="18"/>
          <w:i w:val="1"/>
          <w:iCs w:val="1"/>
          <w:color w:val="auto"/>
        </w:rPr>
        <w:t>(the “Origin Closing Date”)</w:t>
      </w:r>
      <w:r>
        <w:rPr>
          <w:rFonts w:ascii="Arial" w:cs="Arial" w:eastAsia="Arial" w:hAnsi="Arial"/>
          <w:sz w:val="18"/>
          <w:szCs w:val="18"/>
          <w:color w:val="auto"/>
        </w:rPr>
        <w:t xml:space="preserve">, one of our subsidiaries acquired all the equity interests in Origin PC Corporation </w:t>
      </w:r>
      <w:r>
        <w:rPr>
          <w:rFonts w:ascii="Arial" w:cs="Arial" w:eastAsia="Arial" w:hAnsi="Arial"/>
          <w:sz w:val="18"/>
          <w:szCs w:val="18"/>
          <w:i w:val="1"/>
          <w:iCs w:val="1"/>
          <w:color w:val="auto"/>
        </w:rPr>
        <w:t>(“Origin” and such</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 the “Origin Acquisition”)</w:t>
      </w:r>
      <w:r>
        <w:rPr>
          <w:rFonts w:ascii="Arial" w:cs="Arial" w:eastAsia="Arial" w:hAnsi="Arial"/>
          <w:sz w:val="18"/>
          <w:szCs w:val="18"/>
          <w:color w:val="auto"/>
        </w:rPr>
        <w:t>. Origin, based in Florida, U.S., specializes in delivering hand-built, personalized PCs. We believe the integration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Origin’s expertise in personalized custom gaming systems and Corsair’s strength in performance PC hardware and the iCUE software ecosystems enhances and expands our product and service offerings to PC gamers.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Origin met the definition of a business, and therefore this acquisition is accounted for as a business combination.</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Subsequent to the Origin Closing Date, we recorded measurement period adjustments which increased the purchase price by $0.2 million and reduced other liabilities and accrued expenses by $0.3 million and goodwill by $0.1 million, and accordingly, the Origin Acquisition total adjusted purchase consideration was $13.8 million. The Origin Acquisition purchase consideration consisted of (i) $5.5 million cash consideration (including the payment of Origin’s transaction costs and debt on behalf of Origin), (ii) $2.0 million equity consideration provided by Corsair (which was immediately exchanged for approximately 0.2 million equivalent shares of our common stock immediately post-Reorganization and prior to the exchange agreements described in Note 1), (iii) $1.4 million deferred cash consideration payable 18 months after closing, not contingent on any future conditions, (iv) $4.6 million of additional cash earn-out based on the achievement of certain Origin standalone EBITDA targets for 2019 and 2020, and (v) $0.3 million estimated contingent cash consideration relating to the finalization of pre-acquisition sales tax liabilities owed to Origin’s sellers according to the terms of the Origin Unit Purchase Agreement.</w:t>
      </w:r>
    </w:p>
    <w:p>
      <w:pPr>
        <w:spacing w:after="0" w:line="19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final allocation of the Origin Acquisition purchase consideration to the estimated fair value of the assets acquired and liabilities assumed at the acquisition date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assets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 (customer relationship with estimated 6 years of useful life)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liabilities and accrued expenses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noncurrent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(447)</w:t>
            </w:r>
          </w:p>
        </w:tc>
      </w:tr>
      <w:tr>
        <w:trPr>
          <w:trHeight w:val="223"/>
        </w:trPr>
        <w:tc>
          <w:tcPr>
            <w:tcW w:w="9260" w:type="dxa"/>
            <w:vAlign w:val="bottom"/>
          </w:tcPr>
          <w:p>
            <w:pPr>
              <w:ind w:left="140"/>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12,270</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ind w:left="14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goodwill and identifiable intangible assets are deductible for tax purposes.</w:t>
      </w:r>
    </w:p>
    <w:p>
      <w:pPr>
        <w:spacing w:after="0" w:line="22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estimated fair value of Origin’s contingent earn-out based on Origin’s standalone 2019 and 2020 EBITDA was decreased from $4.6 million at the Origin Closing Date to $4.0 million at December 31, 2019 primarily resulting from Origin’s lower-than-expected EBITDA for 2020. The earn-out liability of $2.4 million based on Origin’s 2019 EBITDA was fully paid in April 2020. The remaining earn-out liability was remeasured based on Origin’s actual 2020 EBITDA and increased from $1.6 million to $2.6 million as of December 31, 2020 due to improvement in Origin’s financial performance primarily from higher-than-expected revenue. The 2020 earn-out liability is expected to be paid in 2021. As a result, the $0.6 million decrease and the $1.0 million increase in the fair value of the Origin earn-out liability was recorded to sales and general administrative expenses in our combined consolidated statement of operations in 2019 and 2020,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costs</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We incurred acquisition-related costs of approximately $1.0 million, $2.6 million and $1.5 million for the years ended December 31, 2020, 2019 and 2018, respectively, and these costs are recorded in sales, general and administrative expenses in the combined consolidated statement of operations.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following unaudited pro forma financial information combines the unaudited combined consolidated results of operations as if the SCUF Acquisition had occurred as of January 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5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r>
      <w:tr>
        <w:trPr>
          <w:trHeight w:val="155"/>
        </w:trPr>
        <w:tc>
          <w:tcPr>
            <w:tcW w:w="50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jc w:val="center"/>
              <w:ind w:right="24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1,165,502</w:t>
            </w:r>
          </w:p>
        </w:tc>
        <w:tc>
          <w:tcPr>
            <w:tcW w:w="12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(24,598)</w:t>
            </w:r>
          </w:p>
        </w:tc>
      </w:tr>
    </w:tbl>
    <w:p>
      <w:pPr>
        <w:spacing w:after="0" w:line="241" w:lineRule="exact"/>
        <w:rPr>
          <w:sz w:val="20"/>
          <w:szCs w:val="20"/>
          <w:color w:val="auto"/>
        </w:rPr>
      </w:pPr>
    </w:p>
    <w:p>
      <w:pPr>
        <w:jc w:val="both"/>
        <w:ind w:right="280" w:firstLine="510"/>
        <w:spacing w:after="0" w:line="257" w:lineRule="auto"/>
        <w:rPr>
          <w:sz w:val="20"/>
          <w:szCs w:val="20"/>
          <w:color w:val="auto"/>
        </w:rPr>
      </w:pPr>
      <w:r>
        <w:rPr>
          <w:rFonts w:ascii="Arial" w:cs="Arial" w:eastAsia="Arial" w:hAnsi="Arial"/>
          <w:sz w:val="18"/>
          <w:szCs w:val="18"/>
          <w:color w:val="auto"/>
        </w:rPr>
        <w:t>The unaudited pro forma adjustments to net loss primarily include amortization for intangible assets acquired, the purchase accounting effect on contract liabilities assumed and inventory acquired, acquisition-related costs and interest expense related to financing arrangements. The unaudited pro forma combined consolidated information is provided for informational purposes only and is not indicative of the results of operations that would have been achieved if the SCUF Acquisition and any borrowings undertaken to finance the SCUF Acquisition had taken place at the beginning of the periods presented.</w:t>
      </w:r>
    </w:p>
    <w:p>
      <w:pPr>
        <w:spacing w:after="0" w:line="188"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Pro forma financial information for the Origin Acquisition was not prepared because the effects of the acquisition were not material to our combined consolidated statement of operations for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Goodwill represents the difference between the purchase price and the estimated fair value of the identifiable assets acquired and liabilities assumed. Goodwill is allocated among and evaluated for impairment at the reporting unit level, which is defined as an operating segment or one level below an operating segment. We have four reporting units: Gaming Peripherals, Gaming Components, Gaming Memory and Gaming Systems. The Gamer and Creator Peripherals segment includes the Gaming Peripherals reporting unit, and the Gaming Components and Systems segment includes the Gaming Components, Gaming Memory and Gaming Systems reporting units.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by reportable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Gaming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Gamer and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Components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Creator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6"/>
              </w:rPr>
              <w:t>Systems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Peripherals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133,063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93,616</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Addition from business acquisitions</w:t>
            </w: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 from business acquisitions</w:t>
            </w:r>
          </w:p>
        </w:tc>
        <w:tc>
          <w:tcPr>
            <w:tcW w:w="2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Measurement period adjustments</w:t>
            </w: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foreign currency exchange rates</w:t>
            </w:r>
          </w:p>
        </w:tc>
        <w:tc>
          <w:tcPr>
            <w:tcW w:w="2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40" w:type="dxa"/>
            <w:vAlign w:val="bottom"/>
            <w:vMerge w:val="restart"/>
          </w:tcPr>
          <w:p>
            <w:pPr>
              <w:jc w:val="right"/>
              <w:ind w:right="810"/>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is a summary of intangible assets,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7"/>
              </w:rPr>
              <w:t>Net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4"/>
          </w:tcPr>
          <w:p>
            <w:pPr>
              <w:ind w:left="2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8"/>
              </w:rPr>
              <w:t>5.6 years</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31,016</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22,124</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44,243</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17,536</w:t>
            </w:r>
          </w:p>
        </w:tc>
        <w:tc>
          <w:tcPr>
            <w:tcW w:w="2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Trade name</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15.0 years</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8"/>
              </w:rPr>
              <w:t>10.0 years</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6.6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145,577</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218,459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Patent</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7.9 years</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27,595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Non-competition agreements</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8"/>
              </w:rPr>
              <w:t>5.0 years</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4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60"/>
              <w:spacing w:after="0"/>
              <w:rPr>
                <w:sz w:val="20"/>
                <w:szCs w:val="20"/>
                <w:color w:val="auto"/>
              </w:rPr>
            </w:pPr>
            <w:r>
              <w:rPr>
                <w:rFonts w:ascii="Arial" w:cs="Arial" w:eastAsia="Arial" w:hAnsi="Arial"/>
                <w:sz w:val="18"/>
                <w:szCs w:val="18"/>
                <w:color w:val="auto"/>
              </w:rPr>
              <w:t>Total finite-life intangibles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314,440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90,553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223,887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326,786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71,189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255,597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Indefinite life trade name</w:t>
            </w:r>
          </w:p>
        </w:tc>
        <w:tc>
          <w:tcPr>
            <w:tcW w:w="10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rPr>
              <w:t>Indefinite life</w:t>
            </w: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349,870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90,553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259,317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362,216</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In the year after an identified intangible asset becomes fully amortized, we remove the fully amortized balances from the gross asset and accumulated amortization amounts from the table above.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intangible assets is recognized in our combined consolidated statements of operations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Sales, general and administrative</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24,535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22,746</w:t>
            </w:r>
          </w:p>
        </w:tc>
        <w:tc>
          <w:tcPr>
            <w:tcW w:w="12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120" w:type="dxa"/>
            <w:vAlign w:val="bottom"/>
            <w:shd w:val="clear" w:color="auto" w:fill="CFF0FC"/>
          </w:tcPr>
          <w:p>
            <w:pPr>
              <w:spacing w:after="0"/>
              <w:rPr>
                <w:sz w:val="19"/>
                <w:szCs w:val="19"/>
                <w:color w:val="auto"/>
              </w:rPr>
            </w:pPr>
          </w:p>
        </w:tc>
      </w:tr>
      <w:tr>
        <w:trPr>
          <w:trHeight w:val="223"/>
        </w:trPr>
        <w:tc>
          <w:tcPr>
            <w:tcW w:w="6620" w:type="dxa"/>
            <w:vAlign w:val="bottom"/>
          </w:tcPr>
          <w:p>
            <w:pPr>
              <w:ind w:left="260"/>
              <w:spacing w:after="0"/>
              <w:rPr>
                <w:sz w:val="20"/>
                <w:szCs w:val="20"/>
                <w:color w:val="auto"/>
              </w:rPr>
            </w:pPr>
            <w:r>
              <w:rPr>
                <w:rFonts w:ascii="Arial" w:cs="Arial" w:eastAsia="Arial" w:hAnsi="Arial"/>
                <w:sz w:val="18"/>
                <w:szCs w:val="18"/>
                <w:color w:val="auto"/>
              </w:rPr>
              <w:t>Total amortization of intangible assets</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33,916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30,893</w:t>
            </w:r>
          </w:p>
        </w:tc>
        <w:tc>
          <w:tcPr>
            <w:tcW w:w="12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amortization expense of intangible assets as of December 31, 2020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4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2022</w:t>
            </w:r>
          </w:p>
        </w:tc>
        <w:tc>
          <w:tcPr>
            <w:tcW w:w="6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2024</w:t>
            </w:r>
          </w:p>
        </w:tc>
        <w:tc>
          <w:tcPr>
            <w:tcW w:w="6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6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120" w:type="dxa"/>
            <w:vAlign w:val="bottom"/>
            <w:vMerge w:val="restart"/>
          </w:tcPr>
          <w:p>
            <w:pPr>
              <w:jc w:val="right"/>
              <w:ind w:right="3450"/>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98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129,543</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Restricted cash—short term</w:t>
            </w:r>
          </w:p>
        </w:tc>
        <w:tc>
          <w:tcPr>
            <w:tcW w:w="3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3,795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cash—noncurrent</w:t>
            </w:r>
          </w:p>
        </w:tc>
        <w:tc>
          <w:tcPr>
            <w:tcW w:w="30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140"/>
              <w:spacing w:after="0"/>
              <w:rPr>
                <w:sz w:val="20"/>
                <w:szCs w:val="20"/>
                <w:color w:val="auto"/>
              </w:rPr>
            </w:pPr>
            <w:r>
              <w:rPr>
                <w:rFonts w:ascii="Arial" w:cs="Arial" w:eastAsia="Arial" w:hAnsi="Arial"/>
                <w:sz w:val="18"/>
                <w:szCs w:val="18"/>
                <w:color w:val="auto"/>
              </w:rPr>
              <w:t>Total cash and restricted cash</w:t>
            </w:r>
          </w:p>
        </w:tc>
        <w:tc>
          <w:tcPr>
            <w:tcW w:w="304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133,568</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gridSpan w:val="3"/>
            <w:vMerge w:val="restart"/>
          </w:tcPr>
          <w:p>
            <w:pPr>
              <w:jc w:val="center"/>
              <w:ind w:left="76"/>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98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293,975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3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293,629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202,334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98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Work in progress</w:t>
            </w:r>
          </w:p>
        </w:tc>
        <w:tc>
          <w:tcPr>
            <w:tcW w:w="3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9,654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0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164,188</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04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226,007</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center"/>
              <w:ind w:left="56"/>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398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Computer equipment, software and office equipment</w:t>
            </w:r>
          </w:p>
        </w:tc>
        <w:tc>
          <w:tcPr>
            <w:tcW w:w="3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0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30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30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(23,163)</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40" w:type="dxa"/>
            <w:vAlign w:val="bottom"/>
            <w:vMerge w:val="restart"/>
          </w:tcPr>
          <w:p>
            <w:pPr>
              <w:jc w:val="right"/>
              <w:ind w:right="1910"/>
              <w:spacing w:after="0"/>
              <w:rPr>
                <w:sz w:val="20"/>
                <w:szCs w:val="20"/>
                <w:color w:val="auto"/>
              </w:rPr>
            </w:pPr>
            <w:r>
              <w:rPr>
                <w:rFonts w:ascii="Arial" w:cs="Arial" w:eastAsia="Arial" w:hAnsi="Arial"/>
                <w:sz w:val="18"/>
                <w:szCs w:val="18"/>
                <w:color w:val="auto"/>
              </w:rPr>
              <w:t>84</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 and Accrued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83"/>
        </w:trPr>
        <w:tc>
          <w:tcPr>
            <w:tcW w:w="5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Accrued reserves for customer incentive programs</w:t>
            </w:r>
          </w:p>
        </w:tc>
        <w:tc>
          <w:tcPr>
            <w:tcW w:w="298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36,582</w:t>
            </w:r>
          </w:p>
        </w:tc>
        <w:tc>
          <w:tcPr>
            <w:tcW w:w="120" w:type="dxa"/>
            <w:vAlign w:val="bottom"/>
            <w:shd w:val="clear" w:color="auto" w:fill="CFF0FC"/>
          </w:tcPr>
          <w:p>
            <w:pPr>
              <w:spacing w:after="0"/>
              <w:rPr>
                <w:sz w:val="19"/>
                <w:szCs w:val="19"/>
                <w:color w:val="auto"/>
              </w:rPr>
            </w:pPr>
          </w:p>
        </w:tc>
      </w:tr>
      <w:tr>
        <w:trPr>
          <w:trHeight w:val="229"/>
        </w:trPr>
        <w:tc>
          <w:tcPr>
            <w:tcW w:w="5680" w:type="dxa"/>
            <w:vAlign w:val="bottom"/>
          </w:tcPr>
          <w:p>
            <w:pPr>
              <w:spacing w:after="0"/>
              <w:rPr>
                <w:sz w:val="20"/>
                <w:szCs w:val="20"/>
                <w:color w:val="auto"/>
              </w:rPr>
            </w:pPr>
            <w:r>
              <w:rPr>
                <w:rFonts w:ascii="Arial" w:cs="Arial" w:eastAsia="Arial" w:hAnsi="Arial"/>
                <w:sz w:val="18"/>
                <w:szCs w:val="18"/>
                <w:color w:val="auto"/>
              </w:rPr>
              <w:t>Accrued reserves for sales returns</w:t>
            </w:r>
          </w:p>
        </w:tc>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35,673</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24,610</w:t>
            </w:r>
          </w:p>
        </w:tc>
        <w:tc>
          <w:tcPr>
            <w:tcW w:w="12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20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26,877</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Income tax payable</w:t>
            </w:r>
          </w:p>
        </w:tc>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22,445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8,524</w:t>
            </w:r>
          </w:p>
        </w:tc>
        <w:tc>
          <w:tcPr>
            <w:tcW w:w="120" w:type="dxa"/>
            <w:vAlign w:val="bottom"/>
          </w:tcPr>
          <w:p>
            <w:pPr>
              <w:spacing w:after="0"/>
              <w:rPr>
                <w:sz w:val="19"/>
                <w:szCs w:val="19"/>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20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9,070</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62,061</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35,187</w:t>
            </w:r>
          </w:p>
        </w:tc>
        <w:tc>
          <w:tcPr>
            <w:tcW w:w="120" w:type="dxa"/>
            <w:vAlign w:val="bottom"/>
            <w:tcBorders>
              <w:bottom w:val="single" w:sz="8" w:color="CFF0FC"/>
            </w:tcBorders>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liabilities and accrued expenses</w:t>
            </w:r>
          </w:p>
        </w:tc>
        <w:tc>
          <w:tcPr>
            <w:tcW w:w="20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205,745</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Contract assets represent amounts that have been recognized as revenue but for which we did not have the unconditional right to invoice the customer. There were no contract assets as of December 31, 2020 and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consist of deferred revenue and unearned revenue.</w:t>
      </w:r>
    </w:p>
    <w:p>
      <w:pPr>
        <w:spacing w:after="0" w:line="22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Deferred revenue consists primarily of amounts that have been shipped and invoiced but not recognized as revenue as of period end because the control of the inventory has not been passed to the customer. Revenue will be recognized when the customer has obtained control of the inventory sold, which is generally within 3 months or less. The current portion of deferred revenue balances are recognized over the next 12 months. As of December 31, 2020, the current and long-term portion of our deferred revenue was $1.8 million and $0.5 million, respectively. As of December 31, 2019, the current and long-term portion of our deferred revenue was $2.9 million and $0.4 million, respectively.</w:t>
      </w:r>
    </w:p>
    <w:p>
      <w:pPr>
        <w:spacing w:after="0" w:line="17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Unearned revenue consists of payments received from customers in advance of product shipment for our webstore orders. These orders are generally shipped within two weeks from order date and revenue will be recognized when the customer has obtained control of the inventory sold. The unearned revenue balance as of December 31, 2020 and 2019 was $8.0 million and $1.3 million, respectively, and the increase in unearned revenue from prior year was primarily due to higher backlog of webstore orders not yet shipped at the end of 2020 compared to 2019.</w:t>
      </w:r>
    </w:p>
    <w:p>
      <w:pPr>
        <w:spacing w:after="0" w:line="17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Unearned revenue and the current portion of deferred revenue are included in other liabilities and accrued expenses, and the long-term portion of deferred revenue is included in other liabilities on the combined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and Guaranty Agreement</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On August 28, 2017, we entered into a syndicated First Lien Credit and Guaranty Agreement (</w:t>
      </w:r>
      <w:r>
        <w:rPr>
          <w:rFonts w:ascii="Arial" w:cs="Arial" w:eastAsia="Arial" w:hAnsi="Arial"/>
          <w:sz w:val="16"/>
          <w:szCs w:val="16"/>
          <w:i w:val="1"/>
          <w:iCs w:val="1"/>
          <w:color w:val="auto"/>
        </w:rPr>
        <w:t>“First Lien”</w:t>
      </w:r>
      <w:r>
        <w:rPr>
          <w:rFonts w:ascii="Arial" w:cs="Arial" w:eastAsia="Arial" w:hAnsi="Arial"/>
          <w:sz w:val="16"/>
          <w:szCs w:val="16"/>
          <w:color w:val="auto"/>
        </w:rPr>
        <w:t>) with various financial institutions. The First Lien originally provided a $235 million term loan (</w:t>
      </w:r>
      <w:r>
        <w:rPr>
          <w:rFonts w:ascii="Arial" w:cs="Arial" w:eastAsia="Arial" w:hAnsi="Arial"/>
          <w:sz w:val="16"/>
          <w:szCs w:val="16"/>
          <w:i w:val="1"/>
          <w:iCs w:val="1"/>
          <w:color w:val="auto"/>
        </w:rPr>
        <w:t>“First Lien Term Loan”</w:t>
      </w:r>
      <w:r>
        <w:rPr>
          <w:rFonts w:ascii="Arial" w:cs="Arial" w:eastAsia="Arial" w:hAnsi="Arial"/>
          <w:sz w:val="16"/>
          <w:szCs w:val="16"/>
          <w:color w:val="auto"/>
        </w:rPr>
        <w:t>) for a business acquisition and to repay existing indebtedness of the acquired company and a $50 million revolving line-of-credit (</w:t>
      </w:r>
      <w:r>
        <w:rPr>
          <w:rFonts w:ascii="Arial" w:cs="Arial" w:eastAsia="Arial" w:hAnsi="Arial"/>
          <w:sz w:val="16"/>
          <w:szCs w:val="16"/>
          <w:i w:val="1"/>
          <w:iCs w:val="1"/>
          <w:color w:val="auto"/>
        </w:rPr>
        <w:t>“Revolver”</w:t>
      </w:r>
      <w:r>
        <w:rPr>
          <w:rFonts w:ascii="Arial" w:cs="Arial" w:eastAsia="Arial" w:hAnsi="Arial"/>
          <w:sz w:val="16"/>
          <w:szCs w:val="16"/>
          <w:color w:val="auto"/>
        </w:rPr>
        <w:t>). The First Lien and the Revolver mature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operational needs.</w:t>
      </w:r>
    </w:p>
    <w:p>
      <w:pPr>
        <w:spacing w:after="0" w:line="161"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First Lien Term Loan initially carried interest at a rate equal to, at our election, either the (a) greatest of (i) the prime rate, (ii) sum of the Federal Funds Effective Rate plus 0.5%, (iii) one month LIBOR plus 1.0% and (iv) 2%, plus a margin of 3.5%, or (b) the greater of (i) LIBOR and (ii) 1.0%, plus a margin of 4.5%. The Revolver initially bore interest at a rate equal to, at our election, either the (a) greatest of (i) the prime rate, (ii) sum of the Federal Funds Effective Rate plus 0.5%, (iii) one month LIBOR plus 1.0% and (iv) 2%, plus 3.5%, or (b) the greater of (i) LIBOR and (ii) 1.0%, plus a margin of 4.5%. As a result of the First Lien amendment in October 2018, the First Lien term loan and Revolver margin were both changed to range from 2.75% to</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3.25% for base rate loans and to range from 3.75% to 4.25% for Eurodollar loans, based on our net leverage ratio. The effective interest rate of the First Lien Term Loan is 6.45%.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Additionally, new contingent repayment provisions were added in the First Lien amendment in October 2018. Five business days after the initial public offering (</w:t>
      </w:r>
      <w:r>
        <w:rPr>
          <w:rFonts w:ascii="Arial" w:cs="Arial" w:eastAsia="Arial" w:hAnsi="Arial"/>
          <w:sz w:val="18"/>
          <w:szCs w:val="18"/>
          <w:i w:val="1"/>
          <w:iCs w:val="1"/>
          <w:color w:val="auto"/>
        </w:rPr>
        <w:t>“IPO”</w:t>
      </w:r>
      <w:r>
        <w:rPr>
          <w:rFonts w:ascii="Arial" w:cs="Arial" w:eastAsia="Arial" w:hAnsi="Arial"/>
          <w:sz w:val="18"/>
          <w:szCs w:val="18"/>
          <w:color w:val="auto"/>
        </w:rPr>
        <w:t>) of our stock, we were required to prepay all amounts (principal and interest) outstanding under the Second Lien term loan. Concurrently, we also were required to prepay the First Lien Term Loan in an amount equal to the IPO proceeds, less the amount used to repay the Second Lien Term Loan, multiplied by 50%. Accordingly, in September 2020, with the IPO proceeds, we repaid the mandatory minimum amount of $55.8 million and made an additional $30.8 million voluntary repayment.</w:t>
      </w:r>
    </w:p>
    <w:p>
      <w:pPr>
        <w:spacing w:after="0" w:line="188" w:lineRule="exact"/>
        <w:rPr>
          <w:sz w:val="20"/>
          <w:szCs w:val="20"/>
          <w:color w:val="auto"/>
        </w:rPr>
      </w:pPr>
    </w:p>
    <w:p>
      <w:pPr>
        <w:jc w:val="both"/>
        <w:ind w:right="680" w:firstLine="510"/>
        <w:spacing w:after="0" w:line="311" w:lineRule="auto"/>
        <w:rPr>
          <w:sz w:val="20"/>
          <w:szCs w:val="20"/>
          <w:color w:val="auto"/>
        </w:rPr>
      </w:pPr>
      <w:r>
        <w:rPr>
          <w:rFonts w:ascii="Arial" w:cs="Arial" w:eastAsia="Arial" w:hAnsi="Arial"/>
          <w:sz w:val="16"/>
          <w:szCs w:val="16"/>
          <w:color w:val="auto"/>
        </w:rPr>
        <w:t>We may prepay the First Lien Term Loan and the Revolver at any time without premium or penalty other than customary LIBOR breakage. According to the Consolidated Excess Cash Flow clause as defined in the First Lien, in April 2020, we prepaid $2.6 million of the First Lien Term Loan. In the fourth quarter of 2020, we prepaid an additional $50.0 million of the First Lien Term Loan with our excess cash on hand.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amendments to the First Lien were accounted for as loan modifications.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carrying value of the First Lien Term Loan: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83"/>
        </w:trPr>
        <w:tc>
          <w:tcPr>
            <w:tcW w:w="55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outstanding</w:t>
            </w:r>
          </w:p>
        </w:tc>
        <w:tc>
          <w:tcPr>
            <w:tcW w:w="31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326,938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467,332</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Less: Debt discount, net of amortization</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(2,124)</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(3,850)</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Debt issuance costs, net of amortization</w:t>
            </w:r>
          </w:p>
        </w:tc>
        <w:tc>
          <w:tcPr>
            <w:tcW w:w="2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(3,421)</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(5,825)</w:t>
            </w:r>
          </w:p>
        </w:tc>
      </w:tr>
      <w:tr>
        <w:trPr>
          <w:trHeight w:val="223"/>
        </w:trPr>
        <w:tc>
          <w:tcPr>
            <w:tcW w:w="550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2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321,393</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457,657</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obligation under the First Lien is secured by substantially all of our personal property assets and those of our United States-organized subsidiaries, including intellectual property. The First Lien Term Loan includes customary restrictive covenants that impose operating and financial restrictions on Corsair, including restrictions on our ability to take actions that could be in our best interests. These restrictive covenants include operating covenants restricting, among other things, our ability to incur additional indebtedness, effect certain acquisitions or make other fundamental changes. As of December 31, 2020, we were in compliance with all covenants.</w:t>
      </w:r>
    </w:p>
    <w:p>
      <w:pPr>
        <w:spacing w:after="0" w:line="18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addition, the First Lien contains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Upon the occurrence and during the continuance of an event of default, interest on the obligations may accrue at an increased rate in the case of a non-payment or bankruptcy and insolvency and the lenders may accelerate our obligations under the First Lien Term Loan, except that acceleration will be automatic in the case of bankruptcy and insolvency events of default.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Credit and Guaranty Agreement</w:t>
      </w:r>
    </w:p>
    <w:p>
      <w:pPr>
        <w:spacing w:after="0" w:line="117"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On August 28, 2017, we also entered into a syndicated Second Lien Credit and Guaranty Agreement (</w:t>
      </w:r>
      <w:r>
        <w:rPr>
          <w:rFonts w:ascii="Arial" w:cs="Arial" w:eastAsia="Arial" w:hAnsi="Arial"/>
          <w:sz w:val="16"/>
          <w:szCs w:val="16"/>
          <w:i w:val="1"/>
          <w:iCs w:val="1"/>
          <w:color w:val="auto"/>
        </w:rPr>
        <w:t>“Second Lien”</w:t>
      </w:r>
      <w:r>
        <w:rPr>
          <w:rFonts w:ascii="Arial" w:cs="Arial" w:eastAsia="Arial" w:hAnsi="Arial"/>
          <w:sz w:val="16"/>
          <w:szCs w:val="16"/>
          <w:color w:val="auto"/>
        </w:rPr>
        <w:t>) with various financial institutions. The Second Lien initially provided a $65 million term loan (</w:t>
      </w:r>
      <w:r>
        <w:rPr>
          <w:rFonts w:ascii="Arial" w:cs="Arial" w:eastAsia="Arial" w:hAnsi="Arial"/>
          <w:sz w:val="16"/>
          <w:szCs w:val="16"/>
          <w:i w:val="1"/>
          <w:iCs w:val="1"/>
          <w:color w:val="auto"/>
        </w:rPr>
        <w:t>“Second Lien Term Loan”</w:t>
      </w:r>
      <w:r>
        <w:rPr>
          <w:rFonts w:ascii="Arial" w:cs="Arial" w:eastAsia="Arial" w:hAnsi="Arial"/>
          <w:sz w:val="16"/>
          <w:szCs w:val="16"/>
          <w:color w:val="auto"/>
        </w:rPr>
        <w:t>), with a maturity date of August 28, 2025, for a business acquisition and for general corporate operations purposes. The Second Lien Term Loan initially carried interest at a base rate equal to that of the First Lien loan, plus a margin of 7.25% for base rate loans and 8.25% for Eurodollar loans. In October 2017, we entered into an amendment to the Second Lien and the principal amount of the Second Lien Term Loan was reduced to $50 million and the applicable interest rate margins for both the base rate loans and Eurodollar loans were increased by 0.25%. The amendment to the Second Lien was accounted for as a loan modification.</w:t>
      </w:r>
    </w:p>
    <w:p>
      <w:pPr>
        <w:spacing w:after="0" w:line="164"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We had the ability to prepay the Second Lien Term Loan any time after the first and second anniversary without premium or penalty. In the second and third quarters of 2020, with excess cash on hand, we repaid an aggregate of $50 million of the outstanding principal balance of the Second Lien Term Loan and following these repayments, the Second Lien Term Loan was fully repaid and all obligations and covenants thereunder were terminated.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carrying value of the Second Lien Term Loan: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5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8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83"/>
        </w:trPr>
        <w:tc>
          <w:tcPr>
            <w:tcW w:w="55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 outstanding</w:t>
            </w:r>
          </w:p>
        </w:tc>
        <w:tc>
          <w:tcPr>
            <w:tcW w:w="330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Less: Debt discount, net of amortization</w:t>
            </w: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Debt issuance costs, net of amortization</w:t>
            </w:r>
          </w:p>
        </w:tc>
        <w:tc>
          <w:tcPr>
            <w:tcW w:w="2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(1,374)</w:t>
            </w:r>
          </w:p>
        </w:tc>
      </w:tr>
      <w:tr>
        <w:trPr>
          <w:trHeight w:val="223"/>
        </w:trPr>
        <w:tc>
          <w:tcPr>
            <w:tcW w:w="550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22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48,155</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interest expense recognized for the First Lien and Second Lien: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center"/>
              <w:ind w:right="47"/>
              <w:spacing w:after="0"/>
              <w:rPr>
                <w:sz w:val="20"/>
                <w:szCs w:val="20"/>
                <w:color w:val="auto"/>
              </w:rPr>
            </w:pPr>
            <w:r>
              <w:rPr>
                <w:rFonts w:ascii="Arial" w:cs="Arial" w:eastAsia="Arial" w:hAnsi="Arial"/>
                <w:sz w:val="14"/>
                <w:szCs w:val="14"/>
                <w:b w:val="1"/>
                <w:bCs w:val="1"/>
                <w:color w:val="auto"/>
                <w:w w:val="93"/>
              </w:rPr>
              <w:t>Year Ended December 31,</w:t>
            </w: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76"/>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 for First Lien and Second Lien Term Loan</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27,387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29,757</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Contractual interest expense for Revolver</w:t>
            </w:r>
          </w:p>
        </w:tc>
        <w:tc>
          <w:tcPr>
            <w:tcW w:w="8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2,758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8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8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2,043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8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ind w:left="260"/>
              <w:spacing w:after="0"/>
              <w:rPr>
                <w:sz w:val="20"/>
                <w:szCs w:val="20"/>
                <w:color w:val="auto"/>
              </w:rPr>
            </w:pPr>
            <w:r>
              <w:rPr>
                <w:rFonts w:ascii="Arial" w:cs="Arial" w:eastAsia="Arial" w:hAnsi="Arial"/>
                <w:sz w:val="18"/>
                <w:szCs w:val="18"/>
                <w:color w:val="auto"/>
              </w:rPr>
              <w:t>Total interest expense recognized</w:t>
            </w: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34,149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35,504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520" w:type="dxa"/>
            <w:vAlign w:val="bottom"/>
            <w:gridSpan w:val="9"/>
          </w:tcPr>
          <w:p>
            <w:pPr>
              <w:ind w:left="520"/>
              <w:spacing w:after="0"/>
              <w:rPr>
                <w:sz w:val="20"/>
                <w:szCs w:val="20"/>
                <w:color w:val="auto"/>
              </w:rPr>
            </w:pPr>
            <w:r>
              <w:rPr>
                <w:rFonts w:ascii="Arial" w:cs="Arial" w:eastAsia="Arial" w:hAnsi="Arial"/>
                <w:sz w:val="18"/>
                <w:szCs w:val="18"/>
                <w:color w:val="auto"/>
              </w:rPr>
              <w:t>The estimated future principal payments under our total long-term debt as of December 31, 2020 are as follows: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8"/>
              </w:rPr>
              <w:t>Amounts</w:t>
            </w: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2022</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326,938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debt</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326,938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and debt issuance costs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63"/>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Debt, net of discount and debt issuance costs</w:t>
            </w:r>
          </w:p>
        </w:tc>
        <w:tc>
          <w:tcPr>
            <w:tcW w:w="80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321,393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Presented on the combined consolidated balance sheet under:</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debt, net</w:t>
            </w:r>
          </w:p>
        </w:tc>
        <w:tc>
          <w:tcPr>
            <w:tcW w:w="80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9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Debt, net</w:t>
            </w:r>
          </w:p>
        </w:tc>
        <w:tc>
          <w:tcPr>
            <w:tcW w:w="8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321,393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9. Commitments and Contingencies</w:t>
            </w: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6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tcPr>
          <w:p>
            <w:pPr>
              <w:spacing w:after="0"/>
              <w:rPr>
                <w:sz w:val="20"/>
                <w:szCs w:val="20"/>
                <w:color w:val="auto"/>
              </w:rPr>
            </w:pPr>
            <w:r>
              <w:rPr>
                <w:rFonts w:ascii="Arial" w:cs="Arial" w:eastAsia="Arial" w:hAnsi="Arial"/>
                <w:sz w:val="18"/>
                <w:szCs w:val="18"/>
                <w:b w:val="1"/>
                <w:bCs w:val="1"/>
                <w:i w:val="1"/>
                <w:iCs w:val="1"/>
                <w:color w:val="auto"/>
              </w:rPr>
              <w:t>Product Warranties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tcPr>
          <w:p>
            <w:pPr>
              <w:ind w:left="520"/>
              <w:spacing w:after="0"/>
              <w:rPr>
                <w:sz w:val="20"/>
                <w:szCs w:val="20"/>
                <w:color w:val="auto"/>
              </w:rPr>
            </w:pPr>
            <w:r>
              <w:rPr>
                <w:rFonts w:ascii="Arial" w:cs="Arial" w:eastAsia="Arial" w:hAnsi="Arial"/>
                <w:sz w:val="18"/>
                <w:szCs w:val="18"/>
                <w:color w:val="auto"/>
              </w:rPr>
              <w:t>Changes in our assurance-type warranty obligations were as follows:</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Beginning of the period</w:t>
            </w:r>
          </w:p>
        </w:tc>
        <w:tc>
          <w:tcPr>
            <w:tcW w:w="8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Balance assumed from business acquisitions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Warranty provision related to products shipped</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Deductions for warranty claims processed</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(5,327)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5,865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long-term non-cancelable purchase commitments consist primarily of multi-year contractual arrangements relating to subscriptions for cloud computing hosting arrangements for our enterprise resource planning (ERP) system and the related support services as well as marketing sponsorship. The total long-term non-cancelable purchase commitment as of December 31, 2020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Amounts</w:t>
            </w:r>
          </w:p>
        </w:tc>
      </w:tr>
      <w:tr>
        <w:trPr>
          <w:trHeight w:val="156"/>
        </w:trPr>
        <w:tc>
          <w:tcPr>
            <w:tcW w:w="9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29"/>
        </w:trPr>
        <w:tc>
          <w:tcPr>
            <w:tcW w:w="9220" w:type="dxa"/>
            <w:vAlign w:val="bottom"/>
            <w:shd w:val="clear" w:color="auto" w:fill="CFF0FC"/>
          </w:tcPr>
          <w:p>
            <w:pPr>
              <w:jc w:val="right"/>
              <w:ind w:right="8770"/>
              <w:spacing w:after="0"/>
              <w:rPr>
                <w:sz w:val="20"/>
                <w:szCs w:val="20"/>
                <w:color w:val="auto"/>
              </w:rPr>
            </w:pPr>
            <w:r>
              <w:rPr>
                <w:rFonts w:ascii="Arial" w:cs="Arial" w:eastAsia="Arial" w:hAnsi="Arial"/>
                <w:sz w:val="18"/>
                <w:szCs w:val="18"/>
                <w:color w:val="auto"/>
                <w:w w:val="84"/>
              </w:rPr>
              <w:t>2021</w:t>
            </w: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FF0FC"/>
          </w:tcPr>
          <w:p>
            <w:pPr>
              <w:spacing w:after="0"/>
              <w:rPr>
                <w:sz w:val="19"/>
                <w:szCs w:val="19"/>
                <w:color w:val="auto"/>
              </w:rPr>
            </w:pPr>
          </w:p>
        </w:tc>
      </w:tr>
      <w:tr>
        <w:trPr>
          <w:trHeight w:val="229"/>
        </w:trPr>
        <w:tc>
          <w:tcPr>
            <w:tcW w:w="9220" w:type="dxa"/>
            <w:vAlign w:val="bottom"/>
          </w:tcPr>
          <w:p>
            <w:pPr>
              <w:jc w:val="right"/>
              <w:ind w:right="877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19"/>
                <w:szCs w:val="19"/>
                <w:color w:val="auto"/>
              </w:rPr>
            </w:pPr>
          </w:p>
        </w:tc>
      </w:tr>
      <w:tr>
        <w:trPr>
          <w:trHeight w:val="230"/>
        </w:trPr>
        <w:tc>
          <w:tcPr>
            <w:tcW w:w="9220" w:type="dxa"/>
            <w:vAlign w:val="bottom"/>
            <w:shd w:val="clear" w:color="auto" w:fill="CFF0FC"/>
          </w:tcPr>
          <w:p>
            <w:pPr>
              <w:jc w:val="right"/>
              <w:ind w:right="877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FF0FC"/>
          </w:tcPr>
          <w:p>
            <w:pPr>
              <w:spacing w:after="0"/>
              <w:rPr>
                <w:sz w:val="19"/>
                <w:szCs w:val="19"/>
                <w:color w:val="auto"/>
              </w:rPr>
            </w:pPr>
          </w:p>
        </w:tc>
      </w:tr>
      <w:tr>
        <w:trPr>
          <w:trHeight w:val="229"/>
        </w:trPr>
        <w:tc>
          <w:tcPr>
            <w:tcW w:w="9220" w:type="dxa"/>
            <w:vAlign w:val="bottom"/>
          </w:tcPr>
          <w:p>
            <w:pPr>
              <w:jc w:val="right"/>
              <w:ind w:right="877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9"/>
                <w:szCs w:val="19"/>
                <w:color w:val="auto"/>
              </w:rPr>
            </w:pPr>
          </w:p>
        </w:tc>
      </w:tr>
      <w:tr>
        <w:trPr>
          <w:trHeight w:val="229"/>
        </w:trPr>
        <w:tc>
          <w:tcPr>
            <w:tcW w:w="9220" w:type="dxa"/>
            <w:vAlign w:val="bottom"/>
            <w:shd w:val="clear" w:color="auto" w:fill="CFF0FC"/>
          </w:tcPr>
          <w:p>
            <w:pPr>
              <w:jc w:val="right"/>
              <w:ind w:right="877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r>
      <w:tr>
        <w:trPr>
          <w:trHeight w:val="223"/>
        </w:trPr>
        <w:tc>
          <w:tcPr>
            <w:tcW w:w="9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non-cancelable long-term purchase commitments outstanding as of December 31, 2019 was $1.9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letters of credit outstanding, in aggregate, was $2.0 million and $1.5 million as of December 31, 2020 and 2019, respectively. No amounts have been drawn upon the letters of credit for all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combined consolidated balance sheets, statements of operations, or statements of cash flows. We currently have directors’ and officers’ insurance.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right="540" w:firstLine="510"/>
        <w:spacing w:after="0" w:line="342" w:lineRule="auto"/>
        <w:rPr>
          <w:sz w:val="20"/>
          <w:szCs w:val="20"/>
          <w:color w:val="auto"/>
        </w:rPr>
      </w:pPr>
      <w:r>
        <w:rPr>
          <w:rFonts w:ascii="Arial" w:cs="Arial" w:eastAsia="Arial" w:hAnsi="Arial"/>
          <w:sz w:val="16"/>
          <w:szCs w:val="16"/>
          <w:color w:val="auto"/>
        </w:rPr>
        <w:t>On December 19, 2019, we issued 7,046,049 equivalent shares of our common stock (following the Reorganization and prior to the exchange agreements described in Note 1), as a result of a capital call, for a total capital contribution of $53.5 million to fund the SCUF Acquisition.</w:t>
      </w:r>
    </w:p>
    <w:p>
      <w:pPr>
        <w:spacing w:after="0" w:line="124"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During 2019, we issued an aggregate of 1,322,075 equivalent shares of our common stock (following the Reorganization and prior to the exchange agreements described in Note 1), as part of the consideration for business acquisitions. The common stock had an estimated fair value of $10.0 million, in aggregate, at the time of issuance. Refer to Note 5 for additional information regarding our acquisitions.</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On September 15, 2020, we completed a Reorganization through a series of steps as discussed in Note 1. In connection with the Reorganization, we filed a certificate of amendment to our Amended and Restated Certificate of Incorporation which authorized 100,000,000 shares of our common stock for issuance, with a par value of $0.0001 per share and effected a 1-for-28,693.596843964 stock split resulting in there being 84,405,366 shares of Corsair’s common stock outstanding as of September 15, 2020.</w:t>
      </w:r>
    </w:p>
    <w:p>
      <w:pPr>
        <w:spacing w:after="0" w:line="18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2017, the Parent adopted the 2017 Equity Incentive Program (</w:t>
      </w:r>
      <w:r>
        <w:rPr>
          <w:rFonts w:ascii="Arial" w:cs="Arial" w:eastAsia="Arial" w:hAnsi="Arial"/>
          <w:sz w:val="17"/>
          <w:szCs w:val="17"/>
          <w:i w:val="1"/>
          <w:iCs w:val="1"/>
          <w:color w:val="auto"/>
        </w:rPr>
        <w:t>the “2017 Plan”</w:t>
      </w:r>
      <w:r>
        <w:rPr>
          <w:rFonts w:ascii="Arial" w:cs="Arial" w:eastAsia="Arial" w:hAnsi="Arial"/>
          <w:sz w:val="17"/>
          <w:szCs w:val="17"/>
          <w:color w:val="auto"/>
        </w:rPr>
        <w:t>). The 2017 Plan was administered by the General Partner, EagleTree-Carbide (GP), LLC, who determines the types of awards to be granted, the number of units subject to the awards, the exercise price and the vesting requirements. Only our employees and directors participated in this program. In connection with the Reorganization discussed in Note 1, we assumed the 2017 Plan and all the outstanding options to acquire units of the Parent under the 2017 Plan were converted into options to purchase our common stock on a pro rata basis with an adjusted exercise price to reflect the assumption. No other modifications were made to the options and no further options will be granted under the 2017 Plan following the Reorganization.</w:t>
      </w:r>
    </w:p>
    <w:p>
      <w:pPr>
        <w:spacing w:after="0" w:line="178"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September 2020, we adopted the 2020 Incentive Award Plan (</w:t>
      </w:r>
      <w:r>
        <w:rPr>
          <w:rFonts w:ascii="Arial" w:cs="Arial" w:eastAsia="Arial" w:hAnsi="Arial"/>
          <w:sz w:val="16"/>
          <w:szCs w:val="16"/>
          <w:i w:val="1"/>
          <w:iCs w:val="1"/>
          <w:color w:val="auto"/>
        </w:rPr>
        <w:t>the “2020 Plan”</w:t>
      </w:r>
      <w:r>
        <w:rPr>
          <w:rFonts w:ascii="Arial" w:cs="Arial" w:eastAsia="Arial" w:hAnsi="Arial"/>
          <w:sz w:val="16"/>
          <w:szCs w:val="16"/>
          <w:color w:val="auto"/>
        </w:rPr>
        <w:t>), which became effective on September 22, 2020, the day prior to the first public trading date of our common stock. The 2020 Plan is the successor and continuation to the 2017 Plan. The 2020 Plan provides for the grant of stock options, stock appreciation rights, restricted stock awards, RSUs, performance awards and other forms of awards. Incentive stock options may be granted only to employees. All other awards may be granted to eligible employees, non-employee directors and consultants, at the discretion of our board of directors (</w:t>
      </w:r>
      <w:r>
        <w:rPr>
          <w:rFonts w:ascii="Arial" w:cs="Arial" w:eastAsia="Arial" w:hAnsi="Arial"/>
          <w:sz w:val="16"/>
          <w:szCs w:val="16"/>
          <w:i w:val="1"/>
          <w:iCs w:val="1"/>
          <w:color w:val="auto"/>
        </w:rPr>
        <w:t>the “Board”</w:t>
      </w:r>
      <w:r>
        <w:rPr>
          <w:rFonts w:ascii="Arial" w:cs="Arial" w:eastAsia="Arial" w:hAnsi="Arial"/>
          <w:sz w:val="16"/>
          <w:szCs w:val="16"/>
          <w:color w:val="auto"/>
        </w:rPr>
        <w:t>). Under the 2020 Plan, 5,125,000 shares of our common stock are initially reserved for issuance. The 2020 Plan reserve also includes any shares under the 2017 Plan and the 2020 Plan that may become available for issuance if the award terminates without the delivery of shares or if shares are tendered to satisfy the exercise price or tax withholding obligation with respect of the award. The 2020 Plan reserve increases annually on January 1 of each calendar year, starting on January 1, 2021 through January 1, 2030, by an amount equal to the lesser of (a) 4% of the shares outstanding on the last day of the immediately preceding fiscal year or (b) a smaller number of shares as determined by the Board; provided, however, no more than 75,000,000 shares of our common stock may be issued upon the exercise of incentive stock options.</w:t>
      </w:r>
    </w:p>
    <w:p>
      <w:pPr>
        <w:spacing w:after="0" w:line="168"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All stock options under the 2017 Plan and the 2020 Plan are issued at exercise prices not less than the fair market value on the date of grant. RSUs have no exercise price. Both stock options and RSUs vest over a period of time as determined by the Board, generally four to five years, and expire ten years from date of grant. As of December 31, 2020, 4,759,890 shares were available for grant under the 2020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September 2020, we adopted the 2020 Employee Stock Purchase Plan (</w:t>
      </w:r>
      <w:r>
        <w:rPr>
          <w:rFonts w:ascii="Arial" w:cs="Arial" w:eastAsia="Arial" w:hAnsi="Arial"/>
          <w:sz w:val="18"/>
          <w:szCs w:val="18"/>
          <w:i w:val="1"/>
          <w:iCs w:val="1"/>
          <w:color w:val="auto"/>
        </w:rPr>
        <w:t>the “ESPP”</w:t>
      </w:r>
      <w:r>
        <w:rPr>
          <w:rFonts w:ascii="Arial" w:cs="Arial" w:eastAsia="Arial" w:hAnsi="Arial"/>
          <w:sz w:val="18"/>
          <w:szCs w:val="18"/>
          <w:color w:val="auto"/>
        </w:rPr>
        <w:t>), which became effective September 22, 2020, the day prior to the first public trading date of our common stock. The ESPP is intended to qualify under Section 423 of the U.S. Internal Revenue Service Code. The ESPP initially reserved 1,025,000 shares of our common stock for issuance. The ESPP reserve increases annually on January 1 of each calendar year, starting on January 1, 2021 through January 1, 2030, by an amount equal to the lesser of (a) 1% of the shares outstanding on the last day of the immediately preceding fiscal year or (b) a smaller number of shares as determined by the Board; provided, however, no more than 20,000,000 shares of our common stock may be issued under the ESPP.</w:t>
      </w:r>
    </w:p>
    <w:p>
      <w:pPr>
        <w:spacing w:after="0" w:line="19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ESPP is designed to allow eligible employees to purchase shares of our common stock, at semi-annual intervals, with their accumulated payroll deductions. Under the ESPP, participants are offered the option to purchase shares of our common stock at a discount during a series of successive offering periods, the duration and timing of which will be determined by the ESPP administrator. The offering period may not be longer than 27 months in length. 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 Employees may participate through payroll deductions of 1% to 15% of their earnings. No participant may purchase more than 5,000 shares in each offering period and may not subscribe for more than $25,000 in fair market value of shares of our common stock (determined based on the closing stock price on the enrollment date of each offering period) during any calendar year. The first offering period begins on January 1, 2021.</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stock option activities and related information for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 Per</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 Options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(In years)</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8,790,000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1,922,187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(326,450)</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Forfeited/cancelled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(174,000)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10,211,737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311,869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Vested and exercisable as of December 31, 2020</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139,820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4,416,167</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468"/>
        <w:spacing w:after="0" w:line="277" w:lineRule="auto"/>
        <w:rPr>
          <w:sz w:val="20"/>
          <w:szCs w:val="20"/>
          <w:color w:val="auto"/>
        </w:rPr>
      </w:pPr>
      <w:r>
        <w:rPr>
          <w:rFonts w:ascii="Arial" w:cs="Arial" w:eastAsia="Arial" w:hAnsi="Arial"/>
          <w:sz w:val="18"/>
          <w:szCs w:val="18"/>
          <w:color w:val="auto"/>
        </w:rPr>
        <w:t>The total intrinsic value of options exercised for the years ended December 31, 2020, 2019 and 2018 were $1.5 million, $0.1 million and $15 thousand, respectively.</w:t>
      </w:r>
    </w:p>
    <w:p>
      <w:pPr>
        <w:spacing w:after="0" w:line="200" w:lineRule="exact"/>
        <w:rPr>
          <w:sz w:val="20"/>
          <w:szCs w:val="20"/>
          <w:color w:val="auto"/>
        </w:rPr>
      </w:pPr>
    </w:p>
    <w:p>
      <w:pPr>
        <w:spacing w:after="0" w:line="254" w:lineRule="exact"/>
        <w:rPr>
          <w:sz w:val="20"/>
          <w:szCs w:val="20"/>
          <w:color w:val="auto"/>
        </w:rPr>
      </w:pPr>
    </w:p>
    <w:p>
      <w:pPr>
        <w:ind w:right="160" w:firstLine="468"/>
        <w:spacing w:after="0" w:line="277" w:lineRule="auto"/>
        <w:rPr>
          <w:sz w:val="20"/>
          <w:szCs w:val="20"/>
          <w:color w:val="auto"/>
        </w:rPr>
      </w:pPr>
      <w:r>
        <w:rPr>
          <w:rFonts w:ascii="Arial" w:cs="Arial" w:eastAsia="Arial" w:hAnsi="Arial"/>
          <w:sz w:val="18"/>
          <w:szCs w:val="18"/>
          <w:color w:val="auto"/>
        </w:rPr>
        <w:t>As of December 31, 2020, the unrecognized stock-based compensation cost related to outstanding unvested stock options was $14.7 million, which is expected to be recognized over a weighted average period of 2.9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RSUs activities and related information for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Unvested RSUs</w:t>
            </w:r>
          </w:p>
        </w:tc>
        <w:tc>
          <w:tcPr>
            <w:tcW w:w="1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171,755</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(8,823)</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Forfeited/cancelled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(9,444)</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68"/>
        <w:spacing w:after="0" w:line="277" w:lineRule="auto"/>
        <w:rPr>
          <w:sz w:val="20"/>
          <w:szCs w:val="20"/>
          <w:color w:val="auto"/>
        </w:rPr>
      </w:pPr>
      <w:r>
        <w:rPr>
          <w:rFonts w:ascii="Arial" w:cs="Arial" w:eastAsia="Arial" w:hAnsi="Arial"/>
          <w:sz w:val="18"/>
          <w:szCs w:val="18"/>
          <w:color w:val="auto"/>
        </w:rPr>
        <w:t>The weighted-average grant date fair value of all RSUs granted during 2020 was $28.66 per share. The fair value of all RSUs vested during 2020 was $0.1 million.</w:t>
      </w:r>
    </w:p>
    <w:p>
      <w:pPr>
        <w:spacing w:after="0" w:line="211" w:lineRule="exact"/>
        <w:rPr>
          <w:sz w:val="20"/>
          <w:szCs w:val="20"/>
          <w:color w:val="auto"/>
        </w:rPr>
      </w:pPr>
    </w:p>
    <w:p>
      <w:pPr>
        <w:ind w:right="500" w:firstLine="468"/>
        <w:spacing w:after="0" w:line="277" w:lineRule="auto"/>
        <w:rPr>
          <w:sz w:val="20"/>
          <w:szCs w:val="20"/>
          <w:color w:val="auto"/>
        </w:rPr>
      </w:pPr>
      <w:r>
        <w:rPr>
          <w:rFonts w:ascii="Arial" w:cs="Arial" w:eastAsia="Arial" w:hAnsi="Arial"/>
          <w:sz w:val="18"/>
          <w:szCs w:val="18"/>
          <w:color w:val="auto"/>
        </w:rPr>
        <w:t>As of December 31, 2020, the unrecognized stock-based compensation costs related to outstanding unvested RSUs was $ 4.3 million, which is expected to be recognized over a weighted average period of 3.6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stock-based compensation expense by line item in our combined consolidated statements of operations: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Sales, general and administrative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4,883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19"/>
                <w:szCs w:val="19"/>
                <w:color w:val="auto"/>
              </w:rPr>
            </w:pPr>
          </w:p>
        </w:tc>
      </w:tr>
      <w:tr>
        <w:trPr>
          <w:trHeight w:val="223"/>
        </w:trPr>
        <w:tc>
          <w:tcPr>
            <w:tcW w:w="662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5,796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17" w:lineRule="exact"/>
        <w:rPr>
          <w:sz w:val="20"/>
          <w:szCs w:val="20"/>
          <w:color w:val="auto"/>
        </w:rPr>
      </w:pPr>
    </w:p>
    <w:p>
      <w:pPr>
        <w:ind w:right="420" w:firstLine="468"/>
        <w:spacing w:after="0" w:line="277" w:lineRule="auto"/>
        <w:rPr>
          <w:sz w:val="20"/>
          <w:szCs w:val="20"/>
          <w:color w:val="auto"/>
        </w:rPr>
      </w:pPr>
      <w:r>
        <w:rPr>
          <w:rFonts w:ascii="Arial" w:cs="Arial" w:eastAsia="Arial" w:hAnsi="Arial"/>
          <w:sz w:val="18"/>
          <w:szCs w:val="18"/>
          <w:color w:val="auto"/>
        </w:rPr>
        <w:t>We estimate the fair value of the stock options on the date of grant using the Black-Scholes-Merton pricing model, with the following valuation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of common stock (per share)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Expected term (years)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35.8%-44.0%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34.3%-36.1%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33.4%-35.0%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Dividend yield</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Range of risk-free interest rate</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380" w:firstLine="468"/>
        <w:spacing w:after="0" w:line="277" w:lineRule="auto"/>
        <w:rPr>
          <w:sz w:val="20"/>
          <w:szCs w:val="20"/>
          <w:color w:val="auto"/>
        </w:rPr>
      </w:pPr>
      <w:r>
        <w:rPr>
          <w:rFonts w:ascii="Arial" w:cs="Arial" w:eastAsia="Arial" w:hAnsi="Arial"/>
          <w:sz w:val="18"/>
          <w:szCs w:val="18"/>
          <w:color w:val="auto"/>
        </w:rPr>
        <w:t>Each of the inputs to the Black-Scholes-Merton pricing model, as discussed below, is subjective and generally requires significant judgment and estimation by management.</w:t>
      </w:r>
    </w:p>
    <w:p>
      <w:pPr>
        <w:spacing w:after="0" w:line="170" w:lineRule="exact"/>
        <w:rPr>
          <w:sz w:val="20"/>
          <w:szCs w:val="20"/>
          <w:color w:val="auto"/>
        </w:rPr>
      </w:pPr>
    </w:p>
    <w:p>
      <w:pPr>
        <w:ind w:right="80" w:firstLine="468"/>
        <w:spacing w:after="0" w:line="25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our IPO, the fair value was determined by our board of directors, with input from management and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prepared by third-party valuation specialists. Stock-based compensation for financial reporting purposes was measured based on updated estimates of fair value when appropriate, such as when additional relevant information related to the estimate became available in a valuation report issued as of a subsequent date. After our IPO, the fair value of each share of underlying common stock was based on the closing price of our common stock as reported on the date of the grant on The Nasdaq Global Select Market.</w:t>
      </w:r>
    </w:p>
    <w:p>
      <w:pPr>
        <w:spacing w:after="0" w:line="188"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 options are expected to be outstanding. Since we do not have sufficient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data to provide a reasonable basis upon which to estimate expected term due to the limited period of time our common stock has been publicly traded, the simplified method is used to estimate the expected term of our stock options. The simplified method calculates the expected term as the average of the time-to-vesting and the contractual life of the stock option.</w:t>
      </w:r>
    </w:p>
    <w:p>
      <w:pPr>
        <w:spacing w:after="0" w:line="119" w:lineRule="exact"/>
        <w:rPr>
          <w:sz w:val="20"/>
          <w:szCs w:val="20"/>
          <w:color w:val="auto"/>
        </w:rPr>
      </w:pPr>
    </w:p>
    <w:p>
      <w:pPr>
        <w:ind w:right="260" w:firstLine="468"/>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for our common stock, the expected volatility was derived from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comparable peer public companies within our industry that are considered to be comparable to our business over a period equivalent to the expected term of the stock-based awards.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yield curve in effect at the date of grant for zero-coupon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to the stock-based awards’ expected term.</w:t>
      </w:r>
    </w:p>
    <w:p>
      <w:pPr>
        <w:spacing w:after="0" w:line="211" w:lineRule="exact"/>
        <w:rPr>
          <w:sz w:val="20"/>
          <w:szCs w:val="20"/>
          <w:color w:val="auto"/>
        </w:rPr>
      </w:pPr>
    </w:p>
    <w:p>
      <w:pPr>
        <w:ind w:right="820" w:firstLine="468"/>
        <w:spacing w:after="0" w:line="342" w:lineRule="auto"/>
        <w:rPr>
          <w:sz w:val="20"/>
          <w:szCs w:val="20"/>
          <w:color w:val="auto"/>
        </w:rPr>
      </w:pPr>
      <w:r>
        <w:rPr>
          <w:rFonts w:ascii="Arial" w:cs="Arial" w:eastAsia="Arial" w:hAnsi="Arial"/>
          <w:sz w:val="16"/>
          <w:szCs w:val="16"/>
          <w:i w:val="1"/>
          <w:iCs w:val="1"/>
          <w:color w:val="auto"/>
        </w:rPr>
        <w:t>Expected Dividend Rate</w:t>
      </w:r>
      <w:r>
        <w:rPr>
          <w:rFonts w:ascii="Arial" w:cs="Arial" w:eastAsia="Arial" w:hAnsi="Arial"/>
          <w:sz w:val="16"/>
          <w:szCs w:val="16"/>
          <w:color w:val="auto"/>
        </w:rPr>
        <w:t>—The expected dividend is zero as, other than the declaration and payment of a special one-time cash dividend of</w:t>
      </w:r>
      <w:r>
        <w:rPr>
          <w:rFonts w:ascii="Arial" w:cs="Arial" w:eastAsia="Arial" w:hAnsi="Arial"/>
          <w:sz w:val="16"/>
          <w:szCs w:val="16"/>
          <w:i w:val="1"/>
          <w:iCs w:val="1"/>
          <w:color w:val="auto"/>
        </w:rPr>
        <w:t xml:space="preserve"> </w:t>
      </w:r>
      <w:r>
        <w:rPr>
          <w:rFonts w:ascii="Arial" w:cs="Arial" w:eastAsia="Arial" w:hAnsi="Arial"/>
          <w:sz w:val="16"/>
          <w:szCs w:val="16"/>
          <w:color w:val="auto"/>
        </w:rPr>
        <w:t>$85.0 million in March 2018, we have not paid nor do we anticipate paying any dividends on our common stock in the foreseeable future.</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expense is recognized over the requisite service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121"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Following the Reorganization, all share and per share information in this section has been revised as Corsair common share equivalents. The following table summarizes the calculation of basic and diluted net income (loss) per share: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2"/>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00" w:type="dxa"/>
            <w:vAlign w:val="bottom"/>
            <w:gridSpan w:val="7"/>
          </w:tcPr>
          <w:p>
            <w:pPr>
              <w:jc w:val="center"/>
              <w:ind w:left="49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9"/>
        </w:trPr>
        <w:tc>
          <w:tcPr>
            <w:tcW w:w="662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103,217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(8,394)</w:t>
            </w:r>
          </w:p>
        </w:tc>
        <w:tc>
          <w:tcPr>
            <w:tcW w:w="5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(13,720)</w:t>
            </w:r>
          </w:p>
        </w:tc>
      </w:tr>
      <w:tr>
        <w:trPr>
          <w:trHeight w:val="210"/>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Weighted-average shares used to compute net income (loss) per share, 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86,256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76,223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75,458</w:t>
            </w:r>
          </w:p>
        </w:tc>
        <w:tc>
          <w:tcPr>
            <w:tcW w:w="120" w:type="dxa"/>
            <w:vAlign w:val="bottom"/>
          </w:tcPr>
          <w:p>
            <w:pPr>
              <w:spacing w:after="0"/>
              <w:rPr>
                <w:sz w:val="19"/>
                <w:szCs w:val="19"/>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6620" w:type="dxa"/>
            <w:vAlign w:val="bottom"/>
          </w:tcPr>
          <w:p>
            <w:pPr>
              <w:spacing w:after="0"/>
              <w:rPr>
                <w:sz w:val="20"/>
                <w:szCs w:val="20"/>
                <w:color w:val="auto"/>
              </w:rPr>
            </w:pPr>
            <w:r>
              <w:rPr>
                <w:rFonts w:ascii="Arial" w:cs="Arial" w:eastAsia="Arial" w:hAnsi="Arial"/>
                <w:sz w:val="18"/>
                <w:szCs w:val="18"/>
                <w:color w:val="auto"/>
              </w:rPr>
              <w:t>Weighted-average shares used to compute net income (loss) per share,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6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90,577</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76,223</w:t>
            </w:r>
          </w:p>
        </w:tc>
        <w:tc>
          <w:tcPr>
            <w:tcW w:w="2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75,458</w:t>
            </w:r>
          </w:p>
        </w:tc>
        <w:tc>
          <w:tcPr>
            <w:tcW w:w="120" w:type="dxa"/>
            <w:vAlign w:val="bottom"/>
            <w:tcBorders>
              <w:bottom w:val="single" w:sz="8" w:color="CFF0FC"/>
            </w:tcBorders>
          </w:tcPr>
          <w:p>
            <w:pPr>
              <w:spacing w:after="0"/>
              <w:rPr>
                <w:sz w:val="23"/>
                <w:szCs w:val="23"/>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6620" w:type="dxa"/>
            <w:vAlign w:val="bottom"/>
          </w:tcPr>
          <w:p>
            <w:pPr>
              <w:ind w:left="2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5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r>
      <w:tr>
        <w:trPr>
          <w:trHeight w:val="210"/>
        </w:trPr>
        <w:tc>
          <w:tcPr>
            <w:tcW w:w="66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0"/>
        </w:trPr>
        <w:tc>
          <w:tcPr>
            <w:tcW w:w="6620" w:type="dxa"/>
            <w:vAlign w:val="bottom"/>
          </w:tcPr>
          <w:p>
            <w:pPr>
              <w:spacing w:after="0"/>
              <w:rPr>
                <w:sz w:val="20"/>
                <w:szCs w:val="20"/>
                <w:color w:val="auto"/>
              </w:rPr>
            </w:pPr>
            <w:r>
              <w:rPr>
                <w:rFonts w:ascii="Arial" w:cs="Arial" w:eastAsia="Arial" w:hAnsi="Arial"/>
                <w:sz w:val="18"/>
                <w:szCs w:val="18"/>
                <w:color w:val="auto"/>
              </w:rPr>
              <w:t xml:space="preserve">Anti-dilutive potential common shares </w:t>
            </w:r>
            <w:r>
              <w:rPr>
                <w:rFonts w:ascii="Arial" w:cs="Arial" w:eastAsia="Arial" w:hAnsi="Arial"/>
                <w:sz w:val="15"/>
                <w:szCs w:val="15"/>
                <w:color w:val="auto"/>
              </w:rPr>
              <w:t>(1)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8,091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7,382</w:t>
            </w: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ind w:left="740" w:right="460" w:hanging="368"/>
        <w:spacing w:after="0" w:line="277" w:lineRule="auto"/>
        <w:tabs>
          <w:tab w:leader="none" w:pos="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Potential common share equivalents were not included in the calculation of diluted net income per share as the effect would have been anti-dilutive.</w:t>
      </w:r>
    </w:p>
    <w:p>
      <w:pPr>
        <w:spacing w:after="0" w:line="274"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(loss) before income tax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(18,407)</w:t>
            </w: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(15,887)</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operations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123,232</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(loss) before income tax</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122,042</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520"/>
              <w:spacing w:after="0"/>
              <w:rPr>
                <w:sz w:val="20"/>
                <w:szCs w:val="20"/>
                <w:color w:val="auto"/>
              </w:rPr>
            </w:pPr>
            <w:r>
              <w:rPr>
                <w:rFonts w:ascii="Arial" w:cs="Arial" w:eastAsia="Arial" w:hAnsi="Arial"/>
                <w:sz w:val="18"/>
                <w:szCs w:val="18"/>
                <w:color w:val="auto"/>
              </w:rPr>
              <w:t>Income tax (expense) benefit consists of the following:</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United States federal taxes: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Current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(2,177)</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State taxes: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Foreign taxes: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0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(24,625)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6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income tax (expense) benefit differs from the amount which would result by applying the applicable statutory deferral rate to income before income taxes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Provision at federal statutory rate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FF0FC"/>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State taxes</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(5,363)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Taxes on foreign operations</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Net operating loss</w:t>
            </w:r>
          </w:p>
        </w:tc>
        <w:tc>
          <w:tcPr>
            <w:tcW w:w="3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(5,411)</w:t>
            </w: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Change in tax rate on deferred tax assets</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Expired capital losses and tax credits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r>
        <w:trPr>
          <w:trHeight w:val="223"/>
        </w:trPr>
        <w:tc>
          <w:tcPr>
            <w:tcW w:w="662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major drivers for the change in tax (expense) benefit in 2020 were a decrease in valuation allowance in 2020 as a result of the release of Federal valuation allowance due to anticipated increase in taxable income in future years from inclusion of foreign earnings under the Global Intangible Low-Taxed Income (“GILTI”) regime which the company has elected to account for as a period cost when incurred, the mix of income and losses in the various tax jurisdictions in which we operate, and the impact of the Coronavirus Aid, Relief, and Economic Security Act (“CARES Act”). The disclosure for foreign rate differential reflects the impact of the effective tax rate benefit from operations in jurisdictions where the applicable foreign tax rate is lower than the U.S. statutory rate. We were not subject to any tax holidays or tax holiday terminations subject to disclosure during these periods that impacted loss per share.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tax assets and liabilities comprise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83"/>
        </w:trPr>
        <w:tc>
          <w:tcPr>
            <w:tcW w:w="4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Accrued expenses and reserves</w:t>
            </w:r>
          </w:p>
        </w:tc>
        <w:tc>
          <w:tcPr>
            <w:tcW w:w="368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14,387</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12,516</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2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NOL and capital losses</w:t>
            </w:r>
          </w:p>
        </w:tc>
        <w:tc>
          <w:tcPr>
            <w:tcW w:w="2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10,708</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14,461</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carryover</w:t>
            </w:r>
          </w:p>
        </w:tc>
        <w:tc>
          <w:tcPr>
            <w:tcW w:w="2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12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Tax credits</w:t>
            </w:r>
          </w:p>
        </w:tc>
        <w:tc>
          <w:tcPr>
            <w:tcW w:w="2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7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3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30,267</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34,019</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2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(8,209)</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(12,615)</w:t>
            </w: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(47,018)</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(53,382)</w:t>
            </w: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23"/>
        </w:trPr>
        <w:tc>
          <w:tcPr>
            <w:tcW w:w="498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deferred tax liabilities</w:t>
            </w:r>
          </w:p>
        </w:tc>
        <w:tc>
          <w:tcPr>
            <w:tcW w:w="27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(24,960)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510"/>
        <w:spacing w:after="0" w:line="273" w:lineRule="auto"/>
        <w:rPr>
          <w:sz w:val="20"/>
          <w:szCs w:val="20"/>
          <w:color w:val="auto"/>
        </w:rPr>
      </w:pPr>
      <w:r>
        <w:rPr>
          <w:rFonts w:ascii="Arial" w:cs="Arial" w:eastAsia="Arial" w:hAnsi="Arial"/>
          <w:sz w:val="17"/>
          <w:szCs w:val="17"/>
          <w:color w:val="auto"/>
        </w:rPr>
        <w:t>We have established a valuation allowance of $8.2 million and $12.6 million as of December 31, 2020 and 2019, respectively, against our net deferred tax assets. We determine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anticipated future taxable income under the GILTI regime, we have released most of our valuation allowance except on $1.2 million of foreign tax credit carryovers for U.S. federal purposes and maintained a valuation allowance on certain of our California, Netherlands, and Luxemburg deferred tax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94"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As of December 31, 2020, we had net operating loss carry forwards for federal, state and foreign tax purposes of $21.9 million, $26.4 million, and $15.4 million, respectively. The federal and state net operating losses will begin to expire starting in 2037 and 2031, respectively. An immaterial amount of the foreign losses will expire in 2021 and the remaining will expire starting 2025 through 2037. As defined under Internal Revenue Code Section 382, certain tax attributes are subject to an annual limitation as a result of our change in ownership in August 2017 due to the Acquisition Transaction. We do not expect our tax attributes to be materially affected by the annual limitation.</w:t>
      </w:r>
    </w:p>
    <w:p>
      <w:pPr>
        <w:spacing w:after="0" w:line="25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CARES Act, enacted on March 27, 2020, provides tax relief to individuals and businesses in light of the impacts of COVID-19. Changes in tax laws or rates are accounted for in the period of enactment and as a result, we have recorded income tax benefits of $0.6 million during the year ended December 31, 2020 resulting from the enactment of the CARES Act.</w:t>
      </w:r>
    </w:p>
    <w:p>
      <w:pPr>
        <w:spacing w:after="0" w:line="25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As of December 31, 2020, we had $1.2 million of cumulative unrecognized tax benefits. All of these unrecognized tax benefits will favorably impact our effective tax rate in future periods to the extent benefits are recognized. There are no provisions for which it is reasonably possible that the total amounts of unrecognized tax benefits will significantly increase or decrease within 12 months of the reporting date.</w:t>
      </w:r>
    </w:p>
    <w:p>
      <w:pPr>
        <w:spacing w:after="0" w:line="233"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did not recognize significant expense for interest and penalties related to uncertain tax positions during 2020, 2019 and 2018. We file income tax returns with the U.S. federal government, various U.S. states and foreign jurisdictions including China, France, Germany, Hong Kong, Luxembourg, Netherlands, Slovenia, Taiwan, United Kingdom and Vietnam. Our tax returns in the U.S., various U.S. states and foreign jurisdictions remain open to examination from 2013 to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83"/>
        </w:trPr>
        <w:tc>
          <w:tcPr>
            <w:tcW w:w="6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Accumulated foreign currency translation gain (loss)</w:t>
            </w:r>
          </w:p>
        </w:tc>
        <w:tc>
          <w:tcPr>
            <w:tcW w:w="1980" w:type="dxa"/>
            <w:vAlign w:val="bottom"/>
            <w:gridSpan w:val="2"/>
            <w:shd w:val="clear" w:color="auto" w:fill="CFF0FC"/>
          </w:tcPr>
          <w:p>
            <w:pPr>
              <w:jc w:val="right"/>
              <w:ind w:right="86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(373)</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Unrealized foreign exchange loss from long-term intercompany loans, net of tax</w:t>
            </w: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4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(1,798)</w:t>
            </w:r>
          </w:p>
        </w:tc>
      </w:tr>
      <w:tr>
        <w:trPr>
          <w:trHeight w:val="223"/>
        </w:trPr>
        <w:tc>
          <w:tcPr>
            <w:tcW w:w="6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Accumulated Other Comprehensive Income (Loss)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229"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A company affiliated with the general partner, EagleTree-Carbide (GP), LLC provides management and consulting services to us. We incurred $0.1 million, $0.3 million and $0.3 million for the years ended December 31, 2020, 2019, and 2018, respectively, which covers travel and out-of-pocket expenses related to such services. This management and consulting service agreement was terminated in September 2020.</w:t>
      </w:r>
    </w:p>
    <w:p>
      <w:pPr>
        <w:spacing w:after="0" w:line="16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One of our directors, through one of his companies, entered into a service agreement to serve as our business management consultant. We incurred $48 thousand, $0.1 million and $0.1 million of consulting fees under the service agreement for the years ended December 31, 2020, 2019 and 2018, respectively. This service agreement was terminated in September 2020.</w:t>
      </w:r>
    </w:p>
    <w:p>
      <w:pPr>
        <w:spacing w:after="0" w:line="184" w:lineRule="exact"/>
        <w:rPr>
          <w:sz w:val="20"/>
          <w:szCs w:val="20"/>
          <w:color w:val="auto"/>
        </w:rPr>
      </w:pPr>
    </w:p>
    <w:p>
      <w:pPr>
        <w:jc w:val="both"/>
        <w:ind w:right="560" w:firstLine="510"/>
        <w:spacing w:after="0" w:line="263" w:lineRule="auto"/>
        <w:rPr>
          <w:sz w:val="20"/>
          <w:szCs w:val="20"/>
          <w:color w:val="auto"/>
        </w:rPr>
      </w:pPr>
      <w:r>
        <w:rPr>
          <w:rFonts w:ascii="Arial" w:cs="Arial" w:eastAsia="Arial" w:hAnsi="Arial"/>
          <w:sz w:val="18"/>
          <w:szCs w:val="18"/>
          <w:color w:val="auto"/>
        </w:rPr>
        <w:t>We entered into a lease agreement with a business entity owned by our Chief Executive Officer and recorded associated rent expense of $15 thousand, $54 thousand and $54 thousand for the years ended December 31, 2020, 2019 and 2018. We provided a security deposit of $5 thousand as collateral for the lease. There was no unpaid rent balance as of December 31, 2020.</w:t>
      </w:r>
    </w:p>
    <w:p>
      <w:pPr>
        <w:spacing w:after="0" w:line="18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discussed in Note 8, we had a Second Lien Term Loan outstanding as of December 31, 2019. The total net carrying value of the Second Lien Term Loan balance held by all related parties, an affiliate of the Parent and one of our directors, was $5.8 million as of December 31, 2019. As of December 31, 2020, the outstanding balance of the Second Lien Term Loan was fully repaid and as a result, there was no debt held by related parties as of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financial information for each reportable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Gamer and Creator Peripherals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539,366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294,141</w:t>
            </w:r>
          </w:p>
        </w:tc>
        <w:tc>
          <w:tcPr>
            <w:tcW w:w="280" w:type="dxa"/>
            <w:vAlign w:val="bottom"/>
          </w:tcPr>
          <w:p>
            <w:pPr>
              <w:spacing w:after="0"/>
              <w:rPr>
                <w:sz w:val="19"/>
                <w:szCs w:val="19"/>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233,536</w:t>
            </w:r>
          </w:p>
        </w:tc>
        <w:tc>
          <w:tcPr>
            <w:tcW w:w="12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1,163,001</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803,033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704,017</w:t>
            </w:r>
          </w:p>
        </w:tc>
        <w:tc>
          <w:tcPr>
            <w:tcW w:w="120" w:type="dxa"/>
            <w:vAlign w:val="bottom"/>
            <w:shd w:val="clear" w:color="auto" w:fill="CFF0FC"/>
          </w:tcPr>
          <w:p>
            <w:pPr>
              <w:spacing w:after="0"/>
              <w:rPr>
                <w:sz w:val="19"/>
                <w:szCs w:val="19"/>
                <w:color w:val="auto"/>
              </w:rPr>
            </w:pPr>
          </w:p>
        </w:tc>
      </w:tr>
      <w:tr>
        <w:trPr>
          <w:trHeight w:val="263"/>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1,702,367</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1,097,174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937,553</w:t>
            </w:r>
          </w:p>
        </w:tc>
        <w:tc>
          <w:tcPr>
            <w:tcW w:w="120" w:type="dxa"/>
            <w:vAlign w:val="bottom"/>
            <w:tcBorders>
              <w:bottom w:val="single" w:sz="8" w:color="CFF0FC"/>
            </w:tcBorders>
          </w:tcPr>
          <w:p>
            <w:pPr>
              <w:spacing w:after="0"/>
              <w:rPr>
                <w:sz w:val="22"/>
                <w:szCs w:val="22"/>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Gamer and Creator Peripherals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189,742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81,363</w:t>
            </w:r>
          </w:p>
        </w:tc>
        <w:tc>
          <w:tcPr>
            <w:tcW w:w="280" w:type="dxa"/>
            <w:vAlign w:val="bottom"/>
          </w:tcPr>
          <w:p>
            <w:pPr>
              <w:spacing w:after="0"/>
              <w:rPr>
                <w:sz w:val="19"/>
                <w:szCs w:val="19"/>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73,489</w:t>
            </w:r>
          </w:p>
        </w:tc>
        <w:tc>
          <w:tcPr>
            <w:tcW w:w="12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Gaming Components and Systems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275,687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119,206</w:t>
            </w:r>
          </w:p>
        </w:tc>
        <w:tc>
          <w:tcPr>
            <w:tcW w:w="120" w:type="dxa"/>
            <w:vAlign w:val="bottom"/>
            <w:shd w:val="clear" w:color="auto" w:fill="CFF0FC"/>
          </w:tcPr>
          <w:p>
            <w:pPr>
              <w:spacing w:after="0"/>
              <w:rPr>
                <w:sz w:val="19"/>
                <w:szCs w:val="19"/>
                <w:color w:val="auto"/>
              </w:rPr>
            </w:pPr>
          </w:p>
        </w:tc>
      </w:tr>
      <w:tr>
        <w:trPr>
          <w:trHeight w:val="223"/>
        </w:trPr>
        <w:tc>
          <w:tcPr>
            <w:tcW w:w="6620" w:type="dxa"/>
            <w:vAlign w:val="bottom"/>
          </w:tcPr>
          <w:p>
            <w:pPr>
              <w:ind w:left="26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465,429</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192,695</w:t>
            </w:r>
          </w:p>
        </w:tc>
        <w:tc>
          <w:tcPr>
            <w:tcW w:w="12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CODM manages assets on a total company basis, not by operating segments; therefore, asset information and capital expenditures by operating segments are not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net revenue by geographic region based on the location of the customer: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76"/>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83"/>
        </w:trPr>
        <w:tc>
          <w:tcPr>
            <w:tcW w:w="6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775,423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460,256</w:t>
            </w:r>
          </w:p>
        </w:tc>
        <w:tc>
          <w:tcPr>
            <w:tcW w:w="20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386,758</w:t>
            </w:r>
          </w:p>
        </w:tc>
        <w:tc>
          <w:tcPr>
            <w:tcW w:w="120" w:type="dxa"/>
            <w:vAlign w:val="bottom"/>
          </w:tcPr>
          <w:p>
            <w:pPr>
              <w:spacing w:after="0"/>
              <w:rPr>
                <w:sz w:val="19"/>
                <w:szCs w:val="19"/>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Europe and Middle East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624,214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406,435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348,798</w:t>
            </w:r>
          </w:p>
        </w:tc>
        <w:tc>
          <w:tcPr>
            <w:tcW w:w="120" w:type="dxa"/>
            <w:vAlign w:val="bottom"/>
            <w:shd w:val="clear" w:color="auto" w:fill="CFF0FC"/>
          </w:tcPr>
          <w:p>
            <w:pPr>
              <w:spacing w:after="0"/>
              <w:rPr>
                <w:sz w:val="19"/>
                <w:szCs w:val="19"/>
                <w:color w:val="auto"/>
              </w:rPr>
            </w:pP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302,730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230,483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201,997</w:t>
            </w:r>
          </w:p>
        </w:tc>
        <w:tc>
          <w:tcPr>
            <w:tcW w:w="120" w:type="dxa"/>
            <w:vAlign w:val="bottom"/>
            <w:tcBorders>
              <w:bottom w:val="single" w:sz="8" w:color="CFF0FC"/>
            </w:tcBorders>
          </w:tcPr>
          <w:p>
            <w:pPr>
              <w:spacing w:after="0"/>
              <w:rPr>
                <w:sz w:val="19"/>
                <w:szCs w:val="19"/>
                <w:color w:val="auto"/>
              </w:rPr>
            </w:pPr>
          </w:p>
        </w:tc>
      </w:tr>
      <w:tr>
        <w:trPr>
          <w:trHeight w:val="223"/>
        </w:trPr>
        <w:tc>
          <w:tcPr>
            <w:tcW w:w="6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1,702,367</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1,097,174</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937,553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Revenues from sales to customers in the United States represented 38%, 35% and 35% for the year ended December 31, 2020, 2019 and 2018, respectively. No other single country represented 10% or more of total net revenue during these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Long-lived assets are comprised primarily of property and equipment, net. The following table summarizes property and equipment, net by country: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83"/>
        </w:trPr>
        <w:tc>
          <w:tcPr>
            <w:tcW w:w="5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500" w:type="dxa"/>
            <w:vAlign w:val="bottom"/>
            <w:gridSpan w:val="2"/>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5,764</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China</w:t>
            </w:r>
          </w:p>
        </w:tc>
        <w:tc>
          <w:tcPr>
            <w:tcW w:w="2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6,334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countries</w:t>
            </w:r>
          </w:p>
        </w:tc>
        <w:tc>
          <w:tcPr>
            <w:tcW w:w="25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3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25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16,475</w:t>
            </w: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other countries represented 10% or more of our consolidated property and equipment, net as of December 31, 2020 and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lease portfolio consists primarily of real estate facilities for manufacturing, distribution, warehousing and office use purposes under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1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determine if an arrangement is or contains a lease at inception. ROU assets and lease liabilities are recognized at commencement based on the present value of the lease consideration in the contracts over the lease term. We do not record leases with an initial term of 12 months or less on our combined consolidated balance sheet but continue to record rent expense on a straight-line basis over the lease term. Certain of our lease agreements include options to extend or renew the lease terms. Such options are excluded from the ROU assets and lease liabilities unless they are reasonably certain to be exercised. Operating lease expense is recognized on a straight-line basis over the lease term.</w:t>
      </w:r>
    </w:p>
    <w:p>
      <w:pPr>
        <w:spacing w:after="0" w:line="176"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We apply the incremental borrowing rate, using a portfolio approach, in determining the present value of the lease consideration, as our leases do not provide an implicit rate. Our incremental borrowing rate is the rate of interest we would have to pay on a collateralized basis to borrow an amount equal to the lease payments under similar terms. Because we generally do not borrow on a collateralized basis, we consider a combination of factors to determine our incremental borrowing rate, including our credit worthiness, adjusted to approximate a collateralized rating, observable market yield curves, and the U.S. and foreign currency risk-free rates.</w:t>
      </w:r>
    </w:p>
    <w:p>
      <w:pPr>
        <w:spacing w:after="0" w:line="188"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Our variable lease expense consists primarily of warehousing and distribution services related to our outsourced distribution hubs, and to a lesser extent, variable costs related to office common area maintenance charges. Our service contracts with third-party logistic service providers include both fixed payments for the use of a fixed warehouse space and variable payments based on the usage of their services for distribution and warehouse management. The fixed payments are included in the calculation of the ROU asset and lease liability, but the variable payments are expensed as incurred. In addition, our real estate leases typically contain variable payments for office common area maintenance and these costs are also expensed as incurred.</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summarizes the components of lease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jc w:val="center"/>
              <w:ind w:right="221"/>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1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expense</w:t>
            </w:r>
          </w:p>
        </w:tc>
        <w:tc>
          <w:tcPr>
            <w:tcW w:w="16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lease expense</w:t>
            </w:r>
          </w:p>
        </w:tc>
        <w:tc>
          <w:tcPr>
            <w:tcW w:w="16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560"/>
              <w:spacing w:after="0"/>
              <w:rPr>
                <w:sz w:val="20"/>
                <w:szCs w:val="20"/>
                <w:color w:val="auto"/>
              </w:rPr>
            </w:pPr>
            <w:r>
              <w:rPr>
                <w:rFonts w:ascii="Arial" w:cs="Arial" w:eastAsia="Arial" w:hAnsi="Arial"/>
                <w:sz w:val="18"/>
                <w:szCs w:val="18"/>
                <w:color w:val="auto"/>
              </w:rPr>
              <w:t>Supplemental cash flow information related to leases:</w:t>
            </w: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jc w:val="center"/>
              <w:ind w:right="221"/>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payments included in the measurement of our operating lease liabilities</w:t>
            </w:r>
          </w:p>
        </w:tc>
        <w:tc>
          <w:tcPr>
            <w:tcW w:w="1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Operating lease ROU assets recognized in exchange for operating lease obligations</w:t>
            </w:r>
          </w:p>
        </w:tc>
        <w:tc>
          <w:tcPr>
            <w:tcW w:w="19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2020, the weighted-average remaining lease term was 3.9 years and the weighed-average discount rate was 3.9%.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Corsair Gaming,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Amounts of future undiscounted cash flows related to operating lease payments over the lease term included in the measurement of lease liabilities as of December 31, 2020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1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2022</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2024</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future lease payments</w:t>
            </w:r>
          </w:p>
        </w:tc>
        <w:tc>
          <w:tcPr>
            <w:tcW w:w="28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operating lease liabilities</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60"/>
              <w:spacing w:after="0"/>
              <w:rPr>
                <w:sz w:val="20"/>
                <w:szCs w:val="20"/>
                <w:color w:val="auto"/>
              </w:rPr>
            </w:pPr>
            <w:r>
              <w:rPr>
                <w:rFonts w:ascii="Arial" w:cs="Arial" w:eastAsia="Arial" w:hAnsi="Arial"/>
                <w:sz w:val="18"/>
                <w:szCs w:val="18"/>
                <w:color w:val="auto"/>
              </w:rPr>
              <w:t xml:space="preserve">Current portion of operating lease liabilities </w:t>
            </w:r>
            <w:r>
              <w:rPr>
                <w:rFonts w:ascii="Arial" w:cs="Arial" w:eastAsia="Arial" w:hAnsi="Arial"/>
                <w:sz w:val="15"/>
                <w:szCs w:val="15"/>
                <w:color w:val="auto"/>
              </w:rPr>
              <w:t>(1)</w:t>
            </w:r>
          </w:p>
        </w:tc>
        <w:tc>
          <w:tcPr>
            <w:tcW w:w="3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Long-term operating lease liabilities </w:t>
            </w:r>
            <w:r>
              <w:rPr>
                <w:rFonts w:ascii="Arial" w:cs="Arial" w:eastAsia="Arial" w:hAnsi="Arial"/>
                <w:sz w:val="15"/>
                <w:szCs w:val="15"/>
                <w:color w:val="auto"/>
              </w:rPr>
              <w:t>(1)</w:t>
            </w:r>
          </w:p>
        </w:tc>
        <w:tc>
          <w:tcPr>
            <w:tcW w:w="31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right="440" w:hanging="372"/>
        <w:spacing w:after="0" w:line="253" w:lineRule="auto"/>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current portion and long-term portion of operating lease liabilities are included in “other liabilities and accrued expenses” and “other liabilities, noncurrent”, respectively, on our combined consolidated balance sheets.</w:t>
      </w:r>
    </w:p>
    <w:p>
      <w:pPr>
        <w:spacing w:after="0" w:line="178"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Future minimum lease payments under non-cancelable operating leases as of December 31, 2019, as defined under the previous lease accounting guidance of ASC Topic 840,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Amounts</w:t>
            </w:r>
          </w:p>
        </w:tc>
      </w:tr>
      <w:tr>
        <w:trPr>
          <w:trHeight w:val="155"/>
        </w:trPr>
        <w:tc>
          <w:tcPr>
            <w:tcW w:w="50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2021</w:t>
            </w: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F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2023</w:t>
            </w: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Thereafter</w:t>
            </w: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3"/>
                <w:szCs w:val="13"/>
                <w:b w:val="1"/>
                <w:bCs w:val="1"/>
                <w:color w:val="auto"/>
                <w:w w:val="88"/>
              </w:rPr>
              <w:t>Year ended December 31, 2020</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3"/>
                <w:szCs w:val="13"/>
                <w:b w:val="1"/>
                <w:bCs w:val="1"/>
                <w:color w:val="auto"/>
                <w:w w:val="89"/>
              </w:rPr>
              <w:t>Year ended December 31, 2019</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3"/>
                <w:szCs w:val="13"/>
                <w:b w:val="1"/>
                <w:bCs w:val="1"/>
                <w:color w:val="auto"/>
              </w:rPr>
              <w:t>Q1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0"/>
              <w:spacing w:after="0" w:line="142" w:lineRule="exact"/>
              <w:rPr>
                <w:sz w:val="20"/>
                <w:szCs w:val="20"/>
                <w:color w:val="auto"/>
              </w:rPr>
            </w:pPr>
            <w:r>
              <w:rPr>
                <w:rFonts w:ascii="Arial" w:cs="Arial" w:eastAsia="Arial" w:hAnsi="Arial"/>
                <w:sz w:val="13"/>
                <w:szCs w:val="13"/>
                <w:b w:val="1"/>
                <w:bCs w:val="1"/>
                <w:color w:val="auto"/>
              </w:rPr>
              <w:t>Q2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3"/>
                <w:szCs w:val="13"/>
                <w:b w:val="1"/>
                <w:bCs w:val="1"/>
                <w:color w:val="auto"/>
              </w:rPr>
              <w:t>Q3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9"/>
              <w:spacing w:after="0" w:line="142" w:lineRule="exact"/>
              <w:rPr>
                <w:sz w:val="20"/>
                <w:szCs w:val="20"/>
                <w:color w:val="auto"/>
              </w:rPr>
            </w:pPr>
            <w:r>
              <w:rPr>
                <w:rFonts w:ascii="Arial" w:cs="Arial" w:eastAsia="Arial" w:hAnsi="Arial"/>
                <w:sz w:val="13"/>
                <w:szCs w:val="13"/>
                <w:b w:val="1"/>
                <w:bCs w:val="1"/>
                <w:color w:val="auto"/>
              </w:rPr>
              <w:t>Q4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9"/>
              <w:spacing w:after="0" w:line="142" w:lineRule="exact"/>
              <w:rPr>
                <w:sz w:val="20"/>
                <w:szCs w:val="20"/>
                <w:color w:val="auto"/>
              </w:rPr>
            </w:pPr>
            <w:r>
              <w:rPr>
                <w:rFonts w:ascii="Arial" w:cs="Arial" w:eastAsia="Arial" w:hAnsi="Arial"/>
                <w:sz w:val="13"/>
                <w:szCs w:val="13"/>
                <w:b w:val="1"/>
                <w:bCs w:val="1"/>
                <w:color w:val="auto"/>
              </w:rPr>
              <w:t>Q1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0"/>
              <w:spacing w:after="0" w:line="142" w:lineRule="exact"/>
              <w:rPr>
                <w:sz w:val="20"/>
                <w:szCs w:val="20"/>
                <w:color w:val="auto"/>
              </w:rPr>
            </w:pPr>
            <w:r>
              <w:rPr>
                <w:rFonts w:ascii="Arial" w:cs="Arial" w:eastAsia="Arial" w:hAnsi="Arial"/>
                <w:sz w:val="13"/>
                <w:szCs w:val="13"/>
                <w:b w:val="1"/>
                <w:bCs w:val="1"/>
                <w:color w:val="auto"/>
              </w:rPr>
              <w:t>Q2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9"/>
              <w:spacing w:after="0" w:line="142" w:lineRule="exact"/>
              <w:rPr>
                <w:sz w:val="20"/>
                <w:szCs w:val="20"/>
                <w:color w:val="auto"/>
              </w:rPr>
            </w:pPr>
            <w:r>
              <w:rPr>
                <w:rFonts w:ascii="Arial" w:cs="Arial" w:eastAsia="Arial" w:hAnsi="Arial"/>
                <w:sz w:val="13"/>
                <w:szCs w:val="13"/>
                <w:b w:val="1"/>
                <w:bCs w:val="1"/>
                <w:color w:val="auto"/>
              </w:rPr>
              <w:t>Q3</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9"/>
              <w:spacing w:after="0" w:line="142" w:lineRule="exact"/>
              <w:rPr>
                <w:sz w:val="20"/>
                <w:szCs w:val="20"/>
                <w:color w:val="auto"/>
              </w:rPr>
            </w:pPr>
            <w:r>
              <w:rPr>
                <w:rFonts w:ascii="Arial" w:cs="Arial" w:eastAsia="Arial" w:hAnsi="Arial"/>
                <w:sz w:val="13"/>
                <w:szCs w:val="13"/>
                <w:b w:val="1"/>
                <w:bCs w:val="1"/>
                <w:color w:val="auto"/>
              </w:rPr>
              <w:t>Q4</w:t>
            </w:r>
          </w:p>
        </w:tc>
        <w:tc>
          <w:tcPr>
            <w:tcW w:w="100" w:type="dxa"/>
            <w:vAlign w:val="bottom"/>
          </w:tcPr>
          <w:p>
            <w:pPr>
              <w:spacing w:after="0"/>
              <w:rPr>
                <w:sz w:val="12"/>
                <w:szCs w:val="12"/>
                <w:color w:val="auto"/>
              </w:rPr>
            </w:pPr>
          </w:p>
        </w:tc>
      </w:tr>
      <w:tr>
        <w:trPr>
          <w:trHeight w:val="169"/>
        </w:trPr>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40" w:type="dxa"/>
            <w:vAlign w:val="bottom"/>
            <w:gridSpan w:val="8"/>
          </w:tcPr>
          <w:p>
            <w:pPr>
              <w:jc w:val="right"/>
              <w:ind w:right="100"/>
              <w:spacing w:after="0"/>
              <w:rPr>
                <w:sz w:val="20"/>
                <w:szCs w:val="20"/>
                <w:color w:val="auto"/>
              </w:rPr>
            </w:pPr>
            <w:r>
              <w:rPr>
                <w:rFonts w:ascii="Arial" w:cs="Arial" w:eastAsia="Arial" w:hAnsi="Arial"/>
                <w:sz w:val="13"/>
                <w:szCs w:val="13"/>
                <w:b w:val="1"/>
                <w:bCs w:val="1"/>
                <w:color w:val="auto"/>
                <w:w w:val="89"/>
              </w:rPr>
              <w:t>(In thousands, except per share amounts)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Net revenues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308,518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380,407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457,103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556,339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245,383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240,864</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284,372</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326,555</w:t>
            </w:r>
          </w:p>
        </w:tc>
        <w:tc>
          <w:tcPr>
            <w:tcW w:w="100" w:type="dxa"/>
            <w:vAlign w:val="bottom"/>
            <w:shd w:val="clear" w:color="auto" w:fill="CFF0FC"/>
          </w:tcPr>
          <w:p>
            <w:pPr>
              <w:spacing w:after="0"/>
              <w:rPr>
                <w:sz w:val="14"/>
                <w:szCs w:val="14"/>
                <w:color w:val="auto"/>
              </w:rPr>
            </w:pPr>
          </w:p>
        </w:tc>
      </w:tr>
      <w:tr>
        <w:trPr>
          <w:trHeight w:val="162"/>
        </w:trPr>
        <w:tc>
          <w:tcPr>
            <w:tcW w:w="2440" w:type="dxa"/>
            <w:vAlign w:val="bottom"/>
          </w:tcPr>
          <w:p>
            <w:pPr>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78,622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105,064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127,944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153,799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48,083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45,524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60,227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70,453</w:t>
            </w:r>
          </w:p>
        </w:tc>
        <w:tc>
          <w:tcPr>
            <w:tcW w:w="100" w:type="dxa"/>
            <w:vAlign w:val="bottom"/>
          </w:tcPr>
          <w:p>
            <w:pPr>
              <w:spacing w:after="0"/>
              <w:rPr>
                <w:sz w:val="14"/>
                <w:szCs w:val="14"/>
                <w:color w:val="auto"/>
              </w:rPr>
            </w:pPr>
          </w:p>
        </w:tc>
      </w:tr>
      <w:tr>
        <w:trPr>
          <w:trHeight w:val="162"/>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Operating income (loss)</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13,337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36,410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49,721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58,893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(1,851)</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10,962</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14,218</w:t>
            </w:r>
          </w:p>
        </w:tc>
        <w:tc>
          <w:tcPr>
            <w:tcW w:w="100" w:type="dxa"/>
            <w:vAlign w:val="bottom"/>
            <w:shd w:val="clear" w:color="auto" w:fill="CFF0FC"/>
          </w:tcPr>
          <w:p>
            <w:pPr>
              <w:spacing w:after="0"/>
              <w:rPr>
                <w:sz w:val="14"/>
                <w:szCs w:val="14"/>
                <w:color w:val="auto"/>
              </w:rPr>
            </w:pPr>
          </w:p>
        </w:tc>
      </w:tr>
      <w:tr>
        <w:trPr>
          <w:trHeight w:val="162"/>
        </w:trPr>
        <w:tc>
          <w:tcPr>
            <w:tcW w:w="2440" w:type="dxa"/>
            <w:vAlign w:val="bottom"/>
          </w:tcPr>
          <w:p>
            <w:pPr>
              <w:spacing w:after="0"/>
              <w:rPr>
                <w:sz w:val="20"/>
                <w:szCs w:val="20"/>
                <w:color w:val="auto"/>
              </w:rPr>
            </w:pPr>
            <w:r>
              <w:rPr>
                <w:rFonts w:ascii="Arial" w:cs="Arial" w:eastAsia="Arial" w:hAnsi="Arial"/>
                <w:sz w:val="14"/>
                <w:szCs w:val="14"/>
                <w:color w:val="auto"/>
              </w:rPr>
              <w:t>Net income (loss)</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36,357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43,043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(8,493)</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(7,432)</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1,519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6,012</w:t>
            </w:r>
          </w:p>
        </w:tc>
        <w:tc>
          <w:tcPr>
            <w:tcW w:w="100" w:type="dxa"/>
            <w:vAlign w:val="bottom"/>
          </w:tcPr>
          <w:p>
            <w:pPr>
              <w:spacing w:after="0"/>
              <w:rPr>
                <w:sz w:val="14"/>
                <w:szCs w:val="14"/>
                <w:color w:val="auto"/>
              </w:rPr>
            </w:pPr>
          </w:p>
        </w:tc>
      </w:tr>
      <w:tr>
        <w:trPr>
          <w:trHeight w:val="162"/>
        </w:trPr>
        <w:tc>
          <w:tcPr>
            <w:tcW w:w="2440" w:type="dxa"/>
            <w:vAlign w:val="bottom"/>
            <w:shd w:val="clear" w:color="auto" w:fill="CFF0FC"/>
          </w:tcPr>
          <w:p>
            <w:pPr>
              <w:spacing w:after="0"/>
              <w:rPr>
                <w:sz w:val="20"/>
                <w:szCs w:val="20"/>
                <w:color w:val="auto"/>
              </w:rPr>
            </w:pPr>
            <w:r>
              <w:rPr>
                <w:rFonts w:ascii="Arial" w:cs="Arial" w:eastAsia="Arial" w:hAnsi="Arial"/>
                <w:sz w:val="14"/>
                <w:szCs w:val="14"/>
                <w:color w:val="auto"/>
              </w:rPr>
              <w:t>Basic net income (loss) per share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0.27</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FF0FC"/>
          </w:tcPr>
          <w:p>
            <w:pPr>
              <w:spacing w:after="0"/>
              <w:rPr>
                <w:sz w:val="14"/>
                <w:szCs w:val="14"/>
                <w:color w:val="auto"/>
              </w:rPr>
            </w:pPr>
          </w:p>
        </w:tc>
      </w:tr>
      <w:tr>
        <w:trPr>
          <w:trHeight w:val="143"/>
        </w:trPr>
        <w:tc>
          <w:tcPr>
            <w:tcW w:w="2440" w:type="dxa"/>
            <w:vAlign w:val="bottom"/>
          </w:tcPr>
          <w:p>
            <w:pPr>
              <w:spacing w:after="0" w:line="143" w:lineRule="exact"/>
              <w:rPr>
                <w:sz w:val="20"/>
                <w:szCs w:val="20"/>
                <w:color w:val="auto"/>
              </w:rPr>
            </w:pPr>
            <w:r>
              <w:rPr>
                <w:rFonts w:ascii="Arial" w:cs="Arial" w:eastAsia="Arial" w:hAnsi="Arial"/>
                <w:sz w:val="14"/>
                <w:szCs w:val="14"/>
                <w:color w:val="auto"/>
              </w:rPr>
              <w:t>Diluted net income (loss) per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2440" w:type="dxa"/>
            <w:vAlign w:val="bottom"/>
          </w:tcPr>
          <w:p>
            <w:pPr>
              <w:ind w:left="120"/>
              <w:spacing w:after="0"/>
              <w:rPr>
                <w:sz w:val="20"/>
                <w:szCs w:val="20"/>
                <w:color w:val="auto"/>
              </w:rPr>
            </w:pPr>
            <w:r>
              <w:rPr>
                <w:rFonts w:ascii="Arial" w:cs="Arial" w:eastAsia="Arial" w:hAnsi="Arial"/>
                <w:sz w:val="14"/>
                <w:szCs w:val="14"/>
                <w:color w:val="auto"/>
              </w:rPr>
              <w:t>share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0.26</w:t>
            </w:r>
          </w:p>
        </w:tc>
        <w:tc>
          <w:tcPr>
            <w:tcW w:w="22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0.40</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(0.11)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(0.10)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0.02</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of, as defined in Rules 13a-15(e) and 15d-15(e) under the Exchange Act, the end of the period covered by this Annual Report on Form 10-K.</w:t>
      </w:r>
    </w:p>
    <w:p>
      <w:pPr>
        <w:spacing w:after="0" w:line="18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December 31, 2020, our disclosure controls and procedures were effective at a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December 31, 2020 that has materially affected, or is reasonably likely to materially affect, our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The information required by this Item that is found in our Definitive Proxy Statement to be filed with the SEC in connection with the solicitation of proxies for our 2021 Annual Meeting of Stockholders, or the Proxy Statement, is incorporated herein by reference to our Proxy Statement. The Proxy Statement will be filed with the SEC within 120 days after the end of the fiscal year covered by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560"/>
        <w:spacing w:after="0"/>
        <w:tabs>
          <w:tab w:leader="none" w:pos="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part of this Annual Report on Form 10-K:</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 Financial Statements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the “Index to Combined Consolidation Financial Statements” under Part II, Item 8 of this report.</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 Financial Statement Schedules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Claims and</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4"/>
              </w:rPr>
              <w:t>Balance at</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2"/>
              </w:rPr>
              <w:t>Charges to</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Applied</w:t>
            </w:r>
          </w:p>
        </w:tc>
        <w:tc>
          <w:tcPr>
            <w:tcW w:w="240" w:type="dxa"/>
            <w:vAlign w:val="bottom"/>
          </w:tcPr>
          <w:p>
            <w:pPr>
              <w:spacing w:after="0"/>
              <w:rPr>
                <w:sz w:val="12"/>
                <w:szCs w:val="12"/>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Against</w:t>
            </w: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1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5"/>
              </w:rPr>
              <w:t xml:space="preserve">Operations </w:t>
            </w:r>
            <w:r>
              <w:rPr>
                <w:rFonts w:ascii="Arial" w:cs="Arial" w:eastAsia="Arial" w:hAnsi="Arial"/>
                <w:sz w:val="12"/>
                <w:szCs w:val="12"/>
                <w:b w:val="1"/>
                <w:bCs w:val="1"/>
                <w:color w:val="auto"/>
                <w:w w:val="95"/>
              </w:rPr>
              <w:t>(1)</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b w:val="1"/>
                <w:bCs w:val="1"/>
                <w:color w:val="auto"/>
                <w:w w:val="90"/>
              </w:rPr>
              <w:t>Allowances</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End of Year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89"/>
              </w:rPr>
              <w:t>(In thousands)</w:t>
            </w: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Allowance for credit losses on accounts receivable:</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2020</w:t>
            </w:r>
          </w:p>
        </w:tc>
        <w:tc>
          <w:tcPr>
            <w:tcW w:w="1100" w:type="dxa"/>
            <w:vAlign w:val="bottom"/>
          </w:tcPr>
          <w:p>
            <w:pPr>
              <w:jc w:val="right"/>
              <w:ind w:right="948"/>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212</w:t>
            </w:r>
          </w:p>
        </w:tc>
        <w:tc>
          <w:tcPr>
            <w:tcW w:w="220" w:type="dxa"/>
            <w:vAlign w:val="bottom"/>
          </w:tcPr>
          <w:p>
            <w:pPr>
              <w:spacing w:after="0"/>
              <w:rPr>
                <w:sz w:val="19"/>
                <w:szCs w:val="19"/>
                <w:color w:val="auto"/>
              </w:rPr>
            </w:pPr>
          </w:p>
        </w:tc>
        <w:tc>
          <w:tcPr>
            <w:tcW w:w="1260" w:type="dxa"/>
            <w:vAlign w:val="bottom"/>
          </w:tcPr>
          <w:p>
            <w:pPr>
              <w:jc w:val="right"/>
              <w:ind w:right="1108"/>
              <w:spacing w:after="0"/>
              <w:rPr>
                <w:sz w:val="20"/>
                <w:szCs w:val="20"/>
                <w:color w:val="auto"/>
              </w:rPr>
            </w:pPr>
            <w:r>
              <w:rPr>
                <w:rFonts w:ascii="Arial" w:cs="Arial" w:eastAsia="Arial" w:hAnsi="Arial"/>
                <w:sz w:val="15"/>
                <w:szCs w:val="15"/>
                <w:color w:val="auto"/>
                <w:w w:val="71"/>
              </w:rPr>
              <w:t>$</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681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6"/>
              </w:rPr>
              <w:t>220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2018</w:t>
            </w:r>
          </w:p>
        </w:tc>
        <w:tc>
          <w:tcPr>
            <w:tcW w:w="1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314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w w:val="86"/>
              </w:rPr>
              <w:t>237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amount for the year ended December 31, 2019 includes an immaterial impact from the business acquisitions during the year.</w:t>
      </w:r>
    </w:p>
    <w:p>
      <w:pPr>
        <w:spacing w:after="0" w:line="225" w:lineRule="exact"/>
        <w:rPr>
          <w:sz w:val="20"/>
          <w:szCs w:val="20"/>
          <w:color w:val="auto"/>
        </w:rPr>
      </w:pPr>
    </w:p>
    <w:p>
      <w:pPr>
        <w:ind w:right="160" w:firstLine="655"/>
        <w:spacing w:after="0" w:line="263" w:lineRule="auto"/>
        <w:rPr>
          <w:sz w:val="20"/>
          <w:szCs w:val="20"/>
          <w:color w:val="auto"/>
        </w:rPr>
      </w:pPr>
      <w:r>
        <w:rPr>
          <w:rFonts w:ascii="Arial" w:cs="Arial" w:eastAsia="Arial" w:hAnsi="Arial"/>
          <w:sz w:val="18"/>
          <w:szCs w:val="18"/>
          <w:color w:val="auto"/>
        </w:rPr>
        <w:t>All other financial schedules have been omitted, since the required information is not applicable or is not present in amounts sufficient to require submission of the schedule, or because the information required information is included in the combined consolidated financial statements and notes thereto included in this Annual Report on Form 10-K.</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80"/>
        <w:spacing w:after="0"/>
        <w:tabs>
          <w:tab w:leader="none" w:pos="33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16"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23">
        <w:r>
          <w:rPr>
            <w:rFonts w:ascii="Arial" w:cs="Arial" w:eastAsia="Arial" w:hAnsi="Arial"/>
            <w:sz w:val="16"/>
            <w:szCs w:val="16"/>
            <w:u w:val="single" w:color="auto"/>
            <w:color w:val="0000EE"/>
          </w:rPr>
          <w:t>Amended and Restated Certificate of Incorporation.</w:t>
        </w:r>
      </w:hyperlink>
    </w:p>
    <w:p>
      <w:pPr>
        <w:spacing w:after="0" w:line="131"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24">
        <w:r>
          <w:rPr>
            <w:rFonts w:ascii="Arial" w:cs="Arial" w:eastAsia="Arial" w:hAnsi="Arial"/>
            <w:sz w:val="16"/>
            <w:szCs w:val="16"/>
            <w:u w:val="single" w:color="auto"/>
            <w:color w:val="0000EE"/>
          </w:rPr>
          <w:t>Amended and Restated Bylaws.</w:t>
        </w:r>
      </w:hyperlink>
    </w:p>
    <w:p>
      <w:pPr>
        <w:spacing w:after="0" w:line="131" w:lineRule="exact"/>
        <w:rPr>
          <w:sz w:val="20"/>
          <w:szCs w:val="20"/>
          <w:color w:val="auto"/>
        </w:rPr>
      </w:pPr>
    </w:p>
    <w:p>
      <w:pPr>
        <w:ind w:left="280"/>
        <w:spacing w:after="0"/>
        <w:tabs>
          <w:tab w:leader="none" w:pos="900" w:val="left"/>
        </w:tabs>
        <w:rPr>
          <w:rFonts w:ascii="Arial" w:cs="Arial" w:eastAsia="Arial" w:hAnsi="Arial"/>
          <w:sz w:val="16"/>
          <w:szCs w:val="16"/>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Reference is made to exhibits </w:t>
      </w:r>
      <w:hyperlink r:id="rId123">
        <w:r>
          <w:rPr>
            <w:rFonts w:ascii="Arial" w:cs="Arial" w:eastAsia="Arial" w:hAnsi="Arial"/>
            <w:sz w:val="16"/>
            <w:szCs w:val="16"/>
            <w:u w:val="single" w:color="auto"/>
            <w:color w:val="0000EE"/>
          </w:rPr>
          <w:t>3.1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through </w:t>
      </w:r>
      <w:hyperlink r:id="rId124">
        <w:r>
          <w:rPr>
            <w:rFonts w:ascii="Arial" w:cs="Arial" w:eastAsia="Arial" w:hAnsi="Arial"/>
            <w:sz w:val="16"/>
            <w:szCs w:val="16"/>
            <w:u w:val="single" w:color="auto"/>
            <w:color w:val="0000EE"/>
          </w:rPr>
          <w:t>3.2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w:t>
      </w:r>
    </w:p>
    <w:p>
      <w:pPr>
        <w:spacing w:after="0" w:line="131" w:lineRule="exact"/>
        <w:rPr>
          <w:sz w:val="20"/>
          <w:szCs w:val="20"/>
          <w:color w:val="auto"/>
        </w:rPr>
      </w:pPr>
    </w:p>
    <w:p>
      <w:pPr>
        <w:ind w:left="28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25">
        <w:r>
          <w:rPr>
            <w:rFonts w:ascii="Arial" w:cs="Arial" w:eastAsia="Arial" w:hAnsi="Arial"/>
            <w:sz w:val="16"/>
            <w:szCs w:val="16"/>
            <w:u w:val="single" w:color="auto"/>
            <w:color w:val="0000EE"/>
          </w:rPr>
          <w:t>Form of Stock Certificate.</w:t>
        </w:r>
      </w:hyperlink>
    </w:p>
    <w:p>
      <w:pPr>
        <w:spacing w:after="0" w:line="131" w:lineRule="exact"/>
        <w:rPr>
          <w:sz w:val="20"/>
          <w:szCs w:val="20"/>
          <w:color w:val="auto"/>
        </w:rPr>
      </w:pPr>
    </w:p>
    <w:p>
      <w:pPr>
        <w:ind w:left="920" w:right="380" w:hanging="62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w:anchor="page106">
        <w:r>
          <w:rPr>
            <w:rFonts w:ascii="Arial" w:cs="Arial" w:eastAsia="Arial" w:hAnsi="Arial"/>
            <w:sz w:val="18"/>
            <w:szCs w:val="18"/>
            <w:u w:val="single" w:color="auto"/>
            <w:color w:val="0000EE"/>
          </w:rPr>
          <w:t>Description of Corsair’s Securities Registered Pursuant to Section 12 of the</w:t>
        </w:r>
      </w:hyperlink>
      <w:r>
        <w:rPr>
          <w:rFonts w:ascii="Arial" w:cs="Arial" w:eastAsia="Arial" w:hAnsi="Arial"/>
          <w:sz w:val="18"/>
          <w:szCs w:val="18"/>
          <w:u w:val="single" w:color="auto"/>
          <w:color w:val="0000EE"/>
        </w:rPr>
        <w:t xml:space="preserve"> </w:t>
      </w:r>
      <w:hyperlink w:anchor="page106">
        <w:r>
          <w:rPr>
            <w:rFonts w:ascii="Arial" w:cs="Arial" w:eastAsia="Arial" w:hAnsi="Arial"/>
            <w:sz w:val="18"/>
            <w:szCs w:val="18"/>
            <w:u w:val="single" w:color="auto"/>
            <w:color w:val="0000EE"/>
          </w:rPr>
          <w:t>Securities Exchange Act of 1934.</w:t>
        </w:r>
      </w:hyperlink>
    </w:p>
    <w:p>
      <w:pPr>
        <w:spacing w:after="0" w:line="76" w:lineRule="exact"/>
        <w:rPr>
          <w:sz w:val="20"/>
          <w:szCs w:val="20"/>
          <w:color w:val="auto"/>
        </w:rPr>
      </w:pPr>
    </w:p>
    <w:p>
      <w:pPr>
        <w:ind w:left="920" w:hanging="71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26">
        <w:r>
          <w:rPr>
            <w:rFonts w:ascii="Arial" w:cs="Arial" w:eastAsia="Arial" w:hAnsi="Arial"/>
            <w:sz w:val="18"/>
            <w:szCs w:val="18"/>
            <w:u w:val="single" w:color="auto"/>
            <w:color w:val="0000EE"/>
          </w:rPr>
          <w:t>Form of Indemnification Agreement to be entered into between Corsair Gaming,</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Inc. and each of its directors and executive officers.</w:t>
        </w:r>
      </w:hyperlink>
    </w:p>
    <w:p>
      <w:pPr>
        <w:spacing w:after="0" w:line="76" w:lineRule="exact"/>
        <w:rPr>
          <w:sz w:val="20"/>
          <w:szCs w:val="20"/>
          <w:color w:val="auto"/>
        </w:rPr>
      </w:pPr>
    </w:p>
    <w:p>
      <w:pPr>
        <w:ind w:left="2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27">
        <w:r>
          <w:rPr>
            <w:rFonts w:ascii="Arial" w:cs="Arial" w:eastAsia="Arial" w:hAnsi="Arial"/>
            <w:sz w:val="16"/>
            <w:szCs w:val="16"/>
            <w:u w:val="single" w:color="auto"/>
            <w:color w:val="0000EE"/>
          </w:rPr>
          <w:t>Corsair Gaming, Inc. Equity Incentive Program</w:t>
        </w:r>
      </w:hyperlink>
    </w:p>
    <w:p>
      <w:pPr>
        <w:spacing w:after="0" w:line="131" w:lineRule="exact"/>
        <w:rPr>
          <w:sz w:val="20"/>
          <w:szCs w:val="20"/>
          <w:color w:val="auto"/>
        </w:rPr>
      </w:pPr>
    </w:p>
    <w:p>
      <w:pPr>
        <w:ind w:left="920" w:hanging="81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10.2(a)#</w:t>
      </w:r>
      <w:r>
        <w:rPr>
          <w:sz w:val="20"/>
          <w:szCs w:val="20"/>
          <w:color w:val="auto"/>
        </w:rPr>
        <w:tab/>
      </w:r>
      <w:hyperlink r:id="rId128">
        <w:r>
          <w:rPr>
            <w:rFonts w:ascii="Arial" w:cs="Arial" w:eastAsia="Arial" w:hAnsi="Arial"/>
            <w:sz w:val="18"/>
            <w:szCs w:val="18"/>
            <w:u w:val="single" w:color="auto"/>
            <w:color w:val="0000EE"/>
          </w:rPr>
          <w:t>Form of Unit Award Agreement (U.S. Form) under EagleTree-Carbide Holdings</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(Cayman), LP Equity Incentive Program</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Incorporated by Reference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74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Form</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700" w:type="dxa"/>
            <w:vAlign w:val="bottom"/>
            <w:gridSpan w:val="2"/>
          </w:tcPr>
          <w:p>
            <w:pPr>
              <w:ind w:left="180"/>
              <w:spacing w:after="0"/>
              <w:rPr>
                <w:sz w:val="20"/>
                <w:szCs w:val="20"/>
                <w:color w:val="auto"/>
              </w:rPr>
            </w:pPr>
            <w:r>
              <w:rPr>
                <w:rFonts w:ascii="Arial" w:cs="Arial" w:eastAsia="Arial" w:hAnsi="Arial"/>
                <w:sz w:val="18"/>
                <w:szCs w:val="18"/>
                <w:b w:val="1"/>
                <w:bCs w:val="1"/>
                <w:color w:val="auto"/>
                <w:w w:val="97"/>
              </w:rPr>
              <w:t>Number  Herewith</w:t>
            </w:r>
          </w:p>
        </w:tc>
      </w:tr>
      <w:tr>
        <w:trPr>
          <w:trHeight w:val="324"/>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September 25, 2020</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87"/>
              </w:rPr>
              <w:t>3.1</w:t>
            </w:r>
          </w:p>
        </w:tc>
        <w:tc>
          <w:tcPr>
            <w:tcW w:w="840" w:type="dxa"/>
            <w:vAlign w:val="bottom"/>
          </w:tcPr>
          <w:p>
            <w:pPr>
              <w:spacing w:after="0"/>
              <w:rPr>
                <w:sz w:val="24"/>
                <w:szCs w:val="24"/>
                <w:color w:val="auto"/>
              </w:rPr>
            </w:pPr>
          </w:p>
        </w:tc>
      </w:tr>
      <w:tr>
        <w:trPr>
          <w:trHeight w:val="338"/>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September 25, 2020</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87"/>
              </w:rPr>
              <w:t>3.2</w:t>
            </w:r>
          </w:p>
        </w:tc>
        <w:tc>
          <w:tcPr>
            <w:tcW w:w="840" w:type="dxa"/>
            <w:vAlign w:val="bottom"/>
          </w:tcPr>
          <w:p>
            <w:pPr>
              <w:spacing w:after="0"/>
              <w:rPr>
                <w:sz w:val="24"/>
                <w:szCs w:val="24"/>
                <w:color w:val="auto"/>
              </w:rPr>
            </w:pPr>
          </w:p>
        </w:tc>
      </w:tr>
      <w:tr>
        <w:trPr>
          <w:trHeight w:val="675"/>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September 18, 2020</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87"/>
              </w:rPr>
              <w:t>4.2</w:t>
            </w:r>
          </w:p>
        </w:tc>
        <w:tc>
          <w:tcPr>
            <w:tcW w:w="840" w:type="dxa"/>
            <w:vAlign w:val="bottom"/>
          </w:tcPr>
          <w:p>
            <w:pPr>
              <w:spacing w:after="0"/>
              <w:rPr>
                <w:sz w:val="24"/>
                <w:szCs w:val="24"/>
                <w:color w:val="auto"/>
              </w:rPr>
            </w:pPr>
          </w:p>
        </w:tc>
      </w:tr>
      <w:tr>
        <w:trPr>
          <w:trHeight w:val="338"/>
        </w:trPr>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jc w:val="center"/>
              <w:ind w:left="50"/>
              <w:spacing w:after="0"/>
              <w:rPr>
                <w:sz w:val="20"/>
                <w:szCs w:val="20"/>
                <w:color w:val="auto"/>
              </w:rPr>
            </w:pPr>
            <w:r>
              <w:rPr>
                <w:rFonts w:ascii="Arial" w:cs="Arial" w:eastAsia="Arial" w:hAnsi="Arial"/>
                <w:sz w:val="18"/>
                <w:szCs w:val="18"/>
                <w:color w:val="auto"/>
              </w:rPr>
              <w:t>X</w:t>
            </w:r>
          </w:p>
        </w:tc>
      </w:tr>
      <w:tr>
        <w:trPr>
          <w:trHeight w:val="553"/>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85"/>
              </w:rPr>
              <w:t>10.1</w:t>
            </w:r>
          </w:p>
        </w:tc>
        <w:tc>
          <w:tcPr>
            <w:tcW w:w="840" w:type="dxa"/>
            <w:vAlign w:val="bottom"/>
          </w:tcPr>
          <w:p>
            <w:pPr>
              <w:spacing w:after="0"/>
              <w:rPr>
                <w:sz w:val="24"/>
                <w:szCs w:val="24"/>
                <w:color w:val="auto"/>
              </w:rPr>
            </w:pPr>
          </w:p>
        </w:tc>
      </w:tr>
      <w:tr>
        <w:trPr>
          <w:trHeight w:val="553"/>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September 18, 2020</w:t>
            </w: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85"/>
              </w:rPr>
              <w:t>10.2</w:t>
            </w:r>
          </w:p>
        </w:tc>
        <w:tc>
          <w:tcPr>
            <w:tcW w:w="840" w:type="dxa"/>
            <w:vAlign w:val="bottom"/>
          </w:tcPr>
          <w:p>
            <w:pPr>
              <w:spacing w:after="0"/>
              <w:rPr>
                <w:sz w:val="24"/>
                <w:szCs w:val="24"/>
                <w:color w:val="auto"/>
              </w:rPr>
            </w:pPr>
          </w:p>
        </w:tc>
      </w:tr>
      <w:tr>
        <w:trPr>
          <w:trHeight w:val="337"/>
        </w:trPr>
        <w:tc>
          <w:tcPr>
            <w:tcW w:w="740" w:type="dxa"/>
            <w:vAlign w:val="bottom"/>
          </w:tcPr>
          <w:p>
            <w:pPr>
              <w:jc w:val="center"/>
              <w:ind w:right="10"/>
              <w:spacing w:after="0"/>
              <w:rPr>
                <w:sz w:val="20"/>
                <w:szCs w:val="20"/>
                <w:color w:val="auto"/>
              </w:rPr>
            </w:pPr>
            <w:r>
              <w:rPr>
                <w:rFonts w:ascii="Arial" w:cs="Arial" w:eastAsia="Arial" w:hAnsi="Arial"/>
                <w:sz w:val="18"/>
                <w:szCs w:val="18"/>
                <w:color w:val="auto"/>
                <w:w w:val="85"/>
              </w:rPr>
              <w:t>S-1</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1700" w:type="dxa"/>
            <w:vAlign w:val="bottom"/>
            <w:gridSpan w:val="2"/>
          </w:tcPr>
          <w:p>
            <w:pPr>
              <w:jc w:val="center"/>
              <w:ind w:right="630"/>
              <w:spacing w:after="0"/>
              <w:rPr>
                <w:sz w:val="20"/>
                <w:szCs w:val="20"/>
                <w:color w:val="auto"/>
              </w:rPr>
            </w:pPr>
            <w:r>
              <w:rPr>
                <w:rFonts w:ascii="Arial" w:cs="Arial" w:eastAsia="Arial" w:hAnsi="Arial"/>
                <w:sz w:val="18"/>
                <w:szCs w:val="18"/>
                <w:color w:val="auto"/>
                <w:w w:val="87"/>
              </w:rPr>
              <w:t>10.2(a)</w:t>
            </w:r>
          </w:p>
        </w:tc>
      </w:tr>
    </w:tbl>
    <w:p>
      <w:pPr>
        <w:spacing w:after="0" w:line="460" w:lineRule="exact"/>
        <w:rPr>
          <w:sz w:val="20"/>
          <w:szCs w:val="20"/>
          <w:color w:val="auto"/>
        </w:rPr>
      </w:pPr>
    </w:p>
    <w:p>
      <w:pPr>
        <w:sectPr>
          <w:pgSz w:w="11900" w:h="16838" w:orient="portrait"/>
          <w:cols w:equalWidth="0" w:num="2">
            <w:col w:w="6720" w:space="180"/>
            <w:col w:w="4340"/>
          </w:cols>
          <w:pgMar w:left="320" w:top="121" w:right="339" w:bottom="1440" w:gutter="0" w:footer="0" w:header="0"/>
          <w:type w:val="continuous"/>
        </w:sectPr>
      </w:pP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9"/>
              </w:rPr>
              <w:t>10.2(b)#</w:t>
            </w:r>
          </w:p>
        </w:tc>
        <w:tc>
          <w:tcPr>
            <w:tcW w:w="5460" w:type="dxa"/>
            <w:vAlign w:val="bottom"/>
            <w:tcBorders>
              <w:bottom w:val="single" w:sz="8" w:color="0000EE"/>
            </w:tcBorders>
            <w:gridSpan w:val="18"/>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Form of Unit Award Agreement (Non-U.S. Form) under EagleTree-Carbide</w:t>
              </w:r>
            </w:hyperlink>
          </w:p>
        </w:tc>
        <w:tc>
          <w:tcPr>
            <w:tcW w:w="360" w:type="dxa"/>
            <w:vAlign w:val="bottom"/>
            <w:gridSpan w:val="15"/>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6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Holdings (Cayman), LP Equity Incentive Program</w:t>
              </w:r>
            </w:hyperlink>
          </w:p>
        </w:tc>
        <w:tc>
          <w:tcPr>
            <w:tcW w:w="2180" w:type="dxa"/>
            <w:vAlign w:val="bottom"/>
            <w:gridSpan w:val="22"/>
          </w:tcPr>
          <w:p>
            <w:pPr>
              <w:spacing w:after="0"/>
              <w:rPr>
                <w:sz w:val="17"/>
                <w:szCs w:val="17"/>
                <w:color w:val="auto"/>
              </w:rPr>
            </w:pPr>
          </w:p>
        </w:tc>
      </w:tr>
      <w:tr>
        <w:trPr>
          <w:trHeight w:val="35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8"/>
              </w:rPr>
              <w:t>10.3#</w:t>
            </w:r>
          </w:p>
        </w:tc>
        <w:tc>
          <w:tcPr>
            <w:tcW w:w="5820" w:type="dxa"/>
            <w:vAlign w:val="bottom"/>
            <w:gridSpan w:val="33"/>
          </w:tcPr>
          <w:p>
            <w:pPr>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2020 Incentive Award Plan</w:t>
              </w:r>
            </w:hyperlink>
          </w:p>
        </w:tc>
      </w:tr>
      <w:tr>
        <w:trPr>
          <w:trHeight w:val="297"/>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9"/>
              </w:rPr>
              <w:t>10.3(a)#</w:t>
            </w:r>
          </w:p>
        </w:tc>
        <w:tc>
          <w:tcPr>
            <w:tcW w:w="5820" w:type="dxa"/>
            <w:vAlign w:val="bottom"/>
            <w:tcBorders>
              <w:bottom w:val="single" w:sz="8" w:color="0000EE"/>
            </w:tcBorders>
            <w:gridSpan w:val="33"/>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Form of Stock Option Grant Notice and Stock Option Agreement under the 2020</w:t>
              </w:r>
            </w:hyperlink>
          </w:p>
        </w:tc>
      </w:tr>
      <w:tr>
        <w:trPr>
          <w:trHeight w:val="196"/>
        </w:trPr>
        <w:tc>
          <w:tcPr>
            <w:tcW w:w="820" w:type="dxa"/>
            <w:vAlign w:val="bottom"/>
          </w:tcPr>
          <w:p>
            <w:pPr>
              <w:spacing w:after="0"/>
              <w:rPr>
                <w:sz w:val="17"/>
                <w:szCs w:val="17"/>
                <w:color w:val="auto"/>
              </w:rPr>
            </w:pPr>
          </w:p>
        </w:tc>
        <w:tc>
          <w:tcPr>
            <w:tcW w:w="5820" w:type="dxa"/>
            <w:vAlign w:val="bottom"/>
            <w:gridSpan w:val="33"/>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Incentive Award Plan.</w:t>
              </w:r>
            </w:hyperlink>
          </w:p>
        </w:tc>
      </w:tr>
      <w:tr>
        <w:trPr>
          <w:trHeight w:val="20"/>
        </w:trPr>
        <w:tc>
          <w:tcPr>
            <w:tcW w:w="8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9"/>
              </w:rPr>
              <w:t>10.3(b)#</w:t>
            </w:r>
          </w:p>
        </w:tc>
        <w:tc>
          <w:tcPr>
            <w:tcW w:w="5700" w:type="dxa"/>
            <w:vAlign w:val="bottom"/>
            <w:tcBorders>
              <w:bottom w:val="single" w:sz="8" w:color="0000EE"/>
            </w:tcBorders>
            <w:gridSpan w:val="27"/>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Form of Restricted Stock Award Grant Notice under the 2020 Incentive Award</w:t>
              </w:r>
            </w:hyperlink>
          </w:p>
        </w:tc>
        <w:tc>
          <w:tcPr>
            <w:tcW w:w="120" w:type="dxa"/>
            <w:vAlign w:val="bottom"/>
            <w:gridSpan w:val="6"/>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33">
              <w:r>
                <w:rPr>
                  <w:rFonts w:ascii="Arial" w:cs="Arial" w:eastAsia="Arial" w:hAnsi="Arial"/>
                  <w:sz w:val="18"/>
                  <w:szCs w:val="18"/>
                  <w:color w:val="0000EE"/>
                  <w:w w:val="82"/>
                </w:rPr>
                <w:t>Plan.</w:t>
              </w:r>
            </w:hyperlink>
          </w:p>
        </w:tc>
        <w:tc>
          <w:tcPr>
            <w:tcW w:w="5460" w:type="dxa"/>
            <w:vAlign w:val="bottom"/>
            <w:gridSpan w:val="32"/>
          </w:tcPr>
          <w:p>
            <w:pPr>
              <w:spacing w:after="0"/>
              <w:rPr>
                <w:sz w:val="17"/>
                <w:szCs w:val="17"/>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0"/>
              </w:rPr>
              <w:t>10.3(c)#</w:t>
            </w:r>
          </w:p>
        </w:tc>
        <w:tc>
          <w:tcPr>
            <w:tcW w:w="5820" w:type="dxa"/>
            <w:vAlign w:val="bottom"/>
            <w:gridSpan w:val="33"/>
          </w:tcPr>
          <w:p>
            <w:pPr>
              <w:spacing w:after="0"/>
              <w:rPr>
                <w:rFonts w:ascii="Arial" w:cs="Arial" w:eastAsia="Arial" w:hAnsi="Arial"/>
                <w:sz w:val="18"/>
                <w:szCs w:val="18"/>
                <w:color w:val="0000EE"/>
                <w:w w:val="96"/>
              </w:rPr>
            </w:pPr>
            <w:hyperlink r:id="rId134">
              <w:r>
                <w:rPr>
                  <w:rFonts w:ascii="Arial" w:cs="Arial" w:eastAsia="Arial" w:hAnsi="Arial"/>
                  <w:sz w:val="18"/>
                  <w:szCs w:val="18"/>
                  <w:color w:val="0000EE"/>
                  <w:w w:val="96"/>
                </w:rPr>
                <w:t>Form of Restricted Stock Unit Award Grant Notice under the 2020 Incentive</w:t>
              </w:r>
            </w:hyperlink>
          </w:p>
        </w:tc>
      </w:tr>
      <w:tr>
        <w:trPr>
          <w:trHeight w:val="196"/>
        </w:trPr>
        <w:tc>
          <w:tcPr>
            <w:tcW w:w="8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Award Plan.</w:t>
              </w:r>
            </w:hyperlink>
          </w:p>
        </w:tc>
        <w:tc>
          <w:tcPr>
            <w:tcW w:w="4620" w:type="dxa"/>
            <w:vAlign w:val="bottom"/>
            <w:tcBorders>
              <w:top w:val="single" w:sz="8" w:color="0000EE"/>
            </w:tcBorders>
            <w:gridSpan w:val="18"/>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35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8"/>
              </w:rPr>
              <w:t>10.4#</w:t>
            </w:r>
          </w:p>
        </w:tc>
        <w:tc>
          <w:tcPr>
            <w:tcW w:w="5820" w:type="dxa"/>
            <w:vAlign w:val="bottom"/>
            <w:gridSpan w:val="33"/>
          </w:tcPr>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2020 Employee Stock Purchase Plan.</w:t>
              </w:r>
            </w:hyperlink>
          </w:p>
        </w:tc>
      </w:tr>
      <w:tr>
        <w:trPr>
          <w:trHeight w:val="297"/>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1"/>
              </w:rPr>
              <w:t>10.5(a)</w:t>
            </w:r>
          </w:p>
        </w:tc>
        <w:tc>
          <w:tcPr>
            <w:tcW w:w="5820" w:type="dxa"/>
            <w:vAlign w:val="bottom"/>
            <w:gridSpan w:val="33"/>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First Lien Credit and Guaranty Agreement, dated as of August 28, 2017, by and</w:t>
              </w:r>
            </w:hyperlink>
          </w:p>
        </w:tc>
      </w:tr>
      <w:tr>
        <w:trPr>
          <w:trHeight w:val="20"/>
        </w:trPr>
        <w:tc>
          <w:tcPr>
            <w:tcW w:w="8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76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among Corsair Group (Cayman), LP and certain of its subsidiaries including the</w:t>
              </w:r>
            </w:hyperlink>
          </w:p>
        </w:tc>
        <w:tc>
          <w:tcPr>
            <w:tcW w:w="60" w:type="dxa"/>
            <w:vAlign w:val="bottom"/>
            <w:gridSpan w:val="3"/>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820" w:type="dxa"/>
            <w:vAlign w:val="bottom"/>
            <w:gridSpan w:val="33"/>
          </w:tcPr>
          <w:p>
            <w:pPr>
              <w:spacing w:after="0" w:line="196" w:lineRule="exact"/>
              <w:rPr>
                <w:rFonts w:ascii="Arial" w:cs="Arial" w:eastAsia="Arial" w:hAnsi="Arial"/>
                <w:sz w:val="18"/>
                <w:szCs w:val="18"/>
                <w:color w:val="0000EE"/>
                <w:w w:val="95"/>
              </w:rPr>
            </w:pPr>
            <w:hyperlink r:id="rId136">
              <w:r>
                <w:rPr>
                  <w:rFonts w:ascii="Arial" w:cs="Arial" w:eastAsia="Arial" w:hAnsi="Arial"/>
                  <w:sz w:val="18"/>
                  <w:szCs w:val="18"/>
                  <w:color w:val="0000EE"/>
                  <w:w w:val="95"/>
                </w:rPr>
                <w:t>Registrant, Macquarie Capital Funding LLC, as administrative agent, and the</w:t>
              </w:r>
            </w:hyperlink>
          </w:p>
        </w:tc>
      </w:tr>
      <w:tr>
        <w:trPr>
          <w:trHeight w:val="196"/>
        </w:trPr>
        <w:tc>
          <w:tcPr>
            <w:tcW w:w="8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36">
              <w:r>
                <w:rPr>
                  <w:rFonts w:ascii="Arial" w:cs="Arial" w:eastAsia="Arial" w:hAnsi="Arial"/>
                  <w:sz w:val="18"/>
                  <w:szCs w:val="18"/>
                  <w:color w:val="0000EE"/>
                  <w:w w:val="87"/>
                </w:rPr>
                <w:t>other parties thereto.</w:t>
              </w:r>
            </w:hyperlink>
          </w:p>
        </w:tc>
        <w:tc>
          <w:tcPr>
            <w:tcW w:w="4060" w:type="dxa"/>
            <w:vAlign w:val="bottom"/>
            <w:tcBorders>
              <w:top w:val="single" w:sz="8" w:color="0000EE"/>
            </w:tcBorders>
            <w:gridSpan w:val="18"/>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317"/>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1"/>
              </w:rPr>
              <w:t>10.5(b)</w:t>
            </w:r>
          </w:p>
        </w:tc>
        <w:tc>
          <w:tcPr>
            <w:tcW w:w="5820" w:type="dxa"/>
            <w:vAlign w:val="bottom"/>
            <w:gridSpan w:val="33"/>
          </w:tcPr>
          <w:p>
            <w:pPr>
              <w:spacing w:after="0"/>
              <w:rPr>
                <w:rFonts w:ascii="Arial" w:cs="Arial" w:eastAsia="Arial" w:hAnsi="Arial"/>
                <w:sz w:val="18"/>
                <w:szCs w:val="18"/>
                <w:color w:val="0000EE"/>
                <w:w w:val="96"/>
              </w:rPr>
            </w:pPr>
            <w:hyperlink r:id="rId137">
              <w:r>
                <w:rPr>
                  <w:rFonts w:ascii="Arial" w:cs="Arial" w:eastAsia="Arial" w:hAnsi="Arial"/>
                  <w:sz w:val="18"/>
                  <w:szCs w:val="18"/>
                  <w:color w:val="0000EE"/>
                  <w:w w:val="96"/>
                </w:rPr>
                <w:t>Amendment No. 1 to First Lien Credit and Guaranty Agreement, dated as of</w:t>
              </w:r>
            </w:hyperlink>
          </w:p>
        </w:tc>
      </w:tr>
      <w:tr>
        <w:trPr>
          <w:trHeight w:val="20"/>
        </w:trPr>
        <w:tc>
          <w:tcPr>
            <w:tcW w:w="82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8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October 3, 2017, by and among Corsair Group (Cayman), LP and certain of its</w:t>
              </w:r>
            </w:hyperlink>
          </w:p>
        </w:tc>
        <w:tc>
          <w:tcPr>
            <w:tcW w:w="140" w:type="dxa"/>
            <w:vAlign w:val="bottom"/>
            <w:gridSpan w:val="7"/>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820" w:type="dxa"/>
            <w:vAlign w:val="bottom"/>
            <w:gridSpan w:val="33"/>
          </w:tcPr>
          <w:p>
            <w:pPr>
              <w:spacing w:after="0" w:line="196" w:lineRule="exact"/>
              <w:rPr>
                <w:rFonts w:ascii="Arial" w:cs="Arial" w:eastAsia="Arial" w:hAnsi="Arial"/>
                <w:sz w:val="18"/>
                <w:szCs w:val="18"/>
                <w:color w:val="0000EE"/>
                <w:w w:val="99"/>
              </w:rPr>
            </w:pPr>
            <w:hyperlink r:id="rId137">
              <w:r>
                <w:rPr>
                  <w:rFonts w:ascii="Arial" w:cs="Arial" w:eastAsia="Arial" w:hAnsi="Arial"/>
                  <w:sz w:val="18"/>
                  <w:szCs w:val="18"/>
                  <w:color w:val="0000EE"/>
                  <w:w w:val="99"/>
                </w:rPr>
                <w:t>subsidiaries including the Registrant, Macquarie Capital Funding LLC, as</w:t>
              </w:r>
            </w:hyperlink>
          </w:p>
        </w:tc>
      </w:tr>
      <w:tr>
        <w:trPr>
          <w:trHeight w:val="196"/>
        </w:trPr>
        <w:tc>
          <w:tcPr>
            <w:tcW w:w="8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administrative agent, and the other parties thereto.</w:t>
              </w:r>
            </w:hyperlink>
          </w:p>
        </w:tc>
        <w:tc>
          <w:tcPr>
            <w:tcW w:w="1680" w:type="dxa"/>
            <w:vAlign w:val="bottom"/>
            <w:tcBorders>
              <w:top w:val="single" w:sz="8" w:color="0000EE"/>
            </w:tcBorders>
            <w:gridSpan w:val="4"/>
          </w:tcPr>
          <w:p>
            <w:pPr>
              <w:spacing w:after="0"/>
              <w:rPr>
                <w:sz w:val="17"/>
                <w:szCs w:val="17"/>
                <w:color w:val="auto"/>
              </w:rPr>
            </w:pPr>
          </w:p>
        </w:tc>
        <w:tc>
          <w:tcPr>
            <w:tcW w:w="520" w:type="dxa"/>
            <w:vAlign w:val="bottom"/>
            <w:gridSpan w:val="19"/>
          </w:tcPr>
          <w:p>
            <w:pPr>
              <w:spacing w:after="0"/>
              <w:rPr>
                <w:sz w:val="17"/>
                <w:szCs w:val="17"/>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2"/>
              </w:rPr>
              <w:t>10.5(c)</w:t>
            </w:r>
          </w:p>
        </w:tc>
        <w:tc>
          <w:tcPr>
            <w:tcW w:w="5820" w:type="dxa"/>
            <w:vAlign w:val="bottom"/>
            <w:gridSpan w:val="33"/>
          </w:tcPr>
          <w:p>
            <w:pPr>
              <w:spacing w:after="0"/>
              <w:rPr>
                <w:rFonts w:ascii="Arial" w:cs="Arial" w:eastAsia="Arial" w:hAnsi="Arial"/>
                <w:sz w:val="18"/>
                <w:szCs w:val="18"/>
                <w:color w:val="0000EE"/>
                <w:w w:val="96"/>
              </w:rPr>
            </w:pPr>
            <w:hyperlink r:id="rId138">
              <w:r>
                <w:rPr>
                  <w:rFonts w:ascii="Arial" w:cs="Arial" w:eastAsia="Arial" w:hAnsi="Arial"/>
                  <w:sz w:val="18"/>
                  <w:szCs w:val="18"/>
                  <w:color w:val="0000EE"/>
                  <w:w w:val="96"/>
                </w:rPr>
                <w:t>Amendment No. 2 to First Lien Credit and Guaranty Agreement, dated as of</w:t>
              </w:r>
            </w:hyperlink>
          </w:p>
        </w:tc>
      </w:tr>
      <w:tr>
        <w:trPr>
          <w:trHeight w:val="20"/>
        </w:trPr>
        <w:tc>
          <w:tcPr>
            <w:tcW w:w="82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March 29, 2018, by and among Corsair Group (Cayman), LP and certain of its</w:t>
              </w:r>
            </w:hyperlink>
          </w:p>
        </w:tc>
        <w:tc>
          <w:tcPr>
            <w:tcW w:w="160" w:type="dxa"/>
            <w:vAlign w:val="bottom"/>
            <w:gridSpan w:val="8"/>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820" w:type="dxa"/>
            <w:vAlign w:val="bottom"/>
            <w:gridSpan w:val="33"/>
          </w:tcPr>
          <w:p>
            <w:pPr>
              <w:spacing w:after="0" w:line="196"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subsidiaries including the Registrant, Macquarie Capital Funding LLC, as</w:t>
              </w:r>
            </w:hyperlink>
          </w:p>
        </w:tc>
      </w:tr>
      <w:tr>
        <w:trPr>
          <w:trHeight w:val="196"/>
        </w:trPr>
        <w:tc>
          <w:tcPr>
            <w:tcW w:w="8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administrative agent, and the other parties thereto.</w:t>
              </w:r>
            </w:hyperlink>
          </w:p>
        </w:tc>
        <w:tc>
          <w:tcPr>
            <w:tcW w:w="1680" w:type="dxa"/>
            <w:vAlign w:val="bottom"/>
            <w:tcBorders>
              <w:top w:val="single" w:sz="8" w:color="0000EE"/>
            </w:tcBorders>
            <w:gridSpan w:val="4"/>
          </w:tcPr>
          <w:p>
            <w:pPr>
              <w:spacing w:after="0"/>
              <w:rPr>
                <w:sz w:val="17"/>
                <w:szCs w:val="17"/>
                <w:color w:val="auto"/>
              </w:rPr>
            </w:pPr>
          </w:p>
        </w:tc>
        <w:tc>
          <w:tcPr>
            <w:tcW w:w="520" w:type="dxa"/>
            <w:vAlign w:val="bottom"/>
            <w:gridSpan w:val="19"/>
          </w:tcPr>
          <w:p>
            <w:pPr>
              <w:spacing w:after="0"/>
              <w:rPr>
                <w:sz w:val="17"/>
                <w:szCs w:val="17"/>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1"/>
              </w:rPr>
              <w:t>10.6(a)</w:t>
            </w:r>
          </w:p>
        </w:tc>
        <w:tc>
          <w:tcPr>
            <w:tcW w:w="5640" w:type="dxa"/>
            <w:vAlign w:val="bottom"/>
            <w:tcBorders>
              <w:bottom w:val="single" w:sz="8" w:color="0000EE"/>
            </w:tcBorders>
            <w:gridSpan w:val="24"/>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Second Lien Credit and Guaranty Agreement, dated as of August 28, 2017, by</w:t>
              </w:r>
            </w:hyperlink>
          </w:p>
        </w:tc>
        <w:tc>
          <w:tcPr>
            <w:tcW w:w="180" w:type="dxa"/>
            <w:vAlign w:val="bottom"/>
            <w:gridSpan w:val="9"/>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8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and among Corsair Group (Cayman), LP and certain of its subsidiaries including</w:t>
              </w:r>
            </w:hyperlink>
          </w:p>
        </w:tc>
        <w:tc>
          <w:tcPr>
            <w:tcW w:w="2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82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the Registrant, Macquarie Capital Funding LLC, as administrative agent, and the</w:t>
              </w:r>
            </w:hyperlink>
          </w:p>
        </w:tc>
      </w:tr>
      <w:tr>
        <w:trPr>
          <w:trHeight w:val="196"/>
        </w:trPr>
        <w:tc>
          <w:tcPr>
            <w:tcW w:w="820" w:type="dxa"/>
            <w:vAlign w:val="bottom"/>
          </w:tcPr>
          <w:p>
            <w:pPr>
              <w:spacing w:after="0"/>
              <w:rPr>
                <w:sz w:val="17"/>
                <w:szCs w:val="17"/>
                <w:color w:val="auto"/>
              </w:rPr>
            </w:pPr>
          </w:p>
        </w:tc>
        <w:tc>
          <w:tcPr>
            <w:tcW w:w="14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39">
              <w:r>
                <w:rPr>
                  <w:rFonts w:ascii="Arial" w:cs="Arial" w:eastAsia="Arial" w:hAnsi="Arial"/>
                  <w:sz w:val="18"/>
                  <w:szCs w:val="18"/>
                  <w:color w:val="0000EE"/>
                  <w:w w:val="87"/>
                </w:rPr>
                <w:t>other parties thereto.</w:t>
              </w:r>
            </w:hyperlink>
          </w:p>
        </w:tc>
        <w:tc>
          <w:tcPr>
            <w:tcW w:w="4340" w:type="dxa"/>
            <w:vAlign w:val="bottom"/>
            <w:gridSpan w:val="30"/>
          </w:tcPr>
          <w:p>
            <w:pPr>
              <w:spacing w:after="0"/>
              <w:rPr>
                <w:sz w:val="17"/>
                <w:szCs w:val="17"/>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1"/>
              </w:rPr>
              <w:t>10.6(b)</w:t>
            </w:r>
          </w:p>
        </w:tc>
        <w:tc>
          <w:tcPr>
            <w:tcW w:w="5640" w:type="dxa"/>
            <w:vAlign w:val="bottom"/>
            <w:tcBorders>
              <w:bottom w:val="single" w:sz="8" w:color="0000EE"/>
            </w:tcBorders>
            <w:gridSpan w:val="24"/>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Amendment No. 1 to Second Lien Credit and Guaranty, dated as of October 3,</w:t>
              </w:r>
            </w:hyperlink>
          </w:p>
        </w:tc>
        <w:tc>
          <w:tcPr>
            <w:tcW w:w="180" w:type="dxa"/>
            <w:vAlign w:val="bottom"/>
            <w:gridSpan w:val="9"/>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6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2017, by and among Corsair Group (Cayman), LP, Macquarie Capital Funding</w:t>
              </w:r>
            </w:hyperlink>
          </w:p>
        </w:tc>
        <w:tc>
          <w:tcPr>
            <w:tcW w:w="160" w:type="dxa"/>
            <w:vAlign w:val="bottom"/>
            <w:gridSpan w:val="8"/>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5820" w:type="dxa"/>
            <w:vAlign w:val="bottom"/>
            <w:gridSpan w:val="33"/>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LLC, as administrative agent, and the other parties thereto.</w:t>
              </w:r>
            </w:hyperlink>
          </w:p>
        </w:tc>
      </w:tr>
      <w:tr>
        <w:trPr>
          <w:trHeight w:val="20"/>
        </w:trPr>
        <w:tc>
          <w:tcPr>
            <w:tcW w:w="82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91"/>
              </w:rPr>
              <w:t>10.7</w:t>
            </w:r>
          </w:p>
        </w:tc>
        <w:tc>
          <w:tcPr>
            <w:tcW w:w="5420" w:type="dxa"/>
            <w:vAlign w:val="bottom"/>
            <w:tcBorders>
              <w:bottom w:val="single" w:sz="8" w:color="0000EE"/>
            </w:tcBorders>
            <w:gridSpan w:val="17"/>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Industrial Space Lease, dated as of August 18, 2014, by and among Corsair</w:t>
              </w:r>
            </w:hyperlink>
          </w:p>
        </w:tc>
        <w:tc>
          <w:tcPr>
            <w:tcW w:w="400" w:type="dxa"/>
            <w:vAlign w:val="bottom"/>
            <w:gridSpan w:val="16"/>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7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Memory, Inc. and Osprey Capital Building 50, LLC.</w:t>
              </w:r>
            </w:hyperlink>
          </w:p>
        </w:tc>
        <w:tc>
          <w:tcPr>
            <w:tcW w:w="2040" w:type="dxa"/>
            <w:vAlign w:val="bottom"/>
            <w:gridSpan w:val="21"/>
          </w:tcPr>
          <w:p>
            <w:pPr>
              <w:spacing w:after="0"/>
              <w:rPr>
                <w:sz w:val="17"/>
                <w:szCs w:val="17"/>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9"/>
              </w:rPr>
              <w:t>10.8(a)#</w:t>
            </w:r>
          </w:p>
        </w:tc>
        <w:tc>
          <w:tcPr>
            <w:tcW w:w="5340" w:type="dxa"/>
            <w:vAlign w:val="bottom"/>
            <w:tcBorders>
              <w:bottom w:val="single" w:sz="8" w:color="0000EE"/>
            </w:tcBorders>
            <w:gridSpan w:val="15"/>
          </w:tcPr>
          <w:p>
            <w:pPr>
              <w:spacing w:after="0"/>
              <w:rPr>
                <w:rFonts w:ascii="Arial" w:cs="Arial" w:eastAsia="Arial" w:hAnsi="Arial"/>
                <w:sz w:val="18"/>
                <w:szCs w:val="18"/>
                <w:color w:val="0000EE"/>
                <w:w w:val="88"/>
              </w:rPr>
            </w:pPr>
            <w:hyperlink r:id="rId142">
              <w:r>
                <w:rPr>
                  <w:rFonts w:ascii="Arial" w:cs="Arial" w:eastAsia="Arial" w:hAnsi="Arial"/>
                  <w:sz w:val="18"/>
                  <w:szCs w:val="18"/>
                  <w:color w:val="0000EE"/>
                  <w:w w:val="88"/>
                </w:rPr>
                <w:t>Severance Letter Agreement, dated as July 1, 2010, by and among Corsair</w:t>
              </w:r>
            </w:hyperlink>
          </w:p>
        </w:tc>
        <w:tc>
          <w:tcPr>
            <w:tcW w:w="480" w:type="dxa"/>
            <w:vAlign w:val="bottom"/>
            <w:gridSpan w:val="18"/>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820" w:type="dxa"/>
            <w:vAlign w:val="bottom"/>
            <w:gridSpan w:val="33"/>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Memory, Inc. and Andy Paul.</w:t>
              </w:r>
            </w:hyperlink>
          </w:p>
        </w:tc>
      </w:tr>
      <w:tr>
        <w:trPr>
          <w:trHeight w:val="20"/>
        </w:trPr>
        <w:tc>
          <w:tcPr>
            <w:tcW w:w="82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9"/>
              </w:rPr>
              <w:t>10.8(b)#</w:t>
            </w:r>
          </w:p>
        </w:tc>
        <w:tc>
          <w:tcPr>
            <w:tcW w:w="5340" w:type="dxa"/>
            <w:vAlign w:val="bottom"/>
            <w:tcBorders>
              <w:bottom w:val="single" w:sz="8" w:color="0000EE"/>
            </w:tcBorders>
            <w:gridSpan w:val="15"/>
          </w:tcPr>
          <w:p>
            <w:pPr>
              <w:spacing w:after="0"/>
              <w:rPr>
                <w:rFonts w:ascii="Arial" w:cs="Arial" w:eastAsia="Arial" w:hAnsi="Arial"/>
                <w:sz w:val="18"/>
                <w:szCs w:val="18"/>
                <w:color w:val="0000EE"/>
                <w:w w:val="88"/>
              </w:rPr>
            </w:pPr>
            <w:hyperlink r:id="rId143">
              <w:r>
                <w:rPr>
                  <w:rFonts w:ascii="Arial" w:cs="Arial" w:eastAsia="Arial" w:hAnsi="Arial"/>
                  <w:sz w:val="18"/>
                  <w:szCs w:val="18"/>
                  <w:color w:val="0000EE"/>
                  <w:w w:val="88"/>
                </w:rPr>
                <w:t>Severance Letter Agreement, dated as July 1, 2010, by and among Corsair</w:t>
              </w:r>
            </w:hyperlink>
          </w:p>
        </w:tc>
        <w:tc>
          <w:tcPr>
            <w:tcW w:w="480" w:type="dxa"/>
            <w:vAlign w:val="bottom"/>
            <w:gridSpan w:val="18"/>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4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Memory, Inc. and Nick Hawkins.</w:t>
              </w:r>
            </w:hyperlink>
          </w:p>
        </w:tc>
        <w:tc>
          <w:tcPr>
            <w:tcW w:w="3420" w:type="dxa"/>
            <w:vAlign w:val="bottom"/>
            <w:gridSpan w:val="25"/>
          </w:tcPr>
          <w:p>
            <w:pPr>
              <w:spacing w:after="0"/>
              <w:rPr>
                <w:sz w:val="17"/>
                <w:szCs w:val="17"/>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8"/>
              </w:rPr>
              <w:t>10.9#</w:t>
            </w:r>
          </w:p>
        </w:tc>
        <w:tc>
          <w:tcPr>
            <w:tcW w:w="5580" w:type="dxa"/>
            <w:vAlign w:val="bottom"/>
            <w:tcBorders>
              <w:bottom w:val="single" w:sz="8" w:color="0000EE"/>
            </w:tcBorders>
            <w:gridSpan w:val="23"/>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Separation Agreement, dated April 30, 2019, by and among Corsair Memory,</w:t>
              </w:r>
            </w:hyperlink>
          </w:p>
        </w:tc>
        <w:tc>
          <w:tcPr>
            <w:tcW w:w="240" w:type="dxa"/>
            <w:vAlign w:val="bottom"/>
            <w:gridSpan w:val="10"/>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Inc. and Nick Hawkins.</w:t>
              </w:r>
            </w:hyperlink>
          </w:p>
        </w:tc>
        <w:tc>
          <w:tcPr>
            <w:tcW w:w="4120" w:type="dxa"/>
            <w:vAlign w:val="bottom"/>
            <w:gridSpan w:val="28"/>
          </w:tcPr>
          <w:p>
            <w:pPr>
              <w:spacing w:after="0"/>
              <w:rPr>
                <w:sz w:val="17"/>
                <w:szCs w:val="17"/>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7"/>
              </w:rPr>
              <w:t>10.10#</w:t>
            </w:r>
          </w:p>
        </w:tc>
        <w:tc>
          <w:tcPr>
            <w:tcW w:w="5820" w:type="dxa"/>
            <w:vAlign w:val="bottom"/>
            <w:gridSpan w:val="33"/>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Offer Letter Agreement, dated October 17, 2019, by and among Corsair Gaming</w:t>
              </w:r>
            </w:hyperlink>
          </w:p>
        </w:tc>
      </w:tr>
      <w:tr>
        <w:trPr>
          <w:trHeight w:val="196"/>
        </w:trPr>
        <w:tc>
          <w:tcPr>
            <w:tcW w:w="820" w:type="dxa"/>
            <w:vAlign w:val="bottom"/>
          </w:tcPr>
          <w:p>
            <w:pPr>
              <w:spacing w:after="0"/>
              <w:rPr>
                <w:sz w:val="17"/>
                <w:szCs w:val="17"/>
                <w:color w:val="auto"/>
              </w:rPr>
            </w:pPr>
          </w:p>
        </w:tc>
        <w:tc>
          <w:tcPr>
            <w:tcW w:w="57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Inc., and Michael Potter.</w:t>
              </w:r>
            </w:hyperlink>
          </w:p>
        </w:tc>
        <w:tc>
          <w:tcPr>
            <w:tcW w:w="40" w:type="dxa"/>
            <w:vAlign w:val="bottom"/>
            <w:gridSpan w:val="2"/>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7"/>
              </w:rPr>
              <w:t>10.11#</w:t>
            </w:r>
          </w:p>
        </w:tc>
        <w:tc>
          <w:tcPr>
            <w:tcW w:w="5740" w:type="dxa"/>
            <w:vAlign w:val="bottom"/>
            <w:tcBorders>
              <w:bottom w:val="single" w:sz="8" w:color="0000EE"/>
            </w:tcBorders>
            <w:gridSpan w:val="29"/>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Second Separation Agreement, dated November 7, 2019, by and among Corsair</w:t>
              </w:r>
            </w:hyperlink>
          </w:p>
        </w:tc>
        <w:tc>
          <w:tcPr>
            <w:tcW w:w="80" w:type="dxa"/>
            <w:vAlign w:val="bottom"/>
            <w:gridSpan w:val="4"/>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4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Memory, Inc. and Nick Hawkins.</w:t>
              </w:r>
            </w:hyperlink>
          </w:p>
        </w:tc>
        <w:tc>
          <w:tcPr>
            <w:tcW w:w="3420" w:type="dxa"/>
            <w:vAlign w:val="bottom"/>
            <w:gridSpan w:val="25"/>
          </w:tcPr>
          <w:p>
            <w:pPr>
              <w:spacing w:after="0"/>
              <w:rPr>
                <w:sz w:val="17"/>
                <w:szCs w:val="17"/>
                <w:color w:val="auto"/>
              </w:rPr>
            </w:pPr>
          </w:p>
        </w:tc>
      </w:tr>
      <w:tr>
        <w:trPr>
          <w:trHeight w:val="317"/>
        </w:trPr>
        <w:tc>
          <w:tcPr>
            <w:tcW w:w="820" w:type="dxa"/>
            <w:vAlign w:val="bottom"/>
          </w:tcPr>
          <w:p>
            <w:pPr>
              <w:jc w:val="center"/>
              <w:ind w:right="130"/>
              <w:spacing w:after="0"/>
              <w:rPr>
                <w:sz w:val="20"/>
                <w:szCs w:val="20"/>
                <w:color w:val="auto"/>
              </w:rPr>
            </w:pPr>
            <w:r>
              <w:rPr>
                <w:rFonts w:ascii="Arial" w:cs="Arial" w:eastAsia="Arial" w:hAnsi="Arial"/>
                <w:sz w:val="18"/>
                <w:szCs w:val="18"/>
                <w:color w:val="auto"/>
                <w:w w:val="88"/>
              </w:rPr>
              <w:t>10.12</w:t>
            </w:r>
          </w:p>
        </w:tc>
        <w:tc>
          <w:tcPr>
            <w:tcW w:w="5560" w:type="dxa"/>
            <w:vAlign w:val="bottom"/>
            <w:tcBorders>
              <w:bottom w:val="single" w:sz="8" w:color="0000EE"/>
            </w:tcBorders>
            <w:gridSpan w:val="22"/>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Amendment No. 3 to First Lien Credit and Guarantee Agreement, dated as of</w:t>
              </w:r>
            </w:hyperlink>
          </w:p>
        </w:tc>
        <w:tc>
          <w:tcPr>
            <w:tcW w:w="260" w:type="dxa"/>
            <w:vAlign w:val="bottom"/>
            <w:gridSpan w:val="11"/>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820" w:type="dxa"/>
            <w:vAlign w:val="bottom"/>
            <w:gridSpan w:val="33"/>
          </w:tcPr>
          <w:p>
            <w:pPr>
              <w:spacing w:after="0" w:line="19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April 27, 2018, by and among Corsair Group (Cayman), LP and certain of its</w:t>
              </w:r>
            </w:hyperlink>
          </w:p>
        </w:tc>
      </w:tr>
      <w:tr>
        <w:trPr>
          <w:trHeight w:val="196"/>
        </w:trPr>
        <w:tc>
          <w:tcPr>
            <w:tcW w:w="82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subsidiaries, including the Registrant, Macquarie Capital Funding LLC, as</w:t>
              </w:r>
            </w:hyperlink>
          </w:p>
        </w:tc>
        <w:tc>
          <w:tcPr>
            <w:tcW w:w="180" w:type="dxa"/>
            <w:vAlign w:val="bottom"/>
            <w:tcBorders>
              <w:top w:val="single" w:sz="8" w:color="0000EE"/>
            </w:tcBorders>
            <w:gridSpan w:val="5"/>
          </w:tcPr>
          <w:p>
            <w:pPr>
              <w:spacing w:after="0"/>
              <w:rPr>
                <w:sz w:val="17"/>
                <w:szCs w:val="17"/>
                <w:color w:val="auto"/>
              </w:rPr>
            </w:pPr>
          </w:p>
        </w:tc>
        <w:tc>
          <w:tcPr>
            <w:tcW w:w="280" w:type="dxa"/>
            <w:vAlign w:val="bottom"/>
            <w:gridSpan w:val="1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6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47">
              <w:r>
                <w:rPr>
                  <w:rFonts w:ascii="Arial" w:cs="Arial" w:eastAsia="Arial" w:hAnsi="Arial"/>
                  <w:sz w:val="18"/>
                  <w:szCs w:val="18"/>
                  <w:color w:val="0000EE"/>
                  <w:w w:val="88"/>
                </w:rPr>
                <w:t>administrative agent, and the other parties thereto.</w:t>
              </w:r>
            </w:hyperlink>
          </w:p>
        </w:tc>
        <w:tc>
          <w:tcPr>
            <w:tcW w:w="2220" w:type="dxa"/>
            <w:vAlign w:val="bottom"/>
            <w:gridSpan w:val="24"/>
          </w:tcPr>
          <w:p>
            <w:pPr>
              <w:spacing w:after="0"/>
              <w:rPr>
                <w:sz w:val="17"/>
                <w:szCs w:val="17"/>
                <w:color w:val="auto"/>
              </w:rPr>
            </w:pPr>
          </w:p>
        </w:tc>
      </w:tr>
      <w:tr>
        <w:trPr>
          <w:trHeight w:val="452"/>
        </w:trPr>
        <w:tc>
          <w:tcPr>
            <w:tcW w:w="820" w:type="dxa"/>
            <w:vAlign w:val="bottom"/>
          </w:tcPr>
          <w:p>
            <w:pPr>
              <w:spacing w:after="0"/>
              <w:rPr>
                <w:sz w:val="24"/>
                <w:szCs w:val="24"/>
                <w:color w:val="auto"/>
              </w:rPr>
            </w:pPr>
          </w:p>
        </w:tc>
        <w:tc>
          <w:tcPr>
            <w:tcW w:w="5300" w:type="dxa"/>
            <w:vAlign w:val="bottom"/>
            <w:gridSpan w:val="14"/>
          </w:tcPr>
          <w:p>
            <w:pPr>
              <w:ind w:left="456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4"/>
              </w:rPr>
              <w:t>10.2(b)</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14,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5"/>
              </w:rPr>
              <w:t>10.3</w:t>
            </w:r>
          </w:p>
        </w:tc>
      </w:tr>
      <w:tr>
        <w:trPr>
          <w:trHeight w:val="338"/>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14,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7"/>
              </w:rPr>
              <w:t>10.3(a)</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14,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4"/>
              </w:rPr>
              <w:t>10.3(b)</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14,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9"/>
              </w:rPr>
              <w:t>10.3(c)</w:t>
            </w:r>
          </w:p>
        </w:tc>
      </w:tr>
      <w:tr>
        <w:trPr>
          <w:trHeight w:val="55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14,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5"/>
              </w:rPr>
              <w:t>10.4</w:t>
            </w:r>
          </w:p>
        </w:tc>
      </w:tr>
      <w:tr>
        <w:trPr>
          <w:trHeight w:val="338"/>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7"/>
              </w:rPr>
              <w:t>10.5(a)</w:t>
            </w:r>
          </w:p>
        </w:tc>
      </w:tr>
      <w:tr>
        <w:trPr>
          <w:trHeight w:val="985"/>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4"/>
              </w:rPr>
              <w:t>10.5(b)</w:t>
            </w:r>
          </w:p>
        </w:tc>
      </w:tr>
      <w:tr>
        <w:trPr>
          <w:trHeight w:val="98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9"/>
              </w:rPr>
              <w:t>10.5(c)</w:t>
            </w:r>
          </w:p>
        </w:tc>
      </w:tr>
      <w:tr>
        <w:trPr>
          <w:trHeight w:val="985"/>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7"/>
              </w:rPr>
              <w:t>10.6(a)</w:t>
            </w:r>
          </w:p>
        </w:tc>
      </w:tr>
      <w:tr>
        <w:trPr>
          <w:trHeight w:val="985"/>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4"/>
              </w:rPr>
              <w:t>10.6(b)</w:t>
            </w:r>
          </w:p>
        </w:tc>
      </w:tr>
      <w:tr>
        <w:trPr>
          <w:trHeight w:val="77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5"/>
              </w:rPr>
              <w:t>10.7</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7"/>
              </w:rPr>
              <w:t>10.8(a)</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4"/>
              </w:rPr>
              <w:t>10.8(b)</w:t>
            </w:r>
          </w:p>
        </w:tc>
      </w:tr>
      <w:tr>
        <w:trPr>
          <w:trHeight w:val="55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85"/>
              </w:rPr>
              <w:t>10.9</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3"/>
              </w:rPr>
              <w:t>10.10</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21, 2020</w:t>
            </w:r>
          </w:p>
        </w:tc>
        <w:tc>
          <w:tcPr>
            <w:tcW w:w="740" w:type="dxa"/>
            <w:vAlign w:val="bottom"/>
          </w:tcPr>
          <w:p>
            <w:pPr>
              <w:jc w:val="center"/>
              <w:ind w:left="130"/>
              <w:spacing w:after="0"/>
              <w:rPr>
                <w:sz w:val="20"/>
                <w:szCs w:val="20"/>
                <w:color w:val="auto"/>
              </w:rPr>
            </w:pPr>
            <w:r>
              <w:rPr>
                <w:rFonts w:ascii="Arial" w:cs="Arial" w:eastAsia="Arial" w:hAnsi="Arial"/>
                <w:sz w:val="18"/>
                <w:szCs w:val="18"/>
                <w:color w:val="auto"/>
                <w:w w:val="88"/>
              </w:rPr>
              <w:t>10.11</w:t>
            </w:r>
          </w:p>
        </w:tc>
      </w:tr>
      <w:tr>
        <w:trPr>
          <w:trHeight w:val="55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21, 2020</w:t>
            </w:r>
          </w:p>
        </w:tc>
        <w:tc>
          <w:tcPr>
            <w:tcW w:w="740" w:type="dxa"/>
            <w:vAlign w:val="bottom"/>
          </w:tcPr>
          <w:p>
            <w:pPr>
              <w:jc w:val="center"/>
              <w:ind w:left="110"/>
              <w:spacing w:after="0"/>
              <w:rPr>
                <w:sz w:val="20"/>
                <w:szCs w:val="20"/>
                <w:color w:val="auto"/>
              </w:rPr>
            </w:pPr>
            <w:r>
              <w:rPr>
                <w:rFonts w:ascii="Arial" w:cs="Arial" w:eastAsia="Arial" w:hAnsi="Arial"/>
                <w:sz w:val="18"/>
                <w:szCs w:val="18"/>
                <w:color w:val="auto"/>
                <w:w w:val="93"/>
              </w:rPr>
              <w:t>10.12</w:t>
            </w:r>
          </w:p>
        </w:tc>
      </w:tr>
    </w:tbl>
    <w:p>
      <w:pPr>
        <w:sectPr>
          <w:pgSz w:w="11900" w:h="16838" w:orient="portrait"/>
          <w:cols w:equalWidth="0" w:num="2">
            <w:col w:w="6740" w:space="260"/>
            <w:col w:w="3240"/>
          </w:cols>
          <w:pgMar w:left="320" w:top="121" w:right="1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10.13</w:t>
            </w:r>
          </w:p>
        </w:tc>
        <w:tc>
          <w:tcPr>
            <w:tcW w:w="5560" w:type="dxa"/>
            <w:vAlign w:val="bottom"/>
            <w:tcBorders>
              <w:bottom w:val="single" w:sz="8" w:color="0000EE"/>
            </w:tcBorders>
            <w:gridSpan w:val="7"/>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Amendment No. 4 to First Lien Credit and Guarantee Agreement, dated as of</w:t>
              </w:r>
            </w:hyperlink>
          </w:p>
        </w:tc>
        <w:tc>
          <w:tcPr>
            <w:tcW w:w="280" w:type="dxa"/>
            <w:vAlign w:val="bottom"/>
            <w:gridSpan w:val="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October 11, 2018, by and among Corsair Group (Cayman), LP and certain of its</w:t>
              </w:r>
            </w:hyperlink>
          </w:p>
        </w:tc>
        <w:tc>
          <w:tcPr>
            <w:tcW w:w="80" w:type="dxa"/>
            <w:vAlign w:val="bottom"/>
            <w:gridSpan w:val="2"/>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3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subsidiaries, including the Registrant, Macquarie Capital Funding LLC, as</w:t>
              </w:r>
            </w:hyperlink>
          </w:p>
        </w:tc>
        <w:tc>
          <w:tcPr>
            <w:tcW w:w="480" w:type="dxa"/>
            <w:vAlign w:val="bottom"/>
            <w:gridSpan w:val="10"/>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administrative agent, and the other parties thereto.</w:t>
              </w:r>
            </w:hyperlink>
          </w:p>
        </w:tc>
        <w:tc>
          <w:tcPr>
            <w:tcW w:w="2220" w:type="dxa"/>
            <w:vAlign w:val="bottom"/>
            <w:gridSpan w:val="11"/>
          </w:tcPr>
          <w:p>
            <w:pPr>
              <w:spacing w:after="0"/>
              <w:rPr>
                <w:sz w:val="17"/>
                <w:szCs w:val="17"/>
                <w:color w:val="auto"/>
              </w:rPr>
            </w:pPr>
          </w:p>
        </w:tc>
      </w:tr>
      <w:tr>
        <w:trPr>
          <w:trHeight w:val="30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10.14</w:t>
            </w:r>
          </w:p>
        </w:tc>
        <w:tc>
          <w:tcPr>
            <w:tcW w:w="5580" w:type="dxa"/>
            <w:vAlign w:val="bottom"/>
            <w:tcBorders>
              <w:bottom w:val="single" w:sz="8" w:color="0000EE"/>
            </w:tcBorders>
            <w:gridSpan w:val="8"/>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Amendment No. 5 to First Lien Credit and Guarantee Agreement, dated as of</w:t>
              </w:r>
            </w:hyperlink>
          </w:p>
        </w:tc>
        <w:tc>
          <w:tcPr>
            <w:tcW w:w="260" w:type="dxa"/>
            <w:vAlign w:val="bottom"/>
            <w:gridSpan w:val="7"/>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7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December 19, 2019, by and among Corsair Group (Cayman), LP and certain of</w:t>
              </w:r>
            </w:hyperlink>
          </w:p>
        </w:tc>
        <w:tc>
          <w:tcPr>
            <w:tcW w:w="14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5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its subsidiaries, including the Registrant, Macquarie Capital Funding LLC, as</w:t>
              </w:r>
            </w:hyperlink>
          </w:p>
        </w:tc>
        <w:tc>
          <w:tcPr>
            <w:tcW w:w="260" w:type="dxa"/>
            <w:vAlign w:val="bottom"/>
            <w:gridSpan w:val="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50">
              <w:r>
                <w:rPr>
                  <w:rFonts w:ascii="Arial" w:cs="Arial" w:eastAsia="Arial" w:hAnsi="Arial"/>
                  <w:sz w:val="18"/>
                  <w:szCs w:val="18"/>
                  <w:color w:val="0000EE"/>
                  <w:w w:val="89"/>
                </w:rPr>
                <w:t>administrative agent, and the other parties thereto.</w:t>
              </w:r>
            </w:hyperlink>
          </w:p>
        </w:tc>
        <w:tc>
          <w:tcPr>
            <w:tcW w:w="2220" w:type="dxa"/>
            <w:vAlign w:val="bottom"/>
            <w:gridSpan w:val="11"/>
          </w:tcPr>
          <w:p>
            <w:pPr>
              <w:spacing w:after="0"/>
              <w:rPr>
                <w:sz w:val="17"/>
                <w:szCs w:val="17"/>
                <w:color w:val="auto"/>
              </w:rPr>
            </w:pPr>
          </w:p>
        </w:tc>
      </w:tr>
      <w:tr>
        <w:trPr>
          <w:trHeight w:val="30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10.15</w:t>
            </w:r>
          </w:p>
        </w:tc>
        <w:tc>
          <w:tcPr>
            <w:tcW w:w="5560" w:type="dxa"/>
            <w:vAlign w:val="bottom"/>
            <w:tcBorders>
              <w:bottom w:val="single" w:sz="8" w:color="0000EE"/>
            </w:tcBorders>
            <w:gridSpan w:val="7"/>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Amendment No. 6 to First Lien Credit and Guarantee Agreement, dated as of</w:t>
              </w:r>
            </w:hyperlink>
          </w:p>
        </w:tc>
        <w:tc>
          <w:tcPr>
            <w:tcW w:w="280" w:type="dxa"/>
            <w:vAlign w:val="bottom"/>
            <w:gridSpan w:val="8"/>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840" w:type="dxa"/>
            <w:vAlign w:val="bottom"/>
            <w:gridSpan w:val="15"/>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September 25, 2020, by and among Corsair Group (Cayman), LP and certain of</w:t>
              </w:r>
            </w:hyperlink>
          </w:p>
        </w:tc>
      </w:tr>
      <w:tr>
        <w:trPr>
          <w:trHeight w:val="196"/>
        </w:trPr>
        <w:tc>
          <w:tcPr>
            <w:tcW w:w="86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its subsidiaries, including the Registrant, Macquarie Capital Funding LLC, as</w:t>
              </w:r>
            </w:hyperlink>
          </w:p>
        </w:tc>
        <w:tc>
          <w:tcPr>
            <w:tcW w:w="140" w:type="dxa"/>
            <w:vAlign w:val="bottom"/>
            <w:tcBorders>
              <w:top w:val="single" w:sz="8" w:color="0000EE"/>
            </w:tcBorders>
            <w:gridSpan w:val="3"/>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6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administrative agent, and the other parties thereto.</w:t>
              </w:r>
            </w:hyperlink>
          </w:p>
        </w:tc>
        <w:tc>
          <w:tcPr>
            <w:tcW w:w="2240" w:type="dxa"/>
            <w:vAlign w:val="bottom"/>
            <w:gridSpan w:val="12"/>
          </w:tcPr>
          <w:p>
            <w:pPr>
              <w:spacing w:after="0"/>
              <w:rPr>
                <w:sz w:val="17"/>
                <w:szCs w:val="17"/>
                <w:color w:val="auto"/>
              </w:rPr>
            </w:pPr>
          </w:p>
        </w:tc>
      </w:tr>
      <w:tr>
        <w:trPr>
          <w:trHeight w:val="345"/>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21.1</w:t>
            </w:r>
          </w:p>
        </w:tc>
        <w:tc>
          <w:tcPr>
            <w:tcW w:w="5840" w:type="dxa"/>
            <w:vAlign w:val="bottom"/>
            <w:gridSpan w:val="15"/>
          </w:tcPr>
          <w:p>
            <w:pPr>
              <w:spacing w:after="0"/>
              <w:rPr>
                <w:rFonts w:ascii="Arial" w:cs="Arial" w:eastAsia="Arial" w:hAnsi="Arial"/>
                <w:sz w:val="18"/>
                <w:szCs w:val="18"/>
                <w:color w:val="0000EE"/>
              </w:rPr>
            </w:pPr>
            <w:hyperlink w:anchor="page113">
              <w:r>
                <w:rPr>
                  <w:rFonts w:ascii="Arial" w:cs="Arial" w:eastAsia="Arial" w:hAnsi="Arial"/>
                  <w:sz w:val="18"/>
                  <w:szCs w:val="18"/>
                  <w:u w:val="single" w:color="auto"/>
                  <w:color w:val="0000EE"/>
                </w:rPr>
                <w:t>List of the Registrant’s Significant Subsidiaries</w:t>
              </w:r>
              <w:r>
                <w:rPr>
                  <w:rFonts w:ascii="Arial" w:cs="Arial" w:eastAsia="Arial" w:hAnsi="Arial"/>
                  <w:sz w:val="18"/>
                  <w:szCs w:val="18"/>
                  <w:color w:val="0000EE"/>
                </w:rPr>
                <w:t>.</w:t>
              </w:r>
            </w:hyperlink>
          </w:p>
        </w:tc>
      </w:tr>
      <w:tr>
        <w:trPr>
          <w:trHeight w:val="32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23.1</w:t>
            </w:r>
          </w:p>
        </w:tc>
        <w:tc>
          <w:tcPr>
            <w:tcW w:w="5840" w:type="dxa"/>
            <w:vAlign w:val="bottom"/>
            <w:gridSpan w:val="15"/>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Consent of Independent Registered Public Accounting Firm.</w:t>
              </w:r>
            </w:hyperlink>
          </w:p>
        </w:tc>
      </w:tr>
      <w:tr>
        <w:trPr>
          <w:trHeight w:val="283"/>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24.1</w:t>
            </w:r>
          </w:p>
        </w:tc>
        <w:tc>
          <w:tcPr>
            <w:tcW w:w="5840" w:type="dxa"/>
            <w:vAlign w:val="bottom"/>
            <w:gridSpan w:val="15"/>
          </w:tcPr>
          <w:p>
            <w:pPr>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Power of Attorney (included on signature page to this Annual Report on Form</w:t>
              </w:r>
            </w:hyperlink>
          </w:p>
        </w:tc>
      </w:tr>
      <w:tr>
        <w:trPr>
          <w:trHeight w:val="196"/>
        </w:trPr>
        <w:tc>
          <w:tcPr>
            <w:tcW w:w="860" w:type="dxa"/>
            <w:vAlign w:val="bottom"/>
          </w:tcPr>
          <w:p>
            <w:pPr>
              <w:spacing w:after="0"/>
              <w:rPr>
                <w:sz w:val="17"/>
                <w:szCs w:val="17"/>
                <w:color w:val="auto"/>
              </w:rPr>
            </w:pPr>
          </w:p>
        </w:tc>
        <w:tc>
          <w:tcPr>
            <w:tcW w:w="56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10-K).</w:t>
              </w:r>
            </w:hyperlink>
          </w:p>
        </w:tc>
        <w:tc>
          <w:tcPr>
            <w:tcW w:w="220" w:type="dxa"/>
            <w:vAlign w:val="bottom"/>
            <w:gridSpan w:val="6"/>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31.1</w:t>
            </w:r>
          </w:p>
        </w:tc>
        <w:tc>
          <w:tcPr>
            <w:tcW w:w="5840" w:type="dxa"/>
            <w:vAlign w:val="bottom"/>
            <w:gridSpan w:val="15"/>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Certification of Principal Executive Officer Required under Securities Exchange</w:t>
              </w:r>
            </w:hyperlink>
          </w:p>
        </w:tc>
      </w:tr>
      <w:tr>
        <w:trPr>
          <w:trHeight w:val="196"/>
        </w:trPr>
        <w:tc>
          <w:tcPr>
            <w:tcW w:w="860" w:type="dxa"/>
            <w:vAlign w:val="bottom"/>
          </w:tcPr>
          <w:p>
            <w:pPr>
              <w:spacing w:after="0"/>
              <w:rPr>
                <w:sz w:val="17"/>
                <w:szCs w:val="17"/>
                <w:color w:val="auto"/>
              </w:rPr>
            </w:pPr>
          </w:p>
        </w:tc>
        <w:tc>
          <w:tcPr>
            <w:tcW w:w="5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Act Rule 13a-14(a) and 15d-14(a).</w:t>
              </w:r>
            </w:hyperlink>
          </w:p>
        </w:tc>
        <w:tc>
          <w:tcPr>
            <w:tcW w:w="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1"/>
              </w:rPr>
              <w:t>31.2</w:t>
            </w:r>
          </w:p>
        </w:tc>
        <w:tc>
          <w:tcPr>
            <w:tcW w:w="57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Certification of Principal Financial Officer Required under Securities Exchange</w:t>
              </w:r>
            </w:hyperlink>
          </w:p>
        </w:tc>
        <w:tc>
          <w:tcPr>
            <w:tcW w:w="100" w:type="dxa"/>
            <w:vAlign w:val="bottom"/>
            <w:gridSpan w:val="3"/>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5840" w:type="dxa"/>
            <w:vAlign w:val="bottom"/>
            <w:gridSpan w:val="15"/>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Act Rule 13a-14(a) and 15d-14(a).</w:t>
              </w:r>
            </w:hyperlink>
          </w:p>
        </w:tc>
      </w:tr>
      <w:tr>
        <w:trPr>
          <w:trHeight w:val="20"/>
        </w:trPr>
        <w:tc>
          <w:tcPr>
            <w:tcW w:w="86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r>
      <w:tr>
        <w:trPr>
          <w:trHeight w:val="30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5"/>
              </w:rPr>
              <w:t>32.1*</w:t>
            </w:r>
          </w:p>
        </w:tc>
        <w:tc>
          <w:tcPr>
            <w:tcW w:w="54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17">
              <w:r>
                <w:rPr>
                  <w:rFonts w:ascii="Arial" w:cs="Arial" w:eastAsia="Arial" w:hAnsi="Arial"/>
                  <w:sz w:val="18"/>
                  <w:szCs w:val="18"/>
                  <w:color w:val="0000EE"/>
                  <w:w w:val="93"/>
                </w:rPr>
                <w:t>Certification of Principal Executive Officer and Principal Financial Officer</w:t>
              </w:r>
            </w:hyperlink>
          </w:p>
        </w:tc>
        <w:tc>
          <w:tcPr>
            <w:tcW w:w="440" w:type="dxa"/>
            <w:vAlign w:val="bottom"/>
            <w:gridSpan w:val="9"/>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5840" w:type="dxa"/>
            <w:vAlign w:val="bottom"/>
            <w:gridSpan w:val="15"/>
          </w:tcPr>
          <w:p>
            <w:pPr>
              <w:spacing w:after="0"/>
              <w:rPr>
                <w:rFonts w:ascii="Arial" w:cs="Arial" w:eastAsia="Arial" w:hAnsi="Arial"/>
                <w:sz w:val="18"/>
                <w:szCs w:val="18"/>
                <w:u w:val="single" w:color="auto"/>
                <w:color w:val="0000EE"/>
                <w:w w:val="89"/>
              </w:rPr>
            </w:pPr>
            <w:hyperlink w:anchor="page117">
              <w:r>
                <w:rPr>
                  <w:rFonts w:ascii="Arial" w:cs="Arial" w:eastAsia="Arial" w:hAnsi="Arial"/>
                  <w:sz w:val="18"/>
                  <w:szCs w:val="18"/>
                  <w:u w:val="single" w:color="auto"/>
                  <w:color w:val="0000EE"/>
                  <w:w w:val="89"/>
                </w:rPr>
                <w:t>pursuant to 18 U.S.C. Section 1350 and Securities Exchange Act Rule 13a-14(b),</w:t>
              </w:r>
            </w:hyperlink>
          </w:p>
        </w:tc>
      </w:tr>
      <w:tr>
        <w:trPr>
          <w:trHeight w:val="310"/>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5840" w:type="dxa"/>
            <w:vAlign w:val="bottom"/>
            <w:gridSpan w:val="1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w:t>
            </w:r>
          </w:p>
        </w:tc>
      </w:tr>
      <w:tr>
        <w:trPr>
          <w:trHeight w:val="216"/>
        </w:trPr>
        <w:tc>
          <w:tcPr>
            <w:tcW w:w="860" w:type="dxa"/>
            <w:vAlign w:val="bottom"/>
          </w:tcPr>
          <w:p>
            <w:pPr>
              <w:spacing w:after="0"/>
              <w:rPr>
                <w:sz w:val="18"/>
                <w:szCs w:val="18"/>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w w:val="92"/>
              </w:rPr>
              <w:t>Interactive Data File because XBRL tags are embedded within the Inline XBRL</w:t>
            </w:r>
          </w:p>
        </w:tc>
      </w:tr>
      <w:tr>
        <w:trPr>
          <w:trHeight w:val="230"/>
        </w:trPr>
        <w:tc>
          <w:tcPr>
            <w:tcW w:w="860" w:type="dxa"/>
            <w:vAlign w:val="bottom"/>
          </w:tcPr>
          <w:p>
            <w:pPr>
              <w:spacing w:after="0"/>
              <w:rPr>
                <w:sz w:val="20"/>
                <w:szCs w:val="20"/>
                <w:color w:val="auto"/>
              </w:rPr>
            </w:pPr>
          </w:p>
        </w:tc>
        <w:tc>
          <w:tcPr>
            <w:tcW w:w="5840" w:type="dxa"/>
            <w:vAlign w:val="bottom"/>
            <w:gridSpan w:val="15"/>
          </w:tcPr>
          <w:p>
            <w:pPr>
              <w:spacing w:after="0"/>
              <w:rPr>
                <w:sz w:val="20"/>
                <w:szCs w:val="20"/>
                <w:color w:val="auto"/>
              </w:rPr>
            </w:pPr>
            <w:r>
              <w:rPr>
                <w:rFonts w:ascii="Arial" w:cs="Arial" w:eastAsia="Arial" w:hAnsi="Arial"/>
                <w:sz w:val="18"/>
                <w:szCs w:val="18"/>
                <w:color w:val="auto"/>
              </w:rPr>
              <w:t>document.</w:t>
            </w:r>
          </w:p>
        </w:tc>
      </w:tr>
      <w:tr>
        <w:trPr>
          <w:trHeight w:val="32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58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58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58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58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58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104</w:t>
            </w:r>
          </w:p>
        </w:tc>
        <w:tc>
          <w:tcPr>
            <w:tcW w:w="5840" w:type="dxa"/>
            <w:vAlign w:val="bottom"/>
            <w:gridSpan w:val="15"/>
          </w:tcPr>
          <w:p>
            <w:pPr>
              <w:spacing w:after="0"/>
              <w:rPr>
                <w:sz w:val="20"/>
                <w:szCs w:val="20"/>
                <w:color w:val="auto"/>
              </w:rPr>
            </w:pPr>
            <w:r>
              <w:rPr>
                <w:rFonts w:ascii="Arial" w:cs="Arial" w:eastAsia="Arial" w:hAnsi="Arial"/>
                <w:sz w:val="18"/>
                <w:szCs w:val="18"/>
                <w:color w:val="auto"/>
                <w:w w:val="92"/>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tabs>
          <w:tab w:leader="none" w:pos="840" w:val="left"/>
          <w:tab w:leader="none" w:pos="274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September 21, 2020</w:t>
      </w:r>
      <w:r>
        <w:rPr>
          <w:sz w:val="20"/>
          <w:szCs w:val="20"/>
          <w:color w:val="auto"/>
        </w:rPr>
        <w:tab/>
      </w:r>
      <w:r>
        <w:rPr>
          <w:rFonts w:ascii="Arial" w:cs="Arial" w:eastAsia="Arial" w:hAnsi="Arial"/>
          <w:sz w:val="16"/>
          <w:szCs w:val="16"/>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840" w:val="left"/>
          <w:tab w:leader="none" w:pos="274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September 21, 2020</w:t>
      </w:r>
      <w:r>
        <w:rPr>
          <w:sz w:val="20"/>
          <w:szCs w:val="20"/>
          <w:color w:val="auto"/>
        </w:rPr>
        <w:tab/>
      </w:r>
      <w:r>
        <w:rPr>
          <w:rFonts w:ascii="Arial" w:cs="Arial" w:eastAsia="Arial" w:hAnsi="Arial"/>
          <w:sz w:val="16"/>
          <w:szCs w:val="16"/>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
        <w:spacing w:after="0"/>
        <w:tabs>
          <w:tab w:leader="none" w:pos="980" w:val="left"/>
          <w:tab w:leader="none" w:pos="2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October 1, 2020</w:t>
      </w:r>
      <w:r>
        <w:rPr>
          <w:sz w:val="20"/>
          <w:szCs w:val="20"/>
          <w:color w:val="auto"/>
        </w:rPr>
        <w:tab/>
      </w: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5" w:lineRule="exact"/>
        <w:rPr>
          <w:sz w:val="20"/>
          <w:szCs w:val="20"/>
          <w:color w:val="auto"/>
        </w:rPr>
      </w:pPr>
    </w:p>
    <w:p>
      <w:pPr>
        <w:sectPr>
          <w:pgSz w:w="11900" w:h="16838" w:orient="portrait"/>
          <w:cols w:equalWidth="0" w:num="3">
            <w:col w:w="6760" w:space="240"/>
            <w:col w:w="3180" w:space="580"/>
            <w:col w:w="200"/>
          </w:cols>
          <w:pgMar w:left="320" w:top="121" w:right="619" w:bottom="1440" w:gutter="0" w:footer="0" w:header="0"/>
        </w:sectPr>
      </w:pPr>
    </w:p>
    <w:p>
      <w:pPr>
        <w:ind w:left="380" w:hanging="372"/>
        <w:spacing w:after="0" w:line="223" w:lineRule="auto"/>
        <w:tabs>
          <w:tab w:leader="none" w:pos="380" w:val="left"/>
        </w:tabs>
        <w:numPr>
          <w:ilvl w:val="0"/>
          <w:numId w:val="46"/>
        </w:numPr>
        <w:rPr>
          <w:rFonts w:ascii="Arial" w:cs="Arial" w:eastAsia="Arial" w:hAnsi="Arial"/>
          <w:sz w:val="27"/>
          <w:szCs w:val="27"/>
          <w:color w:val="auto"/>
          <w:vertAlign w:val="superscript"/>
        </w:rPr>
      </w:pPr>
      <w:r>
        <w:rPr>
          <w:rFonts w:ascii="Arial" w:cs="Arial" w:eastAsia="Arial" w:hAnsi="Arial"/>
          <w:sz w:val="15"/>
          <w:szCs w:val="15"/>
          <w:color w:val="auto"/>
        </w:rPr>
        <w:t>The certification attached as Exhibit 32.1 that accompanies this Annual Report on Form 10-K is not deemed filed with the SEC and is not to be incorporated by reference into any filing of Corsair Gaming,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28"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500" w:type="dxa"/>
            <w:vAlign w:val="bottom"/>
            <w:gridSpan w:val="2"/>
          </w:tcPr>
          <w:p>
            <w:pPr>
              <w:ind w:left="2160"/>
              <w:spacing w:after="0"/>
              <w:rPr>
                <w:sz w:val="20"/>
                <w:szCs w:val="20"/>
                <w:color w:val="auto"/>
              </w:rPr>
            </w:pPr>
            <w:r>
              <w:rPr>
                <w:rFonts w:ascii="Arial" w:cs="Arial" w:eastAsia="Arial" w:hAnsi="Arial"/>
                <w:sz w:val="18"/>
                <w:szCs w:val="18"/>
                <w:color w:val="auto"/>
              </w:rPr>
              <w:t>Corsair Gaming, Inc.</w:t>
            </w: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Date: March 11, 2021</w:t>
            </w:r>
          </w:p>
        </w:tc>
        <w:tc>
          <w:tcPr>
            <w:tcW w:w="2520" w:type="dxa"/>
            <w:vAlign w:val="bottom"/>
          </w:tcPr>
          <w:p>
            <w:pPr>
              <w:ind w:left="21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22"/>
        </w:trPr>
        <w:tc>
          <w:tcPr>
            <w:tcW w:w="3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29"/>
        </w:trPr>
        <w:tc>
          <w:tcPr>
            <w:tcW w:w="3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45"/>
        </w:trPr>
        <w:tc>
          <w:tcPr>
            <w:tcW w:w="3740" w:type="dxa"/>
            <w:vAlign w:val="bottom"/>
          </w:tcPr>
          <w:p>
            <w:pPr>
              <w:spacing w:after="0"/>
              <w:rPr>
                <w:sz w:val="20"/>
                <w:szCs w:val="20"/>
                <w:color w:val="auto"/>
              </w:rPr>
            </w:pPr>
            <w:r>
              <w:rPr>
                <w:rFonts w:ascii="Arial" w:cs="Arial" w:eastAsia="Arial" w:hAnsi="Arial"/>
                <w:sz w:val="18"/>
                <w:szCs w:val="18"/>
                <w:color w:val="auto"/>
              </w:rPr>
              <w:t>Date: March 11, 2021</w:t>
            </w:r>
          </w:p>
        </w:tc>
        <w:tc>
          <w:tcPr>
            <w:tcW w:w="2520" w:type="dxa"/>
            <w:vAlign w:val="bottom"/>
          </w:tcPr>
          <w:p>
            <w:pPr>
              <w:ind w:left="21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29"/>
        </w:trPr>
        <w:tc>
          <w:tcPr>
            <w:tcW w:w="3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5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Andrew J. Paul and Michael G. Potter, and each or any one of them, his or her lawful attorneys-in-fact and agents, for such person in any and all capacities, to sign any and all amendments to this report and to file the same, with all exhibits thereto and other documents in connection therewith, with the Securities and Exchange Commission, hereby ratifying and confirming all that either of said attorneys-in-fact and agent, or substitute or substitutes, may do or cause to be done by virtue hereof.</w:t>
      </w:r>
    </w:p>
    <w:p>
      <w:pPr>
        <w:spacing w:after="0" w:line="25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4"/>
                <w:szCs w:val="1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3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J. Paul</w:t>
            </w:r>
          </w:p>
        </w:tc>
        <w:tc>
          <w:tcPr>
            <w:tcW w:w="120" w:type="dxa"/>
            <w:vAlign w:val="bottom"/>
          </w:tcPr>
          <w:p>
            <w:pPr>
              <w:spacing w:after="0"/>
              <w:rPr>
                <w:sz w:val="24"/>
                <w:szCs w:val="24"/>
                <w:color w:val="auto"/>
              </w:rPr>
            </w:pPr>
          </w:p>
        </w:tc>
        <w:tc>
          <w:tcPr>
            <w:tcW w:w="4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Executive Officer and 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1"/>
              </w:rPr>
              <w:t>Andrew J. Paul</w:t>
            </w:r>
          </w:p>
        </w:tc>
        <w:tc>
          <w:tcPr>
            <w:tcW w:w="120" w:type="dxa"/>
            <w:vAlign w:val="bottom"/>
          </w:tcPr>
          <w:p>
            <w:pPr>
              <w:spacing w:after="0"/>
              <w:rPr>
                <w:sz w:val="19"/>
                <w:szCs w:val="19"/>
                <w:color w:val="auto"/>
              </w:rPr>
            </w:pPr>
          </w:p>
        </w:tc>
        <w:tc>
          <w:tcPr>
            <w:tcW w:w="43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c>
          <w:tcPr>
            <w:tcW w:w="120" w:type="dxa"/>
            <w:vAlign w:val="bottom"/>
          </w:tcPr>
          <w:p>
            <w:pPr>
              <w:spacing w:after="0"/>
              <w:rPr>
                <w:sz w:val="24"/>
                <w:szCs w:val="24"/>
                <w:color w:val="auto"/>
              </w:rPr>
            </w:pPr>
          </w:p>
        </w:tc>
        <w:tc>
          <w:tcPr>
            <w:tcW w:w="4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Financial Officer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G. Potter</w:t>
            </w:r>
          </w:p>
        </w:tc>
        <w:tc>
          <w:tcPr>
            <w:tcW w:w="120" w:type="dxa"/>
            <w:vAlign w:val="bottom"/>
          </w:tcPr>
          <w:p>
            <w:pPr>
              <w:spacing w:after="0"/>
              <w:rPr>
                <w:sz w:val="19"/>
                <w:szCs w:val="19"/>
                <w:color w:val="auto"/>
              </w:rPr>
            </w:pPr>
          </w:p>
        </w:tc>
        <w:tc>
          <w:tcPr>
            <w:tcW w:w="4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Financial Officer)</w:t>
            </w: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Gregg A. Lakritz</w:t>
            </w:r>
          </w:p>
        </w:tc>
        <w:tc>
          <w:tcPr>
            <w:tcW w:w="120" w:type="dxa"/>
            <w:vAlign w:val="bottom"/>
          </w:tcPr>
          <w:p>
            <w:pPr>
              <w:spacing w:after="0"/>
              <w:rPr>
                <w:sz w:val="24"/>
                <w:szCs w:val="24"/>
                <w:color w:val="auto"/>
              </w:rPr>
            </w:pPr>
          </w:p>
        </w:tc>
        <w:tc>
          <w:tcPr>
            <w:tcW w:w="4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Vice President, Corporate Controller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Gregg A. Lakritz</w:t>
            </w:r>
          </w:p>
        </w:tc>
        <w:tc>
          <w:tcPr>
            <w:tcW w:w="120" w:type="dxa"/>
            <w:vAlign w:val="bottom"/>
          </w:tcPr>
          <w:p>
            <w:pPr>
              <w:spacing w:after="0"/>
              <w:rPr>
                <w:sz w:val="19"/>
                <w:szCs w:val="19"/>
                <w:color w:val="auto"/>
              </w:rPr>
            </w:pPr>
          </w:p>
        </w:tc>
        <w:tc>
          <w:tcPr>
            <w:tcW w:w="4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Anup Bagaria</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3"/>
              </w:rPr>
              <w:t>Anup Bagaria</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Diana Bell</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Diana Bell</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Jason Cahilly</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1"/>
              </w:rPr>
              <w:t>Jason Cahilly</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George L. Majoros, Jr.</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1"/>
              </w:rPr>
              <w:t>George L. Majoros, Jr.</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Stuart A. Martin</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6"/>
              </w:rPr>
              <w:t>Stuart A. Martin</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Samuel R. Szteinbaum</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Samuel R. Szteinbaum</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1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Randall J. Weisenburger</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11, 2021</w:t>
            </w: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Randall J. Weisenburger</w:t>
            </w: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643"/>
        </w:trPr>
        <w:tc>
          <w:tcPr>
            <w:tcW w:w="3380" w:type="dxa"/>
            <w:vAlign w:val="bottom"/>
          </w:tcPr>
          <w:p>
            <w:pPr>
              <w:spacing w:after="0"/>
              <w:rPr>
                <w:sz w:val="24"/>
                <w:szCs w:val="24"/>
                <w:color w:val="auto"/>
              </w:rPr>
            </w:pPr>
          </w:p>
        </w:tc>
        <w:tc>
          <w:tcPr>
            <w:tcW w:w="4400" w:type="dxa"/>
            <w:vAlign w:val="bottom"/>
            <w:gridSpan w:val="2"/>
          </w:tcPr>
          <w:p>
            <w:pPr>
              <w:jc w:val="center"/>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12 OF THE SECURITIES EXCHANGE ACT OF 1934</w:t>
      </w:r>
    </w:p>
    <w:p>
      <w:pPr>
        <w:spacing w:after="0" w:line="200" w:lineRule="exact"/>
        <w:rPr>
          <w:sz w:val="20"/>
          <w:szCs w:val="20"/>
          <w:color w:val="auto"/>
        </w:rPr>
      </w:pPr>
    </w:p>
    <w:p>
      <w:pPr>
        <w:spacing w:after="0" w:line="22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As of December 31, 2020, Corsair Gaming, Inc. had one class of common stock registered under Section 12 of the Securities Exchange Act of 1934, as amended (the “Exchange Act”).</w:t>
      </w:r>
    </w:p>
    <w:p>
      <w:pPr>
        <w:spacing w:after="0" w:line="170"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The following description summarizes the terms of our capital stock, our amended and restated certificate of incorporation and our amended and restated bylaws. Because it is only a summary, it does not contain all the information that may be important to you. For a complete description, you should refer to our amended and restated certificate of incorporation and amended and restated bylaws, each of which is incorporated herein by reference as an exhibit to the Annual Report on Form 10-K filed with the Securities and Exchange Commission, of which this Exhibit 4.3 is a part.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right="20" w:firstLine="864"/>
        <w:spacing w:after="0" w:line="342" w:lineRule="auto"/>
        <w:rPr>
          <w:sz w:val="20"/>
          <w:szCs w:val="20"/>
          <w:color w:val="auto"/>
        </w:rPr>
      </w:pPr>
      <w:r>
        <w:rPr>
          <w:rFonts w:ascii="Arial" w:cs="Arial" w:eastAsia="Arial" w:hAnsi="Arial"/>
          <w:sz w:val="16"/>
          <w:szCs w:val="16"/>
          <w:color w:val="auto"/>
        </w:rPr>
        <w:t>Our authorized capital stock consists of 300,000,000 shares of common stock, par value $0.0001 per share, and 5,000,000 shares of preferred stock, par value $0.0001 per share. Unless our board of directors determines otherwise, we will issue all shares of our capital stock in uncertificated form.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As of December 31, 2020, there were 19 holders of record of our common stock. 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 Holders of our common stock do not have preemptive, subscription, redemption or conversion rights. The common stock will not be subject to further calls or assessment by us. There is no redemption or sinking fund provisions applicable to the common stock. All shares of our outstanding common stock are fully paid and non-assessable. The rights, powers, preferences and privileges of holders of our common stock will be subject to those of the holders of any shares of our preferred stock we may authorize and issue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2020, no shares of our preferred stock were outstanding.</w:t>
      </w:r>
    </w:p>
    <w:p>
      <w:pPr>
        <w:spacing w:after="0" w:line="25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the authorized shares of preferred stock are available for issuance without further action by stockholders. Our board of directors may determine, with respect to any series of preferred stock, the powers including preferences and relative participations, optional or other special rights, and the qualifications, limitations or restrictions thereof, of that series, including, without limitation:</w:t>
      </w:r>
    </w:p>
    <w:p>
      <w:pPr>
        <w:spacing w:after="0" w:line="171" w:lineRule="exact"/>
        <w:rPr>
          <w:sz w:val="20"/>
          <w:szCs w:val="20"/>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25"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83"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dividend amount and rate of the series, if any, and whether dividends will be cumulative or non-cumulative;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terms and amounts of any sinking fund, if any, provided for the purchase or redemption of shares of the series;</w:t>
      </w:r>
    </w:p>
    <w:p>
      <w:pPr>
        <w:spacing w:after="0" w:line="225"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winding-up of the affairs of our company;</w:t>
      </w:r>
    </w:p>
    <w:p>
      <w:pPr>
        <w:spacing w:after="0" w:line="170" w:lineRule="exact"/>
        <w:rPr>
          <w:rFonts w:ascii="Arial" w:cs="Arial" w:eastAsia="Arial" w:hAnsi="Arial"/>
          <w:sz w:val="18"/>
          <w:szCs w:val="18"/>
          <w:color w:val="auto"/>
        </w:rPr>
      </w:pPr>
    </w:p>
    <w:p>
      <w:pPr>
        <w:jc w:val="both"/>
        <w:ind w:left="1300" w:hanging="442"/>
        <w:spacing w:after="0" w:line="279"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or exchangeable for shares of any other class or series, or any other security, of our company or any other corporation, and, if so, the specification of the other class or series or other security, the conversion or exchange price or prices or rate or rates, any adjustments thereof, the date or dates as of which the shares will be convertible or exchangeable and all other terms and conditions upon which the conversion or exchange may be made;</w:t>
      </w:r>
    </w:p>
    <w:p>
      <w:pPr>
        <w:spacing w:after="0" w:line="171" w:lineRule="exact"/>
        <w:rPr>
          <w:rFonts w:ascii="Arial" w:cs="Arial" w:eastAsia="Arial" w:hAnsi="Arial"/>
          <w:sz w:val="17"/>
          <w:szCs w:val="17"/>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 and</w:t>
      </w:r>
    </w:p>
    <w:p>
      <w:pPr>
        <w:spacing w:after="0" w:line="225"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or other special rights of each series of preferred stock, and any qualifications, limitations or restrictions of such shares, all as may be determined from time to time by our board of directors and stated in the preferred stock designation for such preferred stock.</w:t>
      </w:r>
    </w:p>
    <w:p>
      <w:pPr>
        <w:spacing w:after="0" w:line="18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We are able to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rights of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5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Certain of our stockholders or their permitted transferees, are entitled to rights with respect to the registration of such shares under the Securities Act of 1933, as amended (the “Securities Act”). These rights are provided under the terms of a registration rights agreement between us and such stockholders (the “Registration Rights Agreement”) and include demand registration rights and piggyback registration rights. The Registration Rights Agreement also provides that we will pay certain expenses of these holders relating to such registrations and indemnify them against certain liabilities which may arise under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20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declaration, amount and payment of any future dividends will be at the sole discretion of our board of directors. Our board of directors may take into account general and economic conditions, our financial condition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jc w:val="both"/>
        <w:spacing w:after="0" w:line="257" w:lineRule="auto"/>
        <w:rPr>
          <w:sz w:val="20"/>
          <w:szCs w:val="20"/>
          <w:color w:val="auto"/>
        </w:rPr>
      </w:pPr>
      <w:r>
        <w:rPr>
          <w:rFonts w:ascii="Arial" w:cs="Arial" w:eastAsia="Arial" w:hAnsi="Arial"/>
          <w:sz w:val="18"/>
          <w:szCs w:val="18"/>
          <w:color w:val="auto"/>
        </w:rPr>
        <w:t>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existing credit facilities and other indebtedness we may incur, and such other factors as our board of directors may deem relevant. See “Description of Certain Indebtedness.” In addition, because we are a holding company and have no direct operations, we will only be able to pay dividends from funds we receive from our subsidiaries.</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currently expect to retain all future earnings for use in the operation and expansion of our business and have no current plans to pay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 Meetings</w:t>
      </w:r>
    </w:p>
    <w:p>
      <w:pPr>
        <w:spacing w:after="0" w:line="25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amended and restated bylaws provides that annual stockholder meetings will be held at a date, time and place, if any, as exclusively selected by our board of directors, our Chief Executive Officer or the chairman of the board of directors. To the extent permitted under applicable law, we may conduct meetings by remote communications, including by webcast.</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Anti-Takeover Effects of Certain Provisions of our Amended and Restated Certificate of Incorporation, Amended and Restated Bylaws and Delaware Law.</w:t>
      </w:r>
    </w:p>
    <w:p>
      <w:pPr>
        <w:spacing w:after="0" w:line="1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15"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5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We opted out of Section 203 of the DGCL in our amended and restated certificate of incorporation, which prevents stockholders holding more than 15% of our outstanding common stock from engaging in certain business combinations involving us unless certain conditions are satisfied. However, our amended and restated certificate of incorporation includes similar provisions that we may not engage in certain business combinations with interested stockholders for a period of three years following the time that the stockholder became an interested stockholder, subject to certain conditions.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05"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Pursuant to the terms of our amended and restated certificate of incorporation, EagleTree, its affiliates and any of their respective direct or indirect transferees will not be considered an interested stockholders for purposes of this provision.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5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ability to authorize undesignated preferred stock pursuant to our amended and restated certificate of incorporation will make it possible for our board of directors to issue preferred stock with voting or other rights or preferences that could impede the success of any attempt to change control of us. These and other provisions may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have the effect of deterring hostile takeovers or delaying changes in control or management of our Company.</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5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 xml:space="preserve">Our amended and restated bylaws provides that a special meeting of stockholders may be called at any time by the Secretary at the direction of the board of directors or the Chairman of our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our amended and restated certificate of incorporation and our amended and restated bylaws provide that the holders of a majority of the shares of common stock are permitted to cause special meetings of our stockholders to be called for so long EagleTree and its affiliates hold, in the aggregate, at least 50% of the voting power of all outstanding shares of stock entitled to vote generally in the election of directors.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5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amended and restated bylaws contain advance notice procedures with respect to stockholder proposals and the nomination of candidates for election as directors, other than nominations made by or at the direction of the board of directors or a committee of the board of directors. These notice requirements do not apply to nominations of directors by EagleTree and its affiliates in accordance with the Investor Rights Agreement for as long as the Investor Rights Agreement is in effect.</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Stockholder Action by Majority Written Consent</w:t>
      </w:r>
    </w:p>
    <w:p>
      <w:pPr>
        <w:spacing w:after="0" w:line="25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 xml:space="preserve">Our amended and restated certificate of incorporation provides that the stockholders may act by majority written consent without a meeting;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when EagleTree and its affiliates hold, in the aggregate, less than 50% of our outstanding common stock, any action required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be taken by stockholders must be effected at a duly called annual or special meeting of our stockholders.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5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w:t>
      </w:r>
    </w:p>
    <w:p>
      <w:pPr>
        <w:spacing w:after="0" w:line="21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 xml:space="preserve">Our amended and restated certificate of incorporation provides that directors may be removed with or without cause upon the affirmative vote of a majority of our outstanding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at any time when EagleTree and its affiliates beneficially own, in the aggregate, less than 50% of our outstanding common stock entitled to vote at an election of directors, directors may only be removed for cause and only by the affirmative vote of holders of at least 66-2/3% of our out outstanding common stock. In addition, our amended and restated certificate of incorporation also provides that, subject to the rights granted to one or more series of preferred stock then outstanding or the rights granted to EagleTree under the Investor Rights Agreement, any vacancies on our Board of Directors will be filled only by the affirmative vote of a majority of the remaining directors, even if less than a quorum, or by a sole remaining director or by the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at any time when EagleTree and its affiliates beneficially own, in the aggregate, less than 50% of our outstanding common stock, subject to the rights granted to one or more series of preferred stock then outstanding or the rights granted to EagleTree under the Investor Rights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 So long as EagleTree and its affiliates beneficially own, in the aggregate, at least 20% of our outstanding common stock, the Investor Rights Agreement and our amended and restated bylaws provide that the Board will not increase or decrease the size of our Board of Directors without the affirmative vote or consent of a majority of the EagleTree directors. The Investor Rights Agreement and our amended and restated certificate of incorporation will also provide that any vacancy resulting from the resignation, death, disability or removal of an EagleTree director can only be filled by the affirmative vote or consent of the EagleTree directors or, if no so such directors then remain on the Board, EagleTree.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9" w:name="page110"/>
    <w:bookmarkEnd w:id="109"/>
    <w:p>
      <w:pPr>
        <w:jc w:val="both"/>
        <w:ind w:firstLine="864"/>
        <w:spacing w:after="0" w:line="263" w:lineRule="auto"/>
        <w:rPr>
          <w:sz w:val="20"/>
          <w:szCs w:val="20"/>
          <w:color w:val="auto"/>
        </w:rPr>
      </w:pPr>
      <w:r>
        <w:rPr>
          <w:rFonts w:ascii="Arial" w:cs="Arial" w:eastAsia="Arial" w:hAnsi="Arial"/>
          <w:sz w:val="18"/>
          <w:szCs w:val="18"/>
          <w:color w:val="auto"/>
        </w:rPr>
        <w:t>For more information on the classified board, see “Management—Composition of the Board of Directors.” This system of electing and removing directors and filling vacancies may tend to discourage a third-party from making a tender offer or otherwise attempting to obtain control of us, because it generally makes it more difficult for stockholders to replace a majority of the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5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Although our amended and restated certificate of incorporation contain the choice of forum provision described above, it is possible that a court could find that such a provision is inapplicable for a particular claim or action or that such provision is unenforceable. The choice of forum provision requiring that the Court of Chancery of the State of Delaware be the exclusive forum for certain actions would not apply to suits brought to enforce any liability or duty created by the Exchange Act.</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5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Our amended and restated certificate of incorporation provides that so long as EagleTree and its affiliates own, in the aggregate, at least 50% of our outstanding common stock, any amendment, alteration, change, addition, rescission or repeal of our amended and restated certificate of incorporation requires the affirmative vote of a majority of our outstanding common stock. At any time when EagleTree and its affiliates beneficially own, in the aggregate, less than 50% of our outstanding common stock, our amended and restated certificate of incorporation requires the affirmative vote by the holders of at least two-thirds of our outstanding common stock for any amendment, alteration, change, addition, rescission or repeal of our amended and restated certificate of incorporation; provided that, irrespective of EagleTree’s ownership, the affirmative vote of holders of at least two-thirds of our outstanding common stock is required to amend certain provisions of our certificate of incorporation, including those provisions changing the size of the board of directors, the removal of certain directors, the availability of action by majority written consent of the stockholders or the restriction on business combinations with interest stockholders, among others.</w:t>
      </w:r>
    </w:p>
    <w:p>
      <w:pPr>
        <w:spacing w:after="0" w:line="20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Opportunity</w:t>
      </w:r>
    </w:p>
    <w:p>
      <w:pPr>
        <w:spacing w:after="0" w:line="25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Under Delaware law, officers and directors generally have an obligation to present to the company they serve business opportunities which the company is financially able to undertake and which falls within the company’s business line and are of practical advantage to the company, or in which the company has an actual or expectant interest. A corollary of this general rule is that when a business opportunity comes to an officer or director that is not one in which the company has an actual or expectant interest, the officer is generally not obligated to present it to the company. Potential conflicts of interest may arise when officers and directors learn of business opportunities that would be of material advantage to a company and to one or more other entities of which they serve as officers, directors or other fiduciaries.</w:t>
      </w:r>
    </w:p>
    <w:p>
      <w:pPr>
        <w:spacing w:after="0" w:line="20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Section 122(17) of the DGCL permits a company to renounce, in advance, in its certificate of incorporation or by action of its board of directors, any interest or expectancy of a company in certain classes or categories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0" w:name="page111"/>
    <w:bookmarkEnd w:id="110"/>
    <w:p>
      <w:pPr>
        <w:jc w:val="both"/>
        <w:spacing w:after="0" w:line="268" w:lineRule="auto"/>
        <w:rPr>
          <w:sz w:val="20"/>
          <w:szCs w:val="20"/>
          <w:color w:val="auto"/>
        </w:rPr>
      </w:pPr>
      <w:r>
        <w:rPr>
          <w:rFonts w:ascii="Arial" w:cs="Arial" w:eastAsia="Arial" w:hAnsi="Arial"/>
          <w:sz w:val="17"/>
          <w:szCs w:val="17"/>
          <w:color w:val="auto"/>
        </w:rPr>
        <w:t>business opportunities. Where business opportunities are so renounced, certain officers and directors will not be obligated to present any such business opportunities to the company. Under the provisions of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partner, member, manager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the date of this prospectus, this provision of our amended and restated certificate of incorporation relates only to the EagleTree director designees. Our board of directors consists of eight directors, three of whom are be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5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to the fullest extent permitted by the DGCL, eliminates the personal liability of directors to us or our stockholders for monetary damages for any breach of fiduciary duty as a director.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93"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Further, our amended and restated certificate of incorporation and our amended and restated bylaws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officers.</w:t>
      </w:r>
    </w:p>
    <w:p>
      <w:pPr>
        <w:spacing w:after="0" w:line="19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is currently no pending material litigation or proceeding involving any of our directors, officers or employees for which indemnification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 sought.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on Nasdaq under the symbol “CRSR.”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ind w:firstLine="864"/>
        <w:spacing w:after="0" w:line="277" w:lineRule="auto"/>
        <w:rPr>
          <w:sz w:val="20"/>
          <w:szCs w:val="20"/>
          <w:color w:val="auto"/>
        </w:rPr>
      </w:pPr>
      <w:r>
        <w:rPr>
          <w:rFonts w:ascii="Arial" w:cs="Arial" w:eastAsia="Arial" w:hAnsi="Arial"/>
          <w:sz w:val="18"/>
          <w:szCs w:val="18"/>
          <w:color w:val="auto"/>
        </w:rPr>
        <w:t>The transfer agent and registrar for our common stock is Equiniti Trust Company. The transfer agent and registrar’s address is 1110 Centre Point Curve, Suite 101, Mendota Heights, Minnesota 55120-4101.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341" w:right="3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40" w:type="dxa"/>
            <w:vAlign w:val="bottom"/>
            <w:gridSpan w:val="3"/>
          </w:tcPr>
          <w:p>
            <w:pPr>
              <w:ind w:left="520"/>
              <w:spacing w:after="0"/>
              <w:rPr>
                <w:sz w:val="20"/>
                <w:szCs w:val="20"/>
                <w:color w:val="auto"/>
              </w:rPr>
            </w:pPr>
            <w:r>
              <w:rPr>
                <w:rFonts w:ascii="Arial" w:cs="Arial" w:eastAsia="Arial" w:hAnsi="Arial"/>
                <w:sz w:val="18"/>
                <w:szCs w:val="18"/>
                <w:b w:val="1"/>
                <w:bCs w:val="1"/>
                <w:color w:val="auto"/>
              </w:rPr>
              <w:t>SUBSIDIARIES OF THE COMPANY</w:t>
            </w:r>
          </w:p>
        </w:tc>
      </w:tr>
      <w:tr>
        <w:trPr>
          <w:trHeight w:val="608"/>
        </w:trPr>
        <w:tc>
          <w:tcPr>
            <w:tcW w:w="1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State or Jurisdiction of Incorporation or</w:t>
            </w:r>
          </w:p>
        </w:tc>
      </w:tr>
      <w:tr>
        <w:trPr>
          <w:trHeight w:val="196"/>
        </w:trPr>
        <w:tc>
          <w:tcPr>
            <w:tcW w:w="3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Name of Subsidiary</w:t>
            </w:r>
          </w:p>
        </w:tc>
        <w:tc>
          <w:tcPr>
            <w:tcW w:w="3740" w:type="dxa"/>
            <w:vAlign w:val="bottom"/>
          </w:tcPr>
          <w:p>
            <w:pPr>
              <w:spacing w:after="0"/>
              <w:rPr>
                <w:sz w:val="17"/>
                <w:szCs w:val="17"/>
                <w:color w:val="auto"/>
              </w:rPr>
            </w:pPr>
          </w:p>
        </w:tc>
        <w:tc>
          <w:tcPr>
            <w:tcW w:w="31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Organization</w:t>
            </w:r>
          </w:p>
        </w:tc>
      </w:tr>
      <w:tr>
        <w:trPr>
          <w:trHeight w:val="20"/>
        </w:trPr>
        <w:tc>
          <w:tcPr>
            <w:tcW w:w="15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64"/>
        </w:trPr>
        <w:tc>
          <w:tcPr>
            <w:tcW w:w="3620" w:type="dxa"/>
            <w:vAlign w:val="bottom"/>
            <w:gridSpan w:val="2"/>
          </w:tcPr>
          <w:p>
            <w:pPr>
              <w:spacing w:after="0"/>
              <w:rPr>
                <w:sz w:val="20"/>
                <w:szCs w:val="20"/>
                <w:color w:val="auto"/>
              </w:rPr>
            </w:pPr>
            <w:r>
              <w:rPr>
                <w:rFonts w:ascii="Arial" w:cs="Arial" w:eastAsia="Arial" w:hAnsi="Arial"/>
                <w:sz w:val="18"/>
                <w:szCs w:val="18"/>
                <w:color w:val="auto"/>
              </w:rPr>
              <w:t>Corsair Memory, Inc.</w:t>
            </w:r>
          </w:p>
        </w:tc>
        <w:tc>
          <w:tcPr>
            <w:tcW w:w="3740" w:type="dxa"/>
            <w:vAlign w:val="bottom"/>
          </w:tcPr>
          <w:p>
            <w:pPr>
              <w:spacing w:after="0"/>
              <w:rPr>
                <w:sz w:val="22"/>
                <w:szCs w:val="22"/>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Origin PC LLC</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Florida</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Scuf Gaming International LLC</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Holdings (Lux) S.a.r.l.</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Luxemburg</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Acquisition (Lux) S.a.r.l</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Luxemburg</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Holdings (Hong Kong) Limited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Ironmonger Initiatives Limited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Scuf Gaming Europe Limited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Ironburg Inventions Limited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Memory Co., Ltd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Components Co., Ltd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(Shenzhen) Trading Company Ltd.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Engineering d.o.o.</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Slovenia</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Components Limited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Elgato GmbH</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Memory B.V.</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Gaming S.A.S.</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Components Cooperatief U.A.</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Corsair (Hong Kong) Limited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Savarti Design System Ltd</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Vietnam</w:t>
            </w: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RoCo Group, Inc.</w:t>
            </w:r>
          </w:p>
        </w:tc>
        <w:tc>
          <w:tcPr>
            <w:tcW w:w="3740" w:type="dxa"/>
            <w:vAlign w:val="bottom"/>
          </w:tcPr>
          <w:p>
            <w:pPr>
              <w:spacing w:after="0"/>
              <w:rPr>
                <w:sz w:val="21"/>
                <w:szCs w:val="21"/>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Corsair Gaming, Inc.:</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 on Form S-8 (No. 333-249065) of Corsair Gaming, Inc. of our report dated March 11, 2021, with respect to the combined consolidated balance sheets of Corsair Gaming, Inc. and subsidiaries as of December 31, 2020 and 2019, the related combined consolidated statements of operations, comprehensive income (loss), stockholders’ equity, and cash flows for each of the years in the three-year period ended December 31, 2020, and the related notes and financial statement schedule II (collectively, the combined consolidated financial statements), which report appears in the December 31, 2020 annual report on Form 10-K of Corsair Gaming, Inc.</w:t>
      </w:r>
    </w:p>
    <w:p>
      <w:pPr>
        <w:spacing w:after="0" w:line="13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report refers to a change in the method of accounting for revenue recognition as of January 1, 2019 and a change in the method for accounting for leases as of January 1, 2020.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Andrew J. Paul, certify that:</w:t>
      </w:r>
    </w:p>
    <w:p>
      <w:pPr>
        <w:spacing w:after="0" w:line="198" w:lineRule="exact"/>
        <w:rPr>
          <w:sz w:val="20"/>
          <w:szCs w:val="20"/>
          <w:color w:val="auto"/>
        </w:rPr>
      </w:pPr>
    </w:p>
    <w:p>
      <w:pPr>
        <w:ind w:left="620" w:hanging="612"/>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Corsair Gaming Inc.;</w:t>
      </w:r>
    </w:p>
    <w:p>
      <w:pPr>
        <w:spacing w:after="0" w:line="184"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60" w:right="400" w:hanging="552"/>
        <w:spacing w:after="0" w:line="277" w:lineRule="auto"/>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220" w:hanging="605"/>
        <w:spacing w:after="0"/>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[Reserved];</w:t>
      </w:r>
    </w:p>
    <w:p>
      <w:pPr>
        <w:spacing w:after="0" w:line="184"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20" w:right="60" w:hanging="612"/>
        <w:spacing w:after="0" w:line="308"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20" w:right="540" w:hanging="605"/>
        <w:spacing w:after="0" w:line="342" w:lineRule="auto"/>
        <w:tabs>
          <w:tab w:leader="none" w:pos="12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March 11, 2021</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J. Paul</w:t>
            </w:r>
          </w:p>
        </w:tc>
      </w:tr>
      <w:tr>
        <w:trPr>
          <w:trHeight w:val="222"/>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G. Potter, certify that:</w:t>
      </w:r>
    </w:p>
    <w:p>
      <w:pPr>
        <w:spacing w:after="0" w:line="198" w:lineRule="exact"/>
        <w:rPr>
          <w:sz w:val="20"/>
          <w:szCs w:val="20"/>
          <w:color w:val="auto"/>
        </w:rPr>
      </w:pPr>
    </w:p>
    <w:p>
      <w:pPr>
        <w:ind w:left="620" w:hanging="612"/>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Corsair Gaming Inc.;</w:t>
      </w:r>
    </w:p>
    <w:p>
      <w:pPr>
        <w:spacing w:after="0" w:line="184"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20" w:right="360" w:hanging="612"/>
        <w:spacing w:after="0" w:line="277"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left="1220" w:right="200" w:hanging="605"/>
        <w:spacing w:after="0" w:line="263"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220" w:hanging="605"/>
        <w:spacing w:after="0"/>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[Reserved];</w:t>
      </w:r>
    </w:p>
    <w:p>
      <w:pPr>
        <w:spacing w:after="0" w:line="184" w:lineRule="exact"/>
        <w:rPr>
          <w:rFonts w:ascii="Arial" w:cs="Arial" w:eastAsia="Arial" w:hAnsi="Arial"/>
          <w:sz w:val="18"/>
          <w:szCs w:val="18"/>
          <w:color w:val="auto"/>
        </w:rPr>
      </w:pPr>
    </w:p>
    <w:p>
      <w:pPr>
        <w:jc w:val="both"/>
        <w:ind w:left="1220" w:right="300" w:hanging="605"/>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220" w:right="20" w:hanging="605"/>
        <w:spacing w:after="0" w:line="263"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20" w:right="60" w:hanging="612"/>
        <w:spacing w:after="0" w:line="308"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20" w:right="540" w:hanging="605"/>
        <w:spacing w:after="0" w:line="342" w:lineRule="auto"/>
        <w:tabs>
          <w:tab w:leader="none" w:pos="12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220" w:right="240" w:hanging="605"/>
        <w:spacing w:after="0" w:line="277" w:lineRule="auto"/>
        <w:tabs>
          <w:tab w:leader="none" w:pos="12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March 11, 2021</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48" w:lineRule="exact"/>
        <w:rPr>
          <w:sz w:val="20"/>
          <w:szCs w:val="20"/>
          <w:color w:val="auto"/>
        </w:rPr>
      </w:pPr>
    </w:p>
    <w:p>
      <w:pPr>
        <w:ind w:right="280" w:firstLine="560"/>
        <w:spacing w:after="0" w:line="286" w:lineRule="auto"/>
        <w:rPr>
          <w:sz w:val="20"/>
          <w:szCs w:val="20"/>
          <w:color w:val="auto"/>
        </w:rPr>
      </w:pPr>
      <w:r>
        <w:rPr>
          <w:rFonts w:ascii="Arial" w:cs="Arial" w:eastAsia="Arial" w:hAnsi="Arial"/>
          <w:sz w:val="17"/>
          <w:szCs w:val="17"/>
          <w:color w:val="auto"/>
        </w:rPr>
        <w:t>In connection with the annual report of Corsair Gaming, Inc. (the “Company”) on Form 10-K for the period ended December 31, 2020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65" w:lineRule="exact"/>
        <w:rPr>
          <w:sz w:val="20"/>
          <w:szCs w:val="20"/>
          <w:color w:val="auto"/>
        </w:rPr>
      </w:pPr>
    </w:p>
    <w:p>
      <w:pPr>
        <w:ind w:left="1220" w:hanging="605"/>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420" w:hanging="605"/>
        <w:spacing w:after="0" w:line="277" w:lineRule="auto"/>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March 11, 2021</w:t>
            </w:r>
          </w:p>
        </w:tc>
        <w:tc>
          <w:tcPr>
            <w:tcW w:w="2280" w:type="dxa"/>
            <w:vAlign w:val="bottom"/>
          </w:tcPr>
          <w:p>
            <w:pPr>
              <w:ind w:left="2000"/>
              <w:spacing w:after="0"/>
              <w:rPr>
                <w:sz w:val="20"/>
                <w:szCs w:val="20"/>
                <w:color w:val="auto"/>
              </w:rPr>
            </w:pPr>
            <w:r>
              <w:rPr>
                <w:rFonts w:ascii="Arial" w:cs="Arial" w:eastAsia="Arial" w:hAnsi="Arial"/>
                <w:sz w:val="18"/>
                <w:szCs w:val="18"/>
                <w:color w:val="auto"/>
                <w:w w:val="99"/>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Andrew J. Paul</w:t>
            </w:r>
          </w:p>
        </w:tc>
      </w:tr>
      <w:tr>
        <w:trPr>
          <w:trHeight w:val="222"/>
        </w:trPr>
        <w:tc>
          <w:tcPr>
            <w:tcW w:w="3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0"/>
              </w:rPr>
              <w:t>Andrew J. Paul</w:t>
            </w: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March 11, 2021</w:t>
            </w:r>
          </w:p>
        </w:tc>
        <w:tc>
          <w:tcPr>
            <w:tcW w:w="2280" w:type="dxa"/>
            <w:vAlign w:val="bottom"/>
          </w:tcPr>
          <w:p>
            <w:pPr>
              <w:ind w:left="2000"/>
              <w:spacing w:after="0"/>
              <w:rPr>
                <w:sz w:val="20"/>
                <w:szCs w:val="20"/>
                <w:color w:val="auto"/>
              </w:rPr>
            </w:pPr>
            <w:r>
              <w:rPr>
                <w:rFonts w:ascii="Arial" w:cs="Arial" w:eastAsia="Arial" w:hAnsi="Arial"/>
                <w:sz w:val="18"/>
                <w:szCs w:val="18"/>
                <w:color w:val="auto"/>
                <w:w w:val="99"/>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G. Potter</w:t>
            </w:r>
          </w:p>
        </w:tc>
      </w:tr>
      <w:tr>
        <w:trPr>
          <w:trHeight w:val="222"/>
        </w:trPr>
        <w:tc>
          <w:tcPr>
            <w:tcW w:w="3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2"/>
              </w:rPr>
              <w:t>Michael G. Potter</w:t>
            </w:r>
          </w:p>
        </w:tc>
      </w:tr>
      <w:tr>
        <w:trPr>
          <w:trHeight w:val="216"/>
        </w:trPr>
        <w:tc>
          <w:tcPr>
            <w:tcW w:w="3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Letter"/>
      <w:start w:val="4"/>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2"/>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lowerLetter"/>
      <w:start w:val="2"/>
    </w:lvl>
    <w:lvl w:ilvl="1">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lvl w:ilvl="1">
      <w:lvlJc w:val="left"/>
      <w:lvlText w:val="(%2)"/>
      <w:numFmt w:val="decimal"/>
      <w:start w:val="1"/>
    </w:lvl>
  </w:abstractNum>
  <w:abstractNum w:abstractNumId="43">
    <w:nsid w:val="7644A45C"/>
    <w:multiLevelType w:val="hybridMultilevel"/>
    <w:lvl w:ilvl="0">
      <w:lvlJc w:val="left"/>
      <w:lvlText w:val="%1."/>
      <w:numFmt w:val="decimal"/>
      <w:start w:val="13"/>
    </w:lvl>
    <w:lvl w:ilvl="1">
      <w:lvlJc w:val="left"/>
      <w:lvlText w:val="%2"/>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9" Type="http://schemas.openxmlformats.org/officeDocument/2006/relationships/image" Target="media/image116.png"/><Relationship Id="rId148"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23" Type="http://schemas.openxmlformats.org/officeDocument/2006/relationships/hyperlink" Target="http://www.sec.gov/Archives/edgar/data/1743759/000119312520254569/d65933dex31.htm" TargetMode="External"/><Relationship Id="rId124" Type="http://schemas.openxmlformats.org/officeDocument/2006/relationships/hyperlink" Target="http://www.sec.gov/Archives/edgar/data/1743759/000119312520254569/d65933dex32.htm" TargetMode="External"/><Relationship Id="rId125" Type="http://schemas.openxmlformats.org/officeDocument/2006/relationships/hyperlink" Target="http://www.sec.gov/Archives/edgar/data/1743759/000119312520248527/d507744dex42.htm" TargetMode="External"/><Relationship Id="rId126" Type="http://schemas.openxmlformats.org/officeDocument/2006/relationships/hyperlink" Target="http://www.sec.gov/Archives/edgar/data/1743759/000119312520227100/d507744dex101.htm" TargetMode="External"/><Relationship Id="rId127" Type="http://schemas.openxmlformats.org/officeDocument/2006/relationships/hyperlink" Target="http://www.sec.gov/Archives/edgar/data/1743759/000119312520248527/d507744dex102.htm" TargetMode="External"/><Relationship Id="rId128" Type="http://schemas.openxmlformats.org/officeDocument/2006/relationships/hyperlink" Target="http://www.sec.gov/Archives/edgar/data/1743759/000119312520227100/d507744dex102a.htm" TargetMode="External"/><Relationship Id="rId130" Type="http://schemas.openxmlformats.org/officeDocument/2006/relationships/hyperlink" Target="http://www.sec.gov/Archives/edgar/data/1743759/000119312520227100/d507744dex102b.htm" TargetMode="External"/><Relationship Id="rId131" Type="http://schemas.openxmlformats.org/officeDocument/2006/relationships/hyperlink" Target="http://www.sec.gov/Archives/edgar/data/0001743759/000119312520244634/d507744dex103.htm" TargetMode="External"/><Relationship Id="rId132" Type="http://schemas.openxmlformats.org/officeDocument/2006/relationships/hyperlink" Target="http://www.sec.gov/Archives/edgar/data/0001743759/000119312520244634/d507744dex103a.htm" TargetMode="External"/><Relationship Id="rId133" Type="http://schemas.openxmlformats.org/officeDocument/2006/relationships/hyperlink" Target="http://www.sec.gov/Archives/edgar/data/0001743759/000119312520244634/d507744dex103b.htm" TargetMode="External"/><Relationship Id="rId134" Type="http://schemas.openxmlformats.org/officeDocument/2006/relationships/hyperlink" Target="http://www.sec.gov/Archives/edgar/data/0001743759/000119312520244634/d507744dex103c.htm" TargetMode="External"/><Relationship Id="rId135" Type="http://schemas.openxmlformats.org/officeDocument/2006/relationships/hyperlink" Target="http://www.sec.gov/Archives/edgar/data/0001743759/000119312520244634/d507744dex104.htm" TargetMode="External"/><Relationship Id="rId136" Type="http://schemas.openxmlformats.org/officeDocument/2006/relationships/hyperlink" Target="http://www.sec.gov/Archives/edgar/data/1743759/000119312520227100/d507744dex105a.htm" TargetMode="External"/><Relationship Id="rId137" Type="http://schemas.openxmlformats.org/officeDocument/2006/relationships/hyperlink" Target="http://www.sec.gov/Archives/edgar/data/1743759/000119312520227100/d507744dex105b.htm" TargetMode="External"/><Relationship Id="rId138" Type="http://schemas.openxmlformats.org/officeDocument/2006/relationships/hyperlink" Target="http://www.sec.gov/Archives/edgar/data/1743759/000119312520227100/d507744dex105c.htm" TargetMode="External"/><Relationship Id="rId139" Type="http://schemas.openxmlformats.org/officeDocument/2006/relationships/hyperlink" Target="http://www.sec.gov/Archives/edgar/data/1743759/000119312520227100/d507744dex106a.htm" TargetMode="External"/><Relationship Id="rId140" Type="http://schemas.openxmlformats.org/officeDocument/2006/relationships/hyperlink" Target="http://www.sec.gov/Archives/edgar/data/1743759/000119312520227100/d507744dex106b.htm" TargetMode="External"/><Relationship Id="rId141" Type="http://schemas.openxmlformats.org/officeDocument/2006/relationships/hyperlink" Target="http://www.sec.gov/Archives/edgar/data/1743759/000119312520227100/d507744dex107.htm" TargetMode="External"/><Relationship Id="rId142" Type="http://schemas.openxmlformats.org/officeDocument/2006/relationships/hyperlink" Target="http://www.sec.gov/Archives/edgar/data/1743759/000119312520227100/d507744dex108a.htm" TargetMode="External"/><Relationship Id="rId143" Type="http://schemas.openxmlformats.org/officeDocument/2006/relationships/hyperlink" Target="http://www.sec.gov/Archives/edgar/data/1743759/000119312520227100/d507744dex108b.htm" TargetMode="External"/><Relationship Id="rId144" Type="http://schemas.openxmlformats.org/officeDocument/2006/relationships/hyperlink" Target="http://www.sec.gov/Archives/edgar/data/1743759/000119312520227100/d507744dex109.htm" TargetMode="External"/><Relationship Id="rId145" Type="http://schemas.openxmlformats.org/officeDocument/2006/relationships/hyperlink" Target="http://www.sec.gov/Archives/edgar/data/1743759/000119312520227100/d507744dex1010.htm" TargetMode="External"/><Relationship Id="rId146" Type="http://schemas.openxmlformats.org/officeDocument/2006/relationships/hyperlink" Target="http://www.sec.gov/Archives/edgar/data/1743759/000119312520227100/d507744dex1011.htm" TargetMode="External"/><Relationship Id="rId147" Type="http://schemas.openxmlformats.org/officeDocument/2006/relationships/hyperlink" Target="http://www.sec.gov/Archives/edgar/data/1743759/000119312520249552/d507744dex1012.htm" TargetMode="External"/><Relationship Id="rId149" Type="http://schemas.openxmlformats.org/officeDocument/2006/relationships/hyperlink" Target="http://www.sec.gov/Archives/edgar/data/1743759/000119312520249552/d507744dex1013.htm" TargetMode="External"/><Relationship Id="rId150" Type="http://schemas.openxmlformats.org/officeDocument/2006/relationships/hyperlink" Target="http://www.sec.gov/Archives/edgar/data/1743759/000119312520249552/d507744dex1014.htm" TargetMode="External"/><Relationship Id="rId151" Type="http://schemas.openxmlformats.org/officeDocument/2006/relationships/hyperlink" Target="http://www.sec.gov/Archives/edgar/data/1743759/000119312520261460/d1538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2021-03-11T15:51:22Z</dcterms:created>
  <dcterms:modified xsi:type="dcterms:W3CDTF">2021-03-11T15:51:22Z</dcterms:modified>
</cp:coreProperties>
</file>