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5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5575" cy="762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5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5575" cy="7620"/>
                    </a:xfrm>
                    <a:prstGeom prst="rect">
                      <a:avLst/>
                    </a:prstGeom>
                    <a:noFill/>
                  </pic:spPr>
                </pic:pic>
              </a:graphicData>
            </a:graphic>
          </wp:anchor>
        </w:drawing>
      </w:r>
    </w:p>
    <w:p>
      <w:pPr>
        <w:spacing w:after="0" w:line="135" w:lineRule="exact"/>
        <w:rPr>
          <w:sz w:val="24"/>
          <w:szCs w:val="24"/>
          <w:color w:val="auto"/>
        </w:rPr>
      </w:pPr>
    </w:p>
    <w:p>
      <w:pPr>
        <w:ind w:left="1"/>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4081" w:right="2760" w:hanging="4081"/>
        <w:spacing w:after="0" w:line="314" w:lineRule="auto"/>
        <w:tabs>
          <w:tab w:leader="none" w:pos="46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501"/>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63"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3601"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6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20" w:type="dxa"/>
            <w:vAlign w:val="bottom"/>
            <w:tcBorders>
              <w:bottom w:val="single" w:sz="8" w:color="auto"/>
            </w:tcBorders>
          </w:tcPr>
          <w:p>
            <w:pPr>
              <w:spacing w:after="0"/>
              <w:rPr>
                <w:sz w:val="16"/>
                <w:szCs w:val="16"/>
                <w:color w:val="auto"/>
              </w:rPr>
            </w:pPr>
          </w:p>
        </w:tc>
      </w:tr>
      <w:tr>
        <w:trPr>
          <w:trHeight w:val="262"/>
        </w:trPr>
        <w:tc>
          <w:tcPr>
            <w:tcW w:w="4040" w:type="dxa"/>
            <w:vAlign w:val="bottom"/>
            <w:gridSpan w:val="4"/>
          </w:tcPr>
          <w:p>
            <w:pPr>
              <w:ind w:left="78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4"/>
                <w:szCs w:val="14"/>
                <w:b w:val="1"/>
                <w:bCs w:val="1"/>
                <w:color w:val="auto"/>
              </w:rPr>
              <w:t>001-39533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5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5575" cy="7620"/>
                    </a:xfrm>
                    <a:prstGeom prst="rect">
                      <a:avLst/>
                    </a:prstGeom>
                    <a:noFill/>
                  </pic:spPr>
                </pic:pic>
              </a:graphicData>
            </a:graphic>
          </wp:anchor>
        </w:drawing>
      </w:r>
    </w:p>
    <w:p>
      <w:pPr>
        <w:spacing w:after="0" w:line="83" w:lineRule="exact"/>
        <w:rPr>
          <w:sz w:val="24"/>
          <w:szCs w:val="24"/>
          <w:color w:val="auto"/>
        </w:rPr>
      </w:pPr>
    </w:p>
    <w:tbl>
      <w:tblPr>
        <w:tblLayout w:type="fixed"/>
        <w:tblInd w:w="1" w:type="dxa"/>
        <w:tblCellMar>
          <w:top w:w="0" w:type="dxa"/>
          <w:left w:w="0" w:type="dxa"/>
          <w:bottom w:w="0" w:type="dxa"/>
          <w:right w:w="0" w:type="dxa"/>
        </w:tblCellMar>
      </w:tblPr>
      <w:tr>
        <w:trPr>
          <w:trHeight w:val="429"/>
        </w:trPr>
        <w:tc>
          <w:tcPr>
            <w:tcW w:w="3820" w:type="dxa"/>
            <w:vAlign w:val="bottom"/>
          </w:tcPr>
          <w:p>
            <w:pPr>
              <w:spacing w:after="0"/>
              <w:rPr>
                <w:sz w:val="24"/>
                <w:szCs w:val="24"/>
                <w:color w:val="auto"/>
              </w:rPr>
            </w:pPr>
          </w:p>
        </w:tc>
        <w:tc>
          <w:tcPr>
            <w:tcW w:w="3680" w:type="dxa"/>
            <w:vAlign w:val="bottom"/>
            <w:gridSpan w:val="7"/>
          </w:tcPr>
          <w:p>
            <w:pPr>
              <w:jc w:val="center"/>
              <w:ind w:right="60"/>
              <w:spacing w:after="0"/>
              <w:rPr>
                <w:sz w:val="20"/>
                <w:szCs w:val="20"/>
                <w:color w:val="auto"/>
              </w:rPr>
            </w:pPr>
            <w:r>
              <w:rPr>
                <w:rFonts w:ascii="Arial" w:cs="Arial" w:eastAsia="Arial" w:hAnsi="Arial"/>
                <w:sz w:val="35"/>
                <w:szCs w:val="35"/>
                <w:b w:val="1"/>
                <w:bCs w:val="1"/>
                <w:color w:val="auto"/>
                <w:w w:val="94"/>
              </w:rPr>
              <w:t>Corsair Gaming, Inc.</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3680" w:type="dxa"/>
            <w:vAlign w:val="bottom"/>
            <w:gridSpan w:val="7"/>
          </w:tcPr>
          <w:p>
            <w:pPr>
              <w:jc w:val="center"/>
              <w:ind w:right="80"/>
              <w:spacing w:after="0"/>
              <w:rPr>
                <w:sz w:val="20"/>
                <w:szCs w:val="20"/>
                <w:color w:val="auto"/>
              </w:rPr>
            </w:pPr>
            <w:r>
              <w:rPr>
                <w:rFonts w:ascii="Arial" w:cs="Arial" w:eastAsia="Arial" w:hAnsi="Arial"/>
                <w:sz w:val="16"/>
                <w:szCs w:val="16"/>
                <w:color w:val="auto"/>
                <w:w w:val="93"/>
              </w:rPr>
              <w:t>(Exact name of registrant as specified in its charter)</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20" w:type="dxa"/>
            <w:vAlign w:val="bottom"/>
            <w:vMerge w:val="restart"/>
          </w:tcPr>
          <w:p>
            <w:pPr>
              <w:jc w:val="center"/>
              <w:ind w:left="1755"/>
              <w:spacing w:after="0"/>
              <w:rPr>
                <w:sz w:val="20"/>
                <w:szCs w:val="20"/>
                <w:color w:val="auto"/>
              </w:rPr>
            </w:pPr>
            <w:r>
              <w:rPr>
                <w:rFonts w:ascii="Arial" w:cs="Arial" w:eastAsia="Arial" w:hAnsi="Arial"/>
                <w:sz w:val="15"/>
                <w:szCs w:val="15"/>
                <w:b w:val="1"/>
                <w:bCs w:val="1"/>
                <w:color w:val="auto"/>
                <w:w w:val="91"/>
              </w:rPr>
              <w:t>Delaware</w:t>
            </w:r>
          </w:p>
        </w:tc>
        <w:tc>
          <w:tcPr>
            <w:tcW w:w="6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3740" w:type="dxa"/>
            <w:vAlign w:val="bottom"/>
            <w:vMerge w:val="restart"/>
          </w:tcPr>
          <w:p>
            <w:pPr>
              <w:jc w:val="center"/>
              <w:ind w:right="1796"/>
              <w:spacing w:after="0"/>
              <w:rPr>
                <w:sz w:val="20"/>
                <w:szCs w:val="20"/>
                <w:color w:val="auto"/>
              </w:rPr>
            </w:pPr>
            <w:r>
              <w:rPr>
                <w:rFonts w:ascii="Arial" w:cs="Arial" w:eastAsia="Arial" w:hAnsi="Arial"/>
                <w:sz w:val="15"/>
                <w:szCs w:val="15"/>
                <w:b w:val="1"/>
                <w:bCs w:val="1"/>
                <w:color w:val="auto"/>
                <w:w w:val="89"/>
              </w:rPr>
              <w:t>82-2335306</w:t>
            </w:r>
          </w:p>
        </w:tc>
        <w:tc>
          <w:tcPr>
            <w:tcW w:w="0" w:type="dxa"/>
            <w:vAlign w:val="bottom"/>
          </w:tcPr>
          <w:p>
            <w:pPr>
              <w:spacing w:after="0"/>
              <w:rPr>
                <w:sz w:val="1"/>
                <w:szCs w:val="1"/>
                <w:color w:val="auto"/>
              </w:rPr>
            </w:pPr>
          </w:p>
        </w:tc>
      </w:tr>
      <w:tr>
        <w:trPr>
          <w:trHeight w:val="225"/>
        </w:trPr>
        <w:tc>
          <w:tcPr>
            <w:tcW w:w="38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3820" w:type="dxa"/>
            <w:vAlign w:val="bottom"/>
          </w:tcPr>
          <w:p>
            <w:pPr>
              <w:jc w:val="center"/>
              <w:ind w:left="1735"/>
              <w:spacing w:after="0" w:line="124" w:lineRule="exact"/>
              <w:rPr>
                <w:sz w:val="20"/>
                <w:szCs w:val="20"/>
                <w:color w:val="auto"/>
              </w:rPr>
            </w:pPr>
            <w:r>
              <w:rPr>
                <w:rFonts w:ascii="Arial" w:cs="Arial" w:eastAsia="Arial" w:hAnsi="Arial"/>
                <w:sz w:val="12"/>
                <w:szCs w:val="12"/>
                <w:color w:val="auto"/>
                <w:w w:val="89"/>
              </w:rPr>
              <w:t>(State or other jurisdiction of</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740" w:type="dxa"/>
            <w:vAlign w:val="bottom"/>
          </w:tcPr>
          <w:p>
            <w:pPr>
              <w:jc w:val="center"/>
              <w:ind w:right="1816"/>
              <w:spacing w:after="0" w:line="124" w:lineRule="exact"/>
              <w:rPr>
                <w:sz w:val="20"/>
                <w:szCs w:val="20"/>
                <w:color w:val="auto"/>
              </w:rPr>
            </w:pPr>
            <w:r>
              <w:rPr>
                <w:rFonts w:ascii="Arial" w:cs="Arial" w:eastAsia="Arial" w:hAnsi="Arial"/>
                <w:sz w:val="12"/>
                <w:szCs w:val="12"/>
                <w:color w:val="auto"/>
                <w:w w:val="88"/>
              </w:rPr>
              <w:t>(I.R.S. Employer</w:t>
            </w:r>
          </w:p>
        </w:tc>
        <w:tc>
          <w:tcPr>
            <w:tcW w:w="0" w:type="dxa"/>
            <w:vAlign w:val="bottom"/>
          </w:tcPr>
          <w:p>
            <w:pPr>
              <w:spacing w:after="0"/>
              <w:rPr>
                <w:sz w:val="1"/>
                <w:szCs w:val="1"/>
                <w:color w:val="auto"/>
              </w:rPr>
            </w:pPr>
          </w:p>
        </w:tc>
      </w:tr>
      <w:tr>
        <w:trPr>
          <w:trHeight w:val="147"/>
        </w:trPr>
        <w:tc>
          <w:tcPr>
            <w:tcW w:w="3820" w:type="dxa"/>
            <w:vAlign w:val="bottom"/>
          </w:tcPr>
          <w:p>
            <w:pPr>
              <w:jc w:val="center"/>
              <w:ind w:left="1735"/>
              <w:spacing w:after="0"/>
              <w:rPr>
                <w:sz w:val="20"/>
                <w:szCs w:val="20"/>
                <w:color w:val="auto"/>
              </w:rPr>
            </w:pPr>
            <w:r>
              <w:rPr>
                <w:rFonts w:ascii="Arial" w:cs="Arial" w:eastAsia="Arial" w:hAnsi="Arial"/>
                <w:sz w:val="12"/>
                <w:szCs w:val="12"/>
                <w:color w:val="auto"/>
                <w:w w:val="88"/>
              </w:rPr>
              <w:t>incorporation or organization)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40" w:type="dxa"/>
            <w:vAlign w:val="bottom"/>
          </w:tcPr>
          <w:p>
            <w:pPr>
              <w:jc w:val="center"/>
              <w:ind w:right="1816"/>
              <w:spacing w:after="0"/>
              <w:rPr>
                <w:sz w:val="20"/>
                <w:szCs w:val="20"/>
                <w:color w:val="auto"/>
              </w:rPr>
            </w:pPr>
            <w:r>
              <w:rPr>
                <w:rFonts w:ascii="Arial" w:cs="Arial" w:eastAsia="Arial" w:hAnsi="Arial"/>
                <w:sz w:val="12"/>
                <w:szCs w:val="12"/>
                <w:color w:val="auto"/>
                <w:w w:val="92"/>
              </w:rPr>
              <w:t>Identification No.)</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4"/>
          </w:tcPr>
          <w:p>
            <w:pPr>
              <w:jc w:val="center"/>
              <w:ind w:right="1100"/>
              <w:spacing w:after="0"/>
              <w:rPr>
                <w:sz w:val="20"/>
                <w:szCs w:val="20"/>
                <w:color w:val="auto"/>
              </w:rPr>
            </w:pPr>
            <w:r>
              <w:rPr>
                <w:rFonts w:ascii="Arial" w:cs="Arial" w:eastAsia="Arial" w:hAnsi="Arial"/>
                <w:sz w:val="15"/>
                <w:szCs w:val="15"/>
                <w:b w:val="1"/>
                <w:bCs w:val="1"/>
                <w:color w:val="auto"/>
                <w:w w:val="87"/>
              </w:rPr>
              <w:t>47100 Bayside Pkwy</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center"/>
              <w:ind w:right="1100"/>
              <w:spacing w:after="0"/>
              <w:rPr>
                <w:sz w:val="20"/>
                <w:szCs w:val="20"/>
                <w:color w:val="auto"/>
              </w:rPr>
            </w:pPr>
            <w:r>
              <w:rPr>
                <w:rFonts w:ascii="Arial" w:cs="Arial" w:eastAsia="Arial" w:hAnsi="Arial"/>
                <w:sz w:val="15"/>
                <w:szCs w:val="15"/>
                <w:b w:val="1"/>
                <w:bCs w:val="1"/>
                <w:color w:val="auto"/>
                <w:w w:val="91"/>
              </w:rPr>
              <w:t>Fremont, CA 94538</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3680" w:type="dxa"/>
            <w:vAlign w:val="bottom"/>
            <w:gridSpan w:val="7"/>
          </w:tcPr>
          <w:p>
            <w:pPr>
              <w:jc w:val="center"/>
              <w:ind w:right="80"/>
              <w:spacing w:after="0"/>
              <w:rPr>
                <w:sz w:val="20"/>
                <w:szCs w:val="20"/>
                <w:color w:val="auto"/>
              </w:rPr>
            </w:pPr>
            <w:r>
              <w:rPr>
                <w:rFonts w:ascii="Arial" w:cs="Arial" w:eastAsia="Arial" w:hAnsi="Arial"/>
                <w:sz w:val="12"/>
                <w:szCs w:val="12"/>
                <w:color w:val="auto"/>
                <w:w w:val="88"/>
              </w:rPr>
              <w:t>(Address of principal executive offices and zip code)</w:t>
            </w: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20" w:type="dxa"/>
            <w:vAlign w:val="bottom"/>
          </w:tcPr>
          <w:p>
            <w:pPr>
              <w:spacing w:after="0"/>
              <w:rPr>
                <w:sz w:val="18"/>
                <w:szCs w:val="18"/>
                <w:color w:val="auto"/>
              </w:rPr>
            </w:pPr>
          </w:p>
        </w:tc>
        <w:tc>
          <w:tcPr>
            <w:tcW w:w="2600" w:type="dxa"/>
            <w:vAlign w:val="bottom"/>
            <w:gridSpan w:val="4"/>
          </w:tcPr>
          <w:p>
            <w:pPr>
              <w:jc w:val="center"/>
              <w:ind w:left="910"/>
              <w:spacing w:after="0"/>
              <w:rPr>
                <w:sz w:val="20"/>
                <w:szCs w:val="20"/>
                <w:color w:val="auto"/>
              </w:rPr>
            </w:pPr>
            <w:r>
              <w:rPr>
                <w:rFonts w:ascii="Arial" w:cs="Arial" w:eastAsia="Arial" w:hAnsi="Arial"/>
                <w:sz w:val="15"/>
                <w:szCs w:val="15"/>
                <w:b w:val="1"/>
                <w:bCs w:val="1"/>
                <w:color w:val="auto"/>
                <w:w w:val="89"/>
              </w:rPr>
              <w:t>(510) 657-8747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3680" w:type="dxa"/>
            <w:vAlign w:val="bottom"/>
            <w:gridSpan w:val="7"/>
          </w:tcPr>
          <w:p>
            <w:pPr>
              <w:jc w:val="center"/>
              <w:ind w:right="80"/>
              <w:spacing w:after="0"/>
              <w:rPr>
                <w:sz w:val="20"/>
                <w:szCs w:val="20"/>
                <w:color w:val="auto"/>
              </w:rPr>
            </w:pPr>
            <w:r>
              <w:rPr>
                <w:rFonts w:ascii="Arial" w:cs="Arial" w:eastAsia="Arial" w:hAnsi="Arial"/>
                <w:sz w:val="12"/>
                <w:szCs w:val="12"/>
                <w:color w:val="auto"/>
                <w:w w:val="86"/>
              </w:rPr>
              <w:t>Registrant’s telephone number, including area code</w:t>
            </w: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3820" w:type="dxa"/>
            <w:vAlign w:val="bottom"/>
            <w:vMerge w:val="restart"/>
          </w:tcPr>
          <w:p>
            <w:pPr>
              <w:ind w:left="500"/>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8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6"/>
              </w:rPr>
              <w:t>Trading</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1880"/>
              <w:spacing w:after="0"/>
              <w:rPr>
                <w:sz w:val="20"/>
                <w:szCs w:val="20"/>
                <w:color w:val="auto"/>
              </w:rPr>
            </w:pPr>
            <w:r>
              <w:rPr>
                <w:rFonts w:ascii="Arial" w:cs="Arial" w:eastAsia="Arial" w:hAnsi="Arial"/>
                <w:sz w:val="13"/>
                <w:szCs w:val="13"/>
                <w:b w:val="1"/>
                <w:bCs w:val="1"/>
                <w:color w:val="auto"/>
              </w:rPr>
              <w:t>Title of each class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2"/>
              </w:rPr>
              <w:t>Symbol(s)</w:t>
            </w:r>
          </w:p>
        </w:tc>
        <w:tc>
          <w:tcPr>
            <w:tcW w:w="3740" w:type="dxa"/>
            <w:vAlign w:val="bottom"/>
          </w:tcPr>
          <w:p>
            <w:pPr>
              <w:jc w:val="center"/>
              <w:ind w:right="916"/>
              <w:spacing w:after="0"/>
              <w:rPr>
                <w:sz w:val="20"/>
                <w:szCs w:val="20"/>
                <w:color w:val="auto"/>
              </w:rPr>
            </w:pPr>
            <w:r>
              <w:rPr>
                <w:rFonts w:ascii="Arial" w:cs="Arial" w:eastAsia="Arial" w:hAnsi="Arial"/>
                <w:sz w:val="13"/>
                <w:szCs w:val="13"/>
                <w:b w:val="1"/>
                <w:bCs w:val="1"/>
                <w:color w:val="auto"/>
                <w:w w:val="88"/>
              </w:rPr>
              <w:t>Name of each exchange on which registered</w:t>
            </w:r>
          </w:p>
        </w:tc>
        <w:tc>
          <w:tcPr>
            <w:tcW w:w="0" w:type="dxa"/>
            <w:vAlign w:val="bottom"/>
          </w:tcPr>
          <w:p>
            <w:pPr>
              <w:spacing w:after="0"/>
              <w:rPr>
                <w:sz w:val="1"/>
                <w:szCs w:val="1"/>
                <w:color w:val="auto"/>
              </w:rPr>
            </w:pPr>
          </w:p>
        </w:tc>
      </w:tr>
      <w:tr>
        <w:trPr>
          <w:trHeight w:val="158"/>
        </w:trPr>
        <w:tc>
          <w:tcPr>
            <w:tcW w:w="3820" w:type="dxa"/>
            <w:vAlign w:val="bottom"/>
            <w:tcBorders>
              <w:top w:val="single" w:sz="8" w:color="auto"/>
            </w:tcBorders>
          </w:tcPr>
          <w:p>
            <w:pPr>
              <w:ind w:left="1300"/>
              <w:spacing w:after="0"/>
              <w:rPr>
                <w:sz w:val="20"/>
                <w:szCs w:val="20"/>
                <w:color w:val="auto"/>
              </w:rPr>
            </w:pPr>
            <w:r>
              <w:rPr>
                <w:rFonts w:ascii="Arial" w:cs="Arial" w:eastAsia="Arial" w:hAnsi="Arial"/>
                <w:sz w:val="13"/>
                <w:szCs w:val="13"/>
                <w:color w:val="auto"/>
                <w:w w:val="96"/>
              </w:rPr>
              <w:t>Common Stock, $0.0001 par value per share</w:t>
            </w: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CRSR</w:t>
            </w:r>
          </w:p>
        </w:tc>
        <w:tc>
          <w:tcPr>
            <w:tcW w:w="100" w:type="dxa"/>
            <w:vAlign w:val="bottom"/>
          </w:tcPr>
          <w:p>
            <w:pPr>
              <w:spacing w:after="0"/>
              <w:rPr>
                <w:sz w:val="13"/>
                <w:szCs w:val="13"/>
                <w:color w:val="auto"/>
              </w:rPr>
            </w:pPr>
          </w:p>
        </w:tc>
        <w:tc>
          <w:tcPr>
            <w:tcW w:w="980" w:type="dxa"/>
            <w:vAlign w:val="bottom"/>
            <w:tcBorders>
              <w:top w:val="single" w:sz="8" w:color="auto"/>
            </w:tcBorders>
            <w:gridSpan w:val="2"/>
          </w:tcPr>
          <w:p>
            <w:pPr>
              <w:spacing w:after="0"/>
              <w:rPr>
                <w:sz w:val="13"/>
                <w:szCs w:val="13"/>
                <w:color w:val="auto"/>
              </w:rPr>
            </w:pPr>
          </w:p>
        </w:tc>
        <w:tc>
          <w:tcPr>
            <w:tcW w:w="3740" w:type="dxa"/>
            <w:vAlign w:val="bottom"/>
            <w:tcBorders>
              <w:top w:val="single" w:sz="8" w:color="auto"/>
            </w:tcBorders>
          </w:tcPr>
          <w:p>
            <w:pPr>
              <w:jc w:val="center"/>
              <w:ind w:right="896"/>
              <w:spacing w:after="0"/>
              <w:rPr>
                <w:sz w:val="20"/>
                <w:szCs w:val="20"/>
                <w:color w:val="auto"/>
              </w:rPr>
            </w:pPr>
            <w:r>
              <w:rPr>
                <w:rFonts w:ascii="Arial" w:cs="Arial" w:eastAsia="Arial" w:hAnsi="Arial"/>
                <w:sz w:val="13"/>
                <w:szCs w:val="13"/>
                <w:color w:val="auto"/>
                <w:w w:val="91"/>
              </w:rPr>
              <w:t>The Nasdaq Global Select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left="501"/>
        <w:spacing w:after="0"/>
        <w:rPr>
          <w:sz w:val="20"/>
          <w:szCs w:val="20"/>
          <w:color w:val="auto"/>
        </w:rPr>
      </w:pPr>
      <w:r>
        <w:rPr>
          <w:rFonts w:ascii="Arial" w:cs="Arial" w:eastAsia="Arial" w:hAnsi="Arial"/>
          <w:sz w:val="13"/>
          <w:szCs w:val="13"/>
          <w:color w:val="auto"/>
        </w:rPr>
        <w:t>Securities registered or to be registered pursuant to Section 12(g) of the Act: None</w:t>
      </w:r>
    </w:p>
    <w:p>
      <w:pPr>
        <w:spacing w:after="0" w:line="23" w:lineRule="exact"/>
        <w:rPr>
          <w:sz w:val="24"/>
          <w:szCs w:val="24"/>
          <w:color w:val="auto"/>
        </w:rPr>
      </w:pPr>
    </w:p>
    <w:p>
      <w:pPr>
        <w:ind w:left="501" w:right="3740"/>
        <w:spacing w:after="0" w:line="20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left="1" w:right="360" w:firstLine="511"/>
        <w:spacing w:after="0" w:line="16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left="1" w:right="180" w:firstLine="511"/>
        <w:spacing w:after="0" w:line="16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left="1" w:right="220" w:firstLine="511"/>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1"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4"/>
        </w:trPr>
        <w:tc>
          <w:tcPr>
            <w:tcW w:w="172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2"/>
        </w:trPr>
        <w:tc>
          <w:tcPr>
            <w:tcW w:w="17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4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3" w:lineRule="exact"/>
        <w:rPr>
          <w:sz w:val="24"/>
          <w:szCs w:val="24"/>
          <w:color w:val="auto"/>
        </w:rPr>
      </w:pPr>
    </w:p>
    <w:p>
      <w:pPr>
        <w:ind w:left="1" w:right="460" w:firstLine="511"/>
        <w:spacing w:after="0" w:line="16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left="1" w:right="140" w:firstLine="511"/>
        <w:spacing w:after="0" w:line="16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left="501"/>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3" w:lineRule="exact"/>
        <w:rPr>
          <w:sz w:val="24"/>
          <w:szCs w:val="24"/>
          <w:color w:val="auto"/>
        </w:rPr>
      </w:pPr>
    </w:p>
    <w:p>
      <w:pPr>
        <w:ind w:left="1" w:firstLine="511"/>
        <w:spacing w:after="0" w:line="243" w:lineRule="auto"/>
        <w:rPr>
          <w:sz w:val="20"/>
          <w:szCs w:val="20"/>
          <w:color w:val="auto"/>
        </w:rPr>
      </w:pPr>
      <w:r>
        <w:rPr>
          <w:rFonts w:ascii="Arial" w:cs="Arial" w:eastAsia="Arial" w:hAnsi="Arial"/>
          <w:sz w:val="13"/>
          <w:szCs w:val="13"/>
          <w:color w:val="auto"/>
        </w:rPr>
        <w:t>The aggregate market value of the registrant's common stock held by non-affiliates as of June 30, 2021, the last business day of the registrant’s most recent second fiscal quarter, was $1,204,332,297 based on the closing price as reported by the Nasdaq Global Select Market.</w:t>
      </w:r>
    </w:p>
    <w:p>
      <w:pPr>
        <w:spacing w:after="0" w:line="203" w:lineRule="exact"/>
        <w:rPr>
          <w:sz w:val="24"/>
          <w:szCs w:val="24"/>
          <w:color w:val="auto"/>
        </w:rPr>
      </w:pPr>
    </w:p>
    <w:p>
      <w:pPr>
        <w:ind w:left="501"/>
        <w:spacing w:after="0"/>
        <w:rPr>
          <w:sz w:val="20"/>
          <w:szCs w:val="20"/>
          <w:color w:val="auto"/>
        </w:rPr>
      </w:pPr>
      <w:r>
        <w:rPr>
          <w:rFonts w:ascii="Arial" w:cs="Arial" w:eastAsia="Arial" w:hAnsi="Arial"/>
          <w:sz w:val="13"/>
          <w:szCs w:val="13"/>
          <w:color w:val="auto"/>
        </w:rPr>
        <w:t>As of February 14, 2022, 95.2 million shares of the registrant’s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247015</wp:posOffset>
            </wp:positionV>
            <wp:extent cx="71697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222"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225" w:lineRule="exact"/>
        <w:rPr>
          <w:sz w:val="20"/>
          <w:szCs w:val="20"/>
          <w:color w:val="auto"/>
        </w:rPr>
      </w:pPr>
    </w:p>
    <w:p>
      <w:pPr>
        <w:jc w:val="both"/>
        <w:ind w:firstLine="511"/>
        <w:spacing w:after="0" w:line="233" w:lineRule="auto"/>
        <w:rPr>
          <w:sz w:val="20"/>
          <w:szCs w:val="20"/>
          <w:color w:val="auto"/>
        </w:rPr>
      </w:pPr>
      <w:r>
        <w:rPr>
          <w:rFonts w:ascii="Arial" w:cs="Arial" w:eastAsia="Arial" w:hAnsi="Arial"/>
          <w:sz w:val="13"/>
          <w:szCs w:val="13"/>
          <w:color w:val="auto"/>
        </w:rPr>
        <w:t>Portions of the registrant’s Definitive Proxy Statement for the 2022 Annual Meeting of Stockholders, or the Proxy Statement, to be filed within 120 days of the end of the fiscal year ended December 31, 2021, are incorporated by reference in Part III hereof. Except with respect to information specifically incorporated by reference in this Annual Report on Form 10-K, the Proxy Statement is not deemed to be filed as part hereof.</w:t>
      </w:r>
    </w:p>
    <w:p>
      <w:pPr>
        <w:spacing w:after="0" w:line="144" w:lineRule="exact"/>
        <w:rPr>
          <w:sz w:val="20"/>
          <w:szCs w:val="20"/>
          <w:color w:val="auto"/>
        </w:rPr>
      </w:pPr>
    </w:p>
    <w:p>
      <w:pPr>
        <w:spacing w:after="0"/>
        <w:tabs>
          <w:tab w:leader="none" w:pos="1300" w:val="left"/>
          <w:tab w:leader="none" w:pos="4060" w:val="left"/>
          <w:tab w:leader="none" w:pos="5540" w:val="left"/>
          <w:tab w:leader="none" w:pos="9280" w:val="left"/>
          <w:tab w:leader="none" w:pos="10680" w:val="left"/>
        </w:tabs>
        <w:rPr>
          <w:sz w:val="20"/>
          <w:szCs w:val="20"/>
          <w:color w:val="auto"/>
        </w:rPr>
      </w:pPr>
      <w:r>
        <w:rPr>
          <w:rFonts w:ascii="Arial" w:cs="Arial" w:eastAsia="Arial" w:hAnsi="Arial"/>
          <w:sz w:val="13"/>
          <w:szCs w:val="13"/>
          <w:color w:val="auto"/>
        </w:rPr>
        <w:t>Auditor Name:</w:t>
      </w:r>
      <w:r>
        <w:rPr>
          <w:sz w:val="20"/>
          <w:szCs w:val="20"/>
          <w:color w:val="auto"/>
        </w:rPr>
        <w:tab/>
      </w:r>
      <w:r>
        <w:rPr>
          <w:rFonts w:ascii="Arial" w:cs="Arial" w:eastAsia="Arial" w:hAnsi="Arial"/>
          <w:sz w:val="13"/>
          <w:szCs w:val="13"/>
          <w:color w:val="auto"/>
        </w:rPr>
        <w:t>KPMG LLP</w:t>
      </w:r>
      <w:r>
        <w:rPr>
          <w:sz w:val="20"/>
          <w:szCs w:val="20"/>
          <w:color w:val="auto"/>
        </w:rPr>
        <w:tab/>
      </w:r>
      <w:r>
        <w:rPr>
          <w:rFonts w:ascii="Arial" w:cs="Arial" w:eastAsia="Arial" w:hAnsi="Arial"/>
          <w:sz w:val="13"/>
          <w:szCs w:val="13"/>
          <w:color w:val="auto"/>
        </w:rPr>
        <w:t>Auditor Location:</w:t>
      </w:r>
      <w:r>
        <w:rPr>
          <w:sz w:val="20"/>
          <w:szCs w:val="20"/>
          <w:color w:val="auto"/>
        </w:rPr>
        <w:tab/>
      </w:r>
      <w:r>
        <w:rPr>
          <w:rFonts w:ascii="Arial" w:cs="Arial" w:eastAsia="Arial" w:hAnsi="Arial"/>
          <w:sz w:val="13"/>
          <w:szCs w:val="13"/>
          <w:color w:val="auto"/>
        </w:rPr>
        <w:t>San Francisco, California</w:t>
      </w:r>
      <w:r>
        <w:rPr>
          <w:sz w:val="20"/>
          <w:szCs w:val="20"/>
          <w:color w:val="auto"/>
        </w:rPr>
        <w:tab/>
      </w:r>
      <w:r>
        <w:rPr>
          <w:rFonts w:ascii="Arial" w:cs="Arial" w:eastAsia="Arial" w:hAnsi="Arial"/>
          <w:sz w:val="13"/>
          <w:szCs w:val="13"/>
          <w:color w:val="auto"/>
        </w:rPr>
        <w:t>Auditor Firm ID:</w:t>
      </w:r>
      <w:r>
        <w:rPr>
          <w:sz w:val="20"/>
          <w:szCs w:val="20"/>
          <w:color w:val="auto"/>
        </w:rPr>
        <w:tab/>
      </w:r>
      <w:r>
        <w:rPr>
          <w:rFonts w:ascii="Arial" w:cs="Arial" w:eastAsia="Arial" w:hAnsi="Arial"/>
          <w:sz w:val="11"/>
          <w:szCs w:val="1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506095</wp:posOffset>
            </wp:positionV>
            <wp:extent cx="7169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80" w:type="dxa"/>
            <w:vAlign w:val="bottom"/>
            <w:gridSpan w:val="8"/>
          </w:tcPr>
          <w:p>
            <w:pPr>
              <w:ind w:left="120"/>
              <w:spacing w:after="0"/>
              <w:rPr>
                <w:sz w:val="20"/>
                <w:szCs w:val="20"/>
                <w:color w:val="auto"/>
              </w:rPr>
            </w:pPr>
            <w:r>
              <w:rPr>
                <w:rFonts w:ascii="Arial" w:cs="Arial" w:eastAsia="Arial" w:hAnsi="Arial"/>
                <w:sz w:val="16"/>
                <w:szCs w:val="16"/>
                <w:b w:val="1"/>
                <w:bCs w:val="1"/>
                <w:color w:val="auto"/>
              </w:rPr>
              <w:t>Table of Contents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540" w:type="dxa"/>
            <w:vAlign w:val="bottom"/>
            <w:vMerge w:val="restart"/>
          </w:tcPr>
          <w:p>
            <w:pPr>
              <w:spacing w:after="0"/>
              <w:rPr>
                <w:rFonts w:ascii="Arial" w:cs="Arial" w:eastAsia="Arial" w:hAnsi="Arial"/>
                <w:sz w:val="16"/>
                <w:szCs w:val="16"/>
                <w:b w:val="1"/>
                <w:bCs w:val="1"/>
                <w:color w:val="0000EE"/>
                <w:w w:val="99"/>
              </w:rPr>
            </w:pPr>
            <w:hyperlink w:anchor="page5">
              <w:r>
                <w:rPr>
                  <w:rFonts w:ascii="Arial" w:cs="Arial" w:eastAsia="Arial" w:hAnsi="Arial"/>
                  <w:sz w:val="16"/>
                  <w:szCs w:val="16"/>
                  <w:b w:val="1"/>
                  <w:bCs w:val="1"/>
                  <w:color w:val="0000EE"/>
                  <w:w w:val="99"/>
                </w:rPr>
                <w:t>PART I</w:t>
              </w:r>
            </w:hyperlink>
          </w:p>
        </w:tc>
        <w:tc>
          <w:tcPr>
            <w:tcW w:w="600" w:type="dxa"/>
            <w:vAlign w:val="bottom"/>
            <w:gridSpan w:val="3"/>
            <w:vMerge w:val="restart"/>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540" w:type="dxa"/>
            <w:vAlign w:val="bottom"/>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gridSpan w:val="3"/>
          </w:tcPr>
          <w:p>
            <w:pPr>
              <w:jc w:val="right"/>
              <w:spacing w:after="0" w:line="165" w:lineRule="exact"/>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w:t>
            </w:r>
          </w:p>
        </w:tc>
        <w:tc>
          <w:tcPr>
            <w:tcW w:w="600" w:type="dxa"/>
            <w:vAlign w:val="bottom"/>
          </w:tcPr>
          <w:p>
            <w:pP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Business</w:t>
              </w:r>
            </w:hyperlink>
          </w:p>
        </w:tc>
        <w:tc>
          <w:tcPr>
            <w:tcW w:w="8720" w:type="dxa"/>
            <w:vAlign w:val="bottom"/>
            <w:gridSpan w:val="20"/>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1A.</w:t>
            </w:r>
          </w:p>
        </w:tc>
        <w:tc>
          <w:tcPr>
            <w:tcW w:w="840" w:type="dxa"/>
            <w:vAlign w:val="bottom"/>
            <w:gridSpan w:val="4"/>
          </w:tcPr>
          <w:p>
            <w:pPr>
              <w:spacing w:after="0"/>
              <w:rPr>
                <w:rFonts w:ascii="Arial" w:cs="Arial" w:eastAsia="Arial" w:hAnsi="Arial"/>
                <w:sz w:val="16"/>
                <w:szCs w:val="16"/>
                <w:color w:val="0000EE"/>
                <w:w w:val="92"/>
              </w:rPr>
            </w:pPr>
            <w:hyperlink w:anchor="page13">
              <w:r>
                <w:rPr>
                  <w:rFonts w:ascii="Arial" w:cs="Arial" w:eastAsia="Arial" w:hAnsi="Arial"/>
                  <w:sz w:val="16"/>
                  <w:szCs w:val="16"/>
                  <w:color w:val="0000EE"/>
                  <w:w w:val="92"/>
                </w:rPr>
                <w:t>Risk Factors</w:t>
              </w:r>
            </w:hyperlink>
          </w:p>
        </w:tc>
        <w:tc>
          <w:tcPr>
            <w:tcW w:w="8480" w:type="dxa"/>
            <w:vAlign w:val="bottom"/>
            <w:gridSpan w:val="17"/>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1B.</w:t>
            </w:r>
          </w:p>
        </w:tc>
        <w:tc>
          <w:tcPr>
            <w:tcW w:w="1880" w:type="dxa"/>
            <w:vAlign w:val="bottom"/>
            <w:gridSpan w:val="9"/>
          </w:tcPr>
          <w:p>
            <w:pPr>
              <w:spacing w:after="0"/>
              <w:rPr>
                <w:rFonts w:ascii="Arial" w:cs="Arial" w:eastAsia="Arial" w:hAnsi="Arial"/>
                <w:sz w:val="16"/>
                <w:szCs w:val="16"/>
                <w:color w:val="0000EE"/>
                <w:w w:val="92"/>
              </w:rPr>
            </w:pPr>
            <w:hyperlink w:anchor="page44">
              <w:r>
                <w:rPr>
                  <w:rFonts w:ascii="Arial" w:cs="Arial" w:eastAsia="Arial" w:hAnsi="Arial"/>
                  <w:sz w:val="16"/>
                  <w:szCs w:val="16"/>
                  <w:color w:val="0000EE"/>
                  <w:w w:val="92"/>
                </w:rPr>
                <w:t>Unresolved Staff Comments</w:t>
              </w:r>
            </w:hyperlink>
          </w:p>
        </w:tc>
        <w:tc>
          <w:tcPr>
            <w:tcW w:w="7440" w:type="dxa"/>
            <w:vAlign w:val="bottom"/>
            <w:gridSpan w:val="12"/>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2.</w:t>
            </w:r>
          </w:p>
        </w:tc>
        <w:tc>
          <w:tcPr>
            <w:tcW w:w="680" w:type="dxa"/>
            <w:vAlign w:val="bottom"/>
            <w:gridSpan w:val="2"/>
          </w:tcPr>
          <w:p>
            <w:pPr>
              <w:spacing w:after="0"/>
              <w:rPr>
                <w:rFonts w:ascii="Arial" w:cs="Arial" w:eastAsia="Arial" w:hAnsi="Arial"/>
                <w:sz w:val="16"/>
                <w:szCs w:val="16"/>
                <w:color w:val="0000EE"/>
                <w:w w:val="90"/>
              </w:rPr>
            </w:pPr>
            <w:hyperlink w:anchor="page44">
              <w:r>
                <w:rPr>
                  <w:rFonts w:ascii="Arial" w:cs="Arial" w:eastAsia="Arial" w:hAnsi="Arial"/>
                  <w:sz w:val="16"/>
                  <w:szCs w:val="16"/>
                  <w:color w:val="0000EE"/>
                  <w:w w:val="90"/>
                </w:rPr>
                <w:t>Properties</w:t>
              </w:r>
            </w:hyperlink>
          </w:p>
        </w:tc>
        <w:tc>
          <w:tcPr>
            <w:tcW w:w="1200" w:type="dxa"/>
            <w:vAlign w:val="bottom"/>
            <w:gridSpan w:val="7"/>
          </w:tcPr>
          <w:p>
            <w:pPr>
              <w:spacing w:after="0"/>
              <w:rPr>
                <w:sz w:val="16"/>
                <w:szCs w:val="16"/>
                <w:color w:val="auto"/>
              </w:rPr>
            </w:pPr>
          </w:p>
        </w:tc>
        <w:tc>
          <w:tcPr>
            <w:tcW w:w="7440" w:type="dxa"/>
            <w:vAlign w:val="bottom"/>
            <w:gridSpan w:val="12"/>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3.</w:t>
            </w:r>
          </w:p>
        </w:tc>
        <w:tc>
          <w:tcPr>
            <w:tcW w:w="9320" w:type="dxa"/>
            <w:vAlign w:val="bottom"/>
            <w:gridSpan w:val="21"/>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Legal Proceedings</w:t>
              </w:r>
            </w:hyperlink>
          </w:p>
        </w:tc>
        <w:tc>
          <w:tcPr>
            <w:tcW w:w="78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4.</w:t>
            </w:r>
          </w:p>
        </w:tc>
        <w:tc>
          <w:tcPr>
            <w:tcW w:w="9320" w:type="dxa"/>
            <w:vAlign w:val="bottom"/>
            <w:gridSpan w:val="21"/>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Mine Safety Disclosures</w:t>
              </w:r>
            </w:hyperlink>
          </w:p>
        </w:tc>
        <w:tc>
          <w:tcPr>
            <w:tcW w:w="78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41</w:t>
              </w:r>
            </w:hyperlink>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PART II</w:t>
              </w:r>
            </w:hyperlink>
          </w:p>
        </w:tc>
        <w:tc>
          <w:tcPr>
            <w:tcW w:w="540" w:type="dxa"/>
            <w:vAlign w:val="bottom"/>
            <w:gridSpan w:val="2"/>
            <w:vMerge w:val="restart"/>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vMerge w:val="continue"/>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 w:type="dxa"/>
            <w:vAlign w:val="bottom"/>
            <w:gridSpan w:val="2"/>
          </w:tcPr>
          <w:p>
            <w:pPr>
              <w:ind w:left="120"/>
              <w:spacing w:after="0"/>
              <w:rPr>
                <w:sz w:val="20"/>
                <w:szCs w:val="20"/>
                <w:color w:val="auto"/>
              </w:rPr>
            </w:pPr>
            <w:r>
              <w:rPr>
                <w:rFonts w:ascii="Arial" w:cs="Arial" w:eastAsia="Arial" w:hAnsi="Arial"/>
                <w:sz w:val="16"/>
                <w:szCs w:val="16"/>
                <w:color w:val="auto"/>
                <w:w w:val="93"/>
              </w:rPr>
              <w:t>Item 5.</w:t>
            </w:r>
          </w:p>
        </w:tc>
        <w:tc>
          <w:tcPr>
            <w:tcW w:w="540" w:type="dxa"/>
            <w:vAlign w:val="bottom"/>
            <w:gridSpan w:val="2"/>
          </w:tcPr>
          <w:p>
            <w:pPr>
              <w:spacing w:after="0"/>
              <w:rPr>
                <w:sz w:val="16"/>
                <w:szCs w:val="16"/>
                <w:color w:val="auto"/>
              </w:rPr>
            </w:pPr>
          </w:p>
        </w:tc>
        <w:tc>
          <w:tcPr>
            <w:tcW w:w="9320" w:type="dxa"/>
            <w:vAlign w:val="bottom"/>
            <w:gridSpan w:val="21"/>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Market for Registrant’s Common Equity, Related Stockholder Matters and Issuer Purchases of Equity Securities</w:t>
              </w:r>
            </w:hyperlink>
          </w:p>
        </w:tc>
        <w:tc>
          <w:tcPr>
            <w:tcW w:w="78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42</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6.</w:t>
            </w:r>
          </w:p>
        </w:tc>
        <w:tc>
          <w:tcPr>
            <w:tcW w:w="7380" w:type="dxa"/>
            <w:vAlign w:val="bottom"/>
            <w:gridSpan w:val="20"/>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[Reserved]</w:t>
              </w:r>
            </w:hyperlink>
          </w:p>
        </w:tc>
        <w:tc>
          <w:tcPr>
            <w:tcW w:w="1940" w:type="dxa"/>
            <w:vAlign w:val="bottom"/>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46">
              <w:r>
                <w:rPr>
                  <w:rFonts w:ascii="Arial" w:cs="Arial" w:eastAsia="Arial" w:hAnsi="Arial"/>
                  <w:sz w:val="16"/>
                  <w:szCs w:val="16"/>
                  <w:color w:val="0000EE"/>
                </w:rPr>
                <w:t>43</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7.</w:t>
            </w:r>
          </w:p>
        </w:tc>
        <w:tc>
          <w:tcPr>
            <w:tcW w:w="9320" w:type="dxa"/>
            <w:vAlign w:val="bottom"/>
            <w:gridSpan w:val="21"/>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Management’s Discussion and Analysis of Financial Condition and Results of Operations</w:t>
              </w:r>
            </w:hyperlink>
          </w:p>
        </w:tc>
        <w:tc>
          <w:tcPr>
            <w:tcW w:w="780" w:type="dxa"/>
            <w:vAlign w:val="bottom"/>
            <w:gridSpan w:val="3"/>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44</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7A.</w:t>
            </w:r>
          </w:p>
        </w:tc>
        <w:tc>
          <w:tcPr>
            <w:tcW w:w="5900" w:type="dxa"/>
            <w:vAlign w:val="bottom"/>
            <w:gridSpan w:val="17"/>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Quantitative and Qualitative Disclosures About Market Risk</w:t>
              </w:r>
            </w:hyperlink>
          </w:p>
        </w:tc>
        <w:tc>
          <w:tcPr>
            <w:tcW w:w="3420" w:type="dxa"/>
            <w:vAlign w:val="bottom"/>
            <w:gridSpan w:val="4"/>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8.</w:t>
            </w:r>
          </w:p>
        </w:tc>
        <w:tc>
          <w:tcPr>
            <w:tcW w:w="3980" w:type="dxa"/>
            <w:vAlign w:val="bottom"/>
            <w:gridSpan w:val="14"/>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Financial Statements and Supplementary Data</w:t>
              </w:r>
            </w:hyperlink>
          </w:p>
        </w:tc>
        <w:tc>
          <w:tcPr>
            <w:tcW w:w="5340" w:type="dxa"/>
            <w:vAlign w:val="bottom"/>
            <w:gridSpan w:val="7"/>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57</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9.</w:t>
            </w:r>
          </w:p>
        </w:tc>
        <w:tc>
          <w:tcPr>
            <w:tcW w:w="9320" w:type="dxa"/>
            <w:vAlign w:val="bottom"/>
            <w:gridSpan w:val="21"/>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Changes in and Disagreements with Accountants on Accounting and Financial Disclosure</w:t>
              </w:r>
            </w:hyperlink>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9A.</w:t>
            </w:r>
          </w:p>
        </w:tc>
        <w:tc>
          <w:tcPr>
            <w:tcW w:w="5920" w:type="dxa"/>
            <w:vAlign w:val="bottom"/>
            <w:gridSpan w:val="1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Controls and Procedures</w:t>
              </w:r>
            </w:hyperlink>
          </w:p>
        </w:tc>
        <w:tc>
          <w:tcPr>
            <w:tcW w:w="3400" w:type="dxa"/>
            <w:vAlign w:val="bottom"/>
            <w:gridSpan w:val="3"/>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9B.</w:t>
            </w:r>
          </w:p>
        </w:tc>
        <w:tc>
          <w:tcPr>
            <w:tcW w:w="1620" w:type="dxa"/>
            <w:vAlign w:val="bottom"/>
            <w:gridSpan w:val="7"/>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Other Information</w:t>
              </w:r>
            </w:hyperlink>
          </w:p>
        </w:tc>
        <w:tc>
          <w:tcPr>
            <w:tcW w:w="7700" w:type="dxa"/>
            <w:vAlign w:val="bottom"/>
            <w:gridSpan w:val="14"/>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9C.</w:t>
            </w:r>
          </w:p>
        </w:tc>
        <w:tc>
          <w:tcPr>
            <w:tcW w:w="9320" w:type="dxa"/>
            <w:vAlign w:val="bottom"/>
            <w:gridSpan w:val="21"/>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Disclosure Regarding Foreign Jurisdictions that Prevent Inspections</w:t>
              </w:r>
            </w:hyperlink>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0" w:type="dxa"/>
            <w:vAlign w:val="bottom"/>
          </w:tcPr>
          <w:p>
            <w:pPr>
              <w:spacing w:after="0"/>
              <w:rPr>
                <w:sz w:val="1"/>
                <w:szCs w:val="1"/>
                <w:color w:val="auto"/>
              </w:rPr>
            </w:pPr>
          </w:p>
        </w:tc>
      </w:tr>
      <w:tr>
        <w:trPr>
          <w:trHeight w:val="20"/>
        </w:trPr>
        <w:tc>
          <w:tcPr>
            <w:tcW w:w="640" w:type="dxa"/>
            <w:vAlign w:val="bottom"/>
            <w:gridSpan w:val="3"/>
            <w:vMerge w:val="restart"/>
          </w:tcPr>
          <w:p>
            <w:pPr>
              <w:spacing w:after="0"/>
              <w:rPr>
                <w:rFonts w:ascii="Arial" w:cs="Arial" w:eastAsia="Arial" w:hAnsi="Arial"/>
                <w:sz w:val="16"/>
                <w:szCs w:val="16"/>
                <w:b w:val="1"/>
                <w:bCs w:val="1"/>
                <w:color w:val="0000EE"/>
                <w:w w:val="97"/>
              </w:rPr>
            </w:pPr>
            <w:hyperlink w:anchor="page90">
              <w:r>
                <w:rPr>
                  <w:rFonts w:ascii="Arial" w:cs="Arial" w:eastAsia="Arial" w:hAnsi="Arial"/>
                  <w:sz w:val="16"/>
                  <w:szCs w:val="16"/>
                  <w:b w:val="1"/>
                  <w:bCs w:val="1"/>
                  <w:color w:val="0000EE"/>
                  <w:w w:val="97"/>
                </w:rPr>
                <w:t>PART III</w:t>
              </w:r>
            </w:hyperlink>
          </w:p>
        </w:tc>
        <w:tc>
          <w:tcPr>
            <w:tcW w:w="500" w:type="dxa"/>
            <w:vAlign w:val="bottom"/>
            <w:vMerge w:val="restart"/>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0" w:type="dxa"/>
            <w:vAlign w:val="bottom"/>
            <w:gridSpan w:val="3"/>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ind w:left="120"/>
              <w:spacing w:after="0"/>
              <w:rPr>
                <w:sz w:val="20"/>
                <w:szCs w:val="20"/>
                <w:color w:val="auto"/>
              </w:rPr>
            </w:pPr>
            <w:r>
              <w:rPr>
                <w:rFonts w:ascii="Arial" w:cs="Arial" w:eastAsia="Arial" w:hAnsi="Arial"/>
                <w:sz w:val="16"/>
                <w:szCs w:val="16"/>
                <w:color w:val="auto"/>
                <w:w w:val="82"/>
              </w:rPr>
              <w:t>Item 10.</w:t>
            </w:r>
          </w:p>
        </w:tc>
        <w:tc>
          <w:tcPr>
            <w:tcW w:w="500" w:type="dxa"/>
            <w:vAlign w:val="bottom"/>
          </w:tcPr>
          <w:p>
            <w:pPr>
              <w:spacing w:after="0"/>
              <w:rPr>
                <w:sz w:val="16"/>
                <w:szCs w:val="16"/>
                <w:color w:val="auto"/>
              </w:rPr>
            </w:pPr>
          </w:p>
        </w:tc>
        <w:tc>
          <w:tcPr>
            <w:tcW w:w="9320" w:type="dxa"/>
            <w:vAlign w:val="bottom"/>
            <w:gridSpan w:val="21"/>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Directors, Executive Officers and Corporate Governance</w:t>
              </w:r>
            </w:hyperlink>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11.</w:t>
            </w:r>
          </w:p>
        </w:tc>
        <w:tc>
          <w:tcPr>
            <w:tcW w:w="1660" w:type="dxa"/>
            <w:vAlign w:val="bottom"/>
            <w:gridSpan w:val="8"/>
          </w:tcPr>
          <w:p>
            <w:pPr>
              <w:spacing w:after="0"/>
              <w:rPr>
                <w:rFonts w:ascii="Arial" w:cs="Arial" w:eastAsia="Arial" w:hAnsi="Arial"/>
                <w:sz w:val="16"/>
                <w:szCs w:val="16"/>
                <w:color w:val="0000EE"/>
                <w:w w:val="92"/>
              </w:rPr>
            </w:pPr>
            <w:hyperlink w:anchor="page90">
              <w:r>
                <w:rPr>
                  <w:rFonts w:ascii="Arial" w:cs="Arial" w:eastAsia="Arial" w:hAnsi="Arial"/>
                  <w:sz w:val="16"/>
                  <w:szCs w:val="16"/>
                  <w:color w:val="0000EE"/>
                  <w:w w:val="92"/>
                </w:rPr>
                <w:t>Executive Compensation</w:t>
              </w:r>
            </w:hyperlink>
          </w:p>
        </w:tc>
        <w:tc>
          <w:tcPr>
            <w:tcW w:w="2080" w:type="dxa"/>
            <w:vAlign w:val="bottom"/>
            <w:gridSpan w:val="5"/>
          </w:tcPr>
          <w:p>
            <w:pPr>
              <w:spacing w:after="0"/>
              <w:rPr>
                <w:sz w:val="16"/>
                <w:szCs w:val="16"/>
                <w:color w:val="auto"/>
              </w:rPr>
            </w:pPr>
          </w:p>
        </w:tc>
        <w:tc>
          <w:tcPr>
            <w:tcW w:w="5580" w:type="dxa"/>
            <w:vAlign w:val="bottom"/>
            <w:gridSpan w:val="8"/>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12.</w:t>
            </w:r>
          </w:p>
        </w:tc>
        <w:tc>
          <w:tcPr>
            <w:tcW w:w="9320" w:type="dxa"/>
            <w:vAlign w:val="bottom"/>
            <w:gridSpan w:val="21"/>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Security Ownership of Certain Beneficial Owners and Management and Related Stockholder Matters</w:t>
              </w:r>
            </w:hyperlink>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13.</w:t>
            </w:r>
          </w:p>
        </w:tc>
        <w:tc>
          <w:tcPr>
            <w:tcW w:w="6660" w:type="dxa"/>
            <w:vAlign w:val="bottom"/>
            <w:gridSpan w:val="19"/>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Certain Relationships and Related Transactions, and Director Independence</w:t>
              </w:r>
            </w:hyperlink>
          </w:p>
        </w:tc>
        <w:tc>
          <w:tcPr>
            <w:tcW w:w="2660" w:type="dxa"/>
            <w:vAlign w:val="bottom"/>
            <w:gridSpan w:val="2"/>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14.</w:t>
            </w:r>
          </w:p>
        </w:tc>
        <w:tc>
          <w:tcPr>
            <w:tcW w:w="4980" w:type="dxa"/>
            <w:vAlign w:val="bottom"/>
            <w:gridSpan w:val="16"/>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Principal Accounting Fees and Services</w:t>
              </w:r>
            </w:hyperlink>
          </w:p>
        </w:tc>
        <w:tc>
          <w:tcPr>
            <w:tcW w:w="4340" w:type="dxa"/>
            <w:vAlign w:val="bottom"/>
            <w:gridSpan w:val="5"/>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PART IV</w:t>
              </w:r>
            </w:hyperlink>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88</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15.</w:t>
            </w:r>
          </w:p>
        </w:tc>
        <w:tc>
          <w:tcPr>
            <w:tcW w:w="2660" w:type="dxa"/>
            <w:vAlign w:val="bottom"/>
            <w:gridSpan w:val="11"/>
          </w:tcPr>
          <w:p>
            <w:pPr>
              <w:spacing w:after="0"/>
              <w:rPr>
                <w:rFonts w:ascii="Arial" w:cs="Arial" w:eastAsia="Arial" w:hAnsi="Arial"/>
                <w:sz w:val="16"/>
                <w:szCs w:val="16"/>
                <w:color w:val="0000EE"/>
                <w:w w:val="92"/>
              </w:rPr>
            </w:pPr>
            <w:hyperlink w:anchor="page91">
              <w:r>
                <w:rPr>
                  <w:rFonts w:ascii="Arial" w:cs="Arial" w:eastAsia="Arial" w:hAnsi="Arial"/>
                  <w:sz w:val="16"/>
                  <w:szCs w:val="16"/>
                  <w:color w:val="0000EE"/>
                  <w:w w:val="92"/>
                </w:rPr>
                <w:t>Exhibits, Financial Statement Schedules</w:t>
              </w:r>
            </w:hyperlink>
          </w:p>
        </w:tc>
        <w:tc>
          <w:tcPr>
            <w:tcW w:w="6660" w:type="dxa"/>
            <w:vAlign w:val="bottom"/>
            <w:gridSpan w:val="10"/>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88</w:t>
              </w:r>
            </w:hyperlink>
          </w:p>
        </w:tc>
        <w:tc>
          <w:tcPr>
            <w:tcW w:w="0" w:type="dxa"/>
            <w:vAlign w:val="bottom"/>
          </w:tcPr>
          <w:p>
            <w:pPr>
              <w:spacing w:after="0"/>
              <w:rPr>
                <w:sz w:val="1"/>
                <w:szCs w:val="1"/>
                <w:color w:val="auto"/>
              </w:rPr>
            </w:pPr>
          </w:p>
        </w:tc>
      </w:tr>
      <w:tr>
        <w:trPr>
          <w:trHeight w:val="20"/>
        </w:trPr>
        <w:tc>
          <w:tcPr>
            <w:tcW w:w="1140" w:type="dxa"/>
            <w:vAlign w:val="bottom"/>
            <w:gridSpan w:val="4"/>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gridSpan w:val="4"/>
          </w:tcPr>
          <w:p>
            <w:pPr>
              <w:ind w:left="120"/>
              <w:spacing w:after="0"/>
              <w:rPr>
                <w:sz w:val="20"/>
                <w:szCs w:val="20"/>
                <w:color w:val="auto"/>
              </w:rPr>
            </w:pPr>
            <w:r>
              <w:rPr>
                <w:rFonts w:ascii="Arial" w:cs="Arial" w:eastAsia="Arial" w:hAnsi="Arial"/>
                <w:sz w:val="16"/>
                <w:szCs w:val="16"/>
                <w:color w:val="auto"/>
              </w:rPr>
              <w:t>Item 16</w:t>
            </w:r>
          </w:p>
        </w:tc>
        <w:tc>
          <w:tcPr>
            <w:tcW w:w="2660" w:type="dxa"/>
            <w:vAlign w:val="bottom"/>
            <w:gridSpan w:val="11"/>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Form 10-K Summary</w:t>
              </w:r>
            </w:hyperlink>
          </w:p>
        </w:tc>
        <w:tc>
          <w:tcPr>
            <w:tcW w:w="6660" w:type="dxa"/>
            <w:vAlign w:val="bottom"/>
            <w:gridSpan w:val="10"/>
          </w:tcPr>
          <w:p>
            <w:pPr>
              <w:spacing w:after="0"/>
              <w:rPr>
                <w:sz w:val="16"/>
                <w:szCs w:val="16"/>
                <w:color w:val="auto"/>
              </w:rPr>
            </w:pPr>
          </w:p>
        </w:tc>
        <w:tc>
          <w:tcPr>
            <w:tcW w:w="780" w:type="dxa"/>
            <w:vAlign w:val="bottom"/>
            <w:gridSpan w:val="3"/>
          </w:tcPr>
          <w:p>
            <w:pPr>
              <w:jc w:val="right"/>
              <w:spacing w:after="0"/>
              <w:rPr>
                <w:rFonts w:ascii="Arial" w:cs="Arial" w:eastAsia="Arial" w:hAnsi="Arial"/>
                <w:sz w:val="16"/>
                <w:szCs w:val="16"/>
                <w:color w:val="0000EE"/>
              </w:rPr>
            </w:pPr>
            <w:hyperlink w:anchor="page94">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 ABOUT FORWARD-LOOKING STATEMENTS</w:t>
      </w:r>
    </w:p>
    <w:p>
      <w:pPr>
        <w:spacing w:after="0" w:line="215" w:lineRule="exact"/>
        <w:rPr>
          <w:sz w:val="20"/>
          <w:szCs w:val="20"/>
          <w:color w:val="auto"/>
        </w:rPr>
      </w:pPr>
    </w:p>
    <w:p>
      <w:pPr>
        <w:ind w:right="20" w:firstLine="656"/>
        <w:spacing w:after="0" w:line="263"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172" w:lineRule="exact"/>
        <w:rPr>
          <w:sz w:val="20"/>
          <w:szCs w:val="20"/>
          <w:color w:val="auto"/>
        </w:rPr>
      </w:pPr>
    </w:p>
    <w:p>
      <w:pPr>
        <w:ind w:firstLine="656"/>
        <w:spacing w:after="0" w:line="282" w:lineRule="auto"/>
        <w:rPr>
          <w:sz w:val="20"/>
          <w:szCs w:val="20"/>
          <w:color w:val="auto"/>
        </w:rPr>
      </w:pPr>
      <w:r>
        <w:rPr>
          <w:rFonts w:ascii="Arial" w:cs="Arial" w:eastAsia="Arial" w:hAnsi="Arial"/>
          <w:sz w:val="15"/>
          <w:szCs w:val="15"/>
          <w:color w:val="auto"/>
        </w:rPr>
        <w:t>The forward-looking statements contained in this Annual Report on Form 10-K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 Item 1A, “Risk Factors” in this Annual Report on Form 10-K. These factors should not be construed as exhaustive and should be read in conjunction with the other cautionary statements that are included in this Annual Report on Form 10-K.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6" w:lineRule="exact"/>
        <w:rPr>
          <w:sz w:val="20"/>
          <w:szCs w:val="20"/>
          <w:color w:val="auto"/>
        </w:rPr>
      </w:pPr>
    </w:p>
    <w:p>
      <w:pPr>
        <w:ind w:right="80" w:firstLine="469"/>
        <w:spacing w:after="0" w:line="263" w:lineRule="auto"/>
        <w:rPr>
          <w:sz w:val="20"/>
          <w:szCs w:val="20"/>
          <w:color w:val="auto"/>
        </w:rPr>
      </w:pPr>
      <w:r>
        <w:rPr>
          <w:rFonts w:ascii="Arial" w:cs="Arial" w:eastAsia="Arial" w:hAnsi="Arial"/>
          <w:sz w:val="16"/>
          <w:szCs w:val="16"/>
          <w:color w:val="auto"/>
        </w:rPr>
        <w:t>Corsair Gaming, Inc. (also referred to in this document as “Corsair,” “we,” the “company,” or the “registrant”) is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We design and sell high-performance gaming and streaming peripherals, components and systems to enthusiasts globally.</w:t>
      </w:r>
    </w:p>
    <w:p>
      <w:pPr>
        <w:spacing w:after="0" w:line="73" w:lineRule="exact"/>
        <w:rPr>
          <w:sz w:val="20"/>
          <w:szCs w:val="20"/>
          <w:color w:val="auto"/>
        </w:rPr>
      </w:pPr>
    </w:p>
    <w:p>
      <w:pPr>
        <w:jc w:val="both"/>
        <w:ind w:firstLine="469"/>
        <w:spacing w:after="0" w:line="273" w:lineRule="auto"/>
        <w:rPr>
          <w:sz w:val="20"/>
          <w:szCs w:val="20"/>
          <w:color w:val="auto"/>
        </w:rPr>
      </w:pPr>
      <w:r>
        <w:rPr>
          <w:rFonts w:ascii="Arial" w:cs="Arial" w:eastAsia="Arial" w:hAnsi="Arial"/>
          <w:sz w:val="16"/>
          <w:szCs w:val="16"/>
          <w:color w:val="auto"/>
        </w:rPr>
        <w:t>We have served the market for over two decades and many of our products maintain leading market share positions, according to external market data and internal estimates. We have built a passionate base of loyal customers due to our brand authenticity and reputation as a provider of innovative and finely engineered products that deliver a high level of performance.</w:t>
      </w:r>
    </w:p>
    <w:p>
      <w:pPr>
        <w:spacing w:after="0" w:line="63" w:lineRule="exact"/>
        <w:rPr>
          <w:sz w:val="20"/>
          <w:szCs w:val="20"/>
          <w:color w:val="auto"/>
        </w:rPr>
      </w:pPr>
    </w:p>
    <w:p>
      <w:pPr>
        <w:ind w:right="20" w:firstLine="465"/>
        <w:spacing w:after="0" w:line="268" w:lineRule="auto"/>
        <w:rPr>
          <w:sz w:val="20"/>
          <w:szCs w:val="20"/>
          <w:color w:val="auto"/>
        </w:rPr>
      </w:pPr>
      <w:r>
        <w:rPr>
          <w:rFonts w:ascii="Arial" w:cs="Arial" w:eastAsia="Arial" w:hAnsi="Arial"/>
          <w:sz w:val="16"/>
          <w:szCs w:val="16"/>
          <w:color w:val="auto"/>
        </w:rPr>
        <w:t>Our solution is the most complete suite of gear among our major competitors and addresses the most critical components for both game performance and streaming. Our product offering is enhanced by our two proprietary software platforms: iCUE for gamers and Elgato’s streaming suite for streamers and content creators, including our Stream Deck control software. These software platforms provide unified, intuitive performance, and aesthetic control and customization across their respective product families. We group our products into two categories (segments):</w:t>
      </w:r>
    </w:p>
    <w:p>
      <w:pPr>
        <w:spacing w:after="0" w:line="66" w:lineRule="exact"/>
        <w:rPr>
          <w:sz w:val="20"/>
          <w:szCs w:val="20"/>
          <w:color w:val="auto"/>
        </w:rPr>
      </w:pPr>
    </w:p>
    <w:p>
      <w:pPr>
        <w:ind w:left="1100" w:right="20" w:hanging="361"/>
        <w:spacing w:after="0" w:line="273"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Gamer and creator peripherals. </w:t>
      </w:r>
      <w:r>
        <w:rPr>
          <w:rFonts w:ascii="Arial" w:cs="Arial" w:eastAsia="Arial" w:hAnsi="Arial"/>
          <w:sz w:val="16"/>
          <w:szCs w:val="16"/>
          <w:color w:val="auto"/>
        </w:rPr>
        <w:t>Includes our high-performance gaming keyboards, mice, headsets, controllers, and our streaming gear including capture</w:t>
      </w:r>
      <w:r>
        <w:rPr>
          <w:rFonts w:ascii="Arial" w:cs="Arial" w:eastAsia="Arial" w:hAnsi="Arial"/>
          <w:sz w:val="16"/>
          <w:szCs w:val="16"/>
          <w:i w:val="1"/>
          <w:iCs w:val="1"/>
          <w:color w:val="auto"/>
        </w:rPr>
        <w:t xml:space="preserve"> </w:t>
      </w:r>
      <w:r>
        <w:rPr>
          <w:rFonts w:ascii="Arial" w:cs="Arial" w:eastAsia="Arial" w:hAnsi="Arial"/>
          <w:sz w:val="16"/>
          <w:szCs w:val="16"/>
          <w:color w:val="auto"/>
        </w:rPr>
        <w:t>cards, Stream Decks, USB microphones, our Facecam streaming camera, studio accessories and EpocCam software, as well as coaching and training services, among others.</w:t>
      </w:r>
    </w:p>
    <w:p>
      <w:pPr>
        <w:spacing w:after="0" w:line="62" w:lineRule="exact"/>
        <w:rPr>
          <w:rFonts w:ascii="Arial" w:cs="Arial" w:eastAsia="Arial" w:hAnsi="Arial"/>
          <w:sz w:val="16"/>
          <w:szCs w:val="16"/>
          <w:color w:val="auto"/>
        </w:rPr>
      </w:pPr>
    </w:p>
    <w:p>
      <w:pPr>
        <w:ind w:left="1100" w:right="140" w:hanging="361"/>
        <w:spacing w:after="0" w:line="289"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Gaming components and systems. </w:t>
      </w:r>
      <w:r>
        <w:rPr>
          <w:rFonts w:ascii="Arial" w:cs="Arial" w:eastAsia="Arial" w:hAnsi="Arial"/>
          <w:sz w:val="16"/>
          <w:szCs w:val="16"/>
          <w:color w:val="auto"/>
        </w:rPr>
        <w:t>Includes our high-performance power supply units, or PSUs, cooling solutions, computer cases, DRAM modules,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high-end prebuilt and custom-built gaming PCs,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5130800" cy="2890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30800" cy="289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69"/>
        <w:spacing w:after="0" w:line="289" w:lineRule="auto"/>
        <w:rPr>
          <w:sz w:val="20"/>
          <w:szCs w:val="20"/>
          <w:color w:val="auto"/>
        </w:rPr>
      </w:pPr>
      <w:r>
        <w:rPr>
          <w:rFonts w:ascii="Arial" w:cs="Arial" w:eastAsia="Arial" w:hAnsi="Arial"/>
          <w:sz w:val="16"/>
          <w:szCs w:val="16"/>
          <w:color w:val="auto"/>
        </w:rPr>
        <w:t>Our gear is sold to end users worldwide through our retail channel or our direct-to-consumer channel. In our retail channel, we distribute our gear either directly to the retailer, such as Amazon and Best Buy, or through distributors.</w:t>
      </w:r>
    </w:p>
    <w:p>
      <w:pPr>
        <w:spacing w:after="0" w:line="50" w:lineRule="exact"/>
        <w:rPr>
          <w:sz w:val="20"/>
          <w:szCs w:val="20"/>
          <w:color w:val="auto"/>
        </w:rPr>
      </w:pPr>
    </w:p>
    <w:p>
      <w:pPr>
        <w:ind w:firstLine="469"/>
        <w:spacing w:after="0" w:line="289" w:lineRule="auto"/>
        <w:rPr>
          <w:sz w:val="20"/>
          <w:szCs w:val="20"/>
          <w:color w:val="auto"/>
        </w:rPr>
      </w:pPr>
      <w:r>
        <w:rPr>
          <w:rFonts w:ascii="Arial" w:cs="Arial" w:eastAsia="Arial" w:hAnsi="Arial"/>
          <w:sz w:val="16"/>
          <w:szCs w:val="16"/>
          <w:color w:val="auto"/>
        </w:rPr>
        <w:t>We believe our brand, scale and global reach provide significant competitive advantages and will allow us to continue to capture a growing share of the expanding gaming and streaming market. We believe we can continue to grow by offering market-leading gear</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365" w:lineRule="auto"/>
        <w:rPr>
          <w:sz w:val="20"/>
          <w:szCs w:val="20"/>
          <w:color w:val="auto"/>
        </w:rPr>
      </w:pPr>
      <w:r>
        <w:rPr>
          <w:rFonts w:ascii="Arial" w:cs="Arial" w:eastAsia="Arial" w:hAnsi="Arial"/>
          <w:sz w:val="14"/>
          <w:szCs w:val="14"/>
          <w:color w:val="auto"/>
        </w:rPr>
        <w:t>to gamers, streamers and content creators, expanding the breadth of our product suite to meet the needs of our customers, growing our worldwide market share, continuing to invest in marketing, product innovation and sales, and selectively pursuing accretive acquisitions, such as the eight acquisitions we have completed since 2018.</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215" w:lineRule="exact"/>
        <w:rPr>
          <w:sz w:val="20"/>
          <w:szCs w:val="20"/>
          <w:color w:val="auto"/>
        </w:rPr>
      </w:pPr>
    </w:p>
    <w:p>
      <w:pPr>
        <w:jc w:val="both"/>
        <w:ind w:right="160" w:firstLine="466"/>
        <w:spacing w:after="0" w:line="311" w:lineRule="auto"/>
        <w:rPr>
          <w:sz w:val="20"/>
          <w:szCs w:val="20"/>
          <w:color w:val="auto"/>
        </w:rPr>
      </w:pPr>
      <w:r>
        <w:rPr>
          <w:rFonts w:ascii="Arial" w:cs="Arial" w:eastAsia="Arial" w:hAnsi="Arial"/>
          <w:sz w:val="14"/>
          <w:szCs w:val="14"/>
          <w:color w:val="auto"/>
        </w:rPr>
        <w:t>Since traditional arcade games of the 1970s, gaming has evolved into the mainstream and taken a central place in the global entertainment landscape. According to Activate Research, gaming today represents approximately 11% of all American consumer internet and media activity, surpassing activities such as social media and messaging. Further, based on external market data, in the fourth quarter of 2021, it was estimated that the worldwide gaming community consisted of approximately 1.4 billion casual PC gamers, 125 million regular PC gamers and 24 million PC gaming enthusiasts. We believe this indicates that the majority of the gaming hardware total addressable market is still consumed by a small percentage of gamers, and as a result, there is significant potential opportunity for gaming hardware sales.</w:t>
      </w:r>
    </w:p>
    <w:p>
      <w:pPr>
        <w:spacing w:after="0" w:line="141" w:lineRule="exact"/>
        <w:rPr>
          <w:sz w:val="20"/>
          <w:szCs w:val="20"/>
          <w:color w:val="auto"/>
        </w:rPr>
      </w:pPr>
    </w:p>
    <w:p>
      <w:pPr>
        <w:ind w:right="80" w:firstLine="466"/>
        <w:spacing w:after="0" w:line="265" w:lineRule="auto"/>
        <w:rPr>
          <w:sz w:val="20"/>
          <w:szCs w:val="20"/>
          <w:color w:val="auto"/>
        </w:rPr>
      </w:pPr>
      <w:r>
        <w:rPr>
          <w:rFonts w:ascii="Arial" w:cs="Arial" w:eastAsia="Arial" w:hAnsi="Arial"/>
          <w:sz w:val="16"/>
          <w:szCs w:val="16"/>
          <w:color w:val="auto"/>
        </w:rPr>
        <w:t>There are a number of drivers we believe will continue to fuel the gaming market’s expansion. Technology continues to improve game quality. There is increasing availability and variety of high quality, interactive game content as game publishers use cutting-edge game development engines to rapidly create graphically sophisticated and engaging virtual worlds, many of which can support massive multiplayer experiences. Audiences are progressively engaging more with gaming content across platforms and finally, there are decreasing barriers to gaming, where more gamers using mobile devices, and the console and PC platforms represent a natural upgrade path for those seeking a more immersive or competitive gaming environment.</w:t>
      </w:r>
    </w:p>
    <w:p>
      <w:pPr>
        <w:spacing w:after="0" w:line="95" w:lineRule="exact"/>
        <w:rPr>
          <w:sz w:val="20"/>
          <w:szCs w:val="20"/>
          <w:color w:val="auto"/>
        </w:rPr>
      </w:pPr>
    </w:p>
    <w:p>
      <w:pPr>
        <w:ind w:right="140" w:firstLine="463"/>
        <w:spacing w:after="0" w:line="263" w:lineRule="auto"/>
        <w:rPr>
          <w:sz w:val="20"/>
          <w:szCs w:val="20"/>
          <w:color w:val="auto"/>
        </w:rPr>
      </w:pPr>
      <w:r>
        <w:rPr>
          <w:rFonts w:ascii="Arial" w:cs="Arial" w:eastAsia="Arial" w:hAnsi="Arial"/>
          <w:sz w:val="16"/>
          <w:szCs w:val="16"/>
          <w:color w:val="auto"/>
        </w:rPr>
        <w:t>In parallel, digital content creation today has democratized, with content sharing, video-first communication and voice-chat being the norm among creators, viewers and gamers. Gaming content creation and streaming is now ubiquitous, with many active gaming channels on YouTube and live streaming hours watched across Twitch, Mixer, YouTube Gaming and Facebook Gaming is growing. The proliferation of gaming content is attracting new gamers and increasing the performance focus of existing gamers. Beyond success in gaming, applications for streaming gear are proliferating across use cases including podcasting, video blogging, interactive fitness, remote learning, and work-from-home, among others. While emerging, these applications represent a promising avenue for continued expansion of the streaming gear market opportunity.</w:t>
      </w:r>
    </w:p>
    <w:p>
      <w:pPr>
        <w:spacing w:after="0" w:line="98" w:lineRule="exact"/>
        <w:rPr>
          <w:sz w:val="20"/>
          <w:szCs w:val="20"/>
          <w:color w:val="auto"/>
        </w:rPr>
      </w:pPr>
    </w:p>
    <w:p>
      <w:pPr>
        <w:ind w:right="80" w:firstLine="469"/>
        <w:spacing w:after="0" w:line="284" w:lineRule="auto"/>
        <w:rPr>
          <w:sz w:val="20"/>
          <w:szCs w:val="20"/>
          <w:color w:val="auto"/>
        </w:rPr>
      </w:pPr>
      <w:r>
        <w:rPr>
          <w:rFonts w:ascii="Arial" w:cs="Arial" w:eastAsia="Arial" w:hAnsi="Arial"/>
          <w:sz w:val="15"/>
          <w:szCs w:val="15"/>
          <w:color w:val="auto"/>
        </w:rPr>
        <w:t>We believe that the growth in gaming and streaming has enhanced demand for our gear by inspiring gamers and creators to reach for the next level of performance and content quality. Competitive gaming rewards speed, precision and reliability. As in other sports, specialized high-performance gear such as gaming mice, keyboards, headsets and performance controllers allow digital athletes to perform at their best. Modern games also require significant processing power to render high-resolution graphics, and reward the speed and precision of user inputs, driving demand for powerful gaming components and systems. Further, in a world where the ability to create content is democratized and competition for viewer engagement is greater than ever, content creators, particularly streamers, are increasingly seeking ways to maximize the quality of their video capture and broadcasting, which requires specialized high-performance gear.</w:t>
      </w:r>
    </w:p>
    <w:p>
      <w:pPr>
        <w:spacing w:after="0" w:line="83" w:lineRule="exact"/>
        <w:rPr>
          <w:sz w:val="20"/>
          <w:szCs w:val="20"/>
          <w:color w:val="auto"/>
        </w:rPr>
      </w:pPr>
    </w:p>
    <w:p>
      <w:pPr>
        <w:ind w:right="160" w:firstLine="466"/>
        <w:spacing w:after="0" w:line="279" w:lineRule="auto"/>
        <w:rPr>
          <w:sz w:val="20"/>
          <w:szCs w:val="20"/>
          <w:color w:val="auto"/>
        </w:rPr>
      </w:pPr>
      <w:r>
        <w:rPr>
          <w:rFonts w:ascii="Arial" w:cs="Arial" w:eastAsia="Arial" w:hAnsi="Arial"/>
          <w:sz w:val="15"/>
          <w:szCs w:val="15"/>
          <w:color w:val="auto"/>
        </w:rPr>
        <w:t>Competitive gamer performance needs are being met with specialized gear, such as ultra-precise optical sensors in gaming mice, very low actuation distances in gaming keyboard switches, customizable rear paddles on performance controllers, liquid cooling solutions for high-performance processors and overclocked DRAM modules to process graphically complex games. Similarly, the broadcast quality expected of streamers has increased significantly and a traditional webcam does not produce the professional quality audiences expect of content. Dedicated capture cards are required to record and broadcast video at high resolution, high fidelity microphones are required to ensure clear sound quality, studio lighting and green screens improve production quality, high resolution USB cameras are required to capture smooth and clear images, and dedicated software is required to allow a single-person operation to optimize the streaming experience, preventing lag and fidelity loss. Further, gamers striving for peak performance have heightened requirements for ergonomics and durability, and gamers and streamers often wish to express their personal style or brand with their choice of gear, including a range of appealing design options and opportunities for customization. Finally, gear integration has become an important feature, where gamers and streamers need all of their gear to integrate harmoniously and need the ability to fine-tune that gear, which we believe is an experience best delivered with a software platform that seamlessly integrates and unifies control across devices. Our two proprietary software ecosystems cover the broadest range of gaming peripherals, components and streaming gear, which we believe are unmatched by anything else in the market.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165" w:lineRule="exact"/>
        <w:rPr>
          <w:sz w:val="20"/>
          <w:szCs w:val="20"/>
          <w:color w:val="auto"/>
        </w:rPr>
      </w:pPr>
    </w:p>
    <w:p>
      <w:pPr>
        <w:ind w:right="740" w:firstLine="458"/>
        <w:spacing w:after="0" w:line="324" w:lineRule="auto"/>
        <w:rPr>
          <w:sz w:val="20"/>
          <w:szCs w:val="20"/>
          <w:color w:val="auto"/>
        </w:rPr>
      </w:pPr>
      <w:r>
        <w:rPr>
          <w:rFonts w:ascii="Arial" w:cs="Arial" w:eastAsia="Arial" w:hAnsi="Arial"/>
          <w:sz w:val="15"/>
          <w:szCs w:val="15"/>
          <w:color w:val="auto"/>
        </w:rPr>
        <w:t>We are a leading global provider and innovator of high-performance gaming gear. We believe that we have a strong position in our target markets, which consist of gamer and creator peripherals, and gaming components and systems markets, as a result of the following competitive strengths: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1200" w:right="140" w:hanging="362"/>
        <w:spacing w:after="0" w:line="266" w:lineRule="auto"/>
        <w:tabs>
          <w:tab w:leader="none" w:pos="120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Leading brand recognition for performance drives strong customer loyalty. </w:t>
      </w:r>
      <w:r>
        <w:rPr>
          <w:rFonts w:ascii="Arial" w:cs="Arial" w:eastAsia="Arial" w:hAnsi="Arial"/>
          <w:sz w:val="16"/>
          <w:szCs w:val="16"/>
          <w:color w:val="auto"/>
        </w:rPr>
        <w:t>Since our founding in 1994, we have shipped more than 237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gaming and streaming products as of December 31, 2021 and actively nurtured a passionate and engaged global customer base by maintaining a long history of delivering innovative, finely engineered products that have expanded the frontiers of gaming performance. As a result, we believe we have established ourselves as a leading brand among gaming enthusiasts and streamers, many of whom are active and prominent in esports and act as ambassadors for our branded gear.</w:t>
      </w:r>
    </w:p>
    <w:p>
      <w:pPr>
        <w:spacing w:after="0" w:line="164" w:lineRule="exact"/>
        <w:rPr>
          <w:rFonts w:ascii="Arial" w:cs="Arial" w:eastAsia="Arial" w:hAnsi="Arial"/>
          <w:sz w:val="16"/>
          <w:szCs w:val="16"/>
          <w:color w:val="auto"/>
        </w:rPr>
      </w:pPr>
    </w:p>
    <w:p>
      <w:pPr>
        <w:ind w:left="1200" w:right="80" w:hanging="362"/>
        <w:spacing w:after="0" w:line="269" w:lineRule="auto"/>
        <w:tabs>
          <w:tab w:leader="none" w:pos="120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gamer and streamer-centric R&amp;D engine focused on delivering a broad portfolio of high-performing gear, including components for self-built gaming PCs. </w:t>
      </w:r>
      <w:r>
        <w:rPr>
          <w:rFonts w:ascii="Arial" w:cs="Arial" w:eastAsia="Arial" w:hAnsi="Arial"/>
          <w:sz w:val="16"/>
          <w:szCs w:val="16"/>
          <w:color w:val="auto"/>
        </w:rPr>
        <w:t>We are an innovation-driven company with a rigorous development process designed to consistently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high-performance and quality gaming and streaming gear to the market. Our focus on innovation and performance has also earned us significant industry recognition.</w:t>
      </w:r>
    </w:p>
    <w:p>
      <w:pPr>
        <w:spacing w:after="0" w:line="162" w:lineRule="exact"/>
        <w:rPr>
          <w:rFonts w:ascii="Arial" w:cs="Arial" w:eastAsia="Arial" w:hAnsi="Arial"/>
          <w:sz w:val="16"/>
          <w:szCs w:val="16"/>
          <w:color w:val="auto"/>
        </w:rPr>
      </w:pPr>
    </w:p>
    <w:p>
      <w:pPr>
        <w:ind w:left="1200" w:right="200" w:hanging="461"/>
        <w:spacing w:after="0" w:line="266"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software-driven ecosystem. </w:t>
      </w:r>
      <w:r>
        <w:rPr>
          <w:rFonts w:ascii="Arial" w:cs="Arial" w:eastAsia="Arial" w:hAnsi="Arial"/>
          <w:sz w:val="16"/>
          <w:szCs w:val="16"/>
          <w:color w:val="auto"/>
        </w:rPr>
        <w:t>Since our inception, we have concentrated our efforts on helping gamers succeed, which has led us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what we believe to be the most complete ecosystem of high-performance gaming gear in the market, which is connected through our iCUE software. We have applied the same ethos to our product development for streaming gear, including the development of streaming software, which helps streamers to optimize their products and maximize their content quality. This includes our Stream Deck software that allows fingertip control of hardware and software.</w:t>
      </w:r>
    </w:p>
    <w:p>
      <w:pPr>
        <w:spacing w:after="0" w:line="90" w:lineRule="exact"/>
        <w:rPr>
          <w:rFonts w:ascii="Arial" w:cs="Arial" w:eastAsia="Arial" w:hAnsi="Arial"/>
          <w:sz w:val="16"/>
          <w:szCs w:val="16"/>
          <w:color w:val="auto"/>
        </w:rPr>
      </w:pPr>
    </w:p>
    <w:p>
      <w:pPr>
        <w:ind w:left="1200" w:right="120" w:hanging="461"/>
        <w:spacing w:after="0" w:line="266"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Global sales and distribution network. </w:t>
      </w:r>
      <w:r>
        <w:rPr>
          <w:rFonts w:ascii="Arial" w:cs="Arial" w:eastAsia="Arial" w:hAnsi="Arial"/>
          <w:sz w:val="16"/>
          <w:szCs w:val="16"/>
          <w:color w:val="auto"/>
        </w:rPr>
        <w:t>We have developed a comprehensive worldwide marketing and distribution network. In this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network, we have established a multichannel sales model and have long-standing relationships with distributors and retailers globally, as well as direct-to-consumer sales channels. We currently ship to more than 85 countries across six continents, with our gear being sold at leading retailers including Amazon, Best Buy, JD.com, MediaMarkt and Walmart. In 2021, sales to the Americas, EMEA and Asia Pacific represented 44.2%, 38.6% and 17.2%, respectively, of net revenue.</w:t>
      </w:r>
    </w:p>
    <w:p>
      <w:pPr>
        <w:spacing w:after="0" w:line="90" w:lineRule="exact"/>
        <w:rPr>
          <w:rFonts w:ascii="Arial" w:cs="Arial" w:eastAsia="Arial" w:hAnsi="Arial"/>
          <w:sz w:val="16"/>
          <w:szCs w:val="16"/>
          <w:color w:val="auto"/>
        </w:rPr>
      </w:pPr>
    </w:p>
    <w:p>
      <w:pPr>
        <w:ind w:left="1200" w:right="340" w:hanging="461"/>
        <w:spacing w:after="0" w:line="294"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Management team of visionary leaders with deep industry experience and proven ability to execute. </w:t>
      </w:r>
      <w:r>
        <w:rPr>
          <w:rFonts w:ascii="Arial" w:cs="Arial" w:eastAsia="Arial" w:hAnsi="Arial"/>
          <w:sz w:val="16"/>
          <w:szCs w:val="16"/>
          <w:color w:val="auto"/>
        </w:rPr>
        <w:t>We have a strong management team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and talented executives with a track record of execution and deep industry knowledge.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grow our business by increasing value to our customers, expanding our market opportunity and further differentiating ourselves from competitors.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Key components of our strategy include:</w:t>
      </w:r>
    </w:p>
    <w:p>
      <w:pPr>
        <w:spacing w:after="0" w:line="122" w:lineRule="exact"/>
        <w:rPr>
          <w:sz w:val="20"/>
          <w:szCs w:val="20"/>
          <w:color w:val="auto"/>
        </w:rPr>
      </w:pPr>
    </w:p>
    <w:p>
      <w:pPr>
        <w:ind w:left="1200" w:hanging="461"/>
        <w:spacing w:after="0" w:line="266"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Advance as the global leader in high-performance gaming and streaming gear. </w:t>
      </w:r>
      <w:r>
        <w:rPr>
          <w:rFonts w:ascii="Arial" w:cs="Arial" w:eastAsia="Arial" w:hAnsi="Arial"/>
          <w:sz w:val="16"/>
          <w:szCs w:val="16"/>
          <w:color w:val="auto"/>
        </w:rPr>
        <w:t>The gaming and streaming gear category is benefiting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popularity of competitive gaming and streaming, which are driving an increase in gaming and streaming participants as well as spend per participant on high-performance gear. We believe our brand name, high-performance gear and market position will allow us to capture a large share of this market growth and we intend to continue to make significant marketing investments in leading streamers, social media influencers and esports teams.</w:t>
      </w:r>
    </w:p>
    <w:p>
      <w:pPr>
        <w:spacing w:after="0" w:line="90" w:lineRule="exact"/>
        <w:rPr>
          <w:rFonts w:ascii="Arial" w:cs="Arial" w:eastAsia="Arial" w:hAnsi="Arial"/>
          <w:sz w:val="16"/>
          <w:szCs w:val="16"/>
          <w:color w:val="auto"/>
        </w:rPr>
      </w:pPr>
    </w:p>
    <w:p>
      <w:pPr>
        <w:ind w:left="1200" w:right="280" w:hanging="461"/>
        <w:spacing w:after="0" w:line="319" w:lineRule="auto"/>
        <w:tabs>
          <w:tab w:leader="none" w:pos="120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Continue to develop innovative, market-leading gaming and streaming gear. </w:t>
      </w:r>
      <w:r>
        <w:rPr>
          <w:rFonts w:ascii="Arial" w:cs="Arial" w:eastAsia="Arial" w:hAnsi="Arial"/>
          <w:sz w:val="14"/>
          <w:szCs w:val="14"/>
          <w:color w:val="auto"/>
        </w:rPr>
        <w:t>We intend to prioritize investment in creating innovative gaming</w:t>
      </w:r>
      <w:r>
        <w:rPr>
          <w:rFonts w:ascii="Arial" w:cs="Arial" w:eastAsia="Arial" w:hAnsi="Arial"/>
          <w:sz w:val="14"/>
          <w:szCs w:val="14"/>
          <w:b w:val="1"/>
          <w:bCs w:val="1"/>
          <w:color w:val="auto"/>
        </w:rPr>
        <w:t xml:space="preserve"> </w:t>
      </w:r>
      <w:r>
        <w:rPr>
          <w:rFonts w:ascii="Arial" w:cs="Arial" w:eastAsia="Arial" w:hAnsi="Arial"/>
          <w:sz w:val="14"/>
          <w:szCs w:val="14"/>
          <w:color w:val="auto"/>
        </w:rPr>
        <w:t>and streaming gear and related software to enhance the customer experience by delivering cutting-edge technology. We have an exceptional engineering team, with approximately 25% of employees and contractors working on software solutions. We believe this strong bench of engineering expertise has helped us introduce 141 different products to the market across our categories in 2021, 40 in 2020 and 36 in 2019.</w:t>
      </w:r>
    </w:p>
    <w:p>
      <w:pPr>
        <w:spacing w:after="0" w:line="56" w:lineRule="exact"/>
        <w:rPr>
          <w:rFonts w:ascii="Arial" w:cs="Arial" w:eastAsia="Arial" w:hAnsi="Arial"/>
          <w:sz w:val="14"/>
          <w:szCs w:val="14"/>
          <w:color w:val="auto"/>
        </w:rPr>
      </w:pPr>
    </w:p>
    <w:p>
      <w:pPr>
        <w:ind w:left="1200" w:right="20" w:hanging="461"/>
        <w:spacing w:after="0" w:line="269"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 into new gear and services that grow our market opportunity. </w:t>
      </w:r>
      <w:r>
        <w:rPr>
          <w:rFonts w:ascii="Arial" w:cs="Arial" w:eastAsia="Arial" w:hAnsi="Arial"/>
          <w:sz w:val="16"/>
          <w:szCs w:val="16"/>
          <w:color w:val="auto"/>
        </w:rPr>
        <w:t>Since our inception, we have successfully entered a number of new gear</w:t>
      </w:r>
      <w:r>
        <w:rPr>
          <w:rFonts w:ascii="Arial" w:cs="Arial" w:eastAsia="Arial" w:hAnsi="Arial"/>
          <w:sz w:val="16"/>
          <w:szCs w:val="16"/>
          <w:b w:val="1"/>
          <w:bCs w:val="1"/>
          <w:color w:val="auto"/>
        </w:rPr>
        <w:t xml:space="preserve"> </w:t>
      </w:r>
      <w:r>
        <w:rPr>
          <w:rFonts w:ascii="Arial" w:cs="Arial" w:eastAsia="Arial" w:hAnsi="Arial"/>
          <w:sz w:val="16"/>
          <w:szCs w:val="16"/>
          <w:color w:val="auto"/>
        </w:rPr>
        <w:t>categories, including gaming PC peripherals, streaming accessories, console controllers, and prebuilt and gaming PCs and laptops. As the gaming and content creation landscape continues to evolve, we intend to continue to introduce new products and services to address our customers’ new and changing needs, and to grow our market opportunity.</w:t>
      </w:r>
    </w:p>
    <w:p>
      <w:pPr>
        <w:spacing w:after="0" w:line="88" w:lineRule="exact"/>
        <w:rPr>
          <w:rFonts w:ascii="Arial" w:cs="Arial" w:eastAsia="Arial" w:hAnsi="Arial"/>
          <w:sz w:val="16"/>
          <w:szCs w:val="16"/>
          <w:color w:val="auto"/>
        </w:rPr>
      </w:pPr>
    </w:p>
    <w:p>
      <w:pPr>
        <w:ind w:left="1200" w:right="40" w:hanging="461"/>
        <w:spacing w:after="0" w:line="330" w:lineRule="auto"/>
        <w:tabs>
          <w:tab w:leader="none" w:pos="120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Leverage our software platforms to sell more gear to existing customers. </w:t>
      </w:r>
      <w:r>
        <w:rPr>
          <w:rFonts w:ascii="Arial" w:cs="Arial" w:eastAsia="Arial" w:hAnsi="Arial"/>
          <w:sz w:val="15"/>
          <w:szCs w:val="15"/>
          <w:color w:val="auto"/>
        </w:rPr>
        <w:t>Our software platforms integrate and enhance our ecosystem of gaming</w:t>
      </w:r>
      <w:r>
        <w:rPr>
          <w:rFonts w:ascii="Arial" w:cs="Arial" w:eastAsia="Arial" w:hAnsi="Arial"/>
          <w:sz w:val="15"/>
          <w:szCs w:val="15"/>
          <w:b w:val="1"/>
          <w:bCs w:val="1"/>
          <w:color w:val="auto"/>
        </w:rPr>
        <w:t xml:space="preserve"> </w:t>
      </w:r>
      <w:r>
        <w:rPr>
          <w:rFonts w:ascii="Arial" w:cs="Arial" w:eastAsia="Arial" w:hAnsi="Arial"/>
          <w:sz w:val="15"/>
          <w:szCs w:val="15"/>
          <w:color w:val="auto"/>
        </w:rPr>
        <w:t>and streaming gear, which drives customer loyalty and allows us to successfully sell additional gear to existing customers.</w:t>
      </w: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1200" w:right="300" w:hanging="461"/>
        <w:spacing w:after="0" w:line="285" w:lineRule="auto"/>
        <w:tabs>
          <w:tab w:leader="none" w:pos="120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Strengthen relationships with end-users by increasing direct-to-consumer sales. </w:t>
      </w:r>
      <w:r>
        <w:rPr>
          <w:rFonts w:ascii="Arial" w:cs="Arial" w:eastAsia="Arial" w:hAnsi="Arial"/>
          <w:sz w:val="15"/>
          <w:szCs w:val="15"/>
          <w:color w:val="auto"/>
        </w:rPr>
        <w:t>Through our acquisitions of Origin and SCUF in 2019, we</w:t>
      </w:r>
      <w:r>
        <w:rPr>
          <w:rFonts w:ascii="Arial" w:cs="Arial" w:eastAsia="Arial" w:hAnsi="Arial"/>
          <w:sz w:val="15"/>
          <w:szCs w:val="15"/>
          <w:b w:val="1"/>
          <w:bCs w:val="1"/>
          <w:color w:val="auto"/>
        </w:rPr>
        <w:t xml:space="preserve"> </w:t>
      </w:r>
      <w:r>
        <w:rPr>
          <w:rFonts w:ascii="Arial" w:cs="Arial" w:eastAsia="Arial" w:hAnsi="Arial"/>
          <w:sz w:val="15"/>
          <w:szCs w:val="15"/>
          <w:color w:val="auto"/>
        </w:rPr>
        <w:t>acquired two companies whose sales are primarily generated through direct-to-consumer channels. Our acquisitions of Gamer Sensei in 2020 and Visuals by Impulse in 2021, both of which have recurring service revenue streams, engage directly with our customer base across our brands. While sales from this channel are a relatively small contributor to our revenue today, we believe direct-to-consumer sales represent a significant avenue to drive growth by facilitating increased market penetration across our product categories. The mix of direct-to-consumer sales represented 10.7%, 8.6% and 2.7% of our total revenue for the years ended December 31, 2021, 2020 and 2019.</w:t>
      </w:r>
    </w:p>
    <w:p>
      <w:pPr>
        <w:spacing w:after="0" w:line="152" w:lineRule="exact"/>
        <w:rPr>
          <w:rFonts w:ascii="Arial" w:cs="Arial" w:eastAsia="Arial" w:hAnsi="Arial"/>
          <w:sz w:val="15"/>
          <w:szCs w:val="15"/>
          <w:color w:val="auto"/>
        </w:rPr>
      </w:pPr>
    </w:p>
    <w:p>
      <w:pPr>
        <w:ind w:left="1200" w:right="200" w:hanging="461"/>
        <w:spacing w:after="0" w:line="269"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Continue to grow market share globally. </w:t>
      </w:r>
      <w:r>
        <w:rPr>
          <w:rFonts w:ascii="Arial" w:cs="Arial" w:eastAsia="Arial" w:hAnsi="Arial"/>
          <w:sz w:val="16"/>
          <w:szCs w:val="16"/>
          <w:color w:val="auto"/>
        </w:rPr>
        <w:t>As a globally recognized brand, we have a footprint that reaches customers in more than 85 countries. We</w:t>
      </w:r>
      <w:r>
        <w:rPr>
          <w:rFonts w:ascii="Arial" w:cs="Arial" w:eastAsia="Arial" w:hAnsi="Arial"/>
          <w:sz w:val="16"/>
          <w:szCs w:val="16"/>
          <w:b w:val="1"/>
          <w:bCs w:val="1"/>
          <w:color w:val="auto"/>
        </w:rPr>
        <w:t xml:space="preserve"> </w:t>
      </w:r>
      <w:r>
        <w:rPr>
          <w:rFonts w:ascii="Arial" w:cs="Arial" w:eastAsia="Arial" w:hAnsi="Arial"/>
          <w:sz w:val="16"/>
          <w:szCs w:val="16"/>
          <w:color w:val="auto"/>
        </w:rPr>
        <w:t>will continue to invest in enhancing our sales and distribution infrastructure to expand our leadership position in the Americas and Europe. We view the Asia Pacific region as a long-term growth opportunity and recently invested in our local sales force and regional management to build out distributor networks and retail partnerships.</w:t>
      </w:r>
    </w:p>
    <w:p>
      <w:pPr>
        <w:spacing w:after="0" w:line="112" w:lineRule="exact"/>
        <w:rPr>
          <w:rFonts w:ascii="Arial" w:cs="Arial" w:eastAsia="Arial" w:hAnsi="Arial"/>
          <w:sz w:val="16"/>
          <w:szCs w:val="16"/>
          <w:color w:val="auto"/>
        </w:rPr>
      </w:pPr>
    </w:p>
    <w:p>
      <w:pPr>
        <w:ind w:left="1200" w:right="120" w:hanging="461"/>
        <w:spacing w:after="0" w:line="26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brand, software integration and superior product quality to support a pricing premium in the gaming PC components category. </w:t>
      </w:r>
      <w:r>
        <w:rPr>
          <w:rFonts w:ascii="Arial" w:cs="Arial" w:eastAsia="Arial" w:hAnsi="Arial"/>
          <w:sz w:val="16"/>
          <w:szCs w:val="16"/>
          <w:color w:val="auto"/>
        </w:rPr>
        <w:t>In the gaming PC components category, our revenue and margins have benefited from higher pricing versus the rest of the market, which we expect to continue as we invest in our brand and product portfolio. Compared to the average non-Corsair product, our computer cases, cooling solutions, PSUs and high-performance memory commanded price premiums of 24.7%, 20.7%, 29.2% and 43.7%, respectively, in the United States for the twelve months ended December 31, 2021, according to recent NPD data.</w:t>
      </w:r>
    </w:p>
    <w:p>
      <w:pPr>
        <w:spacing w:after="0" w:line="115" w:lineRule="exact"/>
        <w:rPr>
          <w:rFonts w:ascii="Arial" w:cs="Arial" w:eastAsia="Arial" w:hAnsi="Arial"/>
          <w:sz w:val="16"/>
          <w:szCs w:val="16"/>
          <w:color w:val="auto"/>
        </w:rPr>
      </w:pPr>
    </w:p>
    <w:p>
      <w:pPr>
        <w:ind w:left="1200" w:right="340" w:hanging="461"/>
        <w:spacing w:after="0" w:line="27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Selectively pursue complementary acquisitions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plan to evaluate, and may pursue acquisitions, such as our acquisitions of Elgato, Origin and</w:t>
      </w:r>
      <w:r>
        <w:rPr>
          <w:rFonts w:ascii="Arial" w:cs="Arial" w:eastAsia="Arial" w:hAnsi="Arial"/>
          <w:sz w:val="16"/>
          <w:szCs w:val="16"/>
          <w:b w:val="1"/>
          <w:bCs w:val="1"/>
          <w:color w:val="auto"/>
        </w:rPr>
        <w:t xml:space="preserve"> </w:t>
      </w:r>
      <w:r>
        <w:rPr>
          <w:rFonts w:ascii="Arial" w:cs="Arial" w:eastAsia="Arial" w:hAnsi="Arial"/>
          <w:sz w:val="16"/>
          <w:szCs w:val="16"/>
          <w:color w:val="auto"/>
        </w:rPr>
        <w:t>SCUF, which we believe strengthen our capabilities in existing segments as well as diversify our product offerings, broaden our end-user base or expand our geographic presence.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Solutions</w:t>
      </w:r>
    </w:p>
    <w:p>
      <w:pPr>
        <w:spacing w:after="0" w:line="215" w:lineRule="exact"/>
        <w:rPr>
          <w:sz w:val="20"/>
          <w:szCs w:val="20"/>
          <w:color w:val="auto"/>
        </w:rPr>
      </w:pPr>
    </w:p>
    <w:p>
      <w:pPr>
        <w:ind w:firstLine="469"/>
        <w:spacing w:after="0" w:line="273" w:lineRule="auto"/>
        <w:rPr>
          <w:sz w:val="20"/>
          <w:szCs w:val="20"/>
          <w:color w:val="auto"/>
        </w:rPr>
      </w:pPr>
      <w:r>
        <w:rPr>
          <w:rFonts w:ascii="Arial" w:cs="Arial" w:eastAsia="Arial" w:hAnsi="Arial"/>
          <w:sz w:val="16"/>
          <w:szCs w:val="16"/>
          <w:color w:val="auto"/>
        </w:rPr>
        <w:t>We design our high-performance gear to address the needs of gamers, streamers and content creators. To help our customers perform at their peak, whether in game or on camera, we have developed the industry’s most complete integrated ecosystem of gamer and creator peripherals and gaming components and systems. We have a diversified product portfolio, with 30 primary product lines.</w:t>
      </w:r>
    </w:p>
    <w:p>
      <w:pPr>
        <w:spacing w:after="0" w:line="158" w:lineRule="exact"/>
        <w:rPr>
          <w:sz w:val="20"/>
          <w:szCs w:val="20"/>
          <w:color w:val="auto"/>
        </w:rPr>
      </w:pPr>
    </w:p>
    <w:p>
      <w:pPr>
        <w:ind w:left="1200" w:right="160" w:hanging="461"/>
        <w:spacing w:after="0" w:line="293" w:lineRule="auto"/>
        <w:tabs>
          <w:tab w:leader="none" w:pos="12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Gamer and creator peripherals</w:t>
      </w:r>
      <w:r>
        <w:rPr>
          <w:rFonts w:ascii="Arial" w:cs="Arial" w:eastAsia="Arial" w:hAnsi="Arial"/>
          <w:sz w:val="15"/>
          <w:szCs w:val="15"/>
          <w:color w:val="auto"/>
        </w:rPr>
        <w:t>. Our gamer and creator peripherals seek to provide the fastest, highest fidelity, and most seamless interface between</w:t>
      </w:r>
      <w:r>
        <w:rPr>
          <w:rFonts w:ascii="Arial" w:cs="Arial" w:eastAsia="Arial" w:hAnsi="Arial"/>
          <w:sz w:val="15"/>
          <w:szCs w:val="15"/>
          <w:b w:val="1"/>
          <w:bCs w:val="1"/>
          <w:color w:val="auto"/>
        </w:rPr>
        <w:t xml:space="preserve"> </w:t>
      </w:r>
      <w:r>
        <w:rPr>
          <w:rFonts w:ascii="Arial" w:cs="Arial" w:eastAsia="Arial" w:hAnsi="Arial"/>
          <w:sz w:val="15"/>
          <w:szCs w:val="15"/>
          <w:color w:val="auto"/>
        </w:rPr>
        <w:t>digital athletes and their game, and content creators and their viewers. Our solutions include our high-performance gaming keyboards, mice, headsets, controllers, and streaming gear, which includes capture cards, Stream Decks, USB microphones, our Facecam streaming camera, studio accessories, and EpocCam software, as well as coaching and training services and content design services, among others.</w:t>
      </w:r>
    </w:p>
    <w:p>
      <w:pPr>
        <w:spacing w:after="0" w:line="70" w:lineRule="exact"/>
        <w:rPr>
          <w:rFonts w:ascii="Arial" w:cs="Arial" w:eastAsia="Arial" w:hAnsi="Arial"/>
          <w:sz w:val="15"/>
          <w:szCs w:val="15"/>
          <w:color w:val="auto"/>
        </w:rPr>
      </w:pPr>
    </w:p>
    <w:p>
      <w:pPr>
        <w:ind w:left="1200" w:right="240" w:hanging="461"/>
        <w:spacing w:after="0" w:line="266"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Gaming components and systems</w:t>
      </w:r>
      <w:r>
        <w:rPr>
          <w:rFonts w:ascii="Arial" w:cs="Arial" w:eastAsia="Arial" w:hAnsi="Arial"/>
          <w:sz w:val="16"/>
          <w:szCs w:val="16"/>
          <w:color w:val="auto"/>
        </w:rPr>
        <w:t>. We develop and sell high-performance gaming components to help gamers, streamers and content creators build</w:t>
      </w:r>
      <w:r>
        <w:rPr>
          <w:rFonts w:ascii="Arial" w:cs="Arial" w:eastAsia="Arial" w:hAnsi="Arial"/>
          <w:sz w:val="16"/>
          <w:szCs w:val="16"/>
          <w:b w:val="1"/>
          <w:bCs w:val="1"/>
          <w:color w:val="auto"/>
        </w:rPr>
        <w:t xml:space="preserve"> </w:t>
      </w:r>
      <w:r>
        <w:rPr>
          <w:rFonts w:ascii="Arial" w:cs="Arial" w:eastAsia="Arial" w:hAnsi="Arial"/>
          <w:sz w:val="16"/>
          <w:szCs w:val="16"/>
          <w:color w:val="auto"/>
        </w:rPr>
        <w:t>their own custom gaming PCs. We also develop and sell complete high-performance gaming systems using our gaming components. Our prebuilt systems and user-built systems are designed to deliver maximum performance, all the while providing our customers the design aesthetic and customizability they demand. Our solutions include our high-performance power supply units, or PSUs, cooling solutions, computer cases, DRAM modules, as well as high-end prebuilt and custom-built gaming PCs, among others.</w:t>
      </w:r>
    </w:p>
    <w:p>
      <w:pPr>
        <w:spacing w:after="0" w:line="90" w:lineRule="exact"/>
        <w:rPr>
          <w:rFonts w:ascii="Arial" w:cs="Arial" w:eastAsia="Arial" w:hAnsi="Arial"/>
          <w:sz w:val="16"/>
          <w:szCs w:val="16"/>
          <w:color w:val="auto"/>
        </w:rPr>
      </w:pPr>
    </w:p>
    <w:p>
      <w:pPr>
        <w:ind w:left="1200" w:right="140" w:hanging="461"/>
        <w:spacing w:after="0" w:line="276"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PC Gaming Software</w:t>
      </w:r>
      <w:r>
        <w:rPr>
          <w:rFonts w:ascii="Arial" w:cs="Arial" w:eastAsia="Arial" w:hAnsi="Arial"/>
          <w:sz w:val="16"/>
          <w:szCs w:val="16"/>
          <w:color w:val="auto"/>
        </w:rPr>
        <w:t>. Our product offering is enhanced by our two proprietary software platforms: iCUE for gamers and Elgato’s streaming suite for</w:t>
      </w:r>
      <w:r>
        <w:rPr>
          <w:rFonts w:ascii="Arial" w:cs="Arial" w:eastAsia="Arial" w:hAnsi="Arial"/>
          <w:sz w:val="16"/>
          <w:szCs w:val="16"/>
          <w:b w:val="1"/>
          <w:bCs w:val="1"/>
          <w:color w:val="auto"/>
        </w:rPr>
        <w:t xml:space="preserve"> </w:t>
      </w:r>
      <w:r>
        <w:rPr>
          <w:rFonts w:ascii="Arial" w:cs="Arial" w:eastAsia="Arial" w:hAnsi="Arial"/>
          <w:sz w:val="16"/>
          <w:szCs w:val="16"/>
          <w:color w:val="auto"/>
        </w:rPr>
        <w:t>streamers and content creators. These software platforms provide unified, intuitive performance, and aesthetic control and customization across their respective product families.</w:t>
      </w:r>
    </w:p>
    <w:p>
      <w:pPr>
        <w:spacing w:after="0" w:line="84" w:lineRule="exact"/>
        <w:rPr>
          <w:rFonts w:ascii="Arial" w:cs="Arial" w:eastAsia="Arial" w:hAnsi="Arial"/>
          <w:sz w:val="16"/>
          <w:szCs w:val="16"/>
          <w:color w:val="auto"/>
        </w:rPr>
      </w:pPr>
    </w:p>
    <w:p>
      <w:pPr>
        <w:ind w:left="1220" w:right="300"/>
        <w:spacing w:after="0" w:line="273" w:lineRule="auto"/>
        <w:rPr>
          <w:rFonts w:ascii="Arial" w:cs="Arial" w:eastAsia="Arial" w:hAnsi="Arial"/>
          <w:sz w:val="16"/>
          <w:szCs w:val="16"/>
          <w:color w:val="auto"/>
        </w:rPr>
      </w:pPr>
      <w:r>
        <w:rPr>
          <w:rFonts w:ascii="Arial" w:cs="Arial" w:eastAsia="Arial" w:hAnsi="Arial"/>
          <w:sz w:val="16"/>
          <w:szCs w:val="16"/>
          <w:color w:val="auto"/>
        </w:rPr>
        <w:t>Our iCUE software platform powers the full range of our gear from a single intuitive interface, providing advanced performance tuning, user customization and system monitoring. By enabling our customers to fine tune the response of our gaming gear to maximize performance and match their personal preferences and styles of play, we believe that iCUE provides a distinct competitive advantage.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Development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20" w:firstLine="469"/>
        <w:spacing w:after="0" w:line="281" w:lineRule="auto"/>
        <w:rPr>
          <w:sz w:val="20"/>
          <w:szCs w:val="20"/>
          <w:color w:val="auto"/>
        </w:rPr>
      </w:pPr>
      <w:r>
        <w:rPr>
          <w:rFonts w:ascii="Arial" w:cs="Arial" w:eastAsia="Arial" w:hAnsi="Arial"/>
          <w:sz w:val="15"/>
          <w:szCs w:val="15"/>
          <w:color w:val="auto"/>
        </w:rPr>
        <w:t>Innovation is a key element of our culture and critical to our success. Our product development efforts focus on broadening our portfolio with innovative, value-added products that provide gamers with more immersive experiences. This process begins with the initial market analysis and product definition phase, where we use deep knowledge of consumer preferences and feedback to decide the exact specifications of new products desired by our end-users. We then leverage third-party manufacturers and, in some cases, engineering and design firms to help us design, prototype and fabricate our products. We select these third-party partners through a comprehensive selection process and subject them to rigorous quality controls. We perform extensive in-house testing of our products with the latest CPUs and GPUs to ensure optimal performance and compatibility of our products with the most advanced hardware. Our rigorous product development and testing is designed to give us the ability to meet the needs of our end-users consistently with well-designed, high-performance and reliable products. We intend to continue to significantly invest in product development to support the design and development of innovative, high-quality products and solutions to maintain and enhance our competitive position.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116" w:lineRule="exact"/>
        <w:rPr>
          <w:sz w:val="20"/>
          <w:szCs w:val="20"/>
          <w:color w:val="auto"/>
        </w:rPr>
      </w:pPr>
    </w:p>
    <w:p>
      <w:pPr>
        <w:ind w:firstLine="469"/>
        <w:spacing w:after="0" w:line="268" w:lineRule="auto"/>
        <w:rPr>
          <w:sz w:val="20"/>
          <w:szCs w:val="20"/>
          <w:color w:val="auto"/>
        </w:rPr>
      </w:pPr>
      <w:r>
        <w:rPr>
          <w:rFonts w:ascii="Arial" w:cs="Arial" w:eastAsia="Arial" w:hAnsi="Arial"/>
          <w:sz w:val="16"/>
          <w:szCs w:val="16"/>
          <w:color w:val="auto"/>
        </w:rPr>
        <w:t>Our marketing efforts are designed to enhance the Corsair, Elgato, Origin and SCUF brand names, to help us acquire new customers and to increase sales from our existing customers. We have structured our marketing organization to achieve both product- and geography-specific coverage. In addition, our marketing personnel regularly meets with other key industry suppliers such as Intel, AMD, NVIDIA and Asus, in order to ensure that our product development efforts appropriately address the needs of their new products and also to discuss trends and changes in the computer technology market.</w:t>
      </w:r>
    </w:p>
    <w:p>
      <w:pPr>
        <w:spacing w:after="0" w:line="165" w:lineRule="exact"/>
        <w:rPr>
          <w:sz w:val="20"/>
          <w:szCs w:val="20"/>
          <w:color w:val="auto"/>
        </w:rPr>
      </w:pPr>
    </w:p>
    <w:p>
      <w:pPr>
        <w:ind w:right="60" w:firstLine="469"/>
        <w:spacing w:after="0" w:line="268" w:lineRule="auto"/>
        <w:rPr>
          <w:sz w:val="20"/>
          <w:szCs w:val="20"/>
          <w:color w:val="auto"/>
        </w:rPr>
      </w:pPr>
      <w:r>
        <w:rPr>
          <w:rFonts w:ascii="Arial" w:cs="Arial" w:eastAsia="Arial" w:hAnsi="Arial"/>
          <w:sz w:val="16"/>
          <w:szCs w:val="16"/>
          <w:color w:val="auto"/>
        </w:rPr>
        <w:t>We build awareness of our products and brand through advertising campaigns, public relations efforts, marketing development funds and other financial incentives provided to retailers to promote our products, end-user rebates, online social media outreach, online and in-store promotions and merchandising, our website and other efforts. We believe that our products and brand have also benefited from social media influencers, customer referrals and positive product reviews. We also invest in sponsorships and partnerships with esports events, leagues teams and streaming influencers.</w:t>
      </w:r>
    </w:p>
    <w:p>
      <w:pPr>
        <w:spacing w:after="0" w:line="165" w:lineRule="exact"/>
        <w:rPr>
          <w:sz w:val="20"/>
          <w:szCs w:val="20"/>
          <w:color w:val="auto"/>
        </w:rPr>
      </w:pPr>
    </w:p>
    <w:p>
      <w:pPr>
        <w:ind w:right="60" w:firstLine="469"/>
        <w:spacing w:after="0" w:line="265" w:lineRule="auto"/>
        <w:rPr>
          <w:sz w:val="20"/>
          <w:szCs w:val="20"/>
          <w:color w:val="auto"/>
        </w:rPr>
      </w:pPr>
      <w:r>
        <w:rPr>
          <w:rFonts w:ascii="Arial" w:cs="Arial" w:eastAsia="Arial" w:hAnsi="Arial"/>
          <w:sz w:val="16"/>
          <w:szCs w:val="16"/>
          <w:color w:val="auto"/>
        </w:rPr>
        <w:t>We benefit from an active computer gaming community whose members communicate with each other through various online social media such as forums, blogs and social networks, including Facebook, Twitter and YouTube. In addition to forums hosted by third-party domains, we host Corsair-branded forums that are accessible via our website. We actively participate in this community, enabling us to communicate directly with our end customers. Finally, we regularly publish technical and editorial content through various online and print channels and participate in industry trade shows, gaming competitions and other consumer-facing events that provide us with the opportunity to demonstrate our products.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Distribution</w:t>
      </w:r>
    </w:p>
    <w:p>
      <w:pPr>
        <w:spacing w:after="0" w:line="116" w:lineRule="exact"/>
        <w:rPr>
          <w:sz w:val="20"/>
          <w:szCs w:val="20"/>
          <w:color w:val="auto"/>
        </w:rPr>
      </w:pPr>
    </w:p>
    <w:p>
      <w:pPr>
        <w:ind w:right="140" w:firstLine="469"/>
        <w:spacing w:after="0" w:line="265" w:lineRule="auto"/>
        <w:rPr>
          <w:sz w:val="20"/>
          <w:szCs w:val="20"/>
          <w:color w:val="auto"/>
        </w:rPr>
      </w:pPr>
      <w:r>
        <w:rPr>
          <w:rFonts w:ascii="Arial" w:cs="Arial" w:eastAsia="Arial" w:hAnsi="Arial"/>
          <w:sz w:val="16"/>
          <w:szCs w:val="16"/>
          <w:color w:val="auto"/>
        </w:rPr>
        <w:t>Our gear is purchased by gaming enthusiasts worldwide through either our e-tail and retail channel or our direct-to-consumer channel. In our e-tail and retail channel, we distribute our gear either directly to our reseller or through key distributors. While we historically have sold our gear directly to consumers through our website, following our acquisitions of Origin and SCUF Gaming in 2019, the volume of direct-to-consumer sales has increased as both of these companies primarily generated sales through direct-to-consumer channels. We believe direct-to-consumer sales represent a significant avenue to drive growth by facilitating increased market penetration across our product categories.</w:t>
      </w:r>
    </w:p>
    <w:p>
      <w:pPr>
        <w:spacing w:after="0" w:line="169" w:lineRule="exact"/>
        <w:rPr>
          <w:sz w:val="20"/>
          <w:szCs w:val="20"/>
          <w:color w:val="auto"/>
        </w:rPr>
      </w:pPr>
    </w:p>
    <w:p>
      <w:pPr>
        <w:ind w:right="180" w:firstLine="469"/>
        <w:spacing w:after="0" w:line="265" w:lineRule="auto"/>
        <w:rPr>
          <w:sz w:val="20"/>
          <w:szCs w:val="20"/>
          <w:color w:val="auto"/>
        </w:rPr>
      </w:pPr>
      <w:r>
        <w:rPr>
          <w:rFonts w:ascii="Arial" w:cs="Arial" w:eastAsia="Arial" w:hAnsi="Arial"/>
          <w:sz w:val="16"/>
          <w:szCs w:val="16"/>
          <w:color w:val="auto"/>
        </w:rPr>
        <w:t>We have organized our sales organization into four major geographic regions—Europe (including the Middle East and North Africa), North America, Latin America and Asia Pacific (including South Africa)—and we have local language-speaking sales representatives in the countries that, in the aggregate, generate the majority of our net revenue. We ship our products directly to retailers and distributors and, through distributors, supply our products to thousands of smaller online and brick-and-mortar retailers and to specialist and gaming system integrators and value-added resellers. A small portion of our net revenue is from sales directly to original equipment manufacturers that manufacture gaming PCs.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2021, 2020 and 2019, Amazon accounted for more than 10% of our net revenue, at 26.7%, 24.6% and 25.1%,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and Operations</w:t>
      </w:r>
    </w:p>
    <w:p>
      <w:pPr>
        <w:spacing w:after="0" w:line="116" w:lineRule="exact"/>
        <w:rPr>
          <w:sz w:val="20"/>
          <w:szCs w:val="20"/>
          <w:color w:val="auto"/>
        </w:rPr>
      </w:pPr>
    </w:p>
    <w:p>
      <w:pPr>
        <w:ind w:right="160" w:firstLine="469"/>
        <w:spacing w:after="0" w:line="291" w:lineRule="auto"/>
        <w:rPr>
          <w:sz w:val="20"/>
          <w:szCs w:val="20"/>
          <w:color w:val="auto"/>
        </w:rPr>
      </w:pPr>
      <w:r>
        <w:rPr>
          <w:rFonts w:ascii="Arial" w:cs="Arial" w:eastAsia="Arial" w:hAnsi="Arial"/>
          <w:sz w:val="15"/>
          <w:szCs w:val="15"/>
          <w:color w:val="auto"/>
        </w:rPr>
        <w:t>We believe we have developed a global, scalable production and operations infrastructure that allows us to deliver our products cost-effectively and in a timely manner. We operate a facility in Taiwan where we assemble, test, package and ultimately supply nearly all of our DRAM modules and a significant portion of our customized gaming controllers, liquid cooling products and prebuilt gaming systems. We also assemble, test, package and ultimately supply our custom-built PCs in our U.S. facility, and our customized gaming controllers in our U.S. and U.K. facilities. All of the other gear we sell is produced at factories operated by third parties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located in Asia. In addition, we outsource storage and shipping to several third-party logistics providers around the world which allows us to reduce order fulfillment time, reduce shipping costs and improve inventory flexibility.</w:t>
      </w:r>
    </w:p>
    <w:p>
      <w:pPr>
        <w:spacing w:after="0" w:line="149" w:lineRule="exact"/>
        <w:rPr>
          <w:sz w:val="20"/>
          <w:szCs w:val="20"/>
          <w:color w:val="auto"/>
        </w:rPr>
      </w:pPr>
    </w:p>
    <w:p>
      <w:pPr>
        <w:ind w:right="60" w:firstLine="469"/>
        <w:spacing w:after="0" w:line="299" w:lineRule="auto"/>
        <w:rPr>
          <w:sz w:val="20"/>
          <w:szCs w:val="20"/>
          <w:color w:val="auto"/>
        </w:rPr>
      </w:pPr>
      <w:r>
        <w:rPr>
          <w:rFonts w:ascii="Arial" w:cs="Arial" w:eastAsia="Arial" w:hAnsi="Arial"/>
          <w:sz w:val="15"/>
          <w:szCs w:val="15"/>
          <w:color w:val="auto"/>
        </w:rPr>
        <w:t>Production of most of our high-speed DRAM modules involves testing and speed sorting of both DRAM ICs and modules and retail packing in our facility in Taoyuan, Taiwan. Our ability to test and sort DRAM modules efficiently enables us to grade them and offer high-performance DRAM modules at higher price points. For standard speed DRAM modules, we also procure assembled modules from approved subcontractors and then test and package them in our Taiwan facility.</w:t>
      </w:r>
    </w:p>
    <w:p>
      <w:pPr>
        <w:spacing w:after="0" w:line="145" w:lineRule="exact"/>
        <w:rPr>
          <w:sz w:val="20"/>
          <w:szCs w:val="20"/>
          <w:color w:val="auto"/>
        </w:rPr>
      </w:pPr>
    </w:p>
    <w:p>
      <w:pPr>
        <w:ind w:right="240" w:firstLine="469"/>
        <w:spacing w:after="0" w:line="268" w:lineRule="auto"/>
        <w:rPr>
          <w:sz w:val="20"/>
          <w:szCs w:val="20"/>
          <w:color w:val="auto"/>
        </w:rPr>
      </w:pPr>
      <w:r>
        <w:rPr>
          <w:rFonts w:ascii="Arial" w:cs="Arial" w:eastAsia="Arial" w:hAnsi="Arial"/>
          <w:sz w:val="16"/>
          <w:szCs w:val="16"/>
          <w:color w:val="auto"/>
        </w:rPr>
        <w:t>In addition to our production capabilities, our corporate planning process places particular emphasis on driving efficiencies in demand forecasting, supply chain planning, procurement cycle time, freight costs and inventory management. Given the products we sell and the global nature of our business, freight costs can have a significant impact on our expenses, because of this, we have developed a sophisticated forecasting and planning process designed to reduce the cost of transporting our products to our regional distribution hubs and finally, to our customers.</w:t>
      </w:r>
    </w:p>
    <w:p>
      <w:pPr>
        <w:spacing w:after="0" w:line="165" w:lineRule="exact"/>
        <w:rPr>
          <w:sz w:val="20"/>
          <w:szCs w:val="20"/>
          <w:color w:val="auto"/>
        </w:rPr>
      </w:pPr>
    </w:p>
    <w:p>
      <w:pPr>
        <w:ind w:right="80" w:firstLine="469"/>
        <w:spacing w:after="0" w:line="268" w:lineRule="auto"/>
        <w:rPr>
          <w:sz w:val="20"/>
          <w:szCs w:val="20"/>
          <w:color w:val="auto"/>
        </w:rPr>
      </w:pPr>
      <w:r>
        <w:rPr>
          <w:rFonts w:ascii="Arial" w:cs="Arial" w:eastAsia="Arial" w:hAnsi="Arial"/>
          <w:sz w:val="16"/>
          <w:szCs w:val="16"/>
          <w:color w:val="auto"/>
        </w:rPr>
        <w:t>The COVID-19 pandemic has affected our supply chain consistent with its effect across many industries, including creating shipping and logistics challenges, increasing freight costs significantly, and placing significant limits on component supplies. While we anticipated industry-wide supply chain tightening we took proactive inventory buffering measures in order to position us well during the second half of 2021 and going forward. We will take additional inventory actions as appropriate to align with market demand, and will continue to leverage strong partnerships with our suppliers.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6" w:lineRule="exact"/>
        <w:rPr>
          <w:sz w:val="20"/>
          <w:szCs w:val="20"/>
          <w:color w:val="auto"/>
        </w:rPr>
      </w:pPr>
    </w:p>
    <w:p>
      <w:pPr>
        <w:ind w:firstLine="469"/>
        <w:spacing w:after="0" w:line="279" w:lineRule="auto"/>
        <w:rPr>
          <w:sz w:val="20"/>
          <w:szCs w:val="20"/>
          <w:color w:val="auto"/>
        </w:rPr>
      </w:pPr>
      <w:r>
        <w:rPr>
          <w:rFonts w:ascii="Arial" w:cs="Arial" w:eastAsia="Arial" w:hAnsi="Arial"/>
          <w:sz w:val="15"/>
          <w:szCs w:val="15"/>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buying patterns of our customers and the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and GPUs,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6" w:lineRule="exact"/>
        <w:rPr>
          <w:sz w:val="20"/>
          <w:szCs w:val="20"/>
          <w:color w:val="auto"/>
        </w:rPr>
      </w:pPr>
    </w:p>
    <w:p>
      <w:pPr>
        <w:ind w:right="120" w:firstLine="469"/>
        <w:spacing w:after="0" w:line="329" w:lineRule="auto"/>
        <w:rPr>
          <w:sz w:val="20"/>
          <w:szCs w:val="20"/>
          <w:color w:val="auto"/>
        </w:rPr>
      </w:pPr>
      <w:r>
        <w:rPr>
          <w:rFonts w:ascii="Arial" w:cs="Arial" w:eastAsia="Arial" w:hAnsi="Arial"/>
          <w:sz w:val="14"/>
          <w:szCs w:val="14"/>
          <w:color w:val="auto"/>
        </w:rPr>
        <w:t>We face intense competition in the markets for all of our products.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27" w:lineRule="exact"/>
        <w:rPr>
          <w:sz w:val="20"/>
          <w:szCs w:val="20"/>
          <w:color w:val="auto"/>
        </w:rPr>
      </w:pPr>
    </w:p>
    <w:p>
      <w:pPr>
        <w:ind w:right="300" w:firstLine="469"/>
        <w:spacing w:after="0" w:line="273" w:lineRule="auto"/>
        <w:rPr>
          <w:sz w:val="20"/>
          <w:szCs w:val="20"/>
          <w:color w:val="auto"/>
        </w:rPr>
      </w:pPr>
      <w:r>
        <w:rPr>
          <w:rFonts w:ascii="Arial" w:cs="Arial" w:eastAsia="Arial" w:hAnsi="Arial"/>
          <w:sz w:val="16"/>
          <w:szCs w:val="16"/>
          <w:color w:val="auto"/>
        </w:rPr>
        <w:t>We believe that the principal competitive factors that affect customer preferences include brand awareness, reputation, breadth and depth of product offering, product performance and quality, design and aesthetics, price, user experience, online product reviews and other value propositions. We believe we compete favorably based on these factors.</w:t>
      </w:r>
    </w:p>
    <w:p>
      <w:pPr>
        <w:spacing w:after="0" w:line="162" w:lineRule="exact"/>
        <w:rPr>
          <w:sz w:val="20"/>
          <w:szCs w:val="20"/>
          <w:color w:val="auto"/>
        </w:rPr>
      </w:pPr>
    </w:p>
    <w:p>
      <w:pPr>
        <w:ind w:right="20" w:firstLine="469"/>
        <w:spacing w:after="0" w:line="306" w:lineRule="auto"/>
        <w:rPr>
          <w:sz w:val="20"/>
          <w:szCs w:val="20"/>
          <w:color w:val="auto"/>
        </w:rPr>
      </w:pPr>
      <w:r>
        <w:rPr>
          <w:rFonts w:ascii="Arial" w:cs="Arial" w:eastAsia="Arial" w:hAnsi="Arial"/>
          <w:sz w:val="14"/>
          <w:szCs w:val="14"/>
          <w:color w:val="auto"/>
        </w:rPr>
        <w:t>In recent years, we have added new product categories and we intend to continue to introduce new product categories in the future. To the extent we are successful in adding new product categories, we will confront new competitors, many of which may have more experience, better known brands and greater distribution capabilities in the new product categories and markets than we do. 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 position to respond quickly to new technologies and may be able to design, develop, market, and sell their products more effectively than we can. In addition, some of our competitors are small or mid-sized specialty companies, which may enable them to react to changes in industry trends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consumer preferences or to introduce new or innovative products more quickly than we can. As a result, our product development efforts may not be successful or result in market acceptance of our products.</w:t>
      </w:r>
    </w:p>
    <w:p>
      <w:pPr>
        <w:spacing w:after="0" w:line="149" w:lineRule="exact"/>
        <w:rPr>
          <w:sz w:val="20"/>
          <w:szCs w:val="20"/>
          <w:color w:val="auto"/>
        </w:rPr>
      </w:pPr>
    </w:p>
    <w:p>
      <w:pPr>
        <w:ind w:firstLine="469"/>
        <w:spacing w:after="0" w:line="265" w:lineRule="auto"/>
        <w:rPr>
          <w:sz w:val="20"/>
          <w:szCs w:val="20"/>
          <w:color w:val="auto"/>
        </w:rPr>
      </w:pPr>
      <w:r>
        <w:rPr>
          <w:rFonts w:ascii="Arial" w:cs="Arial" w:eastAsia="Arial" w:hAnsi="Arial"/>
          <w:sz w:val="16"/>
          <w:szCs w:val="16"/>
          <w:color w:val="auto"/>
        </w:rPr>
        <w:t>Our ability to compete successfully is fundamental to our success in existing and new markets. If we do not compete effectively, demand for our products could decline, our net revenues and gross margin could decrease and we could lose market share, which could seriously harm our business, results of operations and financial condition. See the risk factor under the heading “Risks Related to our Business— We face intense competition, and if we do not compete effectively, we could lose market share, demand for our gear could decline and our business may be seriously harmed” in Item 1A of this Form 10-K for further details and a summary of our key competitors.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15" w:lineRule="exact"/>
        <w:rPr>
          <w:sz w:val="20"/>
          <w:szCs w:val="20"/>
          <w:color w:val="auto"/>
        </w:rPr>
      </w:pPr>
    </w:p>
    <w:p>
      <w:pPr>
        <w:ind w:right="20" w:firstLine="469"/>
        <w:spacing w:after="0" w:line="268" w:lineRule="auto"/>
        <w:rPr>
          <w:sz w:val="20"/>
          <w:szCs w:val="20"/>
          <w:color w:val="auto"/>
        </w:rPr>
      </w:pPr>
      <w:r>
        <w:rPr>
          <w:rFonts w:ascii="Arial" w:cs="Arial" w:eastAsia="Arial" w:hAnsi="Arial"/>
          <w:sz w:val="16"/>
          <w:szCs w:val="16"/>
          <w:color w:val="auto"/>
        </w:rPr>
        <w:t>We consider the Corsair brand and its associated sub-brands to be among our most valuable assets. Our future success depends to a large degree upon our ability to defend the Corsair brand and its associated sub-brands from infringement and, to a limited extent, to protect our other intellectual property. We rely on a combination of copyright, trademark, patent and other intellectual property laws and confidentiality procedures and contractual provisions such as non-disclosure terms to protect our intellectual property.</w:t>
      </w:r>
    </w:p>
    <w:p>
      <w:pPr>
        <w:spacing w:after="0" w:line="165" w:lineRule="exact"/>
        <w:rPr>
          <w:sz w:val="20"/>
          <w:szCs w:val="20"/>
          <w:color w:val="auto"/>
        </w:rPr>
      </w:pPr>
    </w:p>
    <w:p>
      <w:pPr>
        <w:ind w:firstLine="469"/>
        <w:spacing w:after="0" w:line="284" w:lineRule="auto"/>
        <w:rPr>
          <w:sz w:val="20"/>
          <w:szCs w:val="20"/>
          <w:color w:val="auto"/>
        </w:rPr>
      </w:pPr>
      <w:r>
        <w:rPr>
          <w:rFonts w:ascii="Arial" w:cs="Arial" w:eastAsia="Arial" w:hAnsi="Arial"/>
          <w:sz w:val="15"/>
          <w:szCs w:val="15"/>
          <w:color w:val="auto"/>
        </w:rPr>
        <w:t>As of December 31, 2021, our worldwide intellectual property portfolio consisted of 291 patents issued and 104 patents pending applications, 431 trademarks issued and 36 trademarks pending applications. We believe that our patents and trademarks and their applications are important for maintaining the competitive differentiation of our products and services, enhancing our freedom of action to sell our products and services in markets in which we choose to participate, and maximizing our return on research and development investments. The expansion of our business has required us to protect our trademarks, domain names, copyrights, and patents and, to the extent that we expand our business into new geographic areas, we may be required to protect our trademarks, domain names, copyrights, patents and other intellectual property in an increasing number of jurisdictions, a process that is expensive and sometimes requires litigation.</w:t>
      </w:r>
    </w:p>
    <w:p>
      <w:pPr>
        <w:spacing w:after="0" w:line="157" w:lineRule="exact"/>
        <w:rPr>
          <w:sz w:val="20"/>
          <w:szCs w:val="20"/>
          <w:color w:val="auto"/>
        </w:rPr>
      </w:pPr>
    </w:p>
    <w:p>
      <w:pPr>
        <w:ind w:right="100" w:firstLine="469"/>
        <w:spacing w:after="0" w:line="265" w:lineRule="auto"/>
        <w:rPr>
          <w:sz w:val="20"/>
          <w:szCs w:val="20"/>
          <w:color w:val="auto"/>
        </w:rPr>
      </w:pPr>
      <w:r>
        <w:rPr>
          <w:rFonts w:ascii="Arial" w:cs="Arial" w:eastAsia="Arial" w:hAnsi="Arial"/>
          <w:sz w:val="16"/>
          <w:szCs w:val="16"/>
          <w:color w:val="auto"/>
        </w:rPr>
        <w:t>For a discussion of risks attendant to intellectual property rights, see “Risk Factors—Risks Related to our Business—Our future success depends to a large degree upon our ability to defend the Corsair brand and product family brands such as SCUF, Vengeance, K70, Elgato and iCUE from infringement and, if we are unable to protect our brand and other intellectual property, our business may be seriously harmed” and “Risk Factors—Risks Related to our Business—We are, have in the past been, and may in the future be, subject to intellectual property infringement claims, which are costly to defend, could require us to pay damages or royalties and could limit our ability to use certain technologies in the future” in item 1A.</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16" w:lineRule="exact"/>
        <w:rPr>
          <w:sz w:val="20"/>
          <w:szCs w:val="20"/>
          <w:color w:val="auto"/>
        </w:rPr>
      </w:pPr>
    </w:p>
    <w:p>
      <w:pPr>
        <w:ind w:right="20" w:firstLine="469"/>
        <w:spacing w:after="0" w:line="308" w:lineRule="auto"/>
        <w:rPr>
          <w:sz w:val="20"/>
          <w:szCs w:val="20"/>
          <w:color w:val="auto"/>
        </w:rPr>
      </w:pPr>
      <w:r>
        <w:rPr>
          <w:rFonts w:ascii="Arial" w:cs="Arial" w:eastAsia="Arial" w:hAnsi="Arial"/>
          <w:sz w:val="14"/>
          <w:szCs w:val="14"/>
          <w:color w:val="auto"/>
        </w:rPr>
        <w:t>Our operations, properties and products are subject to a variety of U.S. and foreign environmental laws and regulations governing, among other things, air emissions, wastewater discharges, management and disposal of hazardous and non-hazardous materials and waste and remediation of releases of hazardous materials. We believe, based on current information that we are in material compliance with environmental laws and regulations applicable to us. However, our failure to comply with present and future requirements under these laws and regulations, or environmental contamination or releases of hazardous materials on our leased premises, as well as through disposal of our products, could cause us to incur substantial costs, including clean-up costs, personal injury and property damage claims, fines and penalties, costs to redesign our products or upgrade our facilities and legal costs, or require us to curtail our operations, any of which could seriously harm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16" w:lineRule="exact"/>
        <w:rPr>
          <w:sz w:val="20"/>
          <w:szCs w:val="20"/>
          <w:color w:val="auto"/>
        </w:rPr>
      </w:pPr>
    </w:p>
    <w:p>
      <w:pPr>
        <w:ind w:right="20" w:firstLine="469"/>
        <w:spacing w:after="0" w:line="273" w:lineRule="auto"/>
        <w:rPr>
          <w:sz w:val="20"/>
          <w:szCs w:val="20"/>
          <w:color w:val="auto"/>
        </w:rPr>
      </w:pPr>
      <w:r>
        <w:rPr>
          <w:rFonts w:ascii="Arial" w:cs="Arial" w:eastAsia="Arial" w:hAnsi="Arial"/>
          <w:sz w:val="16"/>
          <w:szCs w:val="16"/>
          <w:color w:val="auto"/>
        </w:rPr>
        <w:t>As of December 31, 2021, we had a total of 2,490 employees, including temporary employees and dedicated sales and software developer contractors. None of our employees is currently represented by a labor union or is covered by a collective bargaining agreement with respect to his or her employment. To date we have not experienced any work stoppages, and we consider our relationship with our employees to be good.</w:t>
      </w:r>
    </w:p>
    <w:p>
      <w:pPr>
        <w:spacing w:after="0" w:line="63" w:lineRule="exact"/>
        <w:rPr>
          <w:sz w:val="20"/>
          <w:szCs w:val="20"/>
          <w:color w:val="auto"/>
        </w:rPr>
      </w:pPr>
    </w:p>
    <w:p>
      <w:pPr>
        <w:ind w:right="200" w:firstLine="469"/>
        <w:spacing w:after="0" w:line="273"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5" w:lineRule="exact"/>
        <w:rPr>
          <w:sz w:val="20"/>
          <w:szCs w:val="20"/>
          <w:color w:val="auto"/>
        </w:rPr>
      </w:pPr>
    </w:p>
    <w:p>
      <w:pPr>
        <w:jc w:val="both"/>
        <w:ind w:right="40" w:firstLine="469"/>
        <w:spacing w:after="0" w:line="299" w:lineRule="auto"/>
        <w:rPr>
          <w:sz w:val="20"/>
          <w:szCs w:val="20"/>
          <w:color w:val="auto"/>
        </w:rPr>
      </w:pPr>
      <w:r>
        <w:rPr>
          <w:rFonts w:ascii="Arial" w:cs="Arial" w:eastAsia="Arial" w:hAnsi="Arial"/>
          <w:sz w:val="15"/>
          <w:szCs w:val="15"/>
          <w:color w:val="auto"/>
        </w:rPr>
        <w:t>We incorporated in Delaware in 2017 as EagleTree-Carbide Acquisition Corp. and we changed our name to Corsair Gaming, Inc. in 2018. We completed the initial public offering, or the IPO, of our common stock in September 2020 and our common stock is listed on the Nasdaq Global Select Market under the symbol “CRSR.” Our principal executive offices are located at 47100 Bayside Pkwy, Fremont, California 94538, and our telephone number is (510) 657-8747.</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5" w:lineRule="exact"/>
        <w:rPr>
          <w:sz w:val="20"/>
          <w:szCs w:val="20"/>
          <w:color w:val="auto"/>
        </w:rPr>
      </w:pPr>
    </w:p>
    <w:p>
      <w:pPr>
        <w:ind w:right="100" w:firstLine="469"/>
        <w:spacing w:after="0" w:line="265" w:lineRule="auto"/>
        <w:rPr>
          <w:sz w:val="20"/>
          <w:szCs w:val="20"/>
          <w:color w:val="auto"/>
        </w:rPr>
      </w:pPr>
      <w:r>
        <w:rPr>
          <w:rFonts w:ascii="Arial" w:cs="Arial" w:eastAsia="Arial" w:hAnsi="Arial"/>
          <w:sz w:val="16"/>
          <w:szCs w:val="16"/>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www.corsair.com as soon as reasonably practical after we file such material with, or furnish it to, the SEC.</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Corsair’s executive officers as of March 1,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60" w:type="dxa"/>
            <w:vAlign w:val="bottom"/>
            <w:tcBorders>
              <w:bottom w:val="single" w:sz="8" w:color="auto"/>
            </w:tcBorders>
          </w:tcPr>
          <w:p>
            <w:pPr>
              <w:ind w:left="2880"/>
              <w:spacing w:after="0"/>
              <w:rPr>
                <w:sz w:val="20"/>
                <w:szCs w:val="20"/>
                <w:color w:val="auto"/>
              </w:rPr>
            </w:pPr>
            <w:r>
              <w:rPr>
                <w:rFonts w:ascii="Arial" w:cs="Arial" w:eastAsia="Arial" w:hAnsi="Arial"/>
                <w:sz w:val="13"/>
                <w:szCs w:val="13"/>
                <w:b w:val="1"/>
                <w:bCs w:val="1"/>
                <w:color w:val="auto"/>
              </w:rPr>
              <w:t>Name</w:t>
            </w:r>
          </w:p>
        </w:tc>
        <w:tc>
          <w:tcPr>
            <w:tcW w:w="2000" w:type="dxa"/>
            <w:vAlign w:val="bottom"/>
            <w:tcBorders>
              <w:bottom w:val="single" w:sz="8" w:color="auto"/>
            </w:tcBorders>
          </w:tcPr>
          <w:p>
            <w:pPr>
              <w:jc w:val="center"/>
              <w:ind w:left="1261"/>
              <w:spacing w:after="0"/>
              <w:rPr>
                <w:sz w:val="20"/>
                <w:szCs w:val="20"/>
                <w:color w:val="auto"/>
              </w:rPr>
            </w:pPr>
            <w:r>
              <w:rPr>
                <w:rFonts w:ascii="Arial" w:cs="Arial" w:eastAsia="Arial" w:hAnsi="Arial"/>
                <w:sz w:val="13"/>
                <w:szCs w:val="13"/>
                <w:b w:val="1"/>
                <w:bCs w:val="1"/>
                <w:color w:val="auto"/>
                <w:w w:val="89"/>
              </w:rPr>
              <w:t>Age</w:t>
            </w:r>
          </w:p>
        </w:tc>
        <w:tc>
          <w:tcPr>
            <w:tcW w:w="180" w:type="dxa"/>
            <w:vAlign w:val="bottom"/>
          </w:tcPr>
          <w:p>
            <w:pPr>
              <w:spacing w:after="0"/>
              <w:rPr>
                <w:sz w:val="13"/>
                <w:szCs w:val="13"/>
                <w:color w:val="auto"/>
              </w:rPr>
            </w:pPr>
          </w:p>
        </w:tc>
        <w:tc>
          <w:tcPr>
            <w:tcW w:w="4300" w:type="dxa"/>
            <w:vAlign w:val="bottom"/>
            <w:tcBorders>
              <w:bottom w:val="single" w:sz="8" w:color="auto"/>
            </w:tcBorders>
          </w:tcPr>
          <w:p>
            <w:pPr>
              <w:ind w:left="1860"/>
              <w:spacing w:after="0"/>
              <w:rPr>
                <w:sz w:val="20"/>
                <w:szCs w:val="20"/>
                <w:color w:val="auto"/>
              </w:rPr>
            </w:pPr>
            <w:r>
              <w:rPr>
                <w:rFonts w:ascii="Arial" w:cs="Arial" w:eastAsia="Arial" w:hAnsi="Arial"/>
                <w:sz w:val="13"/>
                <w:szCs w:val="13"/>
                <w:b w:val="1"/>
                <w:bCs w:val="1"/>
                <w:color w:val="auto"/>
              </w:rPr>
              <w:t>Position(s)</w:t>
            </w:r>
          </w:p>
        </w:tc>
      </w:tr>
      <w:tr>
        <w:trPr>
          <w:trHeight w:val="375"/>
        </w:trPr>
        <w:tc>
          <w:tcPr>
            <w:tcW w:w="4760" w:type="dxa"/>
            <w:vAlign w:val="bottom"/>
          </w:tcPr>
          <w:p>
            <w:pPr>
              <w:spacing w:after="0"/>
              <w:rPr>
                <w:sz w:val="20"/>
                <w:szCs w:val="20"/>
                <w:color w:val="auto"/>
              </w:rPr>
            </w:pPr>
            <w:r>
              <w:rPr>
                <w:rFonts w:ascii="Arial" w:cs="Arial" w:eastAsia="Arial" w:hAnsi="Arial"/>
                <w:sz w:val="16"/>
                <w:szCs w:val="16"/>
                <w:color w:val="auto"/>
              </w:rPr>
              <w:t>Andrew J. Paul</w:t>
            </w:r>
          </w:p>
        </w:tc>
        <w:tc>
          <w:tcPr>
            <w:tcW w:w="2000" w:type="dxa"/>
            <w:vAlign w:val="bottom"/>
          </w:tcPr>
          <w:p>
            <w:pPr>
              <w:jc w:val="center"/>
              <w:ind w:left="1261"/>
              <w:spacing w:after="0"/>
              <w:rPr>
                <w:sz w:val="20"/>
                <w:szCs w:val="20"/>
                <w:color w:val="auto"/>
              </w:rPr>
            </w:pPr>
            <w:r>
              <w:rPr>
                <w:rFonts w:ascii="Arial" w:cs="Arial" w:eastAsia="Arial" w:hAnsi="Arial"/>
                <w:sz w:val="16"/>
                <w:szCs w:val="16"/>
                <w:color w:val="auto"/>
              </w:rPr>
              <w:t>64</w:t>
            </w:r>
          </w:p>
        </w:tc>
        <w:tc>
          <w:tcPr>
            <w:tcW w:w="4480" w:type="dxa"/>
            <w:vAlign w:val="bottom"/>
            <w:gridSpan w:val="2"/>
          </w:tcPr>
          <w:p>
            <w:pPr>
              <w:ind w:left="180"/>
              <w:spacing w:after="0"/>
              <w:rPr>
                <w:sz w:val="20"/>
                <w:szCs w:val="20"/>
                <w:color w:val="auto"/>
              </w:rPr>
            </w:pPr>
            <w:r>
              <w:rPr>
                <w:rFonts w:ascii="Arial" w:cs="Arial" w:eastAsia="Arial" w:hAnsi="Arial"/>
                <w:sz w:val="16"/>
                <w:szCs w:val="16"/>
                <w:color w:val="auto"/>
              </w:rPr>
              <w:t>Chief Executive Officer and Director</w:t>
            </w:r>
          </w:p>
        </w:tc>
      </w:tr>
      <w:tr>
        <w:trPr>
          <w:trHeight w:val="197"/>
        </w:trPr>
        <w:tc>
          <w:tcPr>
            <w:tcW w:w="4760" w:type="dxa"/>
            <w:vAlign w:val="bottom"/>
          </w:tcPr>
          <w:p>
            <w:pPr>
              <w:spacing w:after="0"/>
              <w:rPr>
                <w:sz w:val="20"/>
                <w:szCs w:val="20"/>
                <w:color w:val="auto"/>
              </w:rPr>
            </w:pPr>
            <w:r>
              <w:rPr>
                <w:rFonts w:ascii="Arial" w:cs="Arial" w:eastAsia="Arial" w:hAnsi="Arial"/>
                <w:sz w:val="16"/>
                <w:szCs w:val="16"/>
                <w:color w:val="auto"/>
              </w:rPr>
              <w:t>Thi L. La</w:t>
            </w:r>
          </w:p>
        </w:tc>
        <w:tc>
          <w:tcPr>
            <w:tcW w:w="2000" w:type="dxa"/>
            <w:vAlign w:val="bottom"/>
          </w:tcPr>
          <w:p>
            <w:pPr>
              <w:jc w:val="center"/>
              <w:ind w:left="1261"/>
              <w:spacing w:after="0"/>
              <w:rPr>
                <w:sz w:val="20"/>
                <w:szCs w:val="20"/>
                <w:color w:val="auto"/>
              </w:rPr>
            </w:pPr>
            <w:r>
              <w:rPr>
                <w:rFonts w:ascii="Arial" w:cs="Arial" w:eastAsia="Arial" w:hAnsi="Arial"/>
                <w:sz w:val="16"/>
                <w:szCs w:val="16"/>
                <w:color w:val="auto"/>
              </w:rPr>
              <w:t>56</w:t>
            </w:r>
          </w:p>
        </w:tc>
        <w:tc>
          <w:tcPr>
            <w:tcW w:w="4480" w:type="dxa"/>
            <w:vAlign w:val="bottom"/>
            <w:gridSpan w:val="2"/>
          </w:tcPr>
          <w:p>
            <w:pPr>
              <w:ind w:left="180"/>
              <w:spacing w:after="0"/>
              <w:rPr>
                <w:sz w:val="20"/>
                <w:szCs w:val="20"/>
                <w:color w:val="auto"/>
              </w:rPr>
            </w:pPr>
            <w:r>
              <w:rPr>
                <w:rFonts w:ascii="Arial" w:cs="Arial" w:eastAsia="Arial" w:hAnsi="Arial"/>
                <w:sz w:val="16"/>
                <w:szCs w:val="16"/>
                <w:color w:val="auto"/>
              </w:rPr>
              <w:t>President and Chief Operating Officer</w:t>
            </w:r>
          </w:p>
        </w:tc>
      </w:tr>
      <w:tr>
        <w:trPr>
          <w:trHeight w:val="197"/>
        </w:trPr>
        <w:tc>
          <w:tcPr>
            <w:tcW w:w="4760" w:type="dxa"/>
            <w:vAlign w:val="bottom"/>
          </w:tcPr>
          <w:p>
            <w:pPr>
              <w:spacing w:after="0"/>
              <w:rPr>
                <w:sz w:val="20"/>
                <w:szCs w:val="20"/>
                <w:color w:val="auto"/>
              </w:rPr>
            </w:pPr>
            <w:r>
              <w:rPr>
                <w:rFonts w:ascii="Arial" w:cs="Arial" w:eastAsia="Arial" w:hAnsi="Arial"/>
                <w:sz w:val="16"/>
                <w:szCs w:val="16"/>
                <w:color w:val="auto"/>
              </w:rPr>
              <w:t>Michael G. Potter</w:t>
            </w:r>
          </w:p>
        </w:tc>
        <w:tc>
          <w:tcPr>
            <w:tcW w:w="2000" w:type="dxa"/>
            <w:vAlign w:val="bottom"/>
          </w:tcPr>
          <w:p>
            <w:pPr>
              <w:jc w:val="center"/>
              <w:ind w:left="1261"/>
              <w:spacing w:after="0"/>
              <w:rPr>
                <w:sz w:val="20"/>
                <w:szCs w:val="20"/>
                <w:color w:val="auto"/>
              </w:rPr>
            </w:pPr>
            <w:r>
              <w:rPr>
                <w:rFonts w:ascii="Arial" w:cs="Arial" w:eastAsia="Arial" w:hAnsi="Arial"/>
                <w:sz w:val="16"/>
                <w:szCs w:val="16"/>
                <w:color w:val="auto"/>
              </w:rPr>
              <w:t>55</w:t>
            </w:r>
          </w:p>
        </w:tc>
        <w:tc>
          <w:tcPr>
            <w:tcW w:w="4480" w:type="dxa"/>
            <w:vAlign w:val="bottom"/>
            <w:gridSpan w:val="2"/>
          </w:tcPr>
          <w:p>
            <w:pPr>
              <w:ind w:left="180"/>
              <w:spacing w:after="0"/>
              <w:rPr>
                <w:sz w:val="20"/>
                <w:szCs w:val="20"/>
                <w:color w:val="auto"/>
              </w:rPr>
            </w:pPr>
            <w:r>
              <w:rPr>
                <w:rFonts w:ascii="Arial" w:cs="Arial" w:eastAsia="Arial" w:hAnsi="Arial"/>
                <w:sz w:val="16"/>
                <w:szCs w:val="16"/>
                <w:color w:val="auto"/>
              </w:rPr>
              <w:t>Chief Financial Officer</w:t>
            </w:r>
          </w:p>
        </w:tc>
      </w:tr>
      <w:tr>
        <w:trPr>
          <w:trHeight w:val="209"/>
        </w:trPr>
        <w:tc>
          <w:tcPr>
            <w:tcW w:w="4760" w:type="dxa"/>
            <w:vAlign w:val="bottom"/>
          </w:tcPr>
          <w:p>
            <w:pPr>
              <w:spacing w:after="0"/>
              <w:rPr>
                <w:sz w:val="20"/>
                <w:szCs w:val="20"/>
                <w:color w:val="auto"/>
              </w:rPr>
            </w:pPr>
            <w:r>
              <w:rPr>
                <w:rFonts w:ascii="Arial" w:cs="Arial" w:eastAsia="Arial" w:hAnsi="Arial"/>
                <w:sz w:val="16"/>
                <w:szCs w:val="16"/>
                <w:color w:val="auto"/>
              </w:rPr>
              <w:t>Gregg A. Lakritz</w:t>
            </w:r>
          </w:p>
        </w:tc>
        <w:tc>
          <w:tcPr>
            <w:tcW w:w="2000" w:type="dxa"/>
            <w:vAlign w:val="bottom"/>
          </w:tcPr>
          <w:p>
            <w:pPr>
              <w:jc w:val="center"/>
              <w:ind w:left="1261"/>
              <w:spacing w:after="0"/>
              <w:rPr>
                <w:sz w:val="20"/>
                <w:szCs w:val="20"/>
                <w:color w:val="auto"/>
              </w:rPr>
            </w:pPr>
            <w:r>
              <w:rPr>
                <w:rFonts w:ascii="Arial" w:cs="Arial" w:eastAsia="Arial" w:hAnsi="Arial"/>
                <w:sz w:val="16"/>
                <w:szCs w:val="16"/>
                <w:color w:val="auto"/>
              </w:rPr>
              <w:t>60</w:t>
            </w:r>
          </w:p>
        </w:tc>
        <w:tc>
          <w:tcPr>
            <w:tcW w:w="4480" w:type="dxa"/>
            <w:vAlign w:val="bottom"/>
            <w:gridSpan w:val="2"/>
          </w:tcPr>
          <w:p>
            <w:pPr>
              <w:ind w:left="180"/>
              <w:spacing w:after="0"/>
              <w:rPr>
                <w:sz w:val="20"/>
                <w:szCs w:val="20"/>
                <w:color w:val="auto"/>
              </w:rPr>
            </w:pPr>
            <w:r>
              <w:rPr>
                <w:rFonts w:ascii="Arial" w:cs="Arial" w:eastAsia="Arial" w:hAnsi="Arial"/>
                <w:sz w:val="16"/>
                <w:szCs w:val="16"/>
                <w:color w:val="auto"/>
              </w:rPr>
              <w:t>Vice President, Corporate Controller</w:t>
            </w:r>
          </w:p>
        </w:tc>
      </w:tr>
    </w:tbl>
    <w:p>
      <w:pPr>
        <w:spacing w:after="0" w:line="223" w:lineRule="exact"/>
        <w:rPr>
          <w:sz w:val="20"/>
          <w:szCs w:val="20"/>
          <w:color w:val="auto"/>
        </w:rPr>
      </w:pPr>
    </w:p>
    <w:p>
      <w:pPr>
        <w:ind w:right="240" w:firstLine="469"/>
        <w:spacing w:after="0" w:line="287" w:lineRule="auto"/>
        <w:rPr>
          <w:sz w:val="20"/>
          <w:szCs w:val="20"/>
          <w:color w:val="auto"/>
        </w:rPr>
      </w:pPr>
      <w:r>
        <w:rPr>
          <w:rFonts w:ascii="Arial" w:cs="Arial" w:eastAsia="Arial" w:hAnsi="Arial"/>
          <w:sz w:val="15"/>
          <w:szCs w:val="15"/>
          <w:b w:val="1"/>
          <w:bCs w:val="1"/>
          <w:i w:val="1"/>
          <w:iCs w:val="1"/>
          <w:color w:val="auto"/>
        </w:rPr>
        <w:t xml:space="preserve">Andrew J. Paul </w:t>
      </w:r>
      <w:r>
        <w:rPr>
          <w:rFonts w:ascii="Arial" w:cs="Arial" w:eastAsia="Arial" w:hAnsi="Arial"/>
          <w:sz w:val="15"/>
          <w:szCs w:val="15"/>
          <w:color w:val="auto"/>
        </w:rPr>
        <w:t>co-founded Corsair in 1994. He has served as our Chief Executive Officer and President since 1994 and we appointed Mr. Paul to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in September 2018. Previously, Mr. Paul served as President of the Multichip Division at Cypress Semiconductor Corporation, a provider of semiconductor devices. Mr. Paul also founded Multichip Technology, Inc., a provider of high-performance memory modules and electronics in 1987, and the business was sold to Cypress Semiconductor Corporation in 1993. Prior to that, he worked as a marketing manager at Integrated Device Technology, Inc. and in several sales and marketing positions at Fairchild Semiconductor Incorporated. Mr. Paul holds a B.Sc. (Hons) in Physics from The City University, London, England.</w:t>
      </w:r>
    </w:p>
    <w:p>
      <w:pPr>
        <w:spacing w:after="0" w:line="153" w:lineRule="exact"/>
        <w:rPr>
          <w:sz w:val="20"/>
          <w:szCs w:val="20"/>
          <w:color w:val="auto"/>
        </w:rPr>
      </w:pPr>
    </w:p>
    <w:p>
      <w:pPr>
        <w:ind w:right="60" w:firstLine="469"/>
        <w:spacing w:after="0" w:line="265" w:lineRule="auto"/>
        <w:rPr>
          <w:sz w:val="20"/>
          <w:szCs w:val="20"/>
          <w:color w:val="auto"/>
        </w:rPr>
      </w:pPr>
      <w:r>
        <w:rPr>
          <w:rFonts w:ascii="Arial" w:cs="Arial" w:eastAsia="Arial" w:hAnsi="Arial"/>
          <w:sz w:val="16"/>
          <w:szCs w:val="16"/>
          <w:b w:val="1"/>
          <w:bCs w:val="1"/>
          <w:i w:val="1"/>
          <w:iCs w:val="1"/>
          <w:color w:val="auto"/>
        </w:rPr>
        <w:t xml:space="preserve">Thi L. La </w:t>
      </w:r>
      <w:r>
        <w:rPr>
          <w:rFonts w:ascii="Arial" w:cs="Arial" w:eastAsia="Arial" w:hAnsi="Arial"/>
          <w:sz w:val="16"/>
          <w:szCs w:val="16"/>
          <w:color w:val="auto"/>
        </w:rPr>
        <w:t>has served as our President since January 2021 and as our Chief Operating Officer since August 2013. Ms. La was appointed to our board of directors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2021. From May 2010 to August 2013, Ms. La served as our Senior Vice President and General Manager of our gaming PC component unit. Previously, from April 2008 to July 2010, she served as the Vice President of Global Operations and Information Technology at Opnext, Inc., a designer and manufacturer of optical transponders for communications uses. From 1997 to 2008, she held various positions at HP, including Director of Consumer Desktop PC, Display and Accessories for North America. Ms. La holds a B.S. in Electrical Engineering from San Jose State University.</w:t>
      </w:r>
    </w:p>
    <w:p>
      <w:pPr>
        <w:spacing w:after="0" w:line="169" w:lineRule="exact"/>
        <w:rPr>
          <w:sz w:val="20"/>
          <w:szCs w:val="20"/>
          <w:color w:val="auto"/>
        </w:rPr>
      </w:pPr>
    </w:p>
    <w:p>
      <w:pPr>
        <w:ind w:right="20" w:firstLine="469"/>
        <w:spacing w:after="0" w:line="262" w:lineRule="auto"/>
        <w:rPr>
          <w:sz w:val="20"/>
          <w:szCs w:val="20"/>
          <w:color w:val="auto"/>
        </w:rPr>
      </w:pPr>
      <w:r>
        <w:rPr>
          <w:rFonts w:ascii="Arial" w:cs="Arial" w:eastAsia="Arial" w:hAnsi="Arial"/>
          <w:sz w:val="16"/>
          <w:szCs w:val="16"/>
          <w:b w:val="1"/>
          <w:bCs w:val="1"/>
          <w:i w:val="1"/>
          <w:iCs w:val="1"/>
          <w:color w:val="auto"/>
        </w:rPr>
        <w:t xml:space="preserve">Michael G. Potter </w:t>
      </w:r>
      <w:r>
        <w:rPr>
          <w:rFonts w:ascii="Arial" w:cs="Arial" w:eastAsia="Arial" w:hAnsi="Arial"/>
          <w:sz w:val="16"/>
          <w:szCs w:val="16"/>
          <w:color w:val="auto"/>
        </w:rPr>
        <w:t>has served as our Chief Financial Officer since November 2019. Previously, Mr. Potter worked as a business consultant, including interim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work and advising a large pension fund. Prior to that, from July 2011 to May 2016, Mr. Potter was Chief Financial Officer and Chief Legal Officer at Canadian Solar, a company listed on the Nasdaq Exchange. Prior to that, Mr. Potter spent 10 years in the semiconductor industry holding multiple Chief Financial Officer roles at public companies including Lattice Semiconductor Corporation, Neophotonics and STATS ChipPac. Prior to that, Mr. Potter worked for six years at Honeywell in various financing and accounting positions, and at KPMG in Montreal as an auditor. Mr. Potter is a member of the board of Cordelio Power, Inc. and serves as the chair of its audit committee. Mr. Potter is a Chartered Professional Accountant (CPA). He received a Graduate Diploma of Public Accountancy from McGill University, and a BComm in Accounting from Concordia University.</w:t>
      </w:r>
    </w:p>
    <w:p>
      <w:pPr>
        <w:spacing w:after="0" w:line="173" w:lineRule="exact"/>
        <w:rPr>
          <w:sz w:val="20"/>
          <w:szCs w:val="20"/>
          <w:color w:val="auto"/>
        </w:rPr>
      </w:pPr>
    </w:p>
    <w:p>
      <w:pPr>
        <w:ind w:right="60" w:firstLine="469"/>
        <w:spacing w:after="0" w:line="291" w:lineRule="auto"/>
        <w:rPr>
          <w:sz w:val="20"/>
          <w:szCs w:val="20"/>
          <w:color w:val="auto"/>
        </w:rPr>
      </w:pPr>
      <w:r>
        <w:rPr>
          <w:rFonts w:ascii="Arial" w:cs="Arial" w:eastAsia="Arial" w:hAnsi="Arial"/>
          <w:sz w:val="15"/>
          <w:szCs w:val="15"/>
          <w:b w:val="1"/>
          <w:bCs w:val="1"/>
          <w:i w:val="1"/>
          <w:iCs w:val="1"/>
          <w:color w:val="auto"/>
        </w:rPr>
        <w:t xml:space="preserve">Gregg A. Lakritz </w:t>
      </w:r>
      <w:r>
        <w:rPr>
          <w:rFonts w:ascii="Arial" w:cs="Arial" w:eastAsia="Arial" w:hAnsi="Arial"/>
          <w:sz w:val="15"/>
          <w:szCs w:val="15"/>
          <w:color w:val="auto"/>
        </w:rPr>
        <w:t>has served as our Vice President, Corporate Controller since November 2017. From July 2017 to October 2017, Mr. Lakritz served as a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Strategic Consultant at Trimble Inc., or Trimble. From September 2011 to June 2017 he worked at Harmonic Inc., a publicly traded company which sells high-performance video software and cable access solutions, where he served initially as the Vice President and Corporate Controller from September 2011 to December 2014, and then as Chief Accounting Officer, Vice President and Corporate Controller. Previously, Mr. Lakritz also served as a Corporate Controller at Trimble, from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October 2005 to September 2011. Mr. Lakritz is a Certified Public Accountant and he earned a B.A. in Accounting from the University of Wisconsin-Milwaukee and an M.B.A. from the University of Wisconsin-Madison.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 Summary</w:t>
      </w:r>
    </w:p>
    <w:p>
      <w:pPr>
        <w:spacing w:after="0" w:line="116" w:lineRule="exact"/>
        <w:rPr>
          <w:sz w:val="20"/>
          <w:szCs w:val="20"/>
          <w:color w:val="auto"/>
        </w:rPr>
      </w:pPr>
    </w:p>
    <w:p>
      <w:pPr>
        <w:ind w:right="60" w:firstLine="511"/>
        <w:spacing w:after="0" w:line="268" w:lineRule="auto"/>
        <w:rPr>
          <w:sz w:val="20"/>
          <w:szCs w:val="20"/>
          <w:color w:val="auto"/>
        </w:rPr>
      </w:pPr>
      <w:r>
        <w:rPr>
          <w:rFonts w:ascii="Arial" w:cs="Arial" w:eastAsia="Arial" w:hAnsi="Arial"/>
          <w:sz w:val="16"/>
          <w:szCs w:val="16"/>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66" w:lineRule="exact"/>
        <w:rPr>
          <w:sz w:val="20"/>
          <w:szCs w:val="20"/>
          <w:color w:val="auto"/>
        </w:rPr>
      </w:pPr>
    </w:p>
    <w:p>
      <w:pPr>
        <w:ind w:left="1020" w:right="160" w:hanging="516"/>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50" w:lineRule="exact"/>
        <w:rPr>
          <w:rFonts w:ascii="Arial" w:cs="Arial" w:eastAsia="Arial" w:hAnsi="Arial"/>
          <w:sz w:val="16"/>
          <w:szCs w:val="16"/>
          <w:color w:val="auto"/>
        </w:rPr>
      </w:pPr>
    </w:p>
    <w:p>
      <w:pPr>
        <w:ind w:left="1020" w:right="320" w:hanging="516"/>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0" w:lineRule="exact"/>
        <w:rPr>
          <w:rFonts w:ascii="Arial" w:cs="Arial" w:eastAsia="Arial" w:hAnsi="Arial"/>
          <w:sz w:val="16"/>
          <w:szCs w:val="16"/>
          <w:color w:val="auto"/>
        </w:rPr>
      </w:pPr>
    </w:p>
    <w:p>
      <w:pPr>
        <w:ind w:left="1020" w:right="220" w:hanging="516"/>
        <w:spacing w:after="0" w:line="268"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if the rate at which those products are introduced declines or if such products are not readily available, it may seriously harm our business.</w:t>
      </w:r>
    </w:p>
    <w:p>
      <w:pPr>
        <w:spacing w:after="0" w:line="66" w:lineRule="exact"/>
        <w:rPr>
          <w:rFonts w:ascii="Arial" w:cs="Arial" w:eastAsia="Arial" w:hAnsi="Arial"/>
          <w:sz w:val="16"/>
          <w:szCs w:val="16"/>
          <w:color w:val="auto"/>
        </w:rPr>
      </w:pPr>
    </w:p>
    <w:p>
      <w:pPr>
        <w:ind w:left="1020" w:right="20" w:hanging="516"/>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face intense competition, and if we do not compete effectively, we could lose market share, demand for our gear could decline and our business may be seriously harmed.</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gaming industry, including streaming and esports, does not grow as expected or declines, our business could be seriously harmed.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we lose or are unable to attract and retain key management, our ability to compete could be seriously harmed and our financial performance could suffer.</w:t>
      </w:r>
    </w:p>
    <w:p>
      <w:pPr>
        <w:spacing w:after="0" w:line="135" w:lineRule="exact"/>
        <w:rPr>
          <w:rFonts w:ascii="Arial" w:cs="Arial" w:eastAsia="Arial" w:hAnsi="Arial"/>
          <w:sz w:val="14"/>
          <w:szCs w:val="14"/>
          <w:color w:val="auto"/>
        </w:rPr>
      </w:pPr>
    </w:p>
    <w:p>
      <w:pPr>
        <w:ind w:left="1020" w:right="100" w:hanging="516"/>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Currency exchange rate fluctuations could result in our gear becoming relatively more expensive to our overseas customers or increase our manufacturing costs, each of which may seriously harm our business.</w:t>
      </w:r>
    </w:p>
    <w:p>
      <w:pPr>
        <w:spacing w:after="0" w:line="50" w:lineRule="exact"/>
        <w:rPr>
          <w:rFonts w:ascii="Arial" w:cs="Arial" w:eastAsia="Arial" w:hAnsi="Arial"/>
          <w:sz w:val="16"/>
          <w:szCs w:val="16"/>
          <w:color w:val="auto"/>
        </w:rPr>
      </w:pPr>
    </w:p>
    <w:p>
      <w:pPr>
        <w:ind w:left="1020" w:right="60" w:hanging="516"/>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unit shipments of our gear tend to be higher during the third and fourth quarters of the year. As a result, our sales are subject to seasonal fluctuations, which may seriously harm our business.</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coronavirus outbreak has had, and could continue to have, a materially disruptive effect on our business.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controlled by a single stockholder, whose interest in our business may be different than yours.</w:t>
      </w:r>
    </w:p>
    <w:p>
      <w:pPr>
        <w:spacing w:after="0" w:line="112" w:lineRule="exact"/>
        <w:rPr>
          <w:rFonts w:ascii="Arial" w:cs="Arial" w:eastAsia="Arial" w:hAnsi="Arial"/>
          <w:sz w:val="16"/>
          <w:szCs w:val="16"/>
          <w:color w:val="auto"/>
        </w:rPr>
      </w:pPr>
    </w:p>
    <w:p>
      <w:pPr>
        <w:ind w:left="1020" w:right="20" w:hanging="516"/>
        <w:spacing w:after="0" w:line="273"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16" w:lineRule="exact"/>
        <w:rPr>
          <w:sz w:val="20"/>
          <w:szCs w:val="20"/>
          <w:color w:val="auto"/>
        </w:rPr>
      </w:pPr>
    </w:p>
    <w:p>
      <w:pPr>
        <w:ind w:firstLine="511"/>
        <w:spacing w:after="0" w:line="281" w:lineRule="auto"/>
        <w:rPr>
          <w:sz w:val="20"/>
          <w:szCs w:val="20"/>
          <w:color w:val="auto"/>
        </w:rPr>
      </w:pPr>
      <w:r>
        <w:rPr>
          <w:rFonts w:ascii="Arial" w:cs="Arial" w:eastAsia="Arial" w:hAnsi="Arial"/>
          <w:sz w:val="15"/>
          <w:szCs w:val="15"/>
          <w:i w:val="1"/>
          <w:iCs w:val="1"/>
          <w:color w:val="auto"/>
        </w:rPr>
        <w:t>Our business involves significant risks, some of which are described below. You should consider carefully the risks and uncertainties described below, together with all of the other information contained in this Annual Report on Form 10-K such as “Management’s Discussion and Analysis of Financial Condition and Results of Operations” and our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Unless otherwise indicated, references to our business being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seriously harmed in these risk factors and elsewhere will include harm to our business, reputation, financial condition, results of operations, revenue and future prospects.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313" w:lineRule="exact"/>
        <w:rPr>
          <w:sz w:val="20"/>
          <w:szCs w:val="20"/>
          <w:color w:val="auto"/>
        </w:rPr>
      </w:pPr>
    </w:p>
    <w:p>
      <w:pPr>
        <w:ind w:left="500" w:right="260"/>
        <w:spacing w:after="0" w:line="289" w:lineRule="auto"/>
        <w:rPr>
          <w:sz w:val="20"/>
          <w:szCs w:val="20"/>
          <w:color w:val="auto"/>
        </w:rPr>
      </w:pPr>
      <w:r>
        <w:rPr>
          <w:rFonts w:ascii="Arial" w:cs="Arial" w:eastAsia="Arial" w:hAnsi="Arial"/>
          <w:sz w:val="16"/>
          <w:szCs w:val="16"/>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50" w:lineRule="exact"/>
        <w:rPr>
          <w:sz w:val="20"/>
          <w:szCs w:val="20"/>
          <w:color w:val="auto"/>
        </w:rPr>
      </w:pPr>
    </w:p>
    <w:p>
      <w:pPr>
        <w:ind w:right="100" w:firstLine="511"/>
        <w:spacing w:after="0" w:line="262" w:lineRule="auto"/>
        <w:rPr>
          <w:sz w:val="20"/>
          <w:szCs w:val="20"/>
          <w:color w:val="auto"/>
        </w:rPr>
      </w:pPr>
      <w:r>
        <w:rPr>
          <w:rFonts w:ascii="Arial" w:cs="Arial" w:eastAsia="Arial" w:hAnsi="Arial"/>
          <w:sz w:val="16"/>
          <w:szCs w:val="16"/>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73" w:lineRule="exact"/>
        <w:rPr>
          <w:sz w:val="20"/>
          <w:szCs w:val="20"/>
          <w:color w:val="auto"/>
        </w:rPr>
      </w:pPr>
    </w:p>
    <w:p>
      <w:pPr>
        <w:ind w:right="120" w:firstLine="511"/>
        <w:spacing w:after="0" w:line="273" w:lineRule="auto"/>
        <w:rPr>
          <w:sz w:val="20"/>
          <w:szCs w:val="20"/>
          <w:color w:val="auto"/>
        </w:rPr>
      </w:pPr>
      <w:r>
        <w:rPr>
          <w:rFonts w:ascii="Arial" w:cs="Arial" w:eastAsia="Arial" w:hAnsi="Arial"/>
          <w:sz w:val="16"/>
          <w:szCs w:val="16"/>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60" w:lineRule="exact"/>
        <w:rPr>
          <w:sz w:val="20"/>
          <w:szCs w:val="20"/>
          <w:color w:val="auto"/>
        </w:rPr>
      </w:pPr>
    </w:p>
    <w:p>
      <w:pPr>
        <w:ind w:left="500"/>
        <w:spacing w:after="0" w:line="289" w:lineRule="auto"/>
        <w:rPr>
          <w:sz w:val="20"/>
          <w:szCs w:val="20"/>
          <w:color w:val="auto"/>
        </w:rPr>
      </w:pPr>
      <w:r>
        <w:rPr>
          <w:rFonts w:ascii="Arial" w:cs="Arial" w:eastAsia="Arial" w:hAnsi="Arial"/>
          <w:sz w:val="16"/>
          <w:szCs w:val="16"/>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0" w:lineRule="exact"/>
        <w:rPr>
          <w:sz w:val="20"/>
          <w:szCs w:val="20"/>
          <w:color w:val="auto"/>
        </w:rPr>
      </w:pPr>
    </w:p>
    <w:p>
      <w:pPr>
        <w:ind w:right="200" w:firstLine="511"/>
        <w:spacing w:after="0" w:line="265" w:lineRule="auto"/>
        <w:rPr>
          <w:sz w:val="20"/>
          <w:szCs w:val="20"/>
          <w:color w:val="auto"/>
        </w:rPr>
      </w:pPr>
      <w:r>
        <w:rPr>
          <w:rFonts w:ascii="Arial" w:cs="Arial" w:eastAsia="Arial" w:hAnsi="Arial"/>
          <w:sz w:val="16"/>
          <w:szCs w:val="16"/>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69" w:lineRule="exact"/>
        <w:rPr>
          <w:sz w:val="20"/>
          <w:szCs w:val="20"/>
          <w:color w:val="auto"/>
        </w:rPr>
      </w:pPr>
    </w:p>
    <w:p>
      <w:pPr>
        <w:ind w:right="40" w:firstLine="511"/>
        <w:spacing w:after="0" w:line="302" w:lineRule="auto"/>
        <w:rPr>
          <w:sz w:val="20"/>
          <w:szCs w:val="20"/>
          <w:color w:val="auto"/>
        </w:rPr>
      </w:pPr>
      <w:r>
        <w:rPr>
          <w:rFonts w:ascii="Arial" w:cs="Arial" w:eastAsia="Arial" w:hAnsi="Arial"/>
          <w:sz w:val="14"/>
          <w:szCs w:val="14"/>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in the last 18 months, we entered into three large new markets, namely the microphones and cameras market for content creators and the gaming monitors market for both gamers and content creators, and in the future, we intend to introduce other gear designed to appeal to these markets.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45" w:lineRule="exact"/>
        <w:rPr>
          <w:sz w:val="20"/>
          <w:szCs w:val="20"/>
          <w:color w:val="auto"/>
        </w:rPr>
      </w:pPr>
    </w:p>
    <w:p>
      <w:pPr>
        <w:ind w:right="80" w:firstLine="511"/>
        <w:spacing w:after="0" w:line="263" w:lineRule="auto"/>
        <w:rPr>
          <w:sz w:val="20"/>
          <w:szCs w:val="20"/>
          <w:color w:val="auto"/>
        </w:rPr>
      </w:pPr>
      <w:r>
        <w:rPr>
          <w:rFonts w:ascii="Arial" w:cs="Arial" w:eastAsia="Arial" w:hAnsi="Arial"/>
          <w:sz w:val="16"/>
          <w:szCs w:val="16"/>
          <w:color w:val="auto"/>
        </w:rPr>
        <w:t>In addition, we implemented a work from home policy for many of our employees as a result of the COVID-19 coronavirus outbreak, which may have a substantial impact on attendance, morale and productivity, disrupt access to facilities, equipment, 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a substantial number of our employees continue to work from home, it could negatively impact new gear and improvements and potentially result in delays or releasing significant updates.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60" w:firstLine="511"/>
        <w:spacing w:after="0" w:line="268" w:lineRule="auto"/>
        <w:rPr>
          <w:sz w:val="20"/>
          <w:szCs w:val="20"/>
          <w:color w:val="auto"/>
        </w:rPr>
      </w:pPr>
      <w:r>
        <w:rPr>
          <w:rFonts w:ascii="Arial" w:cs="Arial" w:eastAsia="Arial" w:hAnsi="Arial"/>
          <w:sz w:val="16"/>
          <w:szCs w:val="16"/>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64" w:lineRule="exact"/>
        <w:rPr>
          <w:sz w:val="20"/>
          <w:szCs w:val="20"/>
          <w:color w:val="auto"/>
        </w:rPr>
      </w:pPr>
    </w:p>
    <w:p>
      <w:pPr>
        <w:jc w:val="both"/>
        <w:ind w:left="500" w:right="100"/>
        <w:spacing w:after="0" w:line="299" w:lineRule="auto"/>
        <w:rPr>
          <w:sz w:val="20"/>
          <w:szCs w:val="20"/>
          <w:color w:val="auto"/>
        </w:rPr>
      </w:pPr>
      <w:r>
        <w:rPr>
          <w:rFonts w:ascii="Arial" w:cs="Arial" w:eastAsia="Arial" w:hAnsi="Arial"/>
          <w:sz w:val="15"/>
          <w:szCs w:val="15"/>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if the rate at which those products are introduced declines, or if they are not readily available, it may seriously harm our business.</w:t>
      </w:r>
    </w:p>
    <w:p>
      <w:pPr>
        <w:spacing w:after="0" w:line="46"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whether such products are readily available at affordable prices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60" w:lineRule="exact"/>
        <w:rPr>
          <w:sz w:val="20"/>
          <w:szCs w:val="20"/>
          <w:color w:val="auto"/>
        </w:rPr>
      </w:pPr>
    </w:p>
    <w:p>
      <w:pPr>
        <w:ind w:right="100" w:firstLine="511"/>
        <w:spacing w:after="0" w:line="281" w:lineRule="auto"/>
        <w:rPr>
          <w:sz w:val="20"/>
          <w:szCs w:val="20"/>
          <w:color w:val="auto"/>
        </w:rPr>
      </w:pPr>
      <w:r>
        <w:rPr>
          <w:rFonts w:ascii="Arial" w:cs="Arial" w:eastAsia="Arial" w:hAnsi="Arial"/>
          <w:sz w:val="15"/>
          <w:szCs w:val="15"/>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60" w:lineRule="exact"/>
        <w:rPr>
          <w:sz w:val="20"/>
          <w:szCs w:val="20"/>
          <w:color w:val="auto"/>
        </w:rPr>
      </w:pPr>
    </w:p>
    <w:p>
      <w:pPr>
        <w:ind w:left="500" w:right="300"/>
        <w:spacing w:after="0" w:line="289" w:lineRule="auto"/>
        <w:rPr>
          <w:sz w:val="20"/>
          <w:szCs w:val="20"/>
          <w:color w:val="auto"/>
        </w:rPr>
      </w:pPr>
      <w:r>
        <w:rPr>
          <w:rFonts w:ascii="Arial" w:cs="Arial" w:eastAsia="Arial" w:hAnsi="Arial"/>
          <w:sz w:val="16"/>
          <w:szCs w:val="16"/>
          <w:b w:val="1"/>
          <w:bCs w:val="1"/>
          <w:i w:val="1"/>
          <w:iCs w:val="1"/>
          <w:color w:val="auto"/>
        </w:rPr>
        <w:t>We face intense competition, and if we do not compete effectively, we could lose market share, demand for our gear could decline and our business may be seriously harmed.</w:t>
      </w:r>
    </w:p>
    <w:p>
      <w:pPr>
        <w:spacing w:after="0" w:line="50" w:lineRule="exact"/>
        <w:rPr>
          <w:sz w:val="20"/>
          <w:szCs w:val="20"/>
          <w:color w:val="auto"/>
        </w:rPr>
      </w:pPr>
    </w:p>
    <w:p>
      <w:pPr>
        <w:ind w:right="60" w:firstLine="511"/>
        <w:spacing w:after="0" w:line="329" w:lineRule="auto"/>
        <w:rPr>
          <w:sz w:val="20"/>
          <w:szCs w:val="20"/>
          <w:color w:val="auto"/>
        </w:rPr>
      </w:pPr>
      <w:r>
        <w:rPr>
          <w:rFonts w:ascii="Arial" w:cs="Arial" w:eastAsia="Arial" w:hAnsi="Arial"/>
          <w:sz w:val="14"/>
          <w:szCs w:val="14"/>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27" w:lineRule="exact"/>
        <w:rPr>
          <w:sz w:val="20"/>
          <w:szCs w:val="20"/>
          <w:color w:val="auto"/>
        </w:rPr>
      </w:pPr>
    </w:p>
    <w:p>
      <w:pPr>
        <w:ind w:firstLine="511"/>
        <w:spacing w:after="0" w:line="308" w:lineRule="auto"/>
        <w:rPr>
          <w:sz w:val="20"/>
          <w:szCs w:val="20"/>
          <w:color w:val="auto"/>
        </w:rPr>
      </w:pPr>
      <w:r>
        <w:rPr>
          <w:rFonts w:ascii="Arial" w:cs="Arial" w:eastAsia="Arial" w:hAnsi="Arial"/>
          <w:sz w:val="14"/>
          <w:szCs w:val="14"/>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42" w:lineRule="exact"/>
        <w:rPr>
          <w:sz w:val="20"/>
          <w:szCs w:val="20"/>
          <w:color w:val="auto"/>
        </w:rPr>
      </w:pPr>
    </w:p>
    <w:p>
      <w:pPr>
        <w:ind w:right="20" w:firstLine="511"/>
        <w:spacing w:after="0" w:line="273" w:lineRule="auto"/>
        <w:rPr>
          <w:sz w:val="20"/>
          <w:szCs w:val="20"/>
          <w:color w:val="auto"/>
        </w:rPr>
      </w:pPr>
      <w:r>
        <w:rPr>
          <w:rFonts w:ascii="Arial" w:cs="Arial" w:eastAsia="Arial" w:hAnsi="Arial"/>
          <w:sz w:val="16"/>
          <w:szCs w:val="16"/>
          <w:i w:val="1"/>
          <w:iCs w:val="1"/>
          <w:color w:val="auto"/>
        </w:rPr>
        <w:t xml:space="preserve">Competitors in the gamer and creator peripherals market. </w:t>
      </w:r>
      <w:r>
        <w:rPr>
          <w:rFonts w:ascii="Arial" w:cs="Arial" w:eastAsia="Arial" w:hAnsi="Arial"/>
          <w:sz w:val="16"/>
          <w:szCs w:val="16"/>
          <w:color w:val="auto"/>
        </w:rPr>
        <w:t>Our primary competitors in the market for gaming keyboards and mice include Logitech and Razer. Our</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competitors in the market for headset and related audio products include Logitech, Razer and HP through its HyperX brand. Our primary competitors in the gamer and creator streaming gear market include Logitech,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following its acquisition of Blue Microphones, and AVerMedia. Our primary competitors in the performance controller market include Microsoft and Logitech.</w:t>
      </w:r>
    </w:p>
    <w:p>
      <w:pPr>
        <w:spacing w:after="0" w:line="211"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i w:val="1"/>
          <w:iCs w:val="1"/>
          <w:color w:val="auto"/>
        </w:rPr>
        <w:t xml:space="preserve">Competitors in the gaming components and systems market. </w:t>
      </w:r>
      <w:r>
        <w:rPr>
          <w:rFonts w:ascii="Arial" w:cs="Arial" w:eastAsia="Arial" w:hAnsi="Arial"/>
          <w:sz w:val="16"/>
          <w:szCs w:val="16"/>
          <w:color w:val="auto"/>
        </w:rPr>
        <w:t>Our primary competitors in the market for PSUs, cooling solutions and computer cases include Cooler</w:t>
      </w:r>
      <w:r>
        <w:rPr>
          <w:rFonts w:ascii="Arial" w:cs="Arial" w:eastAsia="Arial" w:hAnsi="Arial"/>
          <w:sz w:val="16"/>
          <w:szCs w:val="16"/>
          <w:i w:val="1"/>
          <w:iCs w:val="1"/>
          <w:color w:val="auto"/>
        </w:rPr>
        <w:t xml:space="preserve"> </w:t>
      </w:r>
      <w:r>
        <w:rPr>
          <w:rFonts w:ascii="Arial" w:cs="Arial" w:eastAsia="Arial" w:hAnsi="Arial"/>
          <w:sz w:val="16"/>
          <w:szCs w:val="16"/>
          <w:color w:val="auto"/>
        </w:rPr>
        <w:t>Master, NZXT, EVGA, Seasonic and Thermaltake. Our primary competitors in the market for DRAM modules include G.Skill, Kingston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65" w:lineRule="exact"/>
        <w:rPr>
          <w:sz w:val="20"/>
          <w:szCs w:val="20"/>
          <w:color w:val="auto"/>
        </w:rPr>
      </w:pPr>
    </w:p>
    <w:p>
      <w:pPr>
        <w:ind w:right="260" w:firstLine="511"/>
        <w:spacing w:after="0" w:line="273" w:lineRule="auto"/>
        <w:rPr>
          <w:sz w:val="20"/>
          <w:szCs w:val="20"/>
          <w:color w:val="auto"/>
        </w:rPr>
      </w:pPr>
      <w:r>
        <w:rPr>
          <w:rFonts w:ascii="Arial" w:cs="Arial" w:eastAsia="Arial" w:hAnsi="Arial"/>
          <w:sz w:val="16"/>
          <w:szCs w:val="16"/>
          <w:i w:val="1"/>
          <w:iCs w:val="1"/>
          <w:color w:val="auto"/>
        </w:rPr>
        <w:t>Competitors in new markets</w:t>
      </w:r>
      <w:r>
        <w:rPr>
          <w:rFonts w:ascii="Arial" w:cs="Arial" w:eastAsia="Arial" w:hAnsi="Arial"/>
          <w:sz w:val="16"/>
          <w:szCs w:val="16"/>
          <w:color w:val="auto"/>
        </w:rPr>
        <w:t>. We are considering introducing new gear for gamers or streamers and content creators and, to the extent we introduce gear in new</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62" w:lineRule="exact"/>
        <w:rPr>
          <w:sz w:val="20"/>
          <w:szCs w:val="20"/>
          <w:color w:val="auto"/>
        </w:rPr>
      </w:pPr>
    </w:p>
    <w:p>
      <w:pPr>
        <w:ind w:right="160" w:firstLine="511"/>
        <w:spacing w:after="0" w:line="268" w:lineRule="auto"/>
        <w:rPr>
          <w:sz w:val="20"/>
          <w:szCs w:val="20"/>
          <w:color w:val="auto"/>
        </w:rPr>
      </w:pPr>
      <w:r>
        <w:rPr>
          <w:rFonts w:ascii="Arial" w:cs="Arial" w:eastAsia="Arial" w:hAnsi="Arial"/>
          <w:sz w:val="16"/>
          <w:szCs w:val="16"/>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65"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gaming, including streaming and esports, does not grow as expected or declines our business could be seriously harmed.</w:t>
      </w:r>
    </w:p>
    <w:p>
      <w:pPr>
        <w:spacing w:after="0" w:line="112"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66" w:lineRule="exact"/>
        <w:rPr>
          <w:sz w:val="20"/>
          <w:szCs w:val="20"/>
          <w:color w:val="auto"/>
        </w:rPr>
      </w:pPr>
    </w:p>
    <w:p>
      <w:pPr>
        <w:ind w:left="1020" w:right="140" w:hanging="516"/>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 of growth of PCs and gaming consoles or the migration of gamers to mobile devices and tablets away from PCs, which historically have been the core focus of our business;</w:t>
      </w:r>
    </w:p>
    <w:p>
      <w:pPr>
        <w:spacing w:after="0" w:line="50" w:lineRule="exact"/>
        <w:rPr>
          <w:rFonts w:ascii="Arial" w:cs="Arial" w:eastAsia="Arial" w:hAnsi="Arial"/>
          <w:sz w:val="16"/>
          <w:szCs w:val="16"/>
          <w:color w:val="auto"/>
        </w:rPr>
      </w:pPr>
    </w:p>
    <w:p>
      <w:pPr>
        <w:ind w:left="1020" w:right="360" w:hanging="516"/>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continued growth of streaming, including its popularity among fans and aspiring content creators and how it impacts their desire to purchase high-performance gaming and streaming gear;</w:t>
      </w:r>
    </w:p>
    <w:p>
      <w:pPr>
        <w:spacing w:after="0" w:line="50" w:lineRule="exact"/>
        <w:rPr>
          <w:rFonts w:ascii="Arial" w:cs="Arial" w:eastAsia="Arial" w:hAnsi="Arial"/>
          <w:sz w:val="16"/>
          <w:szCs w:val="16"/>
          <w:color w:val="auto"/>
        </w:rPr>
      </w:pPr>
    </w:p>
    <w:p>
      <w:pPr>
        <w:ind w:left="1020" w:right="260" w:hanging="516"/>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continued growth of esports, including its increasing popularity among fans and amateur esports athletes and how it impacts their desire to purchase high-performance gaming gear;</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economic conditions, particularly economic conditions adversely affecting discretionary consumer spending;</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social perceptions of gaming, especially those related to the impact of gaming on health and social development;</w:t>
      </w:r>
    </w:p>
    <w:p>
      <w:pPr>
        <w:spacing w:after="0" w:line="112" w:lineRule="exact"/>
        <w:rPr>
          <w:rFonts w:ascii="Arial" w:cs="Arial" w:eastAsia="Arial" w:hAnsi="Arial"/>
          <w:sz w:val="16"/>
          <w:szCs w:val="16"/>
          <w:color w:val="auto"/>
        </w:rPr>
      </w:pPr>
    </w:p>
    <w:p>
      <w:pPr>
        <w:ind w:left="1020" w:right="280" w:hanging="516"/>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relative availability and popularity of other forms of entertainment; and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consumer demographics, tastes and preferences.</w:t>
      </w:r>
    </w:p>
    <w:p>
      <w:pPr>
        <w:spacing w:after="0" w:line="211" w:lineRule="exact"/>
        <w:rPr>
          <w:sz w:val="20"/>
          <w:szCs w:val="20"/>
          <w:color w:val="auto"/>
        </w:rPr>
      </w:pPr>
    </w:p>
    <w:p>
      <w:pPr>
        <w:ind w:right="220" w:firstLine="511"/>
        <w:spacing w:after="0" w:line="289" w:lineRule="auto"/>
        <w:rPr>
          <w:sz w:val="20"/>
          <w:szCs w:val="20"/>
          <w:color w:val="auto"/>
        </w:rPr>
      </w:pPr>
      <w:r>
        <w:rPr>
          <w:rFonts w:ascii="Arial" w:cs="Arial" w:eastAsia="Arial" w:hAnsi="Arial"/>
          <w:sz w:val="16"/>
          <w:szCs w:val="16"/>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49"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6"/>
          <w:szCs w:val="16"/>
          <w:color w:val="auto"/>
        </w:rPr>
        <w:t>While there were 2.6 billion mobile gamers in 2020, according to Newzoo, 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there can be no assurance that the active demographics in gaming will continue to buy into and drive the growth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48" w:lineRule="exact"/>
        <w:rPr>
          <w:sz w:val="20"/>
          <w:szCs w:val="20"/>
          <w:color w:val="auto"/>
        </w:rPr>
      </w:pPr>
    </w:p>
    <w:p>
      <w:pPr>
        <w:ind w:left="500" w:right="440"/>
        <w:spacing w:after="0" w:line="289" w:lineRule="auto"/>
        <w:rPr>
          <w:sz w:val="20"/>
          <w:szCs w:val="20"/>
          <w:color w:val="auto"/>
        </w:rPr>
      </w:pPr>
      <w:r>
        <w:rPr>
          <w:rFonts w:ascii="Arial" w:cs="Arial" w:eastAsia="Arial" w:hAnsi="Arial"/>
          <w:sz w:val="16"/>
          <w:szCs w:val="16"/>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50" w:lineRule="exact"/>
        <w:rPr>
          <w:sz w:val="20"/>
          <w:szCs w:val="20"/>
          <w:color w:val="auto"/>
        </w:rPr>
      </w:pPr>
    </w:p>
    <w:p>
      <w:pPr>
        <w:jc w:val="both"/>
        <w:ind w:firstLine="511"/>
        <w:spacing w:after="0" w:line="273" w:lineRule="auto"/>
        <w:rPr>
          <w:sz w:val="20"/>
          <w:szCs w:val="20"/>
          <w:color w:val="auto"/>
        </w:rPr>
      </w:pPr>
      <w:r>
        <w:rPr>
          <w:rFonts w:ascii="Arial" w:cs="Arial" w:eastAsia="Arial" w:hAnsi="Arial"/>
          <w:sz w:val="16"/>
          <w:szCs w:val="16"/>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63" w:lineRule="exact"/>
        <w:rPr>
          <w:sz w:val="20"/>
          <w:szCs w:val="20"/>
          <w:color w:val="auto"/>
        </w:rPr>
      </w:pPr>
    </w:p>
    <w:p>
      <w:pPr>
        <w:ind w:left="1020" w:hanging="516"/>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competitors marketing products that gain broader acceptance among game streamers, esports participants and content creators;</w:t>
      </w:r>
    </w:p>
    <w:p>
      <w:pPr>
        <w:spacing w:after="0" w:line="112" w:lineRule="exact"/>
        <w:rPr>
          <w:rFonts w:ascii="Arial" w:cs="Arial" w:eastAsia="Arial" w:hAnsi="Arial"/>
          <w:sz w:val="16"/>
          <w:szCs w:val="16"/>
          <w:color w:val="auto"/>
        </w:rPr>
      </w:pPr>
    </w:p>
    <w:p>
      <w:pPr>
        <w:ind w:left="1020" w:right="280" w:hanging="516"/>
        <w:spacing w:after="0" w:line="289"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esports amateurs and/or spectators not purchasing our gear that is utilized by esports athletes and teams or streamers and content creators, including the esports athletes and teams, and streamers we sponsor;</w:t>
      </w:r>
    </w:p>
    <w:p>
      <w:pPr>
        <w:spacing w:after="0" w:line="50" w:lineRule="exact"/>
        <w:rPr>
          <w:rFonts w:ascii="Arial" w:cs="Arial" w:eastAsia="Arial" w:hAnsi="Arial"/>
          <w:sz w:val="16"/>
          <w:szCs w:val="16"/>
          <w:color w:val="auto"/>
        </w:rPr>
      </w:pPr>
    </w:p>
    <w:p>
      <w:pPr>
        <w:ind w:left="1020" w:right="260" w:hanging="516"/>
        <w:spacing w:after="0" w:line="289"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popularity of esports games that do not utilize any of our gear, for example games that run on mobile devices or tablets that replace more traditional esports; and</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research and development and the gear we sell failing to satisfy the increasing high-performance requirements of competitive gamers or streamers.</w:t>
      </w:r>
    </w:p>
    <w:p>
      <w:pPr>
        <w:spacing w:after="0" w:line="222" w:lineRule="exact"/>
        <w:rPr>
          <w:sz w:val="20"/>
          <w:szCs w:val="20"/>
          <w:color w:val="auto"/>
        </w:rPr>
      </w:pPr>
    </w:p>
    <w:p>
      <w:pPr>
        <w:ind w:right="80" w:firstLine="511"/>
        <w:spacing w:after="0" w:line="289" w:lineRule="auto"/>
        <w:rPr>
          <w:sz w:val="20"/>
          <w:szCs w:val="20"/>
          <w:color w:val="auto"/>
        </w:rPr>
      </w:pPr>
      <w:r>
        <w:rPr>
          <w:rFonts w:ascii="Arial" w:cs="Arial" w:eastAsia="Arial" w:hAnsi="Arial"/>
          <w:sz w:val="16"/>
          <w:szCs w:val="16"/>
          <w:color w:val="auto"/>
        </w:rPr>
        <w:t>Further, there are a number of factors which could result in the growth in live game streaming or the esports markets stagnating, or even decreasing. These factors include:</w:t>
      </w:r>
    </w:p>
    <w:p>
      <w:pPr>
        <w:spacing w:after="0" w:line="50" w:lineRule="exact"/>
        <w:rPr>
          <w:sz w:val="20"/>
          <w:szCs w:val="20"/>
          <w:color w:val="auto"/>
        </w:rPr>
      </w:pPr>
    </w:p>
    <w:p>
      <w:pPr>
        <w:ind w:left="1020" w:hanging="516"/>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consumer interest in watching either live or streamed broadcasts of competitors playing video games diminishing or even disappearing;</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regulations limiting the broadcast of live streaming or esports;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reduced accessibility of streaming and other gaming video content, whether due to platform fragmentation, the erection of paywalls, or otherwise; and</w:t>
      </w:r>
    </w:p>
    <w:p>
      <w:pPr>
        <w:spacing w:after="0" w:line="123" w:lineRule="exact"/>
        <w:rPr>
          <w:rFonts w:ascii="Arial" w:cs="Arial" w:eastAsia="Arial" w:hAnsi="Arial"/>
          <w:sz w:val="15"/>
          <w:szCs w:val="15"/>
          <w:color w:val="auto"/>
        </w:rPr>
      </w:pPr>
    </w:p>
    <w:p>
      <w:pPr>
        <w:ind w:left="1020" w:hanging="516"/>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economics or monetization of esports performing below expectations, ultimately causing a decrease in outside investments in esports.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one or more of the above factors are realized, our business may be seriously harmed.</w:t>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lose or are unable to attract and retain key management, our ability to compete could be seriously harmed and our financial performance could suffer.</w:t>
      </w:r>
    </w:p>
    <w:p>
      <w:pPr>
        <w:spacing w:after="0" w:line="135" w:lineRule="exact"/>
        <w:rPr>
          <w:sz w:val="20"/>
          <w:szCs w:val="20"/>
          <w:color w:val="auto"/>
        </w:rPr>
      </w:pPr>
    </w:p>
    <w:p>
      <w:pPr>
        <w:jc w:val="both"/>
        <w:ind w:right="120" w:firstLine="511"/>
        <w:spacing w:after="0" w:line="268" w:lineRule="auto"/>
        <w:rPr>
          <w:sz w:val="20"/>
          <w:szCs w:val="20"/>
          <w:color w:val="auto"/>
        </w:rPr>
      </w:pPr>
      <w:r>
        <w:rPr>
          <w:rFonts w:ascii="Arial" w:cs="Arial" w:eastAsia="Arial" w:hAnsi="Arial"/>
          <w:sz w:val="16"/>
          <w:szCs w:val="16"/>
          <w:color w:val="auto"/>
        </w:rPr>
        <w:t>Our performance depends to a significant degree upon the contributions of our management team, particularly Andrew J. Paul, our co-founder,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64" w:lineRule="exact"/>
        <w:rPr>
          <w:sz w:val="20"/>
          <w:szCs w:val="20"/>
          <w:color w:val="auto"/>
        </w:rPr>
      </w:pPr>
    </w:p>
    <w:p>
      <w:pPr>
        <w:ind w:left="500" w:right="100"/>
        <w:spacing w:after="0" w:line="289" w:lineRule="auto"/>
        <w:rPr>
          <w:sz w:val="20"/>
          <w:szCs w:val="20"/>
          <w:color w:val="auto"/>
        </w:rPr>
      </w:pPr>
      <w:r>
        <w:rPr>
          <w:rFonts w:ascii="Arial" w:cs="Arial" w:eastAsia="Arial" w:hAnsi="Arial"/>
          <w:sz w:val="16"/>
          <w:szCs w:val="16"/>
          <w:b w:val="1"/>
          <w:bCs w:val="1"/>
          <w:i w:val="1"/>
          <w:iCs w:val="1"/>
          <w:color w:val="auto"/>
        </w:rPr>
        <w:t>We rely on highly skilled personnel and if we are unable to attract, retain or motivate key personnel or hire qualified personnel our business may be seriously harmed.</w:t>
      </w:r>
    </w:p>
    <w:p>
      <w:pPr>
        <w:spacing w:after="0" w:line="50" w:lineRule="exact"/>
        <w:rPr>
          <w:sz w:val="20"/>
          <w:szCs w:val="20"/>
          <w:color w:val="auto"/>
        </w:rPr>
      </w:pPr>
    </w:p>
    <w:p>
      <w:pPr>
        <w:ind w:right="20" w:firstLine="511"/>
        <w:spacing w:after="0" w:line="281" w:lineRule="auto"/>
        <w:rPr>
          <w:sz w:val="20"/>
          <w:szCs w:val="20"/>
          <w:color w:val="auto"/>
        </w:rPr>
      </w:pPr>
      <w:r>
        <w:rPr>
          <w:rFonts w:ascii="Arial" w:cs="Arial" w:eastAsia="Arial" w:hAnsi="Arial"/>
          <w:sz w:val="15"/>
          <w:szCs w:val="15"/>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difficult to hire. In addition, recent political and military events in Ukraine, poor relations between the United States and Russia, and sanctions by the United States and the European Union against Russia could have an adverse impact on our research and development efforts as we maintain significant research and development operations in Ukraine.</w:t>
      </w:r>
    </w:p>
    <w:p>
      <w:pPr>
        <w:spacing w:after="0" w:line="260" w:lineRule="exact"/>
        <w:rPr>
          <w:sz w:val="20"/>
          <w:szCs w:val="20"/>
          <w:color w:val="auto"/>
        </w:rPr>
      </w:pPr>
    </w:p>
    <w:p>
      <w:pPr>
        <w:ind w:left="500" w:right="220"/>
        <w:spacing w:after="0" w:line="289" w:lineRule="auto"/>
        <w:rPr>
          <w:sz w:val="20"/>
          <w:szCs w:val="20"/>
          <w:color w:val="auto"/>
        </w:rPr>
      </w:pPr>
      <w:r>
        <w:rPr>
          <w:rFonts w:ascii="Arial" w:cs="Arial" w:eastAsia="Arial" w:hAnsi="Arial"/>
          <w:sz w:val="16"/>
          <w:szCs w:val="16"/>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50" w:lineRule="exact"/>
        <w:rPr>
          <w:sz w:val="20"/>
          <w:szCs w:val="20"/>
          <w:color w:val="auto"/>
        </w:rPr>
      </w:pPr>
    </w:p>
    <w:p>
      <w:pPr>
        <w:ind w:right="80" w:firstLine="511"/>
        <w:spacing w:after="0" w:line="306" w:lineRule="auto"/>
        <w:rPr>
          <w:sz w:val="20"/>
          <w:szCs w:val="20"/>
          <w:color w:val="auto"/>
        </w:rPr>
      </w:pPr>
      <w:r>
        <w:rPr>
          <w:rFonts w:ascii="Arial" w:cs="Arial" w:eastAsia="Arial" w:hAnsi="Arial"/>
          <w:sz w:val="14"/>
          <w:szCs w:val="14"/>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41" w:lineRule="exact"/>
        <w:rPr>
          <w:sz w:val="20"/>
          <w:szCs w:val="20"/>
          <w:color w:val="auto"/>
        </w:rPr>
      </w:pPr>
    </w:p>
    <w:p>
      <w:pPr>
        <w:ind w:left="500" w:right="600"/>
        <w:spacing w:after="0" w:line="289" w:lineRule="auto"/>
        <w:rPr>
          <w:sz w:val="20"/>
          <w:szCs w:val="20"/>
          <w:color w:val="auto"/>
        </w:rPr>
      </w:pPr>
      <w:r>
        <w:rPr>
          <w:rFonts w:ascii="Arial" w:cs="Arial" w:eastAsia="Arial" w:hAnsi="Arial"/>
          <w:sz w:val="16"/>
          <w:szCs w:val="16"/>
          <w:b w:val="1"/>
          <w:bCs w:val="1"/>
          <w:i w:val="1"/>
          <w:iCs w:val="1"/>
          <w:color w:val="auto"/>
        </w:rPr>
        <w:t>Total unit shipments of our gear have historically been higher during the third and fourth quarters of the year. As a result, our sales may be subject to seasonal fluctuations, which may seriously harm our business.</w:t>
      </w:r>
    </w:p>
    <w:p>
      <w:pPr>
        <w:spacing w:after="0" w:line="5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As a result, our total unit shipments are subject to seasonal fluctuations, which may seriously harm our business.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Our results of operations are subject to substantial quarterly and annual fluctuations, which may adversely affect the market price of our common stock.</w:t>
      </w:r>
    </w:p>
    <w:p>
      <w:pPr>
        <w:spacing w:after="0" w:line="135"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73" w:lineRule="exact"/>
        <w:rPr>
          <w:sz w:val="20"/>
          <w:szCs w:val="20"/>
          <w:color w:val="auto"/>
        </w:rPr>
      </w:pPr>
    </w:p>
    <w:p>
      <w:pPr>
        <w:ind w:right="460" w:firstLine="511"/>
        <w:spacing w:after="0" w:line="289" w:lineRule="auto"/>
        <w:rPr>
          <w:sz w:val="20"/>
          <w:szCs w:val="20"/>
          <w:color w:val="auto"/>
        </w:rPr>
      </w:pPr>
      <w:r>
        <w:rPr>
          <w:rFonts w:ascii="Arial" w:cs="Arial" w:eastAsia="Arial" w:hAnsi="Arial"/>
          <w:sz w:val="16"/>
          <w:szCs w:val="16"/>
          <w:i w:val="1"/>
          <w:iCs w:val="1"/>
          <w:color w:val="auto"/>
        </w:rPr>
        <w:t>Factors affecting our business and markets</w:t>
      </w:r>
      <w:r>
        <w:rPr>
          <w:rFonts w:ascii="Arial" w:cs="Arial" w:eastAsia="Arial" w:hAnsi="Arial"/>
          <w:sz w:val="16"/>
          <w:szCs w:val="16"/>
          <w:color w:val="auto"/>
        </w:rPr>
        <w:t>. Our result of operations may be materially adversely affected by factors that directly affect our business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conditions in our markets, including the following:</w:t>
      </w:r>
    </w:p>
    <w:p>
      <w:pPr>
        <w:spacing w:after="0" w:line="50" w:lineRule="exact"/>
        <w:rPr>
          <w:sz w:val="20"/>
          <w:szCs w:val="20"/>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demand for our lower margin products relative to demand for our higher margin gear;</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introduction or enhancement of products by us and our competitors, and market acceptance of these new or enhanced products;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of significant retail customers, cancellations or reductions of orders and product returns;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average selling prices of and demand for our gear;</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 in demand for our gear due to our gear having higher price-points than products supplied by our competitors;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discounts and price reductions offered by our competitors;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delay, reduction or cessation of deliveries from one or more of the third parties that manufacture our gear;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costs or shortages of our gear or components used in our gear;</w:t>
      </w:r>
    </w:p>
    <w:p>
      <w:pPr>
        <w:spacing w:after="0" w:line="112" w:lineRule="exact"/>
        <w:rPr>
          <w:rFonts w:ascii="Arial" w:cs="Arial" w:eastAsia="Arial" w:hAnsi="Arial"/>
          <w:sz w:val="16"/>
          <w:szCs w:val="16"/>
          <w:color w:val="auto"/>
        </w:rPr>
      </w:pPr>
    </w:p>
    <w:p>
      <w:pPr>
        <w:ind w:left="1020" w:right="20" w:hanging="516"/>
        <w:spacing w:after="0" w:line="28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50" w:lineRule="exact"/>
        <w:rPr>
          <w:rFonts w:ascii="Arial" w:cs="Arial" w:eastAsia="Arial" w:hAnsi="Arial"/>
          <w:sz w:val="16"/>
          <w:szCs w:val="16"/>
          <w:color w:val="auto"/>
        </w:rPr>
      </w:pPr>
    </w:p>
    <w:p>
      <w:pPr>
        <w:ind w:left="1020" w:right="140" w:hanging="516"/>
        <w:spacing w:after="0" w:line="273"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62" w:lineRule="exact"/>
        <w:rPr>
          <w:rFonts w:ascii="Arial" w:cs="Arial" w:eastAsia="Arial" w:hAnsi="Arial"/>
          <w:sz w:val="16"/>
          <w:szCs w:val="16"/>
          <w:color w:val="auto"/>
        </w:rPr>
      </w:pPr>
    </w:p>
    <w:p>
      <w:pPr>
        <w:ind w:left="1020" w:hanging="516"/>
        <w:spacing w:after="0" w:line="273"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tensions between Russia and the Ukraine resulting in shipments of resources from these countries being delayed, or even ceasing, which could cause the GPU shortage to last longer as the production of GPUs require resources that come from these countries such as highly purified neon gas and palladium, of which Ukraine and Russia, respectively, are the world’s leading exporters;</w:t>
      </w:r>
    </w:p>
    <w:p>
      <w:pPr>
        <w:spacing w:after="0" w:line="62" w:lineRule="exact"/>
        <w:rPr>
          <w:rFonts w:ascii="Arial" w:cs="Arial" w:eastAsia="Arial" w:hAnsi="Arial"/>
          <w:sz w:val="16"/>
          <w:szCs w:val="16"/>
          <w:color w:val="auto"/>
        </w:rPr>
      </w:pPr>
    </w:p>
    <w:p>
      <w:pPr>
        <w:ind w:left="1020" w:right="140" w:hanging="516"/>
        <w:spacing w:after="0" w:line="28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changes in trade relations arising from policy initiatives implemented by the current U.S. administration, which has been critical of existing and proposed trade agreements;</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unexpected changes in laws, including tax and trade laws, and regulatory requirements;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or problems in our introduction of new gear;</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or problems in the shipment or delivery of gear to customers;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freight costs;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purchasing patterns by the distributors and retailers to which we sell our gear;</w:t>
      </w:r>
    </w:p>
    <w:p>
      <w:pPr>
        <w:spacing w:after="0" w:line="112" w:lineRule="exact"/>
        <w:rPr>
          <w:rFonts w:ascii="Arial" w:cs="Arial" w:eastAsia="Arial" w:hAnsi="Arial"/>
          <w:sz w:val="16"/>
          <w:szCs w:val="16"/>
          <w:color w:val="auto"/>
        </w:rPr>
      </w:pPr>
    </w:p>
    <w:p>
      <w:pPr>
        <w:ind w:left="1020" w:right="460" w:hanging="516"/>
        <w:spacing w:after="0" w:line="28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 electronics product purchasing patterns by our retail and distributor customers, as well as the gamers and streamers that purchase their gear directly from us;</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competitive pressures resulting in, among other things, lower selling prices or loss of market share; and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and adverse outcomes of litigation, governmental proceedings or any proceedings to protect our brand or other intellectual property.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General economic conditions</w:t>
      </w:r>
      <w:r>
        <w:rPr>
          <w:rFonts w:ascii="Arial" w:cs="Arial" w:eastAsia="Arial" w:hAnsi="Arial"/>
          <w:sz w:val="16"/>
          <w:szCs w:val="16"/>
          <w:color w:val="auto"/>
        </w:rPr>
        <w:t>. Our business may be materially adversely affected by factors relating to global, national and regional economies, including:</w:t>
      </w:r>
    </w:p>
    <w:p>
      <w:pPr>
        <w:spacing w:after="0" w:line="112" w:lineRule="exact"/>
        <w:rPr>
          <w:sz w:val="20"/>
          <w:szCs w:val="20"/>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uncertainty in economic conditions, either globally or in specific countries or regions;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currency exchange rates;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outbreaks of pandemics, such as the novel coronavirus;</w:t>
      </w:r>
    </w:p>
    <w:p>
      <w:pPr>
        <w:spacing w:after="0" w:line="112" w:lineRule="exact"/>
        <w:rPr>
          <w:rFonts w:ascii="Arial" w:cs="Arial" w:eastAsia="Arial" w:hAnsi="Arial"/>
          <w:sz w:val="16"/>
          <w:szCs w:val="16"/>
          <w:color w:val="auto"/>
        </w:rPr>
      </w:pPr>
    </w:p>
    <w:p>
      <w:pPr>
        <w:ind w:left="1020" w:right="240" w:hanging="516"/>
        <w:spacing w:after="0" w:line="273"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of political instability, natural disasters, war and/or events of terrorism, such as the tensions between Russia and Ukraine and any military conflict that may ensue, and the corresponding tensions created from such conflict between Russia, the United States and countries in Europe as well as other countries such as China;</w:t>
      </w:r>
    </w:p>
    <w:p>
      <w:pPr>
        <w:spacing w:after="0" w:line="62" w:lineRule="exact"/>
        <w:rPr>
          <w:rFonts w:ascii="Arial" w:cs="Arial" w:eastAsia="Arial" w:hAnsi="Arial"/>
          <w:sz w:val="16"/>
          <w:szCs w:val="16"/>
          <w:color w:val="auto"/>
        </w:rPr>
      </w:pPr>
    </w:p>
    <w:p>
      <w:pPr>
        <w:ind w:left="1020" w:right="140" w:hanging="516"/>
        <w:spacing w:after="0" w:line="289"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macro-economic fluctuations in the United States and global economies, including those that impact discretionary consumer spending such as may result from the COVID-19 coronavirus outbreak;</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business cycles that affect the markets in which we sell our gear; and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fluctuations in interest rates on consumer disposable income.</w:t>
      </w:r>
    </w:p>
    <w:p>
      <w:pPr>
        <w:spacing w:after="0" w:line="211" w:lineRule="exact"/>
        <w:rPr>
          <w:sz w:val="20"/>
          <w:szCs w:val="20"/>
          <w:color w:val="auto"/>
        </w:rPr>
      </w:pPr>
    </w:p>
    <w:p>
      <w:pPr>
        <w:ind w:right="220" w:firstLine="511"/>
        <w:spacing w:after="0" w:line="273" w:lineRule="auto"/>
        <w:rPr>
          <w:sz w:val="20"/>
          <w:szCs w:val="20"/>
          <w:color w:val="auto"/>
        </w:rPr>
      </w:pPr>
      <w:r>
        <w:rPr>
          <w:rFonts w:ascii="Arial" w:cs="Arial" w:eastAsia="Arial" w:hAnsi="Arial"/>
          <w:sz w:val="16"/>
          <w:szCs w:val="16"/>
          <w:i w:val="1"/>
          <w:iCs w:val="1"/>
          <w:color w:val="auto"/>
        </w:rPr>
        <w:t>Technological factors</w:t>
      </w:r>
      <w:r>
        <w:rPr>
          <w:rFonts w:ascii="Arial" w:cs="Arial" w:eastAsia="Arial" w:hAnsi="Arial"/>
          <w:sz w:val="16"/>
          <w:szCs w:val="16"/>
          <w:color w:val="auto"/>
        </w:rPr>
        <w:t>. In addition to technological developments directly relating to our gear, more generalized changes in technology may have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on our operating results. For example, our business could be seriously harmed by rapid, wholesale changes in technology in or affecting the markets in which we compete or widespread adoption of cloud computing.</w:t>
      </w:r>
    </w:p>
    <w:p>
      <w:pPr>
        <w:spacing w:after="0" w:line="162" w:lineRule="exact"/>
        <w:rPr>
          <w:sz w:val="20"/>
          <w:szCs w:val="20"/>
          <w:color w:val="auto"/>
        </w:rPr>
      </w:pPr>
    </w:p>
    <w:p>
      <w:pPr>
        <w:ind w:right="160" w:firstLine="511"/>
        <w:spacing w:after="0" w:line="299" w:lineRule="auto"/>
        <w:rPr>
          <w:sz w:val="20"/>
          <w:szCs w:val="20"/>
          <w:color w:val="auto"/>
        </w:rPr>
      </w:pPr>
      <w:r>
        <w:rPr>
          <w:rFonts w:ascii="Arial" w:cs="Arial" w:eastAsia="Arial" w:hAnsi="Arial"/>
          <w:sz w:val="15"/>
          <w:szCs w:val="15"/>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Cloud computing may seriously harm our business.</w:t>
      </w:r>
    </w:p>
    <w:p>
      <w:pPr>
        <w:spacing w:after="0" w:line="211" w:lineRule="exact"/>
        <w:rPr>
          <w:sz w:val="20"/>
          <w:szCs w:val="20"/>
          <w:color w:val="auto"/>
        </w:rPr>
      </w:pPr>
    </w:p>
    <w:p>
      <w:pPr>
        <w:ind w:right="80" w:firstLine="511"/>
        <w:spacing w:after="0" w:line="284" w:lineRule="auto"/>
        <w:rPr>
          <w:sz w:val="20"/>
          <w:szCs w:val="20"/>
          <w:color w:val="auto"/>
        </w:rPr>
      </w:pPr>
      <w:r>
        <w:rPr>
          <w:rFonts w:ascii="Arial" w:cs="Arial" w:eastAsia="Arial" w:hAnsi="Arial"/>
          <w:sz w:val="15"/>
          <w:szCs w:val="15"/>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Conditions in the retail and consumer electronics markets may significantly affect our business and could have an adverse effect on our net revenue.</w:t>
      </w:r>
    </w:p>
    <w:p>
      <w:pPr>
        <w:spacing w:after="0" w:line="124" w:lineRule="exact"/>
        <w:rPr>
          <w:sz w:val="20"/>
          <w:szCs w:val="20"/>
          <w:color w:val="auto"/>
        </w:rPr>
      </w:pPr>
    </w:p>
    <w:p>
      <w:pPr>
        <w:ind w:right="120" w:firstLine="511"/>
        <w:spacing w:after="0" w:line="265" w:lineRule="auto"/>
        <w:rPr>
          <w:sz w:val="20"/>
          <w:szCs w:val="20"/>
          <w:color w:val="auto"/>
        </w:rPr>
      </w:pPr>
      <w:r>
        <w:rPr>
          <w:rFonts w:ascii="Arial" w:cs="Arial" w:eastAsia="Arial" w:hAnsi="Arial"/>
          <w:sz w:val="16"/>
          <w:szCs w:val="16"/>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69"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negative effects on our business resulting from adverse economic conditions worldwide may include:</w:t>
      </w:r>
    </w:p>
    <w:p>
      <w:pPr>
        <w:spacing w:after="0" w:line="112" w:lineRule="exact"/>
        <w:rPr>
          <w:sz w:val="20"/>
          <w:szCs w:val="20"/>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costs for promotions, customer incentive programs and other initiatives used to stimulate demand;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risk of excess and obsolete inventories, which may require write-downs or impairment charges;</w:t>
      </w:r>
    </w:p>
    <w:p>
      <w:pPr>
        <w:spacing w:after="0" w:line="112" w:lineRule="exact"/>
        <w:rPr>
          <w:rFonts w:ascii="Arial" w:cs="Arial" w:eastAsia="Arial" w:hAnsi="Arial"/>
          <w:sz w:val="16"/>
          <w:szCs w:val="16"/>
          <w:color w:val="auto"/>
        </w:rPr>
      </w:pPr>
    </w:p>
    <w:p>
      <w:pPr>
        <w:ind w:left="1020" w:hanging="516"/>
        <w:spacing w:after="0" w:line="289"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distress or bankruptcy of key suppliers or third-party manufacturers, resulting in insufficient product quantities to meet demand or increases in the cost of producing our gear; and</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distress or bankruptcy of key distributors, resellers or retailers.</w:t>
      </w:r>
    </w:p>
    <w:p>
      <w:pPr>
        <w:spacing w:after="0" w:line="211" w:lineRule="exact"/>
        <w:rPr>
          <w:sz w:val="20"/>
          <w:szCs w:val="20"/>
          <w:color w:val="auto"/>
        </w:rPr>
      </w:pPr>
    </w:p>
    <w:p>
      <w:pPr>
        <w:ind w:right="360" w:firstLine="511"/>
        <w:spacing w:after="0" w:line="289" w:lineRule="auto"/>
        <w:rPr>
          <w:sz w:val="20"/>
          <w:szCs w:val="20"/>
          <w:color w:val="auto"/>
        </w:rPr>
      </w:pPr>
      <w:r>
        <w:rPr>
          <w:rFonts w:ascii="Arial" w:cs="Arial" w:eastAsia="Arial" w:hAnsi="Arial"/>
          <w:sz w:val="16"/>
          <w:szCs w:val="16"/>
          <w:color w:val="auto"/>
        </w:rPr>
        <w:t>Depressed economic conditions, whether in our key regional markets or globally, could result in a decline in both product prices and the demand for our gear, which may seriously harm our business.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Our sponsorship of individuals, teams and events within the gaming community is subject to numerous risks that may seriously harm our business.</w:t>
      </w:r>
    </w:p>
    <w:p>
      <w:pPr>
        <w:spacing w:after="0" w:line="124" w:lineRule="exact"/>
        <w:rPr>
          <w:sz w:val="20"/>
          <w:szCs w:val="20"/>
          <w:color w:val="auto"/>
        </w:rPr>
      </w:pPr>
    </w:p>
    <w:p>
      <w:pPr>
        <w:ind w:right="40" w:firstLine="511"/>
        <w:spacing w:after="0" w:line="262" w:lineRule="auto"/>
        <w:rPr>
          <w:sz w:val="20"/>
          <w:szCs w:val="20"/>
          <w:color w:val="auto"/>
        </w:rPr>
      </w:pPr>
      <w:r>
        <w:rPr>
          <w:rFonts w:ascii="Arial" w:cs="Arial" w:eastAsia="Arial" w:hAnsi="Arial"/>
          <w:sz w:val="16"/>
          <w:szCs w:val="16"/>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right="280"/>
        <w:spacing w:after="0" w:line="289" w:lineRule="auto"/>
        <w:rPr>
          <w:sz w:val="20"/>
          <w:szCs w:val="20"/>
          <w:color w:val="auto"/>
        </w:rPr>
      </w:pPr>
      <w:r>
        <w:rPr>
          <w:rFonts w:ascii="Arial" w:cs="Arial" w:eastAsia="Arial" w:hAnsi="Arial"/>
          <w:sz w:val="16"/>
          <w:szCs w:val="16"/>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5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63" w:lineRule="exact"/>
        <w:rPr>
          <w:sz w:val="20"/>
          <w:szCs w:val="20"/>
          <w:color w:val="auto"/>
        </w:rPr>
      </w:pPr>
    </w:p>
    <w:p>
      <w:pPr>
        <w:ind w:right="120" w:firstLine="511"/>
        <w:spacing w:after="0" w:line="306" w:lineRule="auto"/>
        <w:rPr>
          <w:sz w:val="20"/>
          <w:szCs w:val="20"/>
          <w:color w:val="auto"/>
        </w:rPr>
      </w:pPr>
      <w:r>
        <w:rPr>
          <w:rFonts w:ascii="Arial" w:cs="Arial" w:eastAsia="Arial" w:hAnsi="Arial"/>
          <w:sz w:val="14"/>
          <w:szCs w:val="14"/>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the most recent external market share data for the year ended December 31, 2021, DRAM IC manufacturers, Samsung, a manufacturer of DRAM ICs, had an approximately 43% share of the worldwide DRAM IC market, compared to approximately 28% for Hynix and approximately 23%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coronavirus outbreak has had, and could continue to have, a materially disruptive effect on our business.</w:t>
      </w:r>
    </w:p>
    <w:p>
      <w:pPr>
        <w:spacing w:after="0" w:line="211" w:lineRule="exact"/>
        <w:rPr>
          <w:sz w:val="20"/>
          <w:szCs w:val="20"/>
          <w:color w:val="auto"/>
        </w:rPr>
      </w:pPr>
    </w:p>
    <w:p>
      <w:pPr>
        <w:ind w:right="60" w:firstLine="511"/>
        <w:spacing w:after="0" w:line="265" w:lineRule="auto"/>
        <w:rPr>
          <w:sz w:val="20"/>
          <w:szCs w:val="20"/>
          <w:color w:val="auto"/>
        </w:rPr>
      </w:pPr>
      <w:r>
        <w:rPr>
          <w:rFonts w:ascii="Arial" w:cs="Arial" w:eastAsia="Arial" w:hAnsi="Arial"/>
          <w:sz w:val="16"/>
          <w:szCs w:val="16"/>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spread of COVID-19 has and could continue to seriously harm our business. Current and potential impacts include, but are not limited to, the following:</w:t>
      </w:r>
    </w:p>
    <w:p>
      <w:pPr>
        <w:spacing w:after="0" w:line="124" w:lineRule="exact"/>
        <w:rPr>
          <w:sz w:val="20"/>
          <w:szCs w:val="20"/>
          <w:color w:val="auto"/>
        </w:rPr>
      </w:pPr>
    </w:p>
    <w:p>
      <w:pPr>
        <w:ind w:left="1020" w:right="220" w:hanging="516"/>
        <w:spacing w:after="0" w:line="27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supply and transportation costs have increased, and may continue to increase, as alternate suppliers are sought;</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labor shortages within delivery and other industries due to extended worker absences could create further supply chain disruptions;</w:t>
      </w:r>
    </w:p>
    <w:p>
      <w:pPr>
        <w:spacing w:after="0" w:line="112" w:lineRule="exact"/>
        <w:rPr>
          <w:rFonts w:ascii="Arial" w:cs="Arial" w:eastAsia="Arial" w:hAnsi="Arial"/>
          <w:sz w:val="16"/>
          <w:szCs w:val="16"/>
          <w:color w:val="auto"/>
        </w:rPr>
      </w:pPr>
    </w:p>
    <w:p>
      <w:pPr>
        <w:ind w:left="1020" w:right="20" w:hanging="516"/>
        <w:spacing w:after="0" w:line="289"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foreign exchange rates could make our products less competitive in a price-sensitive environment for our non-US customers; and</w:t>
      </w:r>
    </w:p>
    <w:p>
      <w:pPr>
        <w:spacing w:after="0" w:line="112" w:lineRule="exact"/>
        <w:rPr>
          <w:rFonts w:ascii="Arial" w:cs="Arial" w:eastAsia="Arial" w:hAnsi="Arial"/>
          <w:sz w:val="16"/>
          <w:szCs w:val="16"/>
          <w:color w:val="auto"/>
        </w:rPr>
      </w:pPr>
    </w:p>
    <w:p>
      <w:pPr>
        <w:ind w:left="1020" w:right="100" w:hanging="516"/>
        <w:spacing w:after="0" w:line="289"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49"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Since early 2020, we have experienced some business disruptions due to COVID-19, including the stoppage in our factories in early 2020, disruption in our supply chain and increased distribution costs such as the elevated ocean freight costs we incurred in the second half of 2021, which led to increases in operating costs. As a result of the COVID-19 pandemic, we are continuing to experience logistics challenges globally. These negative financial impacts have been offset by strong revenue growth year-over-year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partly due to an increase in demand for our gear as more people are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and could continue to, result in shelter-in-place and other similar restrictions being eased. Such easing of restrictions likely has, and will continue to, result in consumers returning to other alternative forms of entertainment and interaction. This in turn has, and could continue to, result in a decline in demand for our products.</w:t>
      </w:r>
    </w:p>
    <w:p>
      <w:pPr>
        <w:spacing w:after="0" w:line="169"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The extent to which the COVID-19 outbreak, including the spread of more contagious and deadly variants, ultimately impacts our business, results of operations, cash flows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267" w:lineRule="exact"/>
        <w:rPr>
          <w:sz w:val="20"/>
          <w:szCs w:val="20"/>
          <w:color w:val="auto"/>
        </w:rPr>
      </w:pPr>
    </w:p>
    <w:p>
      <w:pPr>
        <w:ind w:left="500" w:right="380"/>
        <w:spacing w:after="0" w:line="289" w:lineRule="auto"/>
        <w:rPr>
          <w:sz w:val="20"/>
          <w:szCs w:val="20"/>
          <w:color w:val="auto"/>
        </w:rPr>
      </w:pPr>
      <w:r>
        <w:rPr>
          <w:rFonts w:ascii="Arial" w:cs="Arial" w:eastAsia="Arial" w:hAnsi="Arial"/>
          <w:sz w:val="16"/>
          <w:szCs w:val="16"/>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50"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A significant percentage of our net revenue is generated by sales of DRAM modules. In particular, net revenue generated by sales of DRAM modules accounted for a total of 28.5% and 32.9% of our net revenue in 2021 and 2020,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64" w:lineRule="exact"/>
        <w:rPr>
          <w:sz w:val="20"/>
          <w:szCs w:val="20"/>
          <w:color w:val="auto"/>
        </w:rPr>
      </w:pPr>
    </w:p>
    <w:p>
      <w:pPr>
        <w:ind w:left="500" w:right="340"/>
        <w:spacing w:after="0" w:line="289" w:lineRule="auto"/>
        <w:rPr>
          <w:sz w:val="20"/>
          <w:szCs w:val="20"/>
          <w:color w:val="auto"/>
        </w:rPr>
      </w:pPr>
      <w:r>
        <w:rPr>
          <w:rFonts w:ascii="Arial" w:cs="Arial" w:eastAsia="Arial" w:hAnsi="Arial"/>
          <w:sz w:val="16"/>
          <w:szCs w:val="16"/>
          <w:b w:val="1"/>
          <w:bCs w:val="1"/>
          <w:i w:val="1"/>
          <w:iCs w:val="1"/>
          <w:color w:val="auto"/>
        </w:rPr>
        <w:t>Sales to a limited number of customers represent a significant portion of our net revenue, and the loss of one or more of our key customers may seriously harm our business.</w:t>
      </w:r>
    </w:p>
    <w:p>
      <w:pPr>
        <w:spacing w:after="0" w:line="50"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In 2021 and 2020, sales to Amazon accounted for 26.7% and 24.6% of our net revenue, respectively. Sales to our ten largest customers accounted for 51.7% and 52.7% of the same periods, respectively, of our net revenue.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58" w:lineRule="exact"/>
        <w:rPr>
          <w:sz w:val="20"/>
          <w:szCs w:val="20"/>
          <w:color w:val="auto"/>
        </w:rPr>
      </w:pPr>
    </w:p>
    <w:p>
      <w:pPr>
        <w:jc w:val="both"/>
        <w:ind w:left="500" w:right="100"/>
        <w:spacing w:after="0" w:line="329" w:lineRule="auto"/>
        <w:rPr>
          <w:sz w:val="20"/>
          <w:szCs w:val="20"/>
          <w:color w:val="auto"/>
        </w:rPr>
      </w:pPr>
      <w:r>
        <w:rPr>
          <w:rFonts w:ascii="Arial" w:cs="Arial" w:eastAsia="Arial" w:hAnsi="Arial"/>
          <w:sz w:val="14"/>
          <w:szCs w:val="14"/>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29" w:lineRule="exact"/>
        <w:rPr>
          <w:sz w:val="20"/>
          <w:szCs w:val="20"/>
          <w:color w:val="auto"/>
        </w:rPr>
      </w:pPr>
    </w:p>
    <w:p>
      <w:pPr>
        <w:ind w:right="80" w:firstLine="511"/>
        <w:spacing w:after="0" w:line="262" w:lineRule="auto"/>
        <w:rPr>
          <w:sz w:val="20"/>
          <w:szCs w:val="20"/>
          <w:color w:val="auto"/>
        </w:rPr>
      </w:pPr>
      <w:r>
        <w:rPr>
          <w:rFonts w:ascii="Arial" w:cs="Arial" w:eastAsia="Arial" w:hAnsi="Arial"/>
          <w:sz w:val="16"/>
          <w:szCs w:val="16"/>
          <w:color w:val="auto"/>
        </w:rPr>
        <w:t>We maintain limited manufacturing facilities that only assemble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some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reliance upon a limited number of manufacturers and suppliers exposes us to numerous risks, including those described below.</w:t>
      </w:r>
    </w:p>
    <w:p>
      <w:pPr>
        <w:spacing w:after="0" w:line="211"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i w:val="1"/>
          <w:iCs w:val="1"/>
          <w:color w:val="auto"/>
        </w:rPr>
        <w:t xml:space="preserve">Risks relating to production and manufacturing. </w:t>
      </w:r>
      <w:r>
        <w:rPr>
          <w:rFonts w:ascii="Arial" w:cs="Arial" w:eastAsia="Arial" w:hAnsi="Arial"/>
          <w:sz w:val="16"/>
          <w:szCs w:val="16"/>
          <w:color w:val="auto"/>
        </w:rPr>
        <w:t>Our business could be seriously harmed if our manufacturers or suppliers ceased or reduced production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deliveries, raised prices, lengthened production or delivery times or changed other terms of sale. In particular, price increases by our manufacturers or suppliers could seriously harm our business if we are unable to pass those price increases along to our customers. Further,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such as the recent tensions between Russia and Ukraine.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74" w:lineRule="exact"/>
        <w:rPr>
          <w:sz w:val="20"/>
          <w:szCs w:val="20"/>
          <w:color w:val="auto"/>
        </w:rPr>
      </w:pPr>
    </w:p>
    <w:p>
      <w:pPr>
        <w:ind w:right="140" w:firstLine="511"/>
        <w:spacing w:after="0" w:line="273" w:lineRule="auto"/>
        <w:rPr>
          <w:sz w:val="20"/>
          <w:szCs w:val="20"/>
          <w:color w:val="auto"/>
        </w:rPr>
      </w:pPr>
      <w:r>
        <w:rPr>
          <w:rFonts w:ascii="Arial" w:cs="Arial" w:eastAsia="Arial" w:hAnsi="Arial"/>
          <w:sz w:val="16"/>
          <w:szCs w:val="16"/>
          <w:i w:val="1"/>
          <w:iCs w:val="1"/>
          <w:color w:val="auto"/>
        </w:rPr>
        <w:t>Risks relating to product quality</w:t>
      </w:r>
      <w:r>
        <w:rPr>
          <w:rFonts w:ascii="Arial" w:cs="Arial" w:eastAsia="Arial" w:hAnsi="Arial"/>
          <w:sz w:val="16"/>
          <w:szCs w:val="16"/>
          <w:color w:val="auto"/>
        </w:rPr>
        <w:t>. Our manufacturers or suppliers may provide us with products or components that do not perform reliably or do not meet our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62" w:lineRule="exact"/>
        <w:rPr>
          <w:sz w:val="20"/>
          <w:szCs w:val="20"/>
          <w:color w:val="auto"/>
        </w:rPr>
      </w:pPr>
    </w:p>
    <w:p>
      <w:pPr>
        <w:ind w:right="200" w:firstLine="511"/>
        <w:spacing w:after="0" w:line="291" w:lineRule="auto"/>
        <w:rPr>
          <w:sz w:val="20"/>
          <w:szCs w:val="20"/>
          <w:color w:val="auto"/>
        </w:rPr>
      </w:pPr>
      <w:r>
        <w:rPr>
          <w:rFonts w:ascii="Arial" w:cs="Arial" w:eastAsia="Arial" w:hAnsi="Arial"/>
          <w:sz w:val="15"/>
          <w:szCs w:val="15"/>
          <w:i w:val="1"/>
          <w:iCs w:val="1"/>
          <w:color w:val="auto"/>
        </w:rPr>
        <w:t xml:space="preserve">Risks relating to product and component shortages. </w:t>
      </w:r>
      <w:r>
        <w:rPr>
          <w:rFonts w:ascii="Arial" w:cs="Arial" w:eastAsia="Arial" w:hAnsi="Arial"/>
          <w:sz w:val="15"/>
          <w:szCs w:val="15"/>
          <w:color w:val="auto"/>
        </w:rPr>
        <w:t>From time to time we have experienced product shortages due to both disruptions in supply from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50" w:lineRule="exact"/>
        <w:rPr>
          <w:sz w:val="20"/>
          <w:szCs w:val="20"/>
          <w:color w:val="auto"/>
        </w:rPr>
      </w:pPr>
    </w:p>
    <w:p>
      <w:pPr>
        <w:ind w:right="140" w:firstLine="511"/>
        <w:spacing w:after="0" w:line="265" w:lineRule="auto"/>
        <w:rPr>
          <w:sz w:val="20"/>
          <w:szCs w:val="20"/>
          <w:color w:val="auto"/>
        </w:rPr>
      </w:pPr>
      <w:r>
        <w:rPr>
          <w:rFonts w:ascii="Arial" w:cs="Arial" w:eastAsia="Arial" w:hAnsi="Arial"/>
          <w:sz w:val="16"/>
          <w:szCs w:val="16"/>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67" w:lineRule="exact"/>
        <w:rPr>
          <w:sz w:val="20"/>
          <w:szCs w:val="20"/>
          <w:color w:val="auto"/>
        </w:rPr>
      </w:pPr>
    </w:p>
    <w:p>
      <w:pPr>
        <w:ind w:left="500" w:right="180"/>
        <w:spacing w:after="0" w:line="289" w:lineRule="auto"/>
        <w:rPr>
          <w:sz w:val="20"/>
          <w:szCs w:val="20"/>
          <w:color w:val="auto"/>
        </w:rPr>
      </w:pPr>
      <w:r>
        <w:rPr>
          <w:rFonts w:ascii="Arial" w:cs="Arial" w:eastAsia="Arial" w:hAnsi="Arial"/>
          <w:sz w:val="16"/>
          <w:szCs w:val="16"/>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50" w:lineRule="exact"/>
        <w:rPr>
          <w:sz w:val="20"/>
          <w:szCs w:val="20"/>
          <w:color w:val="auto"/>
        </w:rPr>
      </w:pPr>
    </w:p>
    <w:p>
      <w:pPr>
        <w:ind w:right="80" w:firstLine="511"/>
        <w:spacing w:after="0" w:line="284" w:lineRule="auto"/>
        <w:rPr>
          <w:sz w:val="20"/>
          <w:szCs w:val="20"/>
          <w:color w:val="auto"/>
        </w:rPr>
      </w:pPr>
      <w:r>
        <w:rPr>
          <w:rFonts w:ascii="Arial" w:cs="Arial" w:eastAsia="Arial" w:hAnsi="Arial"/>
          <w:sz w:val="15"/>
          <w:szCs w:val="15"/>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56" w:lineRule="exact"/>
        <w:rPr>
          <w:sz w:val="20"/>
          <w:szCs w:val="20"/>
          <w:color w:val="auto"/>
        </w:rPr>
      </w:pPr>
    </w:p>
    <w:p>
      <w:pPr>
        <w:ind w:left="500"/>
        <w:spacing w:after="0" w:line="365" w:lineRule="auto"/>
        <w:rPr>
          <w:sz w:val="20"/>
          <w:szCs w:val="20"/>
          <w:color w:val="auto"/>
        </w:rPr>
      </w:pPr>
      <w:r>
        <w:rPr>
          <w:rFonts w:ascii="Arial" w:cs="Arial" w:eastAsia="Arial" w:hAnsi="Arial"/>
          <w:sz w:val="14"/>
          <w:szCs w:val="14"/>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4" w:lineRule="exact"/>
        <w:rPr>
          <w:sz w:val="20"/>
          <w:szCs w:val="20"/>
          <w:color w:val="auto"/>
        </w:rPr>
      </w:pPr>
    </w:p>
    <w:p>
      <w:pPr>
        <w:ind w:right="220" w:firstLine="511"/>
        <w:spacing w:after="0" w:line="317" w:lineRule="auto"/>
        <w:rPr>
          <w:sz w:val="20"/>
          <w:szCs w:val="20"/>
          <w:color w:val="auto"/>
        </w:rPr>
      </w:pPr>
      <w:r>
        <w:rPr>
          <w:rFonts w:ascii="Arial" w:cs="Arial" w:eastAsia="Arial" w:hAnsi="Arial"/>
          <w:sz w:val="14"/>
          <w:szCs w:val="14"/>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259" w:lineRule="exact"/>
        <w:rPr>
          <w:sz w:val="20"/>
          <w:szCs w:val="20"/>
          <w:color w:val="auto"/>
        </w:rPr>
      </w:pPr>
    </w:p>
    <w:p>
      <w:pPr>
        <w:ind w:left="500" w:right="40"/>
        <w:spacing w:after="0" w:line="365" w:lineRule="auto"/>
        <w:rPr>
          <w:sz w:val="20"/>
          <w:szCs w:val="20"/>
          <w:color w:val="auto"/>
        </w:rPr>
      </w:pPr>
      <w:r>
        <w:rPr>
          <w:rFonts w:ascii="Arial" w:cs="Arial" w:eastAsia="Arial" w:hAnsi="Arial"/>
          <w:sz w:val="14"/>
          <w:szCs w:val="14"/>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4" w:lineRule="exact"/>
        <w:rPr>
          <w:sz w:val="20"/>
          <w:szCs w:val="20"/>
          <w:color w:val="auto"/>
        </w:rPr>
      </w:pPr>
    </w:p>
    <w:p>
      <w:pPr>
        <w:ind w:right="200" w:firstLine="511"/>
        <w:spacing w:after="0" w:line="287" w:lineRule="auto"/>
        <w:rPr>
          <w:sz w:val="20"/>
          <w:szCs w:val="20"/>
          <w:color w:val="auto"/>
        </w:rPr>
      </w:pPr>
      <w:r>
        <w:rPr>
          <w:rFonts w:ascii="Arial" w:cs="Arial" w:eastAsia="Arial" w:hAnsi="Arial"/>
          <w:sz w:val="15"/>
          <w:szCs w:val="15"/>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53" w:lineRule="exact"/>
        <w:rPr>
          <w:sz w:val="20"/>
          <w:szCs w:val="20"/>
          <w:color w:val="auto"/>
        </w:rPr>
      </w:pPr>
    </w:p>
    <w:p>
      <w:pPr>
        <w:ind w:right="100" w:firstLine="511"/>
        <w:spacing w:after="0" w:line="262" w:lineRule="auto"/>
        <w:rPr>
          <w:sz w:val="20"/>
          <w:szCs w:val="20"/>
          <w:color w:val="auto"/>
        </w:rPr>
      </w:pPr>
      <w:r>
        <w:rPr>
          <w:rFonts w:ascii="Arial" w:cs="Arial" w:eastAsia="Arial" w:hAnsi="Arial"/>
          <w:sz w:val="16"/>
          <w:szCs w:val="16"/>
          <w:color w:val="auto"/>
        </w:rPr>
        <w:t>We believe one of the most significant risks associated with this concentration is that production may be interrupted or limited because of labor shortages in southern China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risks resulting from this concentration of our manufacturing facilities and our suppliers in China, Taiwan and Southeast Asia include the following:</w:t>
      </w:r>
    </w:p>
    <w:p>
      <w:pPr>
        <w:spacing w:after="0" w:line="112" w:lineRule="exact"/>
        <w:rPr>
          <w:sz w:val="20"/>
          <w:szCs w:val="20"/>
          <w:color w:val="auto"/>
        </w:rPr>
      </w:pPr>
    </w:p>
    <w:p>
      <w:pPr>
        <w:ind w:left="1020" w:right="200" w:hanging="516"/>
        <w:spacing w:after="0" w:line="289"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interpretation and enforcement of China’s laws continues to evolve, which may make it more difficult for us to obtain a reliable supply of our gear at predictable costs;</w:t>
      </w:r>
    </w:p>
    <w:p>
      <w:pPr>
        <w:spacing w:after="0" w:line="50" w:lineRule="exact"/>
        <w:rPr>
          <w:rFonts w:ascii="Arial" w:cs="Arial" w:eastAsia="Arial" w:hAnsi="Arial"/>
          <w:sz w:val="16"/>
          <w:szCs w:val="16"/>
          <w:color w:val="auto"/>
        </w:rPr>
      </w:pPr>
    </w:p>
    <w:p>
      <w:pPr>
        <w:ind w:left="1020" w:right="460" w:hanging="516"/>
        <w:spacing w:after="0" w:line="289"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costs may be increased and deliveries of our gear may be decreased or delayed by trade restrictions; and</w:t>
      </w:r>
    </w:p>
    <w:p>
      <w:pPr>
        <w:spacing w:after="0" w:line="112" w:lineRule="exact"/>
        <w:rPr>
          <w:rFonts w:ascii="Arial" w:cs="Arial" w:eastAsia="Arial" w:hAnsi="Arial"/>
          <w:sz w:val="16"/>
          <w:szCs w:val="16"/>
          <w:color w:val="auto"/>
        </w:rPr>
      </w:pPr>
    </w:p>
    <w:p>
      <w:pPr>
        <w:ind w:left="1020" w:right="180" w:hanging="516"/>
        <w:spacing w:after="0" w:line="273"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62" w:lineRule="exact"/>
        <w:rPr>
          <w:sz w:val="20"/>
          <w:szCs w:val="20"/>
          <w:color w:val="auto"/>
        </w:rPr>
      </w:pPr>
    </w:p>
    <w:p>
      <w:pPr>
        <w:ind w:right="140" w:firstLine="511"/>
        <w:spacing w:after="0" w:line="329" w:lineRule="auto"/>
        <w:rPr>
          <w:sz w:val="20"/>
          <w:szCs w:val="20"/>
          <w:color w:val="auto"/>
        </w:rPr>
      </w:pPr>
      <w:r>
        <w:rPr>
          <w:rFonts w:ascii="Arial" w:cs="Arial" w:eastAsia="Arial" w:hAnsi="Arial"/>
          <w:sz w:val="14"/>
          <w:szCs w:val="14"/>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occurrence of any one or more of these risks may seriously harm our business.</w:t>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we do not successfully coordinate the worldwide manufacturing and distribution of our gear, we could lose sales.</w:t>
      </w:r>
    </w:p>
    <w:p>
      <w:pPr>
        <w:spacing w:after="0" w:line="112"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up in inventory, we may not be able to deliver sufficient quantities to meet customer demand and we could lose sales, each of which could seriously harm our business.</w:t>
      </w:r>
    </w:p>
    <w:p>
      <w:pPr>
        <w:spacing w:after="0" w:line="321" w:lineRule="exact"/>
        <w:rPr>
          <w:sz w:val="20"/>
          <w:szCs w:val="20"/>
          <w:color w:val="auto"/>
        </w:rPr>
      </w:pPr>
    </w:p>
    <w:p>
      <w:pPr>
        <w:ind w:left="500" w:right="560"/>
        <w:spacing w:after="0" w:line="324"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28"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76" w:lineRule="exact"/>
        <w:rPr>
          <w:sz w:val="20"/>
          <w:szCs w:val="20"/>
          <w:color w:val="auto"/>
        </w:rPr>
      </w:pPr>
    </w:p>
    <w:p>
      <w:pPr>
        <w:ind w:right="80" w:firstLine="511"/>
        <w:spacing w:after="0" w:line="268" w:lineRule="auto"/>
        <w:rPr>
          <w:sz w:val="20"/>
          <w:szCs w:val="20"/>
          <w:color w:val="auto"/>
        </w:rPr>
      </w:pPr>
      <w:r>
        <w:rPr>
          <w:rFonts w:ascii="Arial" w:cs="Arial" w:eastAsia="Arial" w:hAnsi="Arial"/>
          <w:sz w:val="16"/>
          <w:szCs w:val="16"/>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4" w:lineRule="exact"/>
        <w:rPr>
          <w:sz w:val="20"/>
          <w:szCs w:val="20"/>
          <w:color w:val="auto"/>
        </w:rPr>
      </w:pPr>
    </w:p>
    <w:p>
      <w:pPr>
        <w:ind w:left="500" w:right="200"/>
        <w:spacing w:after="0" w:line="289" w:lineRule="auto"/>
        <w:rPr>
          <w:sz w:val="20"/>
          <w:szCs w:val="20"/>
          <w:color w:val="auto"/>
        </w:rPr>
      </w:pPr>
      <w:r>
        <w:rPr>
          <w:rFonts w:ascii="Arial" w:cs="Arial" w:eastAsia="Arial" w:hAnsi="Arial"/>
          <w:sz w:val="16"/>
          <w:szCs w:val="16"/>
          <w:b w:val="1"/>
          <w:bCs w:val="1"/>
          <w:i w:val="1"/>
          <w:iCs w:val="1"/>
          <w:color w:val="auto"/>
        </w:rPr>
        <w:t>Our effective tax rate may increase in the future, including as a result of tax legislation changes, which may have a material adverse effect on our business, financial condition and results of operations.</w:t>
      </w:r>
    </w:p>
    <w:p>
      <w:pPr>
        <w:spacing w:after="0" w:line="50"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162" w:lineRule="exact"/>
        <w:rPr>
          <w:sz w:val="20"/>
          <w:szCs w:val="20"/>
          <w:color w:val="auto"/>
        </w:rPr>
      </w:pPr>
    </w:p>
    <w:p>
      <w:pPr>
        <w:jc w:val="both"/>
        <w:ind w:right="100" w:firstLine="511"/>
        <w:spacing w:after="0" w:line="268" w:lineRule="auto"/>
        <w:rPr>
          <w:sz w:val="20"/>
          <w:szCs w:val="20"/>
          <w:color w:val="auto"/>
        </w:rPr>
      </w:pPr>
      <w:r>
        <w:rPr>
          <w:rFonts w:ascii="Arial" w:cs="Arial" w:eastAsia="Arial" w:hAnsi="Arial"/>
          <w:sz w:val="16"/>
          <w:szCs w:val="16"/>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effective tax rate could also increase due to several factors, including:</w:t>
      </w:r>
    </w:p>
    <w:p>
      <w:pPr>
        <w:spacing w:after="0" w:line="112" w:lineRule="exact"/>
        <w:rPr>
          <w:sz w:val="20"/>
          <w:szCs w:val="20"/>
          <w:color w:val="auto"/>
        </w:rPr>
      </w:pPr>
    </w:p>
    <w:p>
      <w:pPr>
        <w:ind w:left="1020" w:hanging="516"/>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tax rates, tax treaties, and regulations or the interpretation of them;</w:t>
      </w:r>
    </w:p>
    <w:p>
      <w:pPr>
        <w:spacing w:after="0" w:line="112" w:lineRule="exact"/>
        <w:rPr>
          <w:rFonts w:ascii="Arial" w:cs="Arial" w:eastAsia="Arial" w:hAnsi="Arial"/>
          <w:sz w:val="16"/>
          <w:szCs w:val="16"/>
          <w:color w:val="auto"/>
        </w:rPr>
      </w:pPr>
    </w:p>
    <w:p>
      <w:pPr>
        <w:ind w:left="1020" w:right="160" w:hanging="516"/>
        <w:spacing w:after="0" w:line="289"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211" w:lineRule="exact"/>
        <w:rPr>
          <w:sz w:val="20"/>
          <w:szCs w:val="20"/>
          <w:color w:val="auto"/>
        </w:rPr>
      </w:pPr>
    </w:p>
    <w:p>
      <w:pPr>
        <w:ind w:right="140" w:firstLine="511"/>
        <w:spacing w:after="0" w:line="273" w:lineRule="auto"/>
        <w:rPr>
          <w:sz w:val="20"/>
          <w:szCs w:val="20"/>
          <w:color w:val="auto"/>
        </w:rPr>
      </w:pPr>
      <w:r>
        <w:rPr>
          <w:rFonts w:ascii="Arial" w:cs="Arial" w:eastAsia="Arial" w:hAnsi="Arial"/>
          <w:sz w:val="16"/>
          <w:szCs w:val="16"/>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ability to utilize our net operating losses, or NOLs, carryforwards and certain other tax attributes may be limited.</w:t>
      </w:r>
    </w:p>
    <w:p>
      <w:pPr>
        <w:spacing w:after="0" w:line="112" w:lineRule="exact"/>
        <w:rPr>
          <w:sz w:val="20"/>
          <w:szCs w:val="20"/>
          <w:color w:val="auto"/>
        </w:rPr>
      </w:pPr>
    </w:p>
    <w:p>
      <w:pPr>
        <w:ind w:right="40" w:firstLine="511"/>
        <w:spacing w:after="0" w:line="273" w:lineRule="auto"/>
        <w:rPr>
          <w:sz w:val="20"/>
          <w:szCs w:val="20"/>
          <w:color w:val="auto"/>
        </w:rPr>
      </w:pPr>
      <w:r>
        <w:rPr>
          <w:rFonts w:ascii="Arial" w:cs="Arial" w:eastAsia="Arial" w:hAnsi="Arial"/>
          <w:sz w:val="16"/>
          <w:szCs w:val="16"/>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62"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Technological developments or other changes in our industry could render our gear less competitive or obsolete, which may seriously harm our business.</w:t>
      </w:r>
    </w:p>
    <w:p>
      <w:pPr>
        <w:spacing w:after="0" w:line="135"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or to address other technological trends,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$60.3 million and $50.1 million for 2021 and 2020, respectively, representing 3.2% and 2.9% of our net revenue for these periods, respectively. Our failure to improve our gear, create new and relevant categories of gear and adapt to changing business models in a timely manner may seriously harm our business.</w:t>
      </w:r>
    </w:p>
    <w:p>
      <w:pPr>
        <w:spacing w:after="0" w:line="64" w:lineRule="exact"/>
        <w:rPr>
          <w:sz w:val="20"/>
          <w:szCs w:val="20"/>
          <w:color w:val="auto"/>
        </w:rPr>
      </w:pPr>
    </w:p>
    <w:p>
      <w:pPr>
        <w:ind w:right="60" w:firstLine="511"/>
        <w:spacing w:after="0" w:line="273" w:lineRule="auto"/>
        <w:rPr>
          <w:sz w:val="20"/>
          <w:szCs w:val="20"/>
          <w:color w:val="auto"/>
        </w:rPr>
      </w:pPr>
      <w:r>
        <w:rPr>
          <w:rFonts w:ascii="Arial" w:cs="Arial" w:eastAsia="Arial" w:hAnsi="Arial"/>
          <w:sz w:val="16"/>
          <w:szCs w:val="16"/>
          <w:color w:val="auto"/>
        </w:rPr>
        <w:t>In addition, recent political and military events in Ukraine, poor relations between the United States and Russia, and sanctions by the United States and the European Union against Russia could have an adverse impact on our research and development efforts as we maintain significant research and development operations in Ukraine.</w:t>
      </w:r>
    </w:p>
    <w:p>
      <w:pPr>
        <w:spacing w:after="0" w:line="260" w:lineRule="exact"/>
        <w:rPr>
          <w:sz w:val="20"/>
          <w:szCs w:val="20"/>
          <w:color w:val="auto"/>
        </w:rPr>
      </w:pPr>
    </w:p>
    <w:p>
      <w:pPr>
        <w:ind w:left="500" w:right="20"/>
        <w:spacing w:after="0" w:line="273" w:lineRule="auto"/>
        <w:rPr>
          <w:sz w:val="20"/>
          <w:szCs w:val="20"/>
          <w:color w:val="auto"/>
        </w:rPr>
      </w:pPr>
      <w:r>
        <w:rPr>
          <w:rFonts w:ascii="Arial" w:cs="Arial" w:eastAsia="Arial" w:hAnsi="Arial"/>
          <w:sz w:val="16"/>
          <w:szCs w:val="16"/>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63"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80" w:firstLine="511"/>
        <w:spacing w:after="0" w:line="268" w:lineRule="auto"/>
        <w:rPr>
          <w:sz w:val="20"/>
          <w:szCs w:val="20"/>
          <w:color w:val="auto"/>
        </w:rPr>
      </w:pPr>
      <w:r>
        <w:rPr>
          <w:rFonts w:ascii="Arial" w:cs="Arial" w:eastAsia="Arial" w:hAnsi="Arial"/>
          <w:sz w:val="16"/>
          <w:szCs w:val="16"/>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4" w:lineRule="exact"/>
        <w:rPr>
          <w:sz w:val="20"/>
          <w:szCs w:val="20"/>
          <w:color w:val="auto"/>
        </w:rPr>
      </w:pPr>
    </w:p>
    <w:p>
      <w:pPr>
        <w:ind w:left="500" w:right="180"/>
        <w:spacing w:after="0" w:line="289" w:lineRule="auto"/>
        <w:rPr>
          <w:sz w:val="20"/>
          <w:szCs w:val="20"/>
          <w:color w:val="auto"/>
        </w:rPr>
      </w:pPr>
      <w:r>
        <w:rPr>
          <w:rFonts w:ascii="Arial" w:cs="Arial" w:eastAsia="Arial" w:hAnsi="Arial"/>
          <w:sz w:val="16"/>
          <w:szCs w:val="16"/>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50" w:lineRule="exact"/>
        <w:rPr>
          <w:sz w:val="20"/>
          <w:szCs w:val="20"/>
          <w:color w:val="auto"/>
        </w:rPr>
      </w:pPr>
    </w:p>
    <w:p>
      <w:pPr>
        <w:jc w:val="both"/>
        <w:ind w:right="320" w:firstLine="511"/>
        <w:spacing w:after="0" w:line="273" w:lineRule="auto"/>
        <w:rPr>
          <w:sz w:val="20"/>
          <w:szCs w:val="20"/>
          <w:color w:val="auto"/>
        </w:rPr>
      </w:pPr>
      <w:r>
        <w:rPr>
          <w:rFonts w:ascii="Arial" w:cs="Arial" w:eastAsia="Arial" w:hAnsi="Arial"/>
          <w:sz w:val="16"/>
          <w:szCs w:val="16"/>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62"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6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addition, we provide a variety of rebates to both customers and gamers, including instant rebates, volume incentive rebates, back end rebates and mail-</w:t>
      </w:r>
    </w:p>
    <w:p>
      <w:pPr>
        <w:spacing w:after="0" w:line="25"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2021 and 2020, our gross revenue was reduced approximately by 8% and 6%, respectively, as a result of these rebates. In the future, we also may be required to write down inventory or receivables due to product obsolescence or because of declines in market prices of our gear. Any write-downs or offsets could seriously harm our business.</w:t>
      </w:r>
    </w:p>
    <w:p>
      <w:pPr>
        <w:spacing w:after="0" w:line="255" w:lineRule="exact"/>
        <w:rPr>
          <w:sz w:val="20"/>
          <w:szCs w:val="20"/>
          <w:color w:val="auto"/>
        </w:rPr>
      </w:pPr>
    </w:p>
    <w:p>
      <w:pPr>
        <w:ind w:left="500" w:right="60"/>
        <w:spacing w:after="0" w:line="289" w:lineRule="auto"/>
        <w:rPr>
          <w:sz w:val="20"/>
          <w:szCs w:val="20"/>
          <w:color w:val="auto"/>
        </w:rPr>
      </w:pPr>
      <w:r>
        <w:rPr>
          <w:rFonts w:ascii="Arial" w:cs="Arial" w:eastAsia="Arial" w:hAnsi="Arial"/>
          <w:sz w:val="16"/>
          <w:szCs w:val="16"/>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50"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72" w:lineRule="exact"/>
        <w:rPr>
          <w:sz w:val="20"/>
          <w:szCs w:val="20"/>
          <w:color w:val="auto"/>
        </w:rPr>
      </w:pPr>
    </w:p>
    <w:p>
      <w:pPr>
        <w:ind w:right="220" w:firstLine="511"/>
        <w:spacing w:after="0" w:line="289" w:lineRule="auto"/>
        <w:rPr>
          <w:sz w:val="20"/>
          <w:szCs w:val="20"/>
          <w:color w:val="auto"/>
        </w:rPr>
      </w:pPr>
      <w:r>
        <w:rPr>
          <w:rFonts w:ascii="Arial" w:cs="Arial" w:eastAsia="Arial" w:hAnsi="Arial"/>
          <w:sz w:val="16"/>
          <w:szCs w:val="16"/>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48" w:lineRule="exact"/>
        <w:rPr>
          <w:sz w:val="20"/>
          <w:szCs w:val="20"/>
          <w:color w:val="auto"/>
        </w:rPr>
      </w:pPr>
    </w:p>
    <w:p>
      <w:pPr>
        <w:ind w:left="500" w:right="140"/>
        <w:spacing w:after="0" w:line="289" w:lineRule="auto"/>
        <w:rPr>
          <w:sz w:val="20"/>
          <w:szCs w:val="20"/>
          <w:color w:val="auto"/>
        </w:rPr>
      </w:pPr>
      <w:r>
        <w:rPr>
          <w:rFonts w:ascii="Arial" w:cs="Arial" w:eastAsia="Arial" w:hAnsi="Arial"/>
          <w:sz w:val="16"/>
          <w:szCs w:val="16"/>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50" w:lineRule="exact"/>
        <w:rPr>
          <w:sz w:val="20"/>
          <w:szCs w:val="20"/>
          <w:color w:val="auto"/>
        </w:rPr>
      </w:pPr>
    </w:p>
    <w:p>
      <w:pPr>
        <w:ind w:right="20" w:firstLine="511"/>
        <w:spacing w:after="0" w:line="262" w:lineRule="auto"/>
        <w:rPr>
          <w:sz w:val="20"/>
          <w:szCs w:val="20"/>
          <w:color w:val="auto"/>
        </w:rPr>
      </w:pPr>
      <w:r>
        <w:rPr>
          <w:rFonts w:ascii="Arial" w:cs="Arial" w:eastAsia="Arial" w:hAnsi="Arial"/>
          <w:sz w:val="16"/>
          <w:szCs w:val="16"/>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right="260"/>
        <w:spacing w:after="0" w:line="289" w:lineRule="auto"/>
        <w:rPr>
          <w:sz w:val="20"/>
          <w:szCs w:val="20"/>
          <w:color w:val="auto"/>
        </w:rPr>
      </w:pPr>
      <w:r>
        <w:rPr>
          <w:rFonts w:ascii="Arial" w:cs="Arial" w:eastAsia="Arial" w:hAnsi="Arial"/>
          <w:sz w:val="16"/>
          <w:szCs w:val="16"/>
          <w:b w:val="1"/>
          <w:bCs w:val="1"/>
          <w:i w:val="1"/>
          <w:iCs w:val="1"/>
          <w:color w:val="auto"/>
        </w:rPr>
        <w:t>One of our strategies is to grow through acquisitions, which could result in operating difficulties, dilution to our stockholders and other seriously harmful consequences.</w:t>
      </w:r>
    </w:p>
    <w:p>
      <w:pPr>
        <w:spacing w:after="0" w:line="50" w:lineRule="exact"/>
        <w:rPr>
          <w:sz w:val="20"/>
          <w:szCs w:val="20"/>
          <w:color w:val="auto"/>
        </w:rPr>
      </w:pPr>
    </w:p>
    <w:p>
      <w:pPr>
        <w:ind w:firstLine="511"/>
        <w:spacing w:after="0" w:line="281" w:lineRule="auto"/>
        <w:rPr>
          <w:sz w:val="20"/>
          <w:szCs w:val="20"/>
          <w:color w:val="auto"/>
        </w:rPr>
      </w:pPr>
      <w:r>
        <w:rPr>
          <w:rFonts w:ascii="Arial" w:cs="Arial" w:eastAsia="Arial" w:hAnsi="Arial"/>
          <w:sz w:val="15"/>
          <w:szCs w:val="15"/>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61" w:lineRule="exact"/>
        <w:rPr>
          <w:sz w:val="20"/>
          <w:szCs w:val="20"/>
          <w:color w:val="auto"/>
        </w:rPr>
      </w:pPr>
    </w:p>
    <w:p>
      <w:pPr>
        <w:ind w:right="200" w:firstLine="511"/>
        <w:spacing w:after="0" w:line="265" w:lineRule="auto"/>
        <w:rPr>
          <w:sz w:val="20"/>
          <w:szCs w:val="20"/>
          <w:color w:val="auto"/>
        </w:rPr>
      </w:pPr>
      <w:r>
        <w:rPr>
          <w:rFonts w:ascii="Arial" w:cs="Arial" w:eastAsia="Arial" w:hAnsi="Arial"/>
          <w:sz w:val="16"/>
          <w:szCs w:val="16"/>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69" w:lineRule="exact"/>
        <w:rPr>
          <w:sz w:val="20"/>
          <w:szCs w:val="20"/>
          <w:color w:val="auto"/>
        </w:rPr>
      </w:pPr>
    </w:p>
    <w:p>
      <w:pPr>
        <w:jc w:val="both"/>
        <w:ind w:right="20" w:firstLine="511"/>
        <w:spacing w:after="0" w:line="273" w:lineRule="auto"/>
        <w:rPr>
          <w:sz w:val="20"/>
          <w:szCs w:val="20"/>
          <w:color w:val="auto"/>
        </w:rPr>
      </w:pPr>
      <w:r>
        <w:rPr>
          <w:rFonts w:ascii="Arial" w:cs="Arial" w:eastAsia="Arial" w:hAnsi="Arial"/>
          <w:sz w:val="16"/>
          <w:szCs w:val="16"/>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60" w:lineRule="exact"/>
        <w:rPr>
          <w:sz w:val="20"/>
          <w:szCs w:val="20"/>
          <w:color w:val="auto"/>
        </w:rPr>
      </w:pPr>
    </w:p>
    <w:p>
      <w:pPr>
        <w:ind w:left="500"/>
        <w:spacing w:after="0" w:line="329" w:lineRule="auto"/>
        <w:rPr>
          <w:sz w:val="20"/>
          <w:szCs w:val="20"/>
          <w:color w:val="auto"/>
        </w:rPr>
      </w:pPr>
      <w:r>
        <w:rPr>
          <w:rFonts w:ascii="Arial" w:cs="Arial" w:eastAsia="Arial" w:hAnsi="Arial"/>
          <w:sz w:val="14"/>
          <w:szCs w:val="14"/>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29" w:lineRule="exact"/>
        <w:rPr>
          <w:sz w:val="20"/>
          <w:szCs w:val="20"/>
          <w:color w:val="auto"/>
        </w:rPr>
      </w:pPr>
    </w:p>
    <w:p>
      <w:pPr>
        <w:ind w:right="60" w:firstLine="511"/>
        <w:spacing w:after="0" w:line="260" w:lineRule="auto"/>
        <w:rPr>
          <w:sz w:val="20"/>
          <w:szCs w:val="20"/>
          <w:color w:val="auto"/>
        </w:rPr>
      </w:pPr>
      <w:r>
        <w:rPr>
          <w:rFonts w:ascii="Arial" w:cs="Arial" w:eastAsia="Arial" w:hAnsi="Arial"/>
          <w:sz w:val="16"/>
          <w:szCs w:val="16"/>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3.0 to 1.0 or our Consolidated Interest Coverage Ratio being less than 3.0 to 1.0 (both tested quarterly on a trailing four fiscal quarter basis). As a result, such restrictions could limit, perhaps substantially, the amount of indebtedness we are permitted to borrow under other debt arrangements.</w:t>
      </w:r>
    </w:p>
    <w:p>
      <w:pPr>
        <w:spacing w:after="0" w:line="176"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67" w:lineRule="exact"/>
        <w:rPr>
          <w:sz w:val="20"/>
          <w:szCs w:val="20"/>
          <w:color w:val="auto"/>
        </w:rPr>
      </w:pPr>
    </w:p>
    <w:p>
      <w:pPr>
        <w:ind w:left="500" w:right="160"/>
        <w:spacing w:after="0" w:line="289" w:lineRule="auto"/>
        <w:rPr>
          <w:sz w:val="20"/>
          <w:szCs w:val="20"/>
          <w:color w:val="auto"/>
        </w:rPr>
      </w:pPr>
      <w:r>
        <w:rPr>
          <w:rFonts w:ascii="Arial" w:cs="Arial" w:eastAsia="Arial" w:hAnsi="Arial"/>
          <w:sz w:val="16"/>
          <w:szCs w:val="16"/>
          <w:b w:val="1"/>
          <w:bCs w:val="1"/>
          <w:i w:val="1"/>
          <w:iCs w:val="1"/>
          <w:color w:val="auto"/>
        </w:rPr>
        <w:t>Indebtedness and the terms of our credit facilities may impair our ability to respond to changing business and economic conditions and may seriously harm our business.</w:t>
      </w:r>
    </w:p>
    <w:p>
      <w:pPr>
        <w:spacing w:after="0" w:line="50"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We had $247.7 million of indebtedness as of December 31, 2021.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covenants. These covenants and restrictions, as well as any significant increase in our indebtedness, could adversely impact us for a number of reasons, including the following:</w:t>
      </w:r>
    </w:p>
    <w:p>
      <w:pPr>
        <w:spacing w:after="0" w:line="149" w:lineRule="exact"/>
        <w:rPr>
          <w:sz w:val="20"/>
          <w:szCs w:val="20"/>
          <w:color w:val="auto"/>
        </w:rPr>
      </w:pPr>
    </w:p>
    <w:p>
      <w:pPr>
        <w:ind w:right="240" w:firstLine="511"/>
        <w:spacing w:after="0" w:line="268" w:lineRule="auto"/>
        <w:rPr>
          <w:sz w:val="20"/>
          <w:szCs w:val="20"/>
          <w:color w:val="auto"/>
        </w:rPr>
      </w:pPr>
      <w:r>
        <w:rPr>
          <w:rFonts w:ascii="Arial" w:cs="Arial" w:eastAsia="Arial" w:hAnsi="Arial"/>
          <w:sz w:val="16"/>
          <w:szCs w:val="16"/>
          <w:i w:val="1"/>
          <w:iCs w:val="1"/>
          <w:color w:val="auto"/>
        </w:rPr>
        <w:t xml:space="preserve">Cash flow required to pay debt service. </w:t>
      </w:r>
      <w:r>
        <w:rPr>
          <w:rFonts w:ascii="Arial" w:cs="Arial" w:eastAsia="Arial" w:hAnsi="Arial"/>
          <w:sz w:val="16"/>
          <w:szCs w:val="16"/>
          <w:color w:val="auto"/>
        </w:rPr>
        <w:t>We may be required to dedicate a substantial portion of our available cash flow to debt service. This risk is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65"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i w:val="1"/>
          <w:iCs w:val="1"/>
          <w:color w:val="auto"/>
        </w:rPr>
        <w:t>Adverse effect of financial and other covenants</w:t>
      </w:r>
      <w:r>
        <w:rPr>
          <w:rFonts w:ascii="Arial" w:cs="Arial" w:eastAsia="Arial" w:hAnsi="Arial"/>
          <w:sz w:val="16"/>
          <w:szCs w:val="16"/>
          <w:color w:val="auto"/>
        </w:rPr>
        <w:t>. The covenants and other restrictions in our credit facilities and any debt instruments we may enter into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69"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i w:val="1"/>
          <w:iCs w:val="1"/>
          <w:color w:val="auto"/>
        </w:rPr>
        <w:t>Risks of default</w:t>
      </w:r>
      <w:r>
        <w:rPr>
          <w:rFonts w:ascii="Arial" w:cs="Arial" w:eastAsia="Arial" w:hAnsi="Arial"/>
          <w:sz w:val="15"/>
          <w:szCs w:val="15"/>
          <w:color w:val="auto"/>
        </w:rPr>
        <w:t>. If we breach or are unable to comply with a covenant or other agreement contained in a debt instrument, the lender generally has the right to</w:t>
      </w:r>
      <w:r>
        <w:rPr>
          <w:rFonts w:ascii="Arial" w:cs="Arial" w:eastAsia="Arial" w:hAnsi="Arial"/>
          <w:sz w:val="15"/>
          <w:szCs w:val="15"/>
          <w:i w:val="1"/>
          <w:iCs w:val="1"/>
          <w:color w:val="auto"/>
        </w:rPr>
        <w:t xml:space="preserve"> </w:t>
      </w:r>
      <w:r>
        <w:rPr>
          <w:rFonts w:ascii="Arial" w:cs="Arial" w:eastAsia="Arial" w:hAnsi="Arial"/>
          <w:sz w:val="15"/>
          <w:szCs w:val="15"/>
          <w:color w:val="auto"/>
        </w:rPr>
        <w:t>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shares of some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163"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i w:val="1"/>
          <w:iCs w:val="1"/>
          <w:color w:val="auto"/>
        </w:rPr>
        <w:t>Restrictions under our credit facilities</w:t>
      </w:r>
      <w:r>
        <w:rPr>
          <w:rFonts w:ascii="Arial" w:cs="Arial" w:eastAsia="Arial" w:hAnsi="Arial"/>
          <w:sz w:val="16"/>
          <w:szCs w:val="16"/>
          <w:color w:val="auto"/>
        </w:rPr>
        <w:t>. We must comply with covenants under our current credit facilities, which require the maintenance of a maximum</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Total Net Leverage Ratio of 3.0 to 1.0 and a Minimum Consolidated Interest Coverage Ratio of 3.0 to 1.0 (as defined in our credit facilities). Our Consolidated Total Net Leverage Ratio and Consolidated Interest Coverage Ratio were 1.1 to 1.0 and 11.5 to 1.0 as of December 31, 2021, respectively. While we were in compliance with all applicable financial covenants under our credit facilities as of December 31, 2021, there can be no assurance that we will not breach these financial covenants in our credit facilities in the future or other covenants in our future credit facilities.</w:t>
      </w:r>
    </w:p>
    <w:p>
      <w:pPr>
        <w:spacing w:after="0" w:line="70" w:lineRule="exact"/>
        <w:rPr>
          <w:sz w:val="20"/>
          <w:szCs w:val="20"/>
          <w:color w:val="auto"/>
        </w:rPr>
      </w:pPr>
    </w:p>
    <w:p>
      <w:pPr>
        <w:ind w:right="320" w:firstLine="511"/>
        <w:spacing w:after="0" w:line="265" w:lineRule="auto"/>
        <w:rPr>
          <w:sz w:val="20"/>
          <w:szCs w:val="20"/>
          <w:color w:val="auto"/>
        </w:rPr>
      </w:pPr>
      <w:r>
        <w:rPr>
          <w:rFonts w:ascii="Arial" w:cs="Arial" w:eastAsia="Arial" w:hAnsi="Arial"/>
          <w:sz w:val="16"/>
          <w:szCs w:val="16"/>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sentence, we are also prohibited from incurring indebtedness other than debt owed to the lenders under our credit facilities, debt associated with certain liens permitted by our credit facilities, certain subordinated debt and other specified exceptions. Our credit facilities also contain restrictions on our ability to pay dividends or make distributions in respect of our common stock or redemptions or repurchases of our common stock.</w:t>
      </w:r>
    </w:p>
    <w:p>
      <w:pPr>
        <w:spacing w:after="0" w:line="267" w:lineRule="exact"/>
        <w:rPr>
          <w:sz w:val="20"/>
          <w:szCs w:val="20"/>
          <w:color w:val="auto"/>
        </w:rPr>
      </w:pPr>
    </w:p>
    <w:p>
      <w:pPr>
        <w:ind w:left="500" w:right="200"/>
        <w:spacing w:after="0" w:line="289" w:lineRule="auto"/>
        <w:rPr>
          <w:sz w:val="20"/>
          <w:szCs w:val="20"/>
          <w:color w:val="auto"/>
        </w:rPr>
      </w:pPr>
      <w:r>
        <w:rPr>
          <w:rFonts w:ascii="Arial" w:cs="Arial" w:eastAsia="Arial" w:hAnsi="Arial"/>
          <w:sz w:val="16"/>
          <w:szCs w:val="16"/>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50" w:lineRule="exact"/>
        <w:rPr>
          <w:sz w:val="20"/>
          <w:szCs w:val="20"/>
          <w:color w:val="auto"/>
        </w:rPr>
      </w:pPr>
    </w:p>
    <w:p>
      <w:pPr>
        <w:jc w:val="both"/>
        <w:ind w:right="140" w:firstLine="511"/>
        <w:spacing w:after="0" w:line="273" w:lineRule="auto"/>
        <w:rPr>
          <w:sz w:val="20"/>
          <w:szCs w:val="20"/>
          <w:color w:val="auto"/>
        </w:rPr>
      </w:pPr>
      <w:r>
        <w:rPr>
          <w:rFonts w:ascii="Arial" w:cs="Arial" w:eastAsia="Arial" w:hAnsi="Arial"/>
          <w:sz w:val="16"/>
          <w:szCs w:val="16"/>
          <w:color w:val="auto"/>
        </w:rPr>
        <w:t>Sales to customers outside the United States accounted for 61.7% and 62.1% our net revenue for 2021 and 2020,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63" w:lineRule="exact"/>
        <w:rPr>
          <w:sz w:val="20"/>
          <w:szCs w:val="20"/>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and restrictions on the transfer of funds;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political and economic instability;</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problems with the transportation or delivery of our gear;</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issues arising from cultural or language differences and labor unrest;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longer payment cycles and greater difficulty in collecting accounts receivable;</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trade and technical standards in a variety of jurisdictions;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staffing and managing international operations, including the risks associated with fraud, theft and other illegal conduct;</w:t>
      </w:r>
    </w:p>
    <w:p>
      <w:pPr>
        <w:spacing w:after="0" w:line="112" w:lineRule="exact"/>
        <w:rPr>
          <w:rFonts w:ascii="Arial" w:cs="Arial" w:eastAsia="Arial" w:hAnsi="Arial"/>
          <w:sz w:val="16"/>
          <w:szCs w:val="16"/>
          <w:color w:val="auto"/>
        </w:rPr>
      </w:pPr>
    </w:p>
    <w:p>
      <w:pPr>
        <w:ind w:left="1020" w:right="140" w:hanging="516"/>
        <w:spacing w:after="0" w:line="289"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laws and regulations, including environmental, employment and tax laws, which vary from country to country and over time, increasing the costs of compliance and potential risks of non-compliance;</w:t>
      </w:r>
    </w:p>
    <w:p>
      <w:pPr>
        <w:spacing w:after="0" w:line="50" w:lineRule="exact"/>
        <w:rPr>
          <w:rFonts w:ascii="Arial" w:cs="Arial" w:eastAsia="Arial" w:hAnsi="Arial"/>
          <w:sz w:val="16"/>
          <w:szCs w:val="16"/>
          <w:color w:val="auto"/>
        </w:rPr>
      </w:pPr>
    </w:p>
    <w:p>
      <w:pPr>
        <w:ind w:left="1020" w:right="500" w:hanging="516"/>
        <w:spacing w:after="0" w:line="289"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50" w:lineRule="exact"/>
        <w:rPr>
          <w:rFonts w:ascii="Arial" w:cs="Arial" w:eastAsia="Arial" w:hAnsi="Arial"/>
          <w:sz w:val="16"/>
          <w:szCs w:val="16"/>
          <w:color w:val="auto"/>
        </w:rPr>
      </w:pPr>
    </w:p>
    <w:p>
      <w:pPr>
        <w:ind w:left="1020" w:hanging="516"/>
        <w:spacing w:after="0" w:line="273"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 or Russia and Ukraine, and the United States and Russia;</w:t>
      </w:r>
    </w:p>
    <w:p>
      <w:pPr>
        <w:spacing w:after="0" w:line="62" w:lineRule="exact"/>
        <w:rPr>
          <w:rFonts w:ascii="Arial" w:cs="Arial" w:eastAsia="Arial" w:hAnsi="Arial"/>
          <w:sz w:val="16"/>
          <w:szCs w:val="16"/>
          <w:color w:val="auto"/>
        </w:rPr>
      </w:pPr>
    </w:p>
    <w:p>
      <w:pPr>
        <w:ind w:left="1020" w:right="280" w:hanging="516"/>
        <w:spacing w:after="0" w:line="289"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United States and foreign trade restrictions, including those that may limit the importation of technology or components to or from various countries or impose tariffs or quotas;</w:t>
      </w:r>
    </w:p>
    <w:p>
      <w:pPr>
        <w:spacing w:after="0" w:line="50" w:lineRule="exact"/>
        <w:rPr>
          <w:rFonts w:ascii="Arial" w:cs="Arial" w:eastAsia="Arial" w:hAnsi="Arial"/>
          <w:sz w:val="16"/>
          <w:szCs w:val="16"/>
          <w:color w:val="auto"/>
        </w:rPr>
      </w:pPr>
    </w:p>
    <w:p>
      <w:pPr>
        <w:ind w:left="1020" w:right="140" w:hanging="516"/>
        <w:spacing w:after="0" w:line="289"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or increased costs in establishing sales and distribution channels in unfamiliar markets, with their own market characteristics and competition; and</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imposition of currency exchange controls or taxes that make it impracticable or costly to repatriate funds from foreign countries.</w:t>
      </w:r>
    </w:p>
    <w:p>
      <w:pPr>
        <w:spacing w:after="0" w:line="112" w:lineRule="exact"/>
        <w:rPr>
          <w:sz w:val="20"/>
          <w:szCs w:val="20"/>
          <w:color w:val="auto"/>
        </w:rPr>
      </w:pPr>
    </w:p>
    <w:p>
      <w:pPr>
        <w:ind w:firstLine="511"/>
        <w:spacing w:after="0" w:line="289" w:lineRule="auto"/>
        <w:rPr>
          <w:sz w:val="20"/>
          <w:szCs w:val="20"/>
          <w:color w:val="auto"/>
        </w:rPr>
      </w:pPr>
      <w:r>
        <w:rPr>
          <w:rFonts w:ascii="Arial" w:cs="Arial" w:eastAsia="Arial" w:hAnsi="Arial"/>
          <w:sz w:val="16"/>
          <w:szCs w:val="16"/>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48" w:lineRule="exact"/>
        <w:rPr>
          <w:sz w:val="20"/>
          <w:szCs w:val="20"/>
          <w:color w:val="auto"/>
        </w:rPr>
      </w:pPr>
    </w:p>
    <w:p>
      <w:pPr>
        <w:ind w:left="500" w:right="120"/>
        <w:spacing w:after="0" w:line="289" w:lineRule="auto"/>
        <w:rPr>
          <w:sz w:val="20"/>
          <w:szCs w:val="20"/>
          <w:color w:val="auto"/>
        </w:rPr>
      </w:pPr>
      <w:r>
        <w:rPr>
          <w:rFonts w:ascii="Arial" w:cs="Arial" w:eastAsia="Arial" w:hAnsi="Arial"/>
          <w:sz w:val="16"/>
          <w:szCs w:val="16"/>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50"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we recently discovered the exploitation by hackers of our subsidiary SCUF’s servers, which may have enabled such hackers to collect information provided by our customers, including payment card information, which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w:t>
      </w:r>
    </w:p>
    <w:p>
      <w:pPr>
        <w:spacing w:after="0" w:line="1"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61" w:lineRule="exact"/>
        <w:rPr>
          <w:sz w:val="20"/>
          <w:szCs w:val="20"/>
          <w:color w:val="auto"/>
        </w:rPr>
      </w:pPr>
    </w:p>
    <w:p>
      <w:pPr>
        <w:ind w:right="60" w:firstLine="511"/>
        <w:spacing w:after="0" w:line="284" w:lineRule="auto"/>
        <w:rPr>
          <w:sz w:val="20"/>
          <w:szCs w:val="20"/>
          <w:color w:val="auto"/>
        </w:rPr>
      </w:pPr>
      <w:r>
        <w:rPr>
          <w:rFonts w:ascii="Arial" w:cs="Arial" w:eastAsia="Arial" w:hAnsi="Arial"/>
          <w:sz w:val="15"/>
          <w:szCs w:val="15"/>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right="80"/>
        <w:spacing w:after="0" w:line="273" w:lineRule="auto"/>
        <w:rPr>
          <w:sz w:val="20"/>
          <w:szCs w:val="20"/>
          <w:color w:val="auto"/>
        </w:rPr>
      </w:pPr>
      <w:r>
        <w:rPr>
          <w:rFonts w:ascii="Arial" w:cs="Arial" w:eastAsia="Arial" w:hAnsi="Arial"/>
          <w:sz w:val="16"/>
          <w:szCs w:val="16"/>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63" w:lineRule="exact"/>
        <w:rPr>
          <w:sz w:val="20"/>
          <w:szCs w:val="20"/>
          <w:color w:val="auto"/>
        </w:rPr>
      </w:pPr>
    </w:p>
    <w:p>
      <w:pPr>
        <w:ind w:right="40" w:firstLine="511"/>
        <w:spacing w:after="0" w:line="262" w:lineRule="auto"/>
        <w:rPr>
          <w:sz w:val="20"/>
          <w:szCs w:val="20"/>
          <w:color w:val="auto"/>
        </w:rPr>
      </w:pPr>
      <w:r>
        <w:rPr>
          <w:rFonts w:ascii="Arial" w:cs="Arial" w:eastAsia="Arial" w:hAnsi="Arial"/>
          <w:sz w:val="16"/>
          <w:szCs w:val="16"/>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70" w:lineRule="exact"/>
        <w:rPr>
          <w:sz w:val="20"/>
          <w:szCs w:val="20"/>
          <w:color w:val="auto"/>
        </w:rPr>
      </w:pPr>
    </w:p>
    <w:p>
      <w:pPr>
        <w:ind w:right="160" w:firstLine="511"/>
        <w:spacing w:after="0" w:line="268" w:lineRule="auto"/>
        <w:rPr>
          <w:sz w:val="20"/>
          <w:szCs w:val="20"/>
          <w:color w:val="auto"/>
        </w:rPr>
      </w:pPr>
      <w:r>
        <w:rPr>
          <w:rFonts w:ascii="Arial" w:cs="Arial" w:eastAsia="Arial" w:hAnsi="Arial"/>
          <w:sz w:val="16"/>
          <w:szCs w:val="16"/>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65" w:lineRule="exact"/>
        <w:rPr>
          <w:sz w:val="20"/>
          <w:szCs w:val="20"/>
          <w:color w:val="auto"/>
        </w:rPr>
      </w:pPr>
    </w:p>
    <w:p>
      <w:pPr>
        <w:ind w:firstLine="511"/>
        <w:spacing w:after="0" w:line="262" w:lineRule="auto"/>
        <w:rPr>
          <w:sz w:val="20"/>
          <w:szCs w:val="20"/>
          <w:color w:val="auto"/>
        </w:rPr>
      </w:pPr>
      <w:r>
        <w:rPr>
          <w:rFonts w:ascii="Arial" w:cs="Arial" w:eastAsia="Arial" w:hAnsi="Arial"/>
          <w:sz w:val="16"/>
          <w:szCs w:val="16"/>
          <w:color w:val="auto"/>
        </w:rPr>
        <w:t>We are also subject to payment card association operating rules, certification requirements and rules governing electronic funds transfers, including the Payment Card Industry Data Security Standard, or PCI DSS,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 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73" w:lineRule="exact"/>
        <w:rPr>
          <w:sz w:val="20"/>
          <w:szCs w:val="20"/>
          <w:color w:val="auto"/>
        </w:rPr>
      </w:pPr>
    </w:p>
    <w:p>
      <w:pPr>
        <w:ind w:right="100" w:firstLine="511"/>
        <w:spacing w:after="0" w:line="268" w:lineRule="auto"/>
        <w:rPr>
          <w:sz w:val="20"/>
          <w:szCs w:val="20"/>
          <w:color w:val="auto"/>
        </w:rPr>
      </w:pPr>
      <w:r>
        <w:rPr>
          <w:rFonts w:ascii="Arial" w:cs="Arial" w:eastAsia="Arial" w:hAnsi="Arial"/>
          <w:sz w:val="16"/>
          <w:szCs w:val="16"/>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64" w:lineRule="exact"/>
        <w:rPr>
          <w:sz w:val="20"/>
          <w:szCs w:val="20"/>
          <w:color w:val="auto"/>
        </w:rPr>
      </w:pPr>
    </w:p>
    <w:p>
      <w:pPr>
        <w:ind w:left="500" w:right="560"/>
        <w:spacing w:after="0" w:line="289" w:lineRule="auto"/>
        <w:rPr>
          <w:sz w:val="20"/>
          <w:szCs w:val="20"/>
          <w:color w:val="auto"/>
        </w:rPr>
      </w:pPr>
      <w:r>
        <w:rPr>
          <w:rFonts w:ascii="Arial" w:cs="Arial" w:eastAsia="Arial" w:hAnsi="Arial"/>
          <w:sz w:val="16"/>
          <w:szCs w:val="16"/>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50" w:lineRule="exact"/>
        <w:rPr>
          <w:sz w:val="20"/>
          <w:szCs w:val="20"/>
          <w:color w:val="auto"/>
        </w:rPr>
      </w:pPr>
    </w:p>
    <w:p>
      <w:pPr>
        <w:ind w:right="60" w:firstLine="511"/>
        <w:spacing w:after="0" w:line="265" w:lineRule="auto"/>
        <w:rPr>
          <w:sz w:val="20"/>
          <w:szCs w:val="20"/>
          <w:color w:val="auto"/>
        </w:rPr>
      </w:pPr>
      <w:r>
        <w:rPr>
          <w:rFonts w:ascii="Arial" w:cs="Arial" w:eastAsia="Arial" w:hAnsi="Arial"/>
          <w:sz w:val="16"/>
          <w:szCs w:val="16"/>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69" w:lineRule="exact"/>
        <w:rPr>
          <w:sz w:val="20"/>
          <w:szCs w:val="20"/>
          <w:color w:val="auto"/>
        </w:rPr>
      </w:pPr>
    </w:p>
    <w:p>
      <w:pPr>
        <w:ind w:right="20" w:firstLine="511"/>
        <w:spacing w:after="0" w:line="280" w:lineRule="auto"/>
        <w:rPr>
          <w:sz w:val="20"/>
          <w:szCs w:val="20"/>
          <w:color w:val="auto"/>
        </w:rPr>
      </w:pPr>
      <w:r>
        <w:rPr>
          <w:rFonts w:ascii="Arial" w:cs="Arial" w:eastAsia="Arial" w:hAnsi="Arial"/>
          <w:sz w:val="15"/>
          <w:szCs w:val="15"/>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European Union member states may make their own additional laws and regulations in relation to certain data processing activities, which could limit our ability to use and share personal data or could require localized changes to our operating model. Under the GDPR, fines of up 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ind w:right="220" w:firstLine="511"/>
        <w:spacing w:after="0" w:line="273" w:lineRule="auto"/>
        <w:rPr>
          <w:sz w:val="20"/>
          <w:szCs w:val="20"/>
          <w:color w:val="auto"/>
        </w:rPr>
      </w:pPr>
      <w:r>
        <w:rPr>
          <w:rFonts w:ascii="Arial" w:cs="Arial" w:eastAsia="Arial" w:hAnsi="Arial"/>
          <w:sz w:val="16"/>
          <w:szCs w:val="16"/>
          <w:color w:val="auto"/>
        </w:rPr>
        <w:t>Further, the United Kingdom’s decision to leave the European Union, often referred to as Brexit, means that from January 1, 2021, we are subject to the GDPR and also the UK GDPR, which, together with the amended UK Data Protection Act 2018, retains the GDPR in UK national law. The UK GDPR mirrors the fines under the GDPR, e.g. fines up to the greater of €20 million / £17.5 million or 4% of global turnover.</w:t>
      </w:r>
    </w:p>
    <w:p>
      <w:pPr>
        <w:spacing w:after="0" w:line="162" w:lineRule="exact"/>
        <w:rPr>
          <w:sz w:val="20"/>
          <w:szCs w:val="20"/>
          <w:color w:val="auto"/>
        </w:rPr>
      </w:pPr>
    </w:p>
    <w:p>
      <w:pPr>
        <w:ind w:right="60" w:firstLine="511"/>
        <w:spacing w:after="0" w:line="278" w:lineRule="auto"/>
        <w:rPr>
          <w:sz w:val="20"/>
          <w:szCs w:val="20"/>
          <w:color w:val="auto"/>
        </w:rPr>
      </w:pPr>
      <w:r>
        <w:rPr>
          <w:rFonts w:ascii="Arial" w:cs="Arial" w:eastAsia="Arial" w:hAnsi="Arial"/>
          <w:sz w:val="15"/>
          <w:szCs w:val="15"/>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or the United Kingdom to the United States could result in further limitations on the ability to transfer personal data across borders, particularly if governments are unable or unwilling to reach new or maintain existing agreements that support cross-border data transfers. Specifically, on July 16, 2020, the Court of Justice of the European Union invalidated Decision 2016/1250 on the adequacy of the protection provided by the EU-U.S. Privacy Shield Framework and guidance following the Decision requires risk assessments to be conducted and, in many cases additional safeguards to be implemented to transfer data under the standard contractual clauses. These recent developments will require us to review and amend the legal mechanisms by which we make and/ or receive personal data transfers to/ in the U.S. At present, there are few if any viable alternatives to the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6"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We are also subject to evolving European Union and United Kingdom privacy laws on cookies, tracking technologies and e-marketing. In the European Union and the United Kingdom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The current national laws that implement the ePrivacy Directive are highly likely to be replaced across the European Union (but not directly in the United Kingdom) by an European Union regulation known as the ePrivacy Regulation which will significantly increase fines for non-compliance. While the text of the ePrivacy Regulation is still under development, recent European court decisions and regulators’ recent guidance are driving increased attention to cookies and tracking technologies.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63"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73" w:lineRule="exact"/>
        <w:rPr>
          <w:sz w:val="20"/>
          <w:szCs w:val="20"/>
          <w:color w:val="auto"/>
        </w:rPr>
      </w:pPr>
    </w:p>
    <w:p>
      <w:pPr>
        <w:ind w:firstLine="511"/>
        <w:spacing w:after="0" w:line="262" w:lineRule="auto"/>
        <w:rPr>
          <w:sz w:val="20"/>
          <w:szCs w:val="20"/>
          <w:color w:val="auto"/>
        </w:rPr>
      </w:pPr>
      <w:r>
        <w:rPr>
          <w:rFonts w:ascii="Arial" w:cs="Arial" w:eastAsia="Arial" w:hAnsi="Arial"/>
          <w:sz w:val="16"/>
          <w:szCs w:val="16"/>
          <w:color w:val="auto"/>
        </w:rPr>
        <w:t>Further,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significant liability and expense as well as regulatory action and lawsuits, which would harm our business, operating results and financial condition.</w:t>
      </w:r>
    </w:p>
    <w:p>
      <w:pPr>
        <w:spacing w:after="0" w:line="211" w:lineRule="exact"/>
        <w:rPr>
          <w:sz w:val="20"/>
          <w:szCs w:val="20"/>
          <w:color w:val="auto"/>
        </w:rPr>
      </w:pPr>
    </w:p>
    <w:p>
      <w:pPr>
        <w:ind w:right="20" w:firstLine="511"/>
        <w:spacing w:after="0" w:line="284" w:lineRule="auto"/>
        <w:rPr>
          <w:sz w:val="20"/>
          <w:szCs w:val="20"/>
          <w:color w:val="auto"/>
        </w:rPr>
      </w:pPr>
      <w:r>
        <w:rPr>
          <w:rFonts w:ascii="Arial" w:cs="Arial" w:eastAsia="Arial" w:hAnsi="Arial"/>
          <w:sz w:val="15"/>
          <w:szCs w:val="15"/>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256" w:lineRule="exact"/>
        <w:rPr>
          <w:sz w:val="20"/>
          <w:szCs w:val="20"/>
          <w:color w:val="auto"/>
        </w:rPr>
      </w:pPr>
    </w:p>
    <w:p>
      <w:pPr>
        <w:ind w:left="500" w:right="500"/>
        <w:spacing w:after="0" w:line="289" w:lineRule="auto"/>
        <w:rPr>
          <w:sz w:val="20"/>
          <w:szCs w:val="20"/>
          <w:color w:val="auto"/>
        </w:rPr>
      </w:pPr>
      <w:r>
        <w:rPr>
          <w:rFonts w:ascii="Arial" w:cs="Arial" w:eastAsia="Arial" w:hAnsi="Arial"/>
          <w:sz w:val="16"/>
          <w:szCs w:val="16"/>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50"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72" w:lineRule="exact"/>
        <w:rPr>
          <w:sz w:val="20"/>
          <w:szCs w:val="20"/>
          <w:color w:val="auto"/>
        </w:rPr>
      </w:pPr>
    </w:p>
    <w:p>
      <w:pPr>
        <w:ind w:right="180" w:firstLine="511"/>
        <w:spacing w:after="0" w:line="299" w:lineRule="auto"/>
        <w:rPr>
          <w:sz w:val="20"/>
          <w:szCs w:val="20"/>
          <w:color w:val="auto"/>
        </w:rPr>
      </w:pPr>
      <w:r>
        <w:rPr>
          <w:rFonts w:ascii="Arial" w:cs="Arial" w:eastAsia="Arial" w:hAnsi="Arial"/>
          <w:sz w:val="15"/>
          <w:szCs w:val="15"/>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online operations are subject to numerous risks that may seriously harm our business.</w:t>
      </w:r>
    </w:p>
    <w:p>
      <w:pPr>
        <w:spacing w:after="0" w:line="112" w:lineRule="exact"/>
        <w:rPr>
          <w:sz w:val="20"/>
          <w:szCs w:val="20"/>
          <w:color w:val="auto"/>
        </w:rPr>
      </w:pPr>
    </w:p>
    <w:p>
      <w:pPr>
        <w:ind w:firstLine="511"/>
        <w:spacing w:after="0" w:line="281" w:lineRule="auto"/>
        <w:rPr>
          <w:sz w:val="20"/>
          <w:szCs w:val="20"/>
          <w:color w:val="auto"/>
        </w:rPr>
      </w:pPr>
      <w:r>
        <w:rPr>
          <w:rFonts w:ascii="Arial" w:cs="Arial" w:eastAsia="Arial" w:hAnsi="Arial"/>
          <w:sz w:val="15"/>
          <w:szCs w:val="15"/>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61" w:lineRule="exact"/>
        <w:rPr>
          <w:sz w:val="20"/>
          <w:szCs w:val="20"/>
          <w:color w:val="auto"/>
        </w:rPr>
      </w:pPr>
    </w:p>
    <w:p>
      <w:pPr>
        <w:ind w:right="240" w:firstLine="511"/>
        <w:spacing w:after="0" w:line="268" w:lineRule="auto"/>
        <w:rPr>
          <w:sz w:val="20"/>
          <w:szCs w:val="20"/>
          <w:color w:val="auto"/>
        </w:rPr>
      </w:pPr>
      <w:r>
        <w:rPr>
          <w:rFonts w:ascii="Arial" w:cs="Arial" w:eastAsia="Arial" w:hAnsi="Arial"/>
          <w:sz w:val="16"/>
          <w:szCs w:val="16"/>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64" w:lineRule="exact"/>
        <w:rPr>
          <w:sz w:val="20"/>
          <w:szCs w:val="20"/>
          <w:color w:val="auto"/>
        </w:rPr>
      </w:pPr>
    </w:p>
    <w:p>
      <w:pPr>
        <w:ind w:left="500" w:right="320"/>
        <w:spacing w:after="0" w:line="289" w:lineRule="auto"/>
        <w:rPr>
          <w:sz w:val="20"/>
          <w:szCs w:val="20"/>
          <w:color w:val="auto"/>
        </w:rPr>
      </w:pPr>
      <w:r>
        <w:rPr>
          <w:rFonts w:ascii="Arial" w:cs="Arial" w:eastAsia="Arial" w:hAnsi="Arial"/>
          <w:sz w:val="16"/>
          <w:szCs w:val="16"/>
          <w:b w:val="1"/>
          <w:bCs w:val="1"/>
          <w:i w:val="1"/>
          <w:iCs w:val="1"/>
          <w:color w:val="auto"/>
        </w:rPr>
        <w:t>We may recognize restructuring and impairment charges in future periods, which will adversely affect our operating results and could seriously harm our business.</w:t>
      </w:r>
    </w:p>
    <w:p>
      <w:pPr>
        <w:spacing w:after="0" w:line="50" w:lineRule="exact"/>
        <w:rPr>
          <w:sz w:val="20"/>
          <w:szCs w:val="20"/>
          <w:color w:val="auto"/>
        </w:rPr>
      </w:pPr>
    </w:p>
    <w:p>
      <w:pPr>
        <w:ind w:right="460" w:firstLine="511"/>
        <w:spacing w:after="0" w:line="289" w:lineRule="auto"/>
        <w:rPr>
          <w:sz w:val="20"/>
          <w:szCs w:val="20"/>
          <w:color w:val="auto"/>
        </w:rPr>
      </w:pPr>
      <w:r>
        <w:rPr>
          <w:rFonts w:ascii="Arial" w:cs="Arial" w:eastAsia="Arial" w:hAnsi="Arial"/>
          <w:sz w:val="16"/>
          <w:szCs w:val="16"/>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49" w:lineRule="exact"/>
        <w:rPr>
          <w:sz w:val="20"/>
          <w:szCs w:val="20"/>
          <w:color w:val="auto"/>
        </w:rPr>
      </w:pPr>
    </w:p>
    <w:p>
      <w:pPr>
        <w:ind w:right="280" w:firstLine="511"/>
        <w:spacing w:after="0" w:line="268" w:lineRule="auto"/>
        <w:rPr>
          <w:sz w:val="20"/>
          <w:szCs w:val="20"/>
          <w:color w:val="auto"/>
        </w:rPr>
      </w:pPr>
      <w:r>
        <w:rPr>
          <w:rFonts w:ascii="Arial" w:cs="Arial" w:eastAsia="Arial" w:hAnsi="Arial"/>
          <w:sz w:val="16"/>
          <w:szCs w:val="16"/>
          <w:color w:val="auto"/>
        </w:rPr>
        <w:t>We are required to test goodwill, intangible assets and other long-lived assets for recoverability and may be required to record charges if there are indicators of impairment, and we have in the past recognized impairment charges. As of December 31, 2021, we had approximately $317.1 million of goodwill, $225.7 million of intangible assets and $73.4 million of other long-lived assets. One of our strategies is to grow through acquisitions of other businesses or technologies and, if we are successful in doing so, these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60" w:lineRule="exact"/>
        <w:rPr>
          <w:sz w:val="20"/>
          <w:szCs w:val="20"/>
          <w:color w:val="auto"/>
        </w:rPr>
      </w:pPr>
    </w:p>
    <w:p>
      <w:pPr>
        <w:ind w:left="500"/>
        <w:spacing w:after="0" w:line="324" w:lineRule="auto"/>
        <w:rPr>
          <w:sz w:val="20"/>
          <w:szCs w:val="20"/>
          <w:color w:val="auto"/>
        </w:rPr>
      </w:pPr>
      <w:r>
        <w:rPr>
          <w:rFonts w:ascii="Arial" w:cs="Arial" w:eastAsia="Arial" w:hAnsi="Arial"/>
          <w:sz w:val="15"/>
          <w:szCs w:val="15"/>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28"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K100, Nightsword, Scimitar, Vengeance, Virtuoso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K100, Nightsword, Origin, SCUF, Slipstream, Scimitar, Vengeance, Virtuoso and Void brand names, or other brand names we maintain, to sell their products in countries where we do not have trademark protection, it may seriously harm our business.</w:t>
      </w:r>
    </w:p>
    <w:p>
      <w:pPr>
        <w:spacing w:after="0" w:line="163"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65" w:lineRule="exact"/>
        <w:rPr>
          <w:sz w:val="20"/>
          <w:szCs w:val="20"/>
          <w:color w:val="auto"/>
        </w:rPr>
      </w:pPr>
    </w:p>
    <w:p>
      <w:pPr>
        <w:ind w:right="20" w:firstLine="511"/>
        <w:spacing w:after="0" w:line="273" w:lineRule="auto"/>
        <w:rPr>
          <w:sz w:val="20"/>
          <w:szCs w:val="20"/>
          <w:color w:val="auto"/>
        </w:rPr>
      </w:pPr>
      <w:r>
        <w:rPr>
          <w:rFonts w:ascii="Arial" w:cs="Arial" w:eastAsia="Arial" w:hAnsi="Arial"/>
          <w:sz w:val="16"/>
          <w:szCs w:val="16"/>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62" w:lineRule="exact"/>
        <w:rPr>
          <w:sz w:val="20"/>
          <w:szCs w:val="20"/>
          <w:color w:val="auto"/>
        </w:rPr>
      </w:pPr>
    </w:p>
    <w:p>
      <w:pPr>
        <w:jc w:val="both"/>
        <w:ind w:right="140" w:firstLine="511"/>
        <w:spacing w:after="0" w:line="299" w:lineRule="auto"/>
        <w:rPr>
          <w:sz w:val="20"/>
          <w:szCs w:val="20"/>
          <w:color w:val="auto"/>
        </w:rPr>
      </w:pPr>
      <w:r>
        <w:rPr>
          <w:rFonts w:ascii="Arial" w:cs="Arial" w:eastAsia="Arial" w:hAnsi="Arial"/>
          <w:sz w:val="15"/>
          <w:szCs w:val="15"/>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45" w:lineRule="exact"/>
        <w:rPr>
          <w:sz w:val="20"/>
          <w:szCs w:val="20"/>
          <w:color w:val="auto"/>
        </w:rPr>
      </w:pPr>
    </w:p>
    <w:p>
      <w:pPr>
        <w:ind w:right="120" w:firstLine="511"/>
        <w:spacing w:after="0" w:line="268" w:lineRule="auto"/>
        <w:rPr>
          <w:sz w:val="20"/>
          <w:szCs w:val="20"/>
          <w:color w:val="auto"/>
        </w:rPr>
      </w:pPr>
      <w:r>
        <w:rPr>
          <w:rFonts w:ascii="Arial" w:cs="Arial" w:eastAsia="Arial" w:hAnsi="Arial"/>
          <w:sz w:val="16"/>
          <w:szCs w:val="16"/>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Some of our products contain open source software, which may pose particular risks to our proprietary software and products.</w:t>
      </w:r>
    </w:p>
    <w:p>
      <w:pPr>
        <w:spacing w:after="0" w:line="112" w:lineRule="exact"/>
        <w:rPr>
          <w:sz w:val="20"/>
          <w:szCs w:val="20"/>
          <w:color w:val="auto"/>
        </w:rPr>
      </w:pPr>
    </w:p>
    <w:p>
      <w:pPr>
        <w:ind w:firstLine="511"/>
        <w:spacing w:after="0" w:line="281" w:lineRule="auto"/>
        <w:rPr>
          <w:sz w:val="20"/>
          <w:szCs w:val="20"/>
          <w:color w:val="auto"/>
        </w:rPr>
      </w:pPr>
      <w:r>
        <w:rPr>
          <w:rFonts w:ascii="Arial" w:cs="Arial" w:eastAsia="Arial" w:hAnsi="Arial"/>
          <w:sz w:val="15"/>
          <w:szCs w:val="15"/>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72" w:lineRule="exact"/>
        <w:rPr>
          <w:sz w:val="20"/>
          <w:szCs w:val="20"/>
          <w:color w:val="auto"/>
        </w:rPr>
      </w:pPr>
    </w:p>
    <w:p>
      <w:pPr>
        <w:ind w:left="500" w:right="260"/>
        <w:spacing w:after="0" w:line="289" w:lineRule="auto"/>
        <w:rPr>
          <w:sz w:val="20"/>
          <w:szCs w:val="20"/>
          <w:color w:val="auto"/>
        </w:rPr>
      </w:pPr>
      <w:r>
        <w:rPr>
          <w:rFonts w:ascii="Arial" w:cs="Arial" w:eastAsia="Arial" w:hAnsi="Arial"/>
          <w:sz w:val="16"/>
          <w:szCs w:val="16"/>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50"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65" w:lineRule="exact"/>
        <w:rPr>
          <w:sz w:val="20"/>
          <w:szCs w:val="20"/>
          <w:color w:val="auto"/>
        </w:rPr>
      </w:pPr>
    </w:p>
    <w:p>
      <w:pPr>
        <w:ind w:right="80" w:firstLine="511"/>
        <w:spacing w:after="0" w:line="280" w:lineRule="auto"/>
        <w:rPr>
          <w:sz w:val="20"/>
          <w:szCs w:val="20"/>
          <w:color w:val="auto"/>
        </w:rPr>
      </w:pPr>
      <w:r>
        <w:rPr>
          <w:rFonts w:ascii="Arial" w:cs="Arial" w:eastAsia="Arial" w:hAnsi="Arial"/>
          <w:sz w:val="15"/>
          <w:szCs w:val="15"/>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61" w:lineRule="exact"/>
        <w:rPr>
          <w:sz w:val="20"/>
          <w:szCs w:val="20"/>
          <w:color w:val="auto"/>
        </w:rPr>
      </w:pPr>
    </w:p>
    <w:p>
      <w:pPr>
        <w:ind w:left="500" w:right="100"/>
        <w:spacing w:after="0" w:line="289" w:lineRule="auto"/>
        <w:rPr>
          <w:sz w:val="20"/>
          <w:szCs w:val="20"/>
          <w:color w:val="auto"/>
        </w:rPr>
      </w:pPr>
      <w:r>
        <w:rPr>
          <w:rFonts w:ascii="Arial" w:cs="Arial" w:eastAsia="Arial" w:hAnsi="Arial"/>
          <w:sz w:val="16"/>
          <w:szCs w:val="16"/>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50" w:lineRule="exact"/>
        <w:rPr>
          <w:sz w:val="20"/>
          <w:szCs w:val="20"/>
          <w:color w:val="auto"/>
        </w:rPr>
      </w:pPr>
    </w:p>
    <w:p>
      <w:pPr>
        <w:ind w:right="60" w:firstLine="511"/>
        <w:spacing w:after="0" w:line="262" w:lineRule="auto"/>
        <w:rPr>
          <w:sz w:val="20"/>
          <w:szCs w:val="20"/>
          <w:color w:val="auto"/>
        </w:rPr>
      </w:pPr>
      <w:r>
        <w:rPr>
          <w:rFonts w:ascii="Arial" w:cs="Arial" w:eastAsia="Arial" w:hAnsi="Arial"/>
          <w:sz w:val="16"/>
          <w:szCs w:val="16"/>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72" w:lineRule="exact"/>
        <w:rPr>
          <w:sz w:val="20"/>
          <w:szCs w:val="20"/>
          <w:color w:val="auto"/>
        </w:rPr>
      </w:pPr>
    </w:p>
    <w:p>
      <w:pPr>
        <w:ind w:left="500" w:right="140"/>
        <w:spacing w:after="0" w:line="289" w:lineRule="auto"/>
        <w:rPr>
          <w:sz w:val="20"/>
          <w:szCs w:val="20"/>
          <w:color w:val="auto"/>
        </w:rPr>
      </w:pPr>
      <w:r>
        <w:rPr>
          <w:rFonts w:ascii="Arial" w:cs="Arial" w:eastAsia="Arial" w:hAnsi="Arial"/>
          <w:sz w:val="16"/>
          <w:szCs w:val="16"/>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5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auto"/>
        </w:rPr>
        <w:t>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49" w:lineRule="exact"/>
        <w:rPr>
          <w:sz w:val="20"/>
          <w:szCs w:val="20"/>
          <w:color w:val="auto"/>
        </w:rPr>
      </w:pPr>
    </w:p>
    <w:p>
      <w:pPr>
        <w:ind w:right="60" w:firstLine="511"/>
        <w:spacing w:after="0" w:line="282" w:lineRule="auto"/>
        <w:rPr>
          <w:sz w:val="20"/>
          <w:szCs w:val="20"/>
          <w:color w:val="auto"/>
        </w:rPr>
      </w:pPr>
      <w:r>
        <w:rPr>
          <w:rFonts w:ascii="Arial" w:cs="Arial" w:eastAsia="Arial" w:hAnsi="Arial"/>
          <w:sz w:val="15"/>
          <w:szCs w:val="15"/>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60"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controlled by EagleTree, whose interests in our business may be different than yours.</w:t>
      </w:r>
    </w:p>
    <w:p>
      <w:pPr>
        <w:spacing w:after="0" w:line="112"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As of December 31, 2021, EagleTree beneficially owned approximately 57.3%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58"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61" w:lineRule="exact"/>
        <w:rPr>
          <w:sz w:val="20"/>
          <w:szCs w:val="20"/>
          <w:color w:val="auto"/>
        </w:rPr>
      </w:pPr>
    </w:p>
    <w:p>
      <w:pPr>
        <w:ind w:left="500" w:right="400"/>
        <w:spacing w:after="0" w:line="365" w:lineRule="auto"/>
        <w:rPr>
          <w:sz w:val="20"/>
          <w:szCs w:val="20"/>
          <w:color w:val="auto"/>
        </w:rPr>
      </w:pPr>
      <w:r>
        <w:rPr>
          <w:rFonts w:ascii="Arial" w:cs="Arial" w:eastAsia="Arial" w:hAnsi="Arial"/>
          <w:sz w:val="14"/>
          <w:szCs w:val="14"/>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4" w:lineRule="exact"/>
        <w:rPr>
          <w:sz w:val="20"/>
          <w:szCs w:val="20"/>
          <w:color w:val="auto"/>
        </w:rPr>
      </w:pPr>
    </w:p>
    <w:p>
      <w:pPr>
        <w:ind w:right="60" w:firstLine="511"/>
        <w:spacing w:after="0" w:line="268" w:lineRule="auto"/>
        <w:rPr>
          <w:sz w:val="20"/>
          <w:szCs w:val="20"/>
          <w:color w:val="auto"/>
        </w:rPr>
      </w:pPr>
      <w:r>
        <w:rPr>
          <w:rFonts w:ascii="Arial" w:cs="Arial" w:eastAsia="Arial" w:hAnsi="Arial"/>
          <w:sz w:val="16"/>
          <w:szCs w:val="16"/>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66" w:lineRule="exact"/>
        <w:rPr>
          <w:sz w:val="20"/>
          <w:szCs w:val="20"/>
          <w:color w:val="auto"/>
        </w:rPr>
      </w:pPr>
    </w:p>
    <w:p>
      <w:pPr>
        <w:ind w:left="5540" w:right="3100" w:hanging="5036"/>
        <w:spacing w:after="0" w:line="546" w:lineRule="auto"/>
        <w:tabs>
          <w:tab w:leader="none" w:pos="10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majority of our board of directors consist of “independent directors” as defined under the rules of Nasdaq;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-97155</wp:posOffset>
            </wp:positionV>
            <wp:extent cx="7169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1020" w:right="140" w:hanging="516"/>
        <w:spacing w:after="0" w:line="289"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board of directors have a compensation committee that is composed entirely of independent directors with a written charter addressing the committee purpose and responsibilities; and</w:t>
      </w:r>
    </w:p>
    <w:p>
      <w:pPr>
        <w:spacing w:after="0" w:line="50" w:lineRule="exact"/>
        <w:rPr>
          <w:rFonts w:ascii="Arial" w:cs="Arial" w:eastAsia="Arial" w:hAnsi="Arial"/>
          <w:sz w:val="16"/>
          <w:szCs w:val="16"/>
          <w:color w:val="auto"/>
        </w:rPr>
      </w:pPr>
    </w:p>
    <w:p>
      <w:pPr>
        <w:ind w:left="1020" w:right="440" w:hanging="516"/>
        <w:spacing w:after="0" w:line="324" w:lineRule="auto"/>
        <w:tabs>
          <w:tab w:leader="none" w:pos="10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26" w:lineRule="exact"/>
        <w:rPr>
          <w:sz w:val="20"/>
          <w:szCs w:val="20"/>
          <w:color w:val="auto"/>
        </w:rPr>
      </w:pPr>
    </w:p>
    <w:p>
      <w:pPr>
        <w:ind w:right="60" w:firstLine="511"/>
        <w:spacing w:after="0" w:line="291" w:lineRule="auto"/>
        <w:rPr>
          <w:sz w:val="20"/>
          <w:szCs w:val="20"/>
          <w:color w:val="auto"/>
        </w:rPr>
      </w:pPr>
      <w:r>
        <w:rPr>
          <w:rFonts w:ascii="Arial" w:cs="Arial" w:eastAsia="Arial" w:hAnsi="Arial"/>
          <w:sz w:val="15"/>
          <w:szCs w:val="15"/>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market price of our common stock may be volatile and may decline.</w:t>
      </w:r>
    </w:p>
    <w:p>
      <w:pPr>
        <w:spacing w:after="0" w:line="112"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70" w:lineRule="exact"/>
        <w:rPr>
          <w:sz w:val="20"/>
          <w:szCs w:val="20"/>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estimates or recommendations by securities analysts concerning us or our competitors;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or our industry;</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estimates or guidance that we or our competitors may give to the market;</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12" w:lineRule="exact"/>
        <w:rPr>
          <w:rFonts w:ascii="Arial" w:cs="Arial" w:eastAsia="Arial" w:hAnsi="Arial"/>
          <w:sz w:val="16"/>
          <w:szCs w:val="16"/>
          <w:color w:val="auto"/>
        </w:rPr>
      </w:pPr>
    </w:p>
    <w:p>
      <w:pPr>
        <w:ind w:left="1020" w:right="520" w:hanging="516"/>
        <w:spacing w:after="0" w:line="289"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strategic decisions by us or our competitors, such as acquisitions, divestitures, spin-offs, joint ventures, strategic investments or changes in business strategy;</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developments of new technologies or other innovations;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passage of legislation or other regulatory developments affecting us or our industry;</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outbreak of epidemics or pandemics, such as the coronavirus pandemic;</w:t>
      </w:r>
    </w:p>
    <w:p>
      <w:pPr>
        <w:spacing w:after="0" w:line="112" w:lineRule="exact"/>
        <w:rPr>
          <w:rFonts w:ascii="Arial" w:cs="Arial" w:eastAsia="Arial" w:hAnsi="Arial"/>
          <w:sz w:val="16"/>
          <w:szCs w:val="16"/>
          <w:color w:val="auto"/>
        </w:rPr>
      </w:pPr>
    </w:p>
    <w:p>
      <w:pPr>
        <w:ind w:left="1020" w:right="420" w:hanging="516"/>
        <w:spacing w:after="0" w:line="289"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natural disasters, terrorist acts, acts of war or periods of widespread civil unrest, such as any military actions taken as a result of the tensions between Russia and Ukraine; and</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general market and economic conditions.</w:t>
      </w:r>
    </w:p>
    <w:p>
      <w:pPr>
        <w:spacing w:after="0" w:line="211" w:lineRule="exact"/>
        <w:rPr>
          <w:sz w:val="20"/>
          <w:szCs w:val="20"/>
          <w:color w:val="auto"/>
        </w:rPr>
      </w:pPr>
    </w:p>
    <w:p>
      <w:pPr>
        <w:jc w:val="both"/>
        <w:ind w:right="280" w:firstLine="511"/>
        <w:spacing w:after="0" w:line="273" w:lineRule="auto"/>
        <w:rPr>
          <w:sz w:val="20"/>
          <w:szCs w:val="20"/>
          <w:color w:val="auto"/>
        </w:rPr>
      </w:pPr>
      <w:r>
        <w:rPr>
          <w:rFonts w:ascii="Arial" w:cs="Arial" w:eastAsia="Arial" w:hAnsi="Arial"/>
          <w:sz w:val="16"/>
          <w:szCs w:val="16"/>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An active, liquid and orderly market for our common stock may not be maintained.</w:t>
      </w:r>
    </w:p>
    <w:p>
      <w:pPr>
        <w:spacing w:after="0" w:line="112"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Future sales of our common stock in the public market could cause our stock price to fall.</w:t>
      </w:r>
    </w:p>
    <w:p>
      <w:pPr>
        <w:spacing w:after="0" w:line="112"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the trading price of our common stock could decline. Based upon the number of shares outstanding as of December 31, 2021, we had outstanding a total of 94.5 million shares of common stock. Of these shares, all of the shares of our common stock sold in the initial public offering and in the secondary offering in January 2021, are freely tradable, without restriction, in the public market.</w:t>
      </w:r>
    </w:p>
    <w:p>
      <w:pPr>
        <w:spacing w:after="0" w:line="165" w:lineRule="exact"/>
        <w:rPr>
          <w:sz w:val="20"/>
          <w:szCs w:val="20"/>
          <w:color w:val="auto"/>
        </w:rPr>
      </w:pPr>
    </w:p>
    <w:p>
      <w:pPr>
        <w:ind w:right="60" w:firstLine="511"/>
        <w:spacing w:after="0" w:line="291" w:lineRule="auto"/>
        <w:rPr>
          <w:sz w:val="20"/>
          <w:szCs w:val="20"/>
          <w:color w:val="auto"/>
        </w:rPr>
      </w:pPr>
      <w:r>
        <w:rPr>
          <w:rFonts w:ascii="Arial" w:cs="Arial" w:eastAsia="Arial" w:hAnsi="Arial"/>
          <w:sz w:val="15"/>
          <w:szCs w:val="15"/>
          <w:color w:val="auto"/>
        </w:rPr>
        <w:t>As of December 31, 2021, the holders of approximately 54.2 million shares of our common stock, or approximately 57.3% of our total outstanding common stock based upon the number of shares outstanding as of December 31, 2021,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sell shares of our common stock in future financings, stockholders may experience immediate dilution and, as a result, our stock price may decline.</w:t>
      </w:r>
    </w:p>
    <w:p>
      <w:pPr>
        <w:spacing w:after="0" w:line="135" w:lineRule="exact"/>
        <w:rPr>
          <w:sz w:val="20"/>
          <w:szCs w:val="20"/>
          <w:color w:val="auto"/>
        </w:rPr>
      </w:pPr>
    </w:p>
    <w:p>
      <w:pPr>
        <w:ind w:right="40" w:firstLine="511"/>
        <w:spacing w:after="0" w:line="291" w:lineRule="auto"/>
        <w:rPr>
          <w:sz w:val="20"/>
          <w:szCs w:val="20"/>
          <w:color w:val="auto"/>
        </w:rPr>
      </w:pPr>
      <w:r>
        <w:rPr>
          <w:rFonts w:ascii="Arial" w:cs="Arial" w:eastAsia="Arial" w:hAnsi="Arial"/>
          <w:sz w:val="15"/>
          <w:szCs w:val="15"/>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49" w:lineRule="exact"/>
        <w:rPr>
          <w:sz w:val="20"/>
          <w:szCs w:val="20"/>
          <w:color w:val="auto"/>
        </w:rPr>
      </w:pPr>
    </w:p>
    <w:p>
      <w:pPr>
        <w:jc w:val="both"/>
        <w:ind w:left="500" w:right="280"/>
        <w:spacing w:after="0" w:line="365" w:lineRule="auto"/>
        <w:rPr>
          <w:sz w:val="20"/>
          <w:szCs w:val="20"/>
          <w:color w:val="auto"/>
        </w:rPr>
      </w:pPr>
      <w:r>
        <w:rPr>
          <w:rFonts w:ascii="Arial" w:cs="Arial" w:eastAsia="Arial" w:hAnsi="Arial"/>
          <w:sz w:val="14"/>
          <w:szCs w:val="14"/>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4" w:lineRule="exact"/>
        <w:rPr>
          <w:sz w:val="20"/>
          <w:szCs w:val="20"/>
          <w:color w:val="auto"/>
        </w:rPr>
      </w:pPr>
    </w:p>
    <w:p>
      <w:pPr>
        <w:ind w:right="120" w:firstLine="511"/>
        <w:spacing w:after="0" w:line="265"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70" w:lineRule="exact"/>
        <w:rPr>
          <w:sz w:val="20"/>
          <w:szCs w:val="20"/>
          <w:color w:val="auto"/>
        </w:rPr>
      </w:pPr>
    </w:p>
    <w:p>
      <w:pPr>
        <w:ind w:left="1020" w:right="160" w:hanging="516"/>
        <w:spacing w:after="0" w:line="273"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62" w:lineRule="exact"/>
        <w:rPr>
          <w:rFonts w:ascii="Arial" w:cs="Arial" w:eastAsia="Arial" w:hAnsi="Arial"/>
          <w:sz w:val="16"/>
          <w:szCs w:val="16"/>
          <w:color w:val="auto"/>
        </w:rPr>
      </w:pPr>
    </w:p>
    <w:p>
      <w:pPr>
        <w:ind w:left="1020" w:right="300" w:hanging="516"/>
        <w:spacing w:after="0" w:line="289"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50" w:lineRule="exact"/>
        <w:rPr>
          <w:rFonts w:ascii="Arial" w:cs="Arial" w:eastAsia="Arial" w:hAnsi="Arial"/>
          <w:sz w:val="16"/>
          <w:szCs w:val="16"/>
          <w:color w:val="auto"/>
        </w:rPr>
      </w:pPr>
    </w:p>
    <w:p>
      <w:pPr>
        <w:ind w:left="1020" w:right="40" w:hanging="516"/>
        <w:spacing w:after="0" w:line="324" w:lineRule="auto"/>
        <w:tabs>
          <w:tab w:leader="none" w:pos="1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27" w:lineRule="exact"/>
        <w:rPr>
          <w:rFonts w:ascii="Arial" w:cs="Arial" w:eastAsia="Arial" w:hAnsi="Arial"/>
          <w:sz w:val="15"/>
          <w:szCs w:val="15"/>
          <w:color w:val="auto"/>
        </w:rPr>
      </w:pPr>
    </w:p>
    <w:p>
      <w:pPr>
        <w:ind w:left="1020" w:right="220" w:hanging="516"/>
        <w:spacing w:after="0" w:line="289"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advance notice procedures for stockholders to submit nominations of candidates for election to our board of directors and other proposals to be brought before a stockholders meeting;</w:t>
      </w:r>
    </w:p>
    <w:p>
      <w:pPr>
        <w:spacing w:after="0" w:line="50" w:lineRule="exact"/>
        <w:rPr>
          <w:rFonts w:ascii="Arial" w:cs="Arial" w:eastAsia="Arial" w:hAnsi="Arial"/>
          <w:sz w:val="16"/>
          <w:szCs w:val="16"/>
          <w:color w:val="auto"/>
        </w:rPr>
      </w:pPr>
    </w:p>
    <w:p>
      <w:pPr>
        <w:ind w:left="1020" w:hanging="516"/>
        <w:spacing w:after="0" w:line="324" w:lineRule="auto"/>
        <w:tabs>
          <w:tab w:leader="none" w:pos="1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27" w:lineRule="exact"/>
        <w:rPr>
          <w:rFonts w:ascii="Arial" w:cs="Arial" w:eastAsia="Arial" w:hAnsi="Arial"/>
          <w:sz w:val="15"/>
          <w:szCs w:val="15"/>
          <w:color w:val="auto"/>
        </w:rPr>
      </w:pPr>
    </w:p>
    <w:p>
      <w:pPr>
        <w:ind w:left="1020" w:right="40" w:hanging="516"/>
        <w:spacing w:after="0" w:line="289"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50" w:lineRule="exact"/>
        <w:rPr>
          <w:rFonts w:ascii="Arial" w:cs="Arial" w:eastAsia="Arial" w:hAnsi="Arial"/>
          <w:sz w:val="16"/>
          <w:szCs w:val="16"/>
          <w:color w:val="auto"/>
        </w:rPr>
      </w:pPr>
    </w:p>
    <w:p>
      <w:pPr>
        <w:ind w:left="1020" w:hanging="51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divide our board of directors into three classes, serving staggered terms of three years each;</w:t>
      </w:r>
    </w:p>
    <w:p>
      <w:pPr>
        <w:spacing w:after="0" w:line="112" w:lineRule="exact"/>
        <w:rPr>
          <w:rFonts w:ascii="Arial" w:cs="Arial" w:eastAsia="Arial" w:hAnsi="Arial"/>
          <w:sz w:val="16"/>
          <w:szCs w:val="16"/>
          <w:color w:val="auto"/>
        </w:rPr>
      </w:pPr>
    </w:p>
    <w:p>
      <w:pPr>
        <w:ind w:left="1020" w:right="140" w:hanging="516"/>
        <w:spacing w:after="0" w:line="289"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left="1020" w:right="60" w:hanging="516"/>
        <w:spacing w:after="0" w:line="273"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62" w:lineRule="exact"/>
        <w:rPr>
          <w:rFonts w:ascii="Arial" w:cs="Arial" w:eastAsia="Arial" w:hAnsi="Arial"/>
          <w:sz w:val="16"/>
          <w:szCs w:val="16"/>
          <w:color w:val="auto"/>
        </w:rPr>
      </w:pPr>
    </w:p>
    <w:p>
      <w:pPr>
        <w:ind w:left="1020" w:right="160" w:hanging="516"/>
        <w:spacing w:after="0" w:line="289"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board of directors, the removal of certain directors, the availability of action by majority written consent of the stockholders or the restriction on business combinations with interested stockholders, among others; and</w:t>
      </w:r>
    </w:p>
    <w:p>
      <w:pPr>
        <w:spacing w:after="0" w:line="50" w:lineRule="exact"/>
        <w:rPr>
          <w:rFonts w:ascii="Arial" w:cs="Arial" w:eastAsia="Arial" w:hAnsi="Arial"/>
          <w:sz w:val="16"/>
          <w:szCs w:val="16"/>
          <w:color w:val="auto"/>
        </w:rPr>
      </w:pPr>
    </w:p>
    <w:p>
      <w:pPr>
        <w:ind w:left="1020" w:right="120" w:hanging="516"/>
        <w:spacing w:after="0" w:line="273"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62"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67" w:lineRule="exact"/>
        <w:rPr>
          <w:sz w:val="20"/>
          <w:szCs w:val="20"/>
          <w:color w:val="auto"/>
        </w:rPr>
      </w:pPr>
    </w:p>
    <w:p>
      <w:pPr>
        <w:ind w:left="500" w:right="40"/>
        <w:spacing w:after="0" w:line="289"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0" w:lineRule="exact"/>
        <w:rPr>
          <w:sz w:val="20"/>
          <w:szCs w:val="20"/>
          <w:color w:val="auto"/>
        </w:rPr>
      </w:pPr>
    </w:p>
    <w:p>
      <w:pPr>
        <w:ind w:right="140" w:firstLine="511"/>
        <w:spacing w:after="0" w:line="289"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will indemnify our directors and officers, in each case to the fullest extent permitted by Delaware law.</w:t>
      </w:r>
    </w:p>
    <w:p>
      <w:pPr>
        <w:spacing w:after="0" w:line="149" w:lineRule="exact"/>
        <w:rPr>
          <w:sz w:val="20"/>
          <w:szCs w:val="20"/>
          <w:color w:val="auto"/>
        </w:rPr>
      </w:pPr>
    </w:p>
    <w:p>
      <w:pPr>
        <w:ind w:right="220" w:firstLine="511"/>
        <w:spacing w:after="0" w:line="289" w:lineRule="auto"/>
        <w:rPr>
          <w:sz w:val="20"/>
          <w:szCs w:val="20"/>
          <w:color w:val="auto"/>
        </w:rPr>
      </w:pPr>
      <w:r>
        <w:rPr>
          <w:rFonts w:ascii="Arial" w:cs="Arial" w:eastAsia="Arial" w:hAnsi="Arial"/>
          <w:sz w:val="16"/>
          <w:szCs w:val="16"/>
          <w:color w:val="auto"/>
        </w:rPr>
        <w:t>In addition, as permitted by Section 145 of the DGCL, our amended and restated bylaws and our indemnification agreements that we have entered into with our directors and officers provide that:</w:t>
      </w:r>
    </w:p>
    <w:p>
      <w:pPr>
        <w:spacing w:after="0" w:line="50" w:lineRule="exact"/>
        <w:rPr>
          <w:sz w:val="20"/>
          <w:szCs w:val="20"/>
          <w:color w:val="auto"/>
        </w:rPr>
      </w:pPr>
    </w:p>
    <w:p>
      <w:pPr>
        <w:ind w:left="1020" w:right="120" w:hanging="516"/>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6" w:lineRule="exact"/>
        <w:rPr>
          <w:rFonts w:ascii="Arial" w:cs="Arial" w:eastAsia="Arial" w:hAnsi="Arial"/>
          <w:sz w:val="16"/>
          <w:szCs w:val="16"/>
          <w:color w:val="auto"/>
        </w:rPr>
      </w:pPr>
    </w:p>
    <w:p>
      <w:pPr>
        <w:ind w:left="1020" w:hanging="51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12" w:lineRule="exact"/>
        <w:rPr>
          <w:rFonts w:ascii="Arial" w:cs="Arial" w:eastAsia="Arial" w:hAnsi="Arial"/>
          <w:sz w:val="16"/>
          <w:szCs w:val="16"/>
          <w:color w:val="auto"/>
        </w:rPr>
      </w:pPr>
    </w:p>
    <w:p>
      <w:pPr>
        <w:ind w:left="1020" w:right="320" w:hanging="516"/>
        <w:spacing w:after="0" w:line="289"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0" w:lineRule="exact"/>
        <w:rPr>
          <w:rFonts w:ascii="Arial" w:cs="Arial" w:eastAsia="Arial" w:hAnsi="Arial"/>
          <w:sz w:val="16"/>
          <w:szCs w:val="16"/>
          <w:color w:val="auto"/>
        </w:rPr>
      </w:pPr>
    </w:p>
    <w:p>
      <w:pPr>
        <w:ind w:left="1020" w:right="60" w:hanging="516"/>
        <w:spacing w:after="0" w:line="324" w:lineRule="auto"/>
        <w:tabs>
          <w:tab w:leader="none" w:pos="1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7" w:lineRule="exact"/>
        <w:rPr>
          <w:rFonts w:ascii="Arial" w:cs="Arial" w:eastAsia="Arial" w:hAnsi="Arial"/>
          <w:sz w:val="15"/>
          <w:szCs w:val="15"/>
          <w:color w:val="auto"/>
        </w:rPr>
      </w:pPr>
    </w:p>
    <w:p>
      <w:pPr>
        <w:ind w:left="1020" w:right="560" w:hanging="516"/>
        <w:spacing w:after="0" w:line="289"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0" w:lineRule="exact"/>
        <w:rPr>
          <w:rFonts w:ascii="Arial" w:cs="Arial" w:eastAsia="Arial" w:hAnsi="Arial"/>
          <w:sz w:val="16"/>
          <w:szCs w:val="16"/>
          <w:color w:val="auto"/>
        </w:rPr>
      </w:pPr>
    </w:p>
    <w:p>
      <w:pPr>
        <w:ind w:left="1020" w:right="20" w:hanging="516"/>
        <w:spacing w:after="0" w:line="289"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248" w:lineRule="exact"/>
        <w:rPr>
          <w:sz w:val="20"/>
          <w:szCs w:val="20"/>
          <w:color w:val="auto"/>
        </w:rPr>
      </w:pPr>
    </w:p>
    <w:p>
      <w:pPr>
        <w:ind w:left="500" w:right="460"/>
        <w:spacing w:after="0" w:line="289"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0" w:lineRule="exact"/>
        <w:rPr>
          <w:sz w:val="20"/>
          <w:szCs w:val="20"/>
          <w:color w:val="auto"/>
        </w:rPr>
      </w:pPr>
    </w:p>
    <w:p>
      <w:pPr>
        <w:ind w:right="120" w:firstLine="511"/>
        <w:spacing w:after="0" w:line="268"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right="220"/>
        <w:spacing w:after="0" w:line="365" w:lineRule="auto"/>
        <w:rPr>
          <w:sz w:val="20"/>
          <w:szCs w:val="20"/>
          <w:color w:val="auto"/>
        </w:rPr>
      </w:pPr>
      <w:r>
        <w:rPr>
          <w:rFonts w:ascii="Arial" w:cs="Arial" w:eastAsia="Arial" w:hAnsi="Arial"/>
          <w:sz w:val="14"/>
          <w:szCs w:val="14"/>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4"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64" w:lineRule="exact"/>
        <w:rPr>
          <w:sz w:val="20"/>
          <w:szCs w:val="20"/>
          <w:color w:val="auto"/>
        </w:rPr>
      </w:pPr>
    </w:p>
    <w:p>
      <w:pPr>
        <w:ind w:left="500" w:right="60"/>
        <w:spacing w:after="0" w:line="273"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3" w:lineRule="exact"/>
        <w:rPr>
          <w:sz w:val="20"/>
          <w:szCs w:val="20"/>
          <w:color w:val="auto"/>
        </w:rPr>
      </w:pPr>
    </w:p>
    <w:p>
      <w:pPr>
        <w:ind w:right="40" w:firstLine="511"/>
        <w:spacing w:after="0" w:line="260"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 (d) 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Our amended and restated certificate of incorporation contains a provision renouncing our interest and expectancy in certain corporate opportunities.</w:t>
      </w:r>
    </w:p>
    <w:p>
      <w:pPr>
        <w:spacing w:after="0" w:line="124" w:lineRule="exact"/>
        <w:rPr>
          <w:sz w:val="20"/>
          <w:szCs w:val="20"/>
          <w:color w:val="auto"/>
        </w:rPr>
      </w:pPr>
    </w:p>
    <w:p>
      <w:pPr>
        <w:ind w:right="40" w:firstLine="511"/>
        <w:spacing w:after="0" w:line="301" w:lineRule="auto"/>
        <w:rPr>
          <w:sz w:val="20"/>
          <w:szCs w:val="20"/>
          <w:color w:val="auto"/>
        </w:rPr>
      </w:pPr>
      <w:r>
        <w:rPr>
          <w:rFonts w:ascii="Arial" w:cs="Arial" w:eastAsia="Arial" w:hAnsi="Arial"/>
          <w:sz w:val="14"/>
          <w:szCs w:val="14"/>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December 31, 2021,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be subject to future tax audits in various jurisdictions, which may seriously harm our business.</w:t>
      </w:r>
    </w:p>
    <w:p>
      <w:pPr>
        <w:spacing w:after="0" w:line="112" w:lineRule="exact"/>
        <w:rPr>
          <w:sz w:val="20"/>
          <w:szCs w:val="20"/>
          <w:color w:val="auto"/>
        </w:rPr>
      </w:pPr>
    </w:p>
    <w:p>
      <w:pPr>
        <w:ind w:right="160" w:firstLine="511"/>
        <w:spacing w:after="0" w:line="291" w:lineRule="auto"/>
        <w:rPr>
          <w:sz w:val="20"/>
          <w:szCs w:val="20"/>
          <w:color w:val="auto"/>
        </w:rPr>
      </w:pPr>
      <w:r>
        <w:rPr>
          <w:rFonts w:ascii="Arial" w:cs="Arial" w:eastAsia="Arial" w:hAnsi="Arial"/>
          <w:sz w:val="15"/>
          <w:szCs w:val="15"/>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and the tax positions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adopted in connection with these restructuring transactions may be subject to challenge. Accordingly, a material assessment by a tax authority in any jurisdiction could require that we make significant cash payments without reimbursement. If this were to occur, our business may be seriously harmed.</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Failure to comply with other laws and governmental regulations may seriously harm our business.</w:t>
      </w:r>
    </w:p>
    <w:p>
      <w:pPr>
        <w:spacing w:after="0" w:line="112" w:lineRule="exact"/>
        <w:rPr>
          <w:sz w:val="20"/>
          <w:szCs w:val="20"/>
          <w:color w:val="auto"/>
        </w:rPr>
      </w:pPr>
    </w:p>
    <w:p>
      <w:pPr>
        <w:ind w:right="160" w:firstLine="511"/>
        <w:spacing w:after="0" w:line="281" w:lineRule="auto"/>
        <w:rPr>
          <w:sz w:val="20"/>
          <w:szCs w:val="20"/>
          <w:color w:val="auto"/>
        </w:rPr>
      </w:pPr>
      <w:r>
        <w:rPr>
          <w:rFonts w:ascii="Arial" w:cs="Arial" w:eastAsia="Arial" w:hAnsi="Arial"/>
          <w:sz w:val="15"/>
          <w:szCs w:val="15"/>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61"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65" w:lineRule="exact"/>
        <w:rPr>
          <w:sz w:val="20"/>
          <w:szCs w:val="20"/>
          <w:color w:val="auto"/>
        </w:rPr>
      </w:pPr>
    </w:p>
    <w:p>
      <w:pPr>
        <w:ind w:right="40" w:firstLine="511"/>
        <w:spacing w:after="0" w:line="289" w:lineRule="auto"/>
        <w:rPr>
          <w:sz w:val="20"/>
          <w:szCs w:val="20"/>
          <w:color w:val="auto"/>
        </w:rPr>
      </w:pPr>
      <w:r>
        <w:rPr>
          <w:rFonts w:ascii="Arial" w:cs="Arial" w:eastAsia="Arial" w:hAnsi="Arial"/>
          <w:sz w:val="16"/>
          <w:szCs w:val="16"/>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48" w:lineRule="exact"/>
        <w:rPr>
          <w:sz w:val="20"/>
          <w:szCs w:val="20"/>
          <w:color w:val="auto"/>
        </w:rPr>
      </w:pPr>
    </w:p>
    <w:p>
      <w:pPr>
        <w:ind w:left="500"/>
        <w:spacing w:after="0" w:line="289"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5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63"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spacing w:after="0" w:line="268" w:lineRule="auto"/>
        <w:rPr>
          <w:sz w:val="20"/>
          <w:szCs w:val="20"/>
          <w:color w:val="auto"/>
        </w:rPr>
      </w:pPr>
      <w:r>
        <w:rPr>
          <w:rFonts w:ascii="Arial" w:cs="Arial" w:eastAsia="Arial" w:hAnsi="Arial"/>
          <w:sz w:val="16"/>
          <w:szCs w:val="16"/>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66"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As part of these evaluations, material weaknesses in our internal controls over financial reporting may be identified. A material weakness is a deficiency, or a combination of deficiencies, in internal controls over financial reporting such that there is a reasonable possibility that a material misstatement of a company’s annual or interim consolidated financial statements will not be prevented or detected on a timely basis. While we were able to remediate previously identified material weaknesses in our internal controls over financial reporting, there can be no guarantee we will not identify similar or other material weaknesses in the future and if such material weaknesses are identified, there can be no guarantee we would be able to remediate such material weaknesses. Any material weaknesses in our internal controls may adversely affect our ability to record, process, summarize and accurately report timely financial information and, as a result, our consolidated financial statements may contain material misstatements or omissions.</w:t>
      </w:r>
    </w:p>
    <w:p>
      <w:pPr>
        <w:spacing w:after="0" w:line="173"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Likewise, our independent registered public accounting firm is required to provide an attestation report on the effectiveness of our internal controls over financial reporting in our Annual Reports on Form 10-K.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will incur significant expenses as a result of being a public company, which will negatively impact our financial performance.</w:t>
      </w:r>
    </w:p>
    <w:p>
      <w:pPr>
        <w:spacing w:after="0" w:line="112"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3" w:lineRule="exact"/>
        <w:rPr>
          <w:sz w:val="20"/>
          <w:szCs w:val="20"/>
          <w:color w:val="auto"/>
        </w:rPr>
      </w:pPr>
    </w:p>
    <w:p>
      <w:pPr>
        <w:ind w:right="220" w:firstLine="511"/>
        <w:spacing w:after="0" w:line="281" w:lineRule="auto"/>
        <w:rPr>
          <w:sz w:val="20"/>
          <w:szCs w:val="20"/>
          <w:color w:val="auto"/>
        </w:rPr>
      </w:pPr>
      <w:r>
        <w:rPr>
          <w:rFonts w:ascii="Arial" w:cs="Arial" w:eastAsia="Arial" w:hAnsi="Arial"/>
          <w:sz w:val="15"/>
          <w:szCs w:val="15"/>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 if we are unable to satisfy our obligations as a public company, we could be subject to delisting of our common stock, fines, sanctions and other regulatory action and potentially civil litigation.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business could be negatively impacted by corporate citizenship and ESG matters and/or our reporting of such matters.</w:t>
      </w:r>
    </w:p>
    <w:p>
      <w:pPr>
        <w:spacing w:after="0" w:line="211" w:lineRule="exact"/>
        <w:rPr>
          <w:sz w:val="20"/>
          <w:szCs w:val="20"/>
          <w:color w:val="auto"/>
        </w:rPr>
      </w:pPr>
    </w:p>
    <w:p>
      <w:pPr>
        <w:jc w:val="both"/>
        <w:ind w:firstLine="511"/>
        <w:spacing w:after="0" w:line="311" w:lineRule="auto"/>
        <w:rPr>
          <w:sz w:val="20"/>
          <w:szCs w:val="20"/>
          <w:color w:val="auto"/>
        </w:rPr>
      </w:pPr>
      <w:r>
        <w:rPr>
          <w:rFonts w:ascii="Arial" w:cs="Arial" w:eastAsia="Arial" w:hAnsi="Arial"/>
          <w:sz w:val="14"/>
          <w:szCs w:val="14"/>
          <w:color w:val="auto"/>
        </w:rPr>
        <w:t>Institutional, individual, and other investors, proxy advisory services, regulatory authorities, consumers and other stakeholders are increasingly focused on environmental, social and governance, or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740"/>
          </w:cols>
          <w:pgMar w:left="320" w:top="123" w:right="8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16" w:lineRule="exact"/>
        <w:rPr>
          <w:sz w:val="20"/>
          <w:szCs w:val="20"/>
          <w:color w:val="auto"/>
        </w:rPr>
      </w:pPr>
    </w:p>
    <w:p>
      <w:pPr>
        <w:ind w:firstLine="511"/>
        <w:spacing w:after="0" w:line="262" w:lineRule="auto"/>
        <w:rPr>
          <w:sz w:val="20"/>
          <w:szCs w:val="20"/>
          <w:color w:val="auto"/>
        </w:rPr>
      </w:pPr>
      <w:r>
        <w:rPr>
          <w:rFonts w:ascii="Arial" w:cs="Arial" w:eastAsia="Arial" w:hAnsi="Arial"/>
          <w:sz w:val="16"/>
          <w:szCs w:val="16"/>
          <w:color w:val="auto"/>
        </w:rPr>
        <w:t>Our current principal executive office is located in Fremont, California and consists of approximately 96,000 square feet of space under a lease that expires in May 2022 and thereafter, we plan to move our principal executive office and headquarters to Milpitas, California. The lease for the new Milpitas headquarters occupies approximately 118,000 square feet and expires in August 2032. We also lease manufacturing and warehousing facilities in Georgia, Florida, Netherlands and Taiwan, as well as properties in various parts of the United States, Europe and Asia for our product development, sales and service support and administrative functions. Our total property leases as of December 31, 2021, which expire at various dates through August 2032, are for an aggregate of approximately 634,000 square feet (excluding the Fremont headquarters lease). In addition, we have approximately 306,000 square feet of space dedicated to us in our contracts with various third-party distribution centers in California and China for additional warehouses to store our inventory.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Both our gamer and creator peripherals segment and gaming components and systems segment utilize substantially each of our leased facilities.</w:t>
      </w:r>
    </w:p>
    <w:p>
      <w:pPr>
        <w:spacing w:after="0" w:line="112" w:lineRule="exact"/>
        <w:rPr>
          <w:sz w:val="20"/>
          <w:szCs w:val="20"/>
          <w:color w:val="auto"/>
        </w:rPr>
      </w:pPr>
    </w:p>
    <w:p>
      <w:pPr>
        <w:ind w:right="620" w:firstLine="511"/>
        <w:spacing w:after="0" w:line="289" w:lineRule="auto"/>
        <w:rPr>
          <w:sz w:val="20"/>
          <w:szCs w:val="20"/>
          <w:color w:val="auto"/>
        </w:rPr>
      </w:pPr>
      <w:r>
        <w:rPr>
          <w:rFonts w:ascii="Arial" w:cs="Arial" w:eastAsia="Arial" w:hAnsi="Arial"/>
          <w:sz w:val="16"/>
          <w:szCs w:val="16"/>
          <w:color w:val="auto"/>
        </w:rPr>
        <w:t>We believe that the facilities that we currently occupy are adequate for our current needs and that suitable additional space will be available, as needed, to accommodate the presently foreseeable expansion of our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16" w:lineRule="exact"/>
        <w:rPr>
          <w:sz w:val="20"/>
          <w:szCs w:val="20"/>
          <w:color w:val="auto"/>
        </w:rPr>
      </w:pPr>
    </w:p>
    <w:p>
      <w:pPr>
        <w:ind w:right="20" w:firstLine="511"/>
        <w:spacing w:after="0" w:line="329" w:lineRule="auto"/>
        <w:rPr>
          <w:sz w:val="20"/>
          <w:szCs w:val="20"/>
          <w:color w:val="auto"/>
        </w:rPr>
      </w:pPr>
      <w:r>
        <w:rPr>
          <w:rFonts w:ascii="Arial" w:cs="Arial" w:eastAsia="Arial" w:hAnsi="Arial"/>
          <w:sz w:val="14"/>
          <w:szCs w:val="14"/>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PART II</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of our Common Stock</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common stock is traded on the Nasdaq Global Select Market under the symbol “CRSR”.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16" w:lineRule="exact"/>
        <w:rPr>
          <w:sz w:val="20"/>
          <w:szCs w:val="20"/>
          <w:color w:val="auto"/>
        </w:rPr>
      </w:pPr>
    </w:p>
    <w:p>
      <w:pPr>
        <w:ind w:right="80" w:firstLine="511"/>
        <w:spacing w:after="0" w:line="324" w:lineRule="auto"/>
        <w:rPr>
          <w:sz w:val="20"/>
          <w:szCs w:val="20"/>
          <w:color w:val="auto"/>
        </w:rPr>
      </w:pPr>
      <w:r>
        <w:rPr>
          <w:rFonts w:ascii="Arial" w:cs="Arial" w:eastAsia="Arial" w:hAnsi="Arial"/>
          <w:sz w:val="15"/>
          <w:szCs w:val="15"/>
          <w:color w:val="auto"/>
        </w:rPr>
        <w:t>According to the records of our transfer agent, there were 17 holders of record of our common stock on February 14, 2022. Because many of such shares are held by brokers and other institutions on behalf of stockholders, we are unable to estimate the total number of stockholders represented by these record holders.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16" w:lineRule="exact"/>
        <w:rPr>
          <w:sz w:val="20"/>
          <w:szCs w:val="20"/>
          <w:color w:val="auto"/>
        </w:rPr>
      </w:pPr>
    </w:p>
    <w:p>
      <w:pPr>
        <w:ind w:firstLine="511"/>
        <w:spacing w:after="0" w:line="287" w:lineRule="auto"/>
        <w:rPr>
          <w:sz w:val="20"/>
          <w:szCs w:val="20"/>
          <w:color w:val="auto"/>
        </w:rPr>
      </w:pPr>
      <w:r>
        <w:rPr>
          <w:rFonts w:ascii="Arial" w:cs="Arial" w:eastAsia="Arial" w:hAnsi="Arial"/>
          <w:sz w:val="15"/>
          <w:szCs w:val="15"/>
          <w:color w:val="auto"/>
        </w:rPr>
        <w:t>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Further, our credit facilities also contain restrictions on our ability to pay dividends or make distributions in respect of our common stock or redemptions or repurchases of our common stock and future credit facilities or other borrowing arrangements may contain similar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6" w:lineRule="exact"/>
        <w:rPr>
          <w:sz w:val="20"/>
          <w:szCs w:val="20"/>
          <w:color w:val="auto"/>
        </w:rPr>
      </w:pPr>
    </w:p>
    <w:p>
      <w:pPr>
        <w:ind w:right="280" w:firstLine="511"/>
        <w:spacing w:after="0" w:line="324" w:lineRule="auto"/>
        <w:rPr>
          <w:sz w:val="20"/>
          <w:szCs w:val="20"/>
          <w:color w:val="auto"/>
        </w:rPr>
      </w:pPr>
      <w:r>
        <w:rPr>
          <w:rFonts w:ascii="Arial" w:cs="Arial" w:eastAsia="Arial" w:hAnsi="Arial"/>
          <w:sz w:val="15"/>
          <w:szCs w:val="15"/>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26" w:lineRule="exact"/>
        <w:rPr>
          <w:sz w:val="20"/>
          <w:szCs w:val="20"/>
          <w:color w:val="auto"/>
        </w:rPr>
      </w:pPr>
    </w:p>
    <w:p>
      <w:pPr>
        <w:ind w:right="240" w:firstLine="511"/>
        <w:spacing w:after="0" w:line="289" w:lineRule="auto"/>
        <w:rPr>
          <w:sz w:val="20"/>
          <w:szCs w:val="20"/>
          <w:color w:val="auto"/>
        </w:rPr>
      </w:pPr>
      <w:r>
        <w:rPr>
          <w:rFonts w:ascii="Arial" w:cs="Arial" w:eastAsia="Arial" w:hAnsi="Arial"/>
          <w:sz w:val="16"/>
          <w:szCs w:val="16"/>
          <w:color w:val="auto"/>
        </w:rPr>
        <w:t>The graph below compares (i) the cumulative total stockholder return on our common stock from September 23, 2020 (the date our common stock commenced trading on Nasdaq Global Select Market) through December 31, 2021 with (ii) the cumulative total</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return of the Nasdaq Composite Index and the S&amp;P Information Technology Index over the same period, assuming the investment of $100 in our common stock and in both of the indices on September 23, 2020 and the reinvestments of dividends,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000"/>
          </w:cols>
          <w:pgMar w:left="320" w:top="123" w:right="57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6" w:lineRule="exact"/>
        <w:rPr>
          <w:sz w:val="20"/>
          <w:szCs w:val="20"/>
          <w:color w:val="auto"/>
        </w:rPr>
      </w:pPr>
    </w:p>
    <w:p>
      <w:pPr>
        <w:ind w:right="40" w:firstLine="469"/>
        <w:spacing w:after="0" w:line="265" w:lineRule="auto"/>
        <w:rPr>
          <w:sz w:val="20"/>
          <w:szCs w:val="20"/>
          <w:color w:val="auto"/>
        </w:rPr>
      </w:pPr>
      <w:r>
        <w:rPr>
          <w:rFonts w:ascii="Arial" w:cs="Arial" w:eastAsia="Arial" w:hAnsi="Arial"/>
          <w:sz w:val="16"/>
          <w:szCs w:val="16"/>
          <w:i w:val="1"/>
          <w:iCs w:val="1"/>
          <w:color w:val="auto"/>
        </w:rPr>
        <w:t xml:space="preserve">You should read the following discussion of our financial condition and results of operations in conjunction with the consolidated financial statements and the related notes included elsewhere in this Annual Report on Form 10-K. The following discussion contains forward-looking statements that involve risks and uncertainties. Our actual results could differ materially from such forward-looking statements. Factors that could cause or contribute to these differences include those discussed below and elsewhere in this Annual Report on Form 10-K, particularly in the section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and below in Item 7A, </w:t>
      </w:r>
      <w:r>
        <w:rPr>
          <w:rFonts w:ascii="Arial" w:cs="Arial" w:eastAsia="Arial" w:hAnsi="Arial"/>
          <w:sz w:val="16"/>
          <w:szCs w:val="16"/>
          <w:color w:val="auto"/>
        </w:rPr>
        <w:t>“</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6" w:lineRule="exact"/>
        <w:rPr>
          <w:sz w:val="20"/>
          <w:szCs w:val="20"/>
          <w:color w:val="auto"/>
        </w:rPr>
      </w:pPr>
    </w:p>
    <w:p>
      <w:pPr>
        <w:ind w:right="40" w:firstLine="465"/>
        <w:spacing w:after="0" w:line="281" w:lineRule="auto"/>
        <w:rPr>
          <w:sz w:val="20"/>
          <w:szCs w:val="20"/>
          <w:color w:val="auto"/>
        </w:rPr>
      </w:pPr>
      <w:r>
        <w:rPr>
          <w:rFonts w:ascii="Arial" w:cs="Arial" w:eastAsia="Arial" w:hAnsi="Arial"/>
          <w:sz w:val="15"/>
          <w:szCs w:val="15"/>
          <w:color w:val="auto"/>
        </w:rPr>
        <w:t>We are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streaming gear that enables streamers and content creators to produce studio-quality content to share with friends or to broadcast to millions of fans. Our PC components products offer our customers multiple options to build their customized gaming and workstation desktop PCs. Our solution is the most complete suite of gear that addresses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In 2020, we also added a digital services layer to our offerings to enhance the customer experience by integrating esports, coaching, stream deck marketplace, customer care and extended warranty into our offerings.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group our products into two categories (segments):</w:t>
      </w:r>
    </w:p>
    <w:p>
      <w:pPr>
        <w:spacing w:after="0" w:line="124" w:lineRule="exact"/>
        <w:rPr>
          <w:sz w:val="20"/>
          <w:szCs w:val="20"/>
          <w:color w:val="auto"/>
        </w:rPr>
      </w:pPr>
    </w:p>
    <w:p>
      <w:pPr>
        <w:ind w:left="1020" w:hanging="516"/>
        <w:spacing w:after="0" w:line="273"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Gamer and creator peripherals. </w:t>
      </w:r>
      <w:r>
        <w:rPr>
          <w:rFonts w:ascii="Arial" w:cs="Arial" w:eastAsia="Arial" w:hAnsi="Arial"/>
          <w:sz w:val="16"/>
          <w:szCs w:val="16"/>
          <w:color w:val="auto"/>
        </w:rPr>
        <w:t>Includes our high-performance gaming keyboards, mice, headsets, controllers, and streaming gear, which includes capture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cards, Stream Decks, USB microphones, our Facecam streaming camera, studio accessories, and EpocCam software, as well as coaching and training services and content design services, among others.</w:t>
      </w:r>
    </w:p>
    <w:p>
      <w:pPr>
        <w:spacing w:after="0" w:line="75" w:lineRule="exact"/>
        <w:rPr>
          <w:rFonts w:ascii="Arial" w:cs="Arial" w:eastAsia="Arial" w:hAnsi="Arial"/>
          <w:sz w:val="16"/>
          <w:szCs w:val="16"/>
          <w:color w:val="auto"/>
        </w:rPr>
      </w:pPr>
    </w:p>
    <w:p>
      <w:pPr>
        <w:ind w:left="1020" w:right="220" w:hanging="516"/>
        <w:spacing w:after="0" w:line="289"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Gaming components and systems. </w:t>
      </w:r>
      <w:r>
        <w:rPr>
          <w:rFonts w:ascii="Arial" w:cs="Arial" w:eastAsia="Arial" w:hAnsi="Arial"/>
          <w:sz w:val="16"/>
          <w:szCs w:val="16"/>
          <w:color w:val="auto"/>
        </w:rPr>
        <w:t>Includes our high-performance power supply units, or PSUs, cooling solutions, computer cases, DRAM modules,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high-end prebuilt and custom-built gaming PCs, among others.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Further information on our industry, our market opportunity and competitive strengths is presented in Part I, Item 1, “Business” of this Annual Report on Form 10-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K.</w:t>
      </w:r>
    </w:p>
    <w:p>
      <w:pPr>
        <w:spacing w:after="0" w:line="101" w:lineRule="exact"/>
        <w:rPr>
          <w:sz w:val="20"/>
          <w:szCs w:val="20"/>
          <w:color w:val="auto"/>
        </w:rPr>
      </w:pPr>
    </w:p>
    <w:p>
      <w:pPr>
        <w:ind w:right="80" w:firstLine="469"/>
        <w:spacing w:after="0" w:line="284" w:lineRule="auto"/>
        <w:rPr>
          <w:sz w:val="20"/>
          <w:szCs w:val="20"/>
          <w:color w:val="auto"/>
        </w:rPr>
      </w:pPr>
      <w:r>
        <w:rPr>
          <w:rFonts w:ascii="Arial" w:cs="Arial" w:eastAsia="Arial" w:hAnsi="Arial"/>
          <w:sz w:val="15"/>
          <w:szCs w:val="15"/>
          <w:color w:val="auto"/>
        </w:rPr>
        <w:t>Our net revenue was $1,904.1 million, $1,702.4 million, and $1,097.2 million for the years ended December 31, 2021, 2020, and 2019, respectively. We had net income (loss) of $101.0 million, $103.2 million and $(8.4) million, respectively. Net cash provided by operating activities was $20.2 million, $169.0 million, and $37.1 million for the years ended December 31, 2021, 2020, and 2019, respectively. We continue to experience a shift in net revenue towards a more significant mix of our higher margin gamer and creator peripherals segment, which represented 34.0%, 31.7% and 26.8% of total net revenue for the years ended December 31, 2021, 2020 and 2019, respectively. As our product portfolio continues to expand, our go-to-market model has also been evolving with an increased mix of direct-to-consumer sales representing 10.7%, 8.6% and 2.7% of total net revenue for the years ended December 31, 2021, 2020 and 2019, respectively.</w:t>
      </w:r>
    </w:p>
    <w:p>
      <w:pPr>
        <w:spacing w:after="0" w:line="58" w:lineRule="exact"/>
        <w:rPr>
          <w:sz w:val="20"/>
          <w:szCs w:val="20"/>
          <w:color w:val="auto"/>
        </w:rPr>
      </w:pPr>
    </w:p>
    <w:p>
      <w:pPr>
        <w:ind w:firstLine="469"/>
        <w:spacing w:after="0" w:line="282" w:lineRule="auto"/>
        <w:rPr>
          <w:sz w:val="20"/>
          <w:szCs w:val="20"/>
          <w:color w:val="auto"/>
        </w:rPr>
      </w:pPr>
      <w:r>
        <w:rPr>
          <w:rFonts w:ascii="Arial" w:cs="Arial" w:eastAsia="Arial" w:hAnsi="Arial"/>
          <w:sz w:val="15"/>
          <w:szCs w:val="15"/>
          <w:color w:val="auto"/>
        </w:rPr>
        <w:t>Our net revenue increased 55.2% in 2020, as compared to 2019, primarily due to a larger number of consumers gaming and working from home as a result of the COVID-19 pandemic. Going into 2021, while the lockdowns and shelter-in-place restrictions were gradually lifted, our net revenue continued to grow by 11.8%, despite the negative impact from the global supply chain and logistics challenges as well as the shortages of reasonably priced GPUs, which led to a decrease in demand for self-built gaming PCs and systems and its related components. We also experienced higher cost of goods sold in 2021 primarily related to expenses on freight and logistics due to supply chain and logistics issues. The full extent of the impact of COVID-19 pandemic remains uncertain, which has and may continue to negatively impact our net revenue and gross margin. While we experienced the aforementioned challenges in 2021 caused by the COIVD-19 pandemic, our 2021 revenue and gross profits represented strong growth from 2019, pre-pandemic, by 73.5% and 129.1%, respectively.</w:t>
      </w:r>
    </w:p>
    <w:p>
      <w:pPr>
        <w:spacing w:after="0" w:line="62" w:lineRule="exact"/>
        <w:rPr>
          <w:sz w:val="20"/>
          <w:szCs w:val="20"/>
          <w:color w:val="auto"/>
        </w:rPr>
      </w:pPr>
    </w:p>
    <w:p>
      <w:pPr>
        <w:ind w:right="40" w:firstLine="469"/>
        <w:spacing w:after="0" w:line="265" w:lineRule="auto"/>
        <w:rPr>
          <w:sz w:val="20"/>
          <w:szCs w:val="20"/>
          <w:color w:val="auto"/>
        </w:rPr>
      </w:pPr>
      <w:r>
        <w:rPr>
          <w:rFonts w:ascii="Arial" w:cs="Arial" w:eastAsia="Arial" w:hAnsi="Arial"/>
          <w:sz w:val="16"/>
          <w:szCs w:val="16"/>
          <w:color w:val="auto"/>
        </w:rPr>
        <w:t>In the last 18 months, we have entered into three large new markets: microphones and cameras for content creators and gaming monitors for both gamers and content creators. In addition, we have launched 141 new products in 2021. Over the longer term, we believe we will be able to continue to grow in new markets as well as the markets that we participate in through innovation and leading technologies and entry into new categories via organic growth or acquisition. Since 2018, we have completed eight acquisitions, including our acquisition of a 51% of the share capital of iDisplay Technology, or “iDisplay”, a leader in electronic development and design specializing in display technology, in January 2022.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Business</w:t>
      </w:r>
    </w:p>
    <w:p>
      <w:pPr>
        <w:spacing w:after="0" w:line="116" w:lineRule="exact"/>
        <w:rPr>
          <w:sz w:val="20"/>
          <w:szCs w:val="20"/>
          <w:color w:val="auto"/>
        </w:rPr>
      </w:pPr>
    </w:p>
    <w:p>
      <w:pPr>
        <w:ind w:right="100" w:firstLine="469"/>
        <w:spacing w:after="0" w:line="289" w:lineRule="auto"/>
        <w:rPr>
          <w:sz w:val="20"/>
          <w:szCs w:val="20"/>
          <w:color w:val="auto"/>
        </w:rPr>
      </w:pPr>
      <w:r>
        <w:rPr>
          <w:rFonts w:ascii="Arial" w:cs="Arial" w:eastAsia="Arial" w:hAnsi="Arial"/>
          <w:sz w:val="16"/>
          <w:szCs w:val="16"/>
          <w:color w:val="auto"/>
        </w:rPr>
        <w:t>Our results of operations and financial condition are affected by numerous factors, including those discussed in the section titled “Risk Factors” in Part I, Item 1A of this Annual Report on Form 10-K and those described below.</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Impact of Industry Trends</w:t>
      </w:r>
      <w:r>
        <w:rPr>
          <w:rFonts w:ascii="Arial" w:cs="Arial" w:eastAsia="Arial" w:hAnsi="Arial"/>
          <w:sz w:val="16"/>
          <w:szCs w:val="16"/>
          <w:color w:val="auto"/>
        </w:rPr>
        <w:t>. Our results of operations and financial condition are impacted by industry trends in the gaming market, including:</w:t>
      </w:r>
    </w:p>
    <w:p>
      <w:pPr>
        <w:spacing w:after="0" w:line="112" w:lineRule="exact"/>
        <w:rPr>
          <w:sz w:val="20"/>
          <w:szCs w:val="20"/>
          <w:color w:val="auto"/>
        </w:rPr>
      </w:pPr>
    </w:p>
    <w:p>
      <w:pPr>
        <w:ind w:left="1020" w:right="120" w:hanging="553"/>
        <w:spacing w:after="0" w:line="268"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Increasing gaming engagement</w:t>
      </w:r>
      <w:r>
        <w:rPr>
          <w:rFonts w:ascii="Arial" w:cs="Arial" w:eastAsia="Arial" w:hAnsi="Arial"/>
          <w:sz w:val="16"/>
          <w:szCs w:val="16"/>
          <w:color w:val="auto"/>
        </w:rPr>
        <w:t>. We believe that gaming’s increasing time share of global entertainment consumption will drive continued growth in</w:t>
      </w:r>
      <w:r>
        <w:rPr>
          <w:rFonts w:ascii="Arial" w:cs="Arial" w:eastAsia="Arial" w:hAnsi="Arial"/>
          <w:sz w:val="16"/>
          <w:szCs w:val="16"/>
          <w:i w:val="1"/>
          <w:iCs w:val="1"/>
          <w:color w:val="auto"/>
        </w:rPr>
        <w:t xml:space="preserve"> </w:t>
      </w:r>
      <w:r>
        <w:rPr>
          <w:rFonts w:ascii="Arial" w:cs="Arial" w:eastAsia="Arial" w:hAnsi="Arial"/>
          <w:sz w:val="16"/>
          <w:szCs w:val="16"/>
          <w:color w:val="auto"/>
        </w:rPr>
        <w:t>spending on both games and gaming gear. Gaming continues to become increasingly social and streaming viewership is more widely adopted along with increasing numbers of content creators. We believe this trend, which has accelerated in the current environment, will continue and we are well positioned to serve the streaming market with best-in-class tools for content creation.</w:t>
      </w:r>
    </w:p>
    <w:p>
      <w:pPr>
        <w:spacing w:after="0" w:line="66" w:lineRule="exact"/>
        <w:rPr>
          <w:rFonts w:ascii="Arial" w:cs="Arial" w:eastAsia="Arial" w:hAnsi="Arial"/>
          <w:sz w:val="16"/>
          <w:szCs w:val="16"/>
          <w:color w:val="auto"/>
        </w:rPr>
      </w:pPr>
    </w:p>
    <w:p>
      <w:pPr>
        <w:ind w:left="1020" w:hanging="553"/>
        <w:spacing w:after="0" w:line="281" w:lineRule="auto"/>
        <w:tabs>
          <w:tab w:leader="none" w:pos="102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Introduction of new high-performance computing hardware and sophisticated games</w:t>
      </w:r>
      <w:r>
        <w:rPr>
          <w:rFonts w:ascii="Arial" w:cs="Arial" w:eastAsia="Arial" w:hAnsi="Arial"/>
          <w:sz w:val="15"/>
          <w:szCs w:val="15"/>
          <w:color w:val="auto"/>
        </w:rPr>
        <w:t>. We believe that the introduction of more powerful CPUs and GPUs</w:t>
      </w:r>
      <w:r>
        <w:rPr>
          <w:rFonts w:ascii="Arial" w:cs="Arial" w:eastAsia="Arial" w:hAnsi="Arial"/>
          <w:sz w:val="15"/>
          <w:szCs w:val="15"/>
          <w:i w:val="1"/>
          <w:iCs w:val="1"/>
          <w:color w:val="auto"/>
        </w:rPr>
        <w:t xml:space="preserve"> </w:t>
      </w:r>
      <w:r>
        <w:rPr>
          <w:rFonts w:ascii="Arial" w:cs="Arial" w:eastAsia="Arial" w:hAnsi="Arial"/>
          <w:sz w:val="15"/>
          <w:szCs w:val="15"/>
          <w:color w:val="auto"/>
        </w:rPr>
        <w:t>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61" w:lineRule="exact"/>
        <w:rPr>
          <w:sz w:val="20"/>
          <w:szCs w:val="20"/>
          <w:color w:val="auto"/>
        </w:rPr>
      </w:pPr>
    </w:p>
    <w:p>
      <w:pPr>
        <w:ind w:right="60" w:firstLine="465"/>
        <w:spacing w:after="0" w:line="265" w:lineRule="auto"/>
        <w:rPr>
          <w:sz w:val="20"/>
          <w:szCs w:val="20"/>
          <w:color w:val="auto"/>
        </w:rPr>
      </w:pPr>
      <w:r>
        <w:rPr>
          <w:rFonts w:ascii="Arial" w:cs="Arial" w:eastAsia="Arial" w:hAnsi="Arial"/>
          <w:sz w:val="16"/>
          <w:szCs w:val="16"/>
          <w:b w:val="1"/>
          <w:bCs w:val="1"/>
          <w:i w:val="1"/>
          <w:iCs w:val="1"/>
          <w:color w:val="auto"/>
        </w:rPr>
        <w:t>Impact of Product Mix</w:t>
      </w:r>
      <w:r>
        <w:rPr>
          <w:rFonts w:ascii="Arial" w:cs="Arial" w:eastAsia="Arial" w:hAnsi="Arial"/>
          <w:sz w:val="16"/>
          <w:szCs w:val="16"/>
          <w:color w:val="auto"/>
        </w:rPr>
        <w:t>. Our gamer and creator peripherals segment has a higher gross margin than our gaming components and systems segment. As a result,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69" w:lineRule="exact"/>
        <w:rPr>
          <w:sz w:val="20"/>
          <w:szCs w:val="20"/>
          <w:color w:val="auto"/>
        </w:rPr>
      </w:pPr>
    </w:p>
    <w:p>
      <w:pPr>
        <w:ind w:right="160" w:firstLine="465"/>
        <w:spacing w:after="0" w:line="302" w:lineRule="auto"/>
        <w:rPr>
          <w:sz w:val="20"/>
          <w:szCs w:val="20"/>
          <w:color w:val="auto"/>
        </w:rPr>
      </w:pPr>
      <w:r>
        <w:rPr>
          <w:rFonts w:ascii="Arial" w:cs="Arial" w:eastAsia="Arial" w:hAnsi="Arial"/>
          <w:sz w:val="14"/>
          <w:szCs w:val="14"/>
          <w:b w:val="1"/>
          <w:bCs w:val="1"/>
          <w:i w:val="1"/>
          <w:iCs w:val="1"/>
          <w:color w:val="auto"/>
        </w:rPr>
        <w:t>Impact of Customer Concentration</w:t>
      </w:r>
      <w:r>
        <w:rPr>
          <w:rFonts w:ascii="Arial" w:cs="Arial" w:eastAsia="Arial" w:hAnsi="Arial"/>
          <w:sz w:val="14"/>
          <w:szCs w:val="14"/>
          <w:color w:val="auto"/>
        </w:rPr>
        <w:t>. We operate a global sales network that consists primarily of retailers (including eRetailers), as well as distributors we use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access certain retailers. Further, a limited number of retailers and distributors represent a significant portion of our net revenue, with eRetailer Amazon accounting for</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26.7%, 24.6% and 25.1% of our net revenue for 2021, 2020, and 2019, respectively, and sales to our ten largest customers accounting for approximately 51.7%, 52.7%, and 51.6% of our net revenue for the same periods,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77" w:lineRule="exact"/>
        <w:rPr>
          <w:sz w:val="20"/>
          <w:szCs w:val="20"/>
          <w:color w:val="auto"/>
        </w:rPr>
      </w:pPr>
    </w:p>
    <w:p>
      <w:pPr>
        <w:ind w:right="260" w:firstLine="465"/>
        <w:spacing w:after="0" w:line="263" w:lineRule="auto"/>
        <w:rPr>
          <w:sz w:val="20"/>
          <w:szCs w:val="20"/>
          <w:color w:val="auto"/>
        </w:rPr>
      </w:pPr>
      <w:r>
        <w:rPr>
          <w:rFonts w:ascii="Arial" w:cs="Arial" w:eastAsia="Arial" w:hAnsi="Arial"/>
          <w:sz w:val="16"/>
          <w:szCs w:val="16"/>
          <w:b w:val="1"/>
          <w:bCs w:val="1"/>
          <w:i w:val="1"/>
          <w:iCs w:val="1"/>
          <w:color w:val="auto"/>
        </w:rPr>
        <w:t>Impact of New Product Introductions</w:t>
      </w:r>
      <w:r>
        <w:rPr>
          <w:rFonts w:ascii="Arial" w:cs="Arial" w:eastAsia="Arial" w:hAnsi="Arial"/>
          <w:sz w:val="16"/>
          <w:szCs w:val="16"/>
          <w:color w:val="auto"/>
        </w:rPr>
        <w:t>. Gamers demand new technology and product features, and we expect our ability to accurately anticipate and meet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demands will be one of the main drivers for any future sales growth and market share expansion. In 2021, we had several product introductions that had a favorable impact on our net revenue and operating results, such as the introduction of our new K65 mini RGB keyboard, Elgato’s new accessories including our new Facecam, Corsair DDR5 memory and new high-performance gaming controllers including SCUF Reflex, Reflex Pro and Reflex FPS, among others. However, there can be no assurance that our new product introductions will have a favorable impact on our operating results or that customers will choose our new gear over those of our competitors.</w:t>
      </w:r>
    </w:p>
    <w:p>
      <w:pPr>
        <w:spacing w:after="0" w:line="172" w:lineRule="exact"/>
        <w:rPr>
          <w:sz w:val="20"/>
          <w:szCs w:val="20"/>
          <w:color w:val="auto"/>
        </w:rPr>
      </w:pPr>
    </w:p>
    <w:p>
      <w:pPr>
        <w:ind w:right="40" w:firstLine="465"/>
        <w:spacing w:after="0" w:line="287" w:lineRule="auto"/>
        <w:rPr>
          <w:sz w:val="20"/>
          <w:szCs w:val="20"/>
          <w:color w:val="auto"/>
        </w:rPr>
      </w:pPr>
      <w:r>
        <w:rPr>
          <w:rFonts w:ascii="Arial" w:cs="Arial" w:eastAsia="Arial" w:hAnsi="Arial"/>
          <w:sz w:val="15"/>
          <w:szCs w:val="15"/>
          <w:b w:val="1"/>
          <w:bCs w:val="1"/>
          <w:i w:val="1"/>
          <w:iCs w:val="1"/>
          <w:color w:val="auto"/>
        </w:rPr>
        <w:t xml:space="preserve">Impact of Seasonal Sales Trends. </w:t>
      </w:r>
      <w:r>
        <w:rPr>
          <w:rFonts w:ascii="Arial" w:cs="Arial" w:eastAsia="Arial" w:hAnsi="Arial"/>
          <w:sz w:val="15"/>
          <w:szCs w:val="15"/>
          <w:color w:val="auto"/>
        </w:rPr>
        <w:t>Since 2020, our revenue seasonality has been impacted positively and negatively, and thus has not followed historic patterns,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buying 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157" w:lineRule="exact"/>
        <w:rPr>
          <w:sz w:val="20"/>
          <w:szCs w:val="20"/>
          <w:color w:val="auto"/>
        </w:rPr>
      </w:pPr>
    </w:p>
    <w:p>
      <w:pPr>
        <w:ind w:right="40" w:firstLine="465"/>
        <w:spacing w:after="0" w:line="287" w:lineRule="auto"/>
        <w:rPr>
          <w:sz w:val="20"/>
          <w:szCs w:val="20"/>
          <w:color w:val="auto"/>
        </w:rPr>
      </w:pPr>
      <w:r>
        <w:rPr>
          <w:rFonts w:ascii="Arial" w:cs="Arial" w:eastAsia="Arial" w:hAnsi="Arial"/>
          <w:sz w:val="15"/>
          <w:szCs w:val="15"/>
          <w:b w:val="1"/>
          <w:bCs w:val="1"/>
          <w:i w:val="1"/>
          <w:iCs w:val="1"/>
          <w:color w:val="auto"/>
        </w:rPr>
        <w:t>Impact of Fluctuations in Currency Exchange Rates</w:t>
      </w:r>
      <w:r>
        <w:rPr>
          <w:rFonts w:ascii="Arial" w:cs="Arial" w:eastAsia="Arial" w:hAnsi="Arial"/>
          <w:sz w:val="15"/>
          <w:szCs w:val="15"/>
          <w:color w:val="auto"/>
        </w:rPr>
        <w:t>. We are subject to inherent risks attributed to operating in a global economy. Some of our international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As a result of our foreign sales and operations, we have other expenses, assets and liabilities that are denominated in foreign currencies, in particular the Chinese Yuan, Euro and British Pound.</w:t>
      </w:r>
    </w:p>
    <w:p>
      <w:pPr>
        <w:spacing w:after="0" w:line="153" w:lineRule="exact"/>
        <w:rPr>
          <w:sz w:val="20"/>
          <w:szCs w:val="20"/>
          <w:color w:val="auto"/>
        </w:rPr>
      </w:pPr>
    </w:p>
    <w:p>
      <w:pPr>
        <w:ind w:right="20" w:firstLine="469"/>
        <w:spacing w:after="0" w:line="280" w:lineRule="auto"/>
        <w:rPr>
          <w:sz w:val="20"/>
          <w:szCs w:val="20"/>
          <w:color w:val="auto"/>
        </w:rPr>
      </w:pPr>
      <w:r>
        <w:rPr>
          <w:rFonts w:ascii="Arial" w:cs="Arial" w:eastAsia="Arial" w:hAnsi="Arial"/>
          <w:sz w:val="15"/>
          <w:szCs w:val="15"/>
          <w:b w:val="1"/>
          <w:bCs w:val="1"/>
          <w:i w:val="1"/>
          <w:iCs w:val="1"/>
          <w:color w:val="auto"/>
        </w:rPr>
        <w:t xml:space="preserve">Impact of COVID-19. </w:t>
      </w:r>
      <w:r>
        <w:rPr>
          <w:rFonts w:ascii="Arial" w:cs="Arial" w:eastAsia="Arial" w:hAnsi="Arial"/>
          <w:sz w:val="15"/>
          <w:szCs w:val="15"/>
          <w:color w:val="auto"/>
        </w:rPr>
        <w:t>Due to the COVID-19 pandemic, there has been and will continue to be uncertainty and disruption in the global economy and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Since early 2020, we have experienced some business disruptions due to COVID-19, including the stoppage in our factories in early 2020, disruption in our supply chain and increased distribution costs in 2021, which led to increases in operating costs such as the significantly elevated ocean freight costs we incurred in the second half of 2021 as compared to the same period of 2020. These negative financial impacts have been offset by revenue growth in 2020 and 2021, partly due to an increase in demand for our gear as more people are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and could continue to, result in shelter-in-place and other similar restrictions being eased. Such easing of restrictions likely has, and will continue to, result in consumers returning to other alternative forms of entertainment and interaction. This in turn has, and could continue to, result in a decline in demand for our products. The full extent of the impact of the COVID-19 pandemic on our business, results of operations, cash flows and financial position will depend on future developments, which are highly uncertain and cannot be fully predicted.</w:t>
      </w:r>
    </w:p>
    <w:p>
      <w:pPr>
        <w:spacing w:after="0" w:line="159" w:lineRule="exact"/>
        <w:rPr>
          <w:sz w:val="20"/>
          <w:szCs w:val="20"/>
          <w:color w:val="auto"/>
        </w:rPr>
      </w:pPr>
    </w:p>
    <w:p>
      <w:pPr>
        <w:ind w:right="80" w:firstLine="511"/>
        <w:spacing w:after="0" w:line="329" w:lineRule="auto"/>
        <w:rPr>
          <w:sz w:val="20"/>
          <w:szCs w:val="20"/>
          <w:color w:val="auto"/>
        </w:rPr>
      </w:pPr>
      <w:r>
        <w:rPr>
          <w:rFonts w:ascii="Arial" w:cs="Arial" w:eastAsia="Arial" w:hAnsi="Arial"/>
          <w:sz w:val="14"/>
          <w:szCs w:val="14"/>
          <w:color w:val="auto"/>
        </w:rPr>
        <w:t>We continue to evaluate the nature and extent of the impact of the COVID-19 pandemic to our business and we have implemented various measures to attempt to mitigate the disruptive logistics impact to our business, specifically around managing inventory stocking level at our distribution hubs and determining the mode of shipment used to deploy our gear to the customers, and we are also ready to implement adjustments to our expenses and cash flow in the event of declines in revenues.</w:t>
      </w:r>
    </w:p>
    <w:p>
      <w:pPr>
        <w:spacing w:after="0" w:line="127" w:lineRule="exact"/>
        <w:rPr>
          <w:sz w:val="20"/>
          <w:szCs w:val="20"/>
          <w:color w:val="auto"/>
        </w:rPr>
      </w:pPr>
    </w:p>
    <w:p>
      <w:pPr>
        <w:ind w:right="160" w:firstLine="469"/>
        <w:spacing w:after="0" w:line="268" w:lineRule="auto"/>
        <w:rPr>
          <w:sz w:val="20"/>
          <w:szCs w:val="20"/>
          <w:color w:val="auto"/>
        </w:rPr>
      </w:pPr>
      <w:r>
        <w:rPr>
          <w:rFonts w:ascii="Arial" w:cs="Arial" w:eastAsia="Arial" w:hAnsi="Arial"/>
          <w:sz w:val="16"/>
          <w:szCs w:val="16"/>
          <w:b w:val="1"/>
          <w:bCs w:val="1"/>
          <w:i w:val="1"/>
          <w:iCs w:val="1"/>
          <w:color w:val="auto"/>
        </w:rPr>
        <w:t>Impact of Fluctuations in Integrated Circuits Pricing</w:t>
      </w:r>
      <w:r>
        <w:rPr>
          <w:rFonts w:ascii="Arial" w:cs="Arial" w:eastAsia="Arial" w:hAnsi="Arial"/>
          <w:sz w:val="16"/>
          <w:szCs w:val="16"/>
          <w:color w:val="auto"/>
        </w:rPr>
        <w:t>. Integrated circuits, or ICs, account for most of the cost of producing our high-performance memory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12" w:lineRule="exact"/>
        <w:rPr>
          <w:sz w:val="20"/>
          <w:szCs w:val="20"/>
          <w:color w:val="auto"/>
        </w:rPr>
      </w:pPr>
    </w:p>
    <w:p>
      <w:pPr>
        <w:ind w:right="100" w:firstLine="469"/>
        <w:spacing w:after="0" w:line="365" w:lineRule="auto"/>
        <w:rPr>
          <w:sz w:val="20"/>
          <w:szCs w:val="20"/>
          <w:color w:val="auto"/>
        </w:rPr>
      </w:pPr>
      <w:r>
        <w:rPr>
          <w:rFonts w:ascii="Arial" w:cs="Arial" w:eastAsia="Arial" w:hAnsi="Arial"/>
          <w:sz w:val="14"/>
          <w:szCs w:val="14"/>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2" w:lineRule="exact"/>
        <w:rPr>
          <w:sz w:val="20"/>
          <w:szCs w:val="20"/>
          <w:color w:val="auto"/>
        </w:rPr>
      </w:pPr>
    </w:p>
    <w:p>
      <w:pPr>
        <w:ind w:firstLine="469"/>
        <w:spacing w:after="0" w:line="273" w:lineRule="auto"/>
        <w:rPr>
          <w:sz w:val="20"/>
          <w:szCs w:val="20"/>
          <w:color w:val="auto"/>
        </w:rPr>
      </w:pPr>
      <w:r>
        <w:rPr>
          <w:rFonts w:ascii="Arial" w:cs="Arial" w:eastAsia="Arial" w:hAnsi="Arial"/>
          <w:sz w:val="16"/>
          <w:szCs w:val="16"/>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and certain allocated costs related to facilities and information technology, or IT, and personnel-related expenses and other operating expenses related to supply chain logistics.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consist of sales, general and administrative expenses and product development expenses.</w:t>
      </w:r>
    </w:p>
    <w:p>
      <w:pPr>
        <w:spacing w:after="0" w:line="112" w:lineRule="exact"/>
        <w:rPr>
          <w:sz w:val="20"/>
          <w:szCs w:val="20"/>
          <w:color w:val="auto"/>
        </w:rPr>
      </w:pPr>
    </w:p>
    <w:p>
      <w:pPr>
        <w:ind w:right="120" w:firstLine="465"/>
        <w:spacing w:after="0" w:line="284" w:lineRule="auto"/>
        <w:rPr>
          <w:sz w:val="20"/>
          <w:szCs w:val="20"/>
          <w:color w:val="auto"/>
        </w:rPr>
      </w:pPr>
      <w:r>
        <w:rPr>
          <w:rFonts w:ascii="Arial" w:cs="Arial" w:eastAsia="Arial" w:hAnsi="Arial"/>
          <w:sz w:val="15"/>
          <w:szCs w:val="15"/>
          <w:i w:val="1"/>
          <w:iCs w:val="1"/>
          <w:color w:val="auto"/>
        </w:rPr>
        <w:t xml:space="preserve">Sales, general and administrative. </w:t>
      </w:r>
      <w:r>
        <w:rPr>
          <w:rFonts w:ascii="Arial" w:cs="Arial" w:eastAsia="Arial" w:hAnsi="Arial"/>
          <w:sz w:val="15"/>
          <w:szCs w:val="15"/>
          <w:color w:val="auto"/>
        </w:rPr>
        <w:t>Sales, general and administrative, or SG&amp;A expenses represent the largest component of our operating expenses and consist of</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58" w:lineRule="exact"/>
        <w:rPr>
          <w:sz w:val="20"/>
          <w:szCs w:val="20"/>
          <w:color w:val="auto"/>
        </w:rPr>
      </w:pPr>
    </w:p>
    <w:p>
      <w:pPr>
        <w:ind w:right="100" w:firstLine="465"/>
        <w:spacing w:after="0" w:line="273" w:lineRule="auto"/>
        <w:rPr>
          <w:sz w:val="20"/>
          <w:szCs w:val="20"/>
          <w:color w:val="auto"/>
        </w:rPr>
      </w:pPr>
      <w:r>
        <w:rPr>
          <w:rFonts w:ascii="Arial" w:cs="Arial" w:eastAsia="Arial" w:hAnsi="Arial"/>
          <w:sz w:val="16"/>
          <w:szCs w:val="16"/>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consulting costs.</w:t>
      </w:r>
    </w:p>
    <w:p>
      <w:pPr>
        <w:spacing w:after="0" w:line="63" w:lineRule="exact"/>
        <w:rPr>
          <w:sz w:val="20"/>
          <w:szCs w:val="20"/>
          <w:color w:val="auto"/>
        </w:rPr>
      </w:pPr>
    </w:p>
    <w:p>
      <w:pPr>
        <w:ind w:right="100" w:firstLine="465"/>
        <w:spacing w:after="0" w:line="329" w:lineRule="auto"/>
        <w:rPr>
          <w:sz w:val="20"/>
          <w:szCs w:val="20"/>
          <w:color w:val="auto"/>
        </w:rPr>
      </w:pPr>
      <w:r>
        <w:rPr>
          <w:rFonts w:ascii="Arial" w:cs="Arial" w:eastAsia="Arial" w:hAnsi="Arial"/>
          <w:sz w:val="14"/>
          <w:szCs w:val="14"/>
          <w:i w:val="1"/>
          <w:iCs w:val="1"/>
          <w:color w:val="auto"/>
        </w:rPr>
        <w:t>Product development</w:t>
      </w:r>
      <w:r>
        <w:rPr>
          <w:rFonts w:ascii="Arial" w:cs="Arial" w:eastAsia="Arial" w:hAnsi="Arial"/>
          <w:sz w:val="14"/>
          <w:szCs w:val="14"/>
          <w:color w:val="auto"/>
        </w:rPr>
        <w:t>. Product development costs are generally expensed as incurred. Product development costs consist primarily of the costs associated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29" w:lineRule="exact"/>
        <w:rPr>
          <w:sz w:val="20"/>
          <w:szCs w:val="20"/>
          <w:color w:val="auto"/>
        </w:rPr>
      </w:pPr>
    </w:p>
    <w:p>
      <w:pPr>
        <w:ind w:right="460" w:firstLine="465"/>
        <w:spacing w:after="0" w:line="289" w:lineRule="auto"/>
        <w:rPr>
          <w:sz w:val="20"/>
          <w:szCs w:val="20"/>
          <w:color w:val="auto"/>
        </w:rPr>
      </w:pPr>
      <w:r>
        <w:rPr>
          <w:rFonts w:ascii="Arial" w:cs="Arial" w:eastAsia="Arial" w:hAnsi="Arial"/>
          <w:sz w:val="16"/>
          <w:szCs w:val="16"/>
          <w:color w:val="auto"/>
        </w:rPr>
        <w:t>We expect our product development expenses to increase in absolute dollars as we continue to make significant investments in developing new products and enhancing existing products.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2" w:lineRule="exact"/>
        <w:rPr>
          <w:sz w:val="20"/>
          <w:szCs w:val="20"/>
          <w:color w:val="auto"/>
        </w:rPr>
      </w:pPr>
    </w:p>
    <w:p>
      <w:pPr>
        <w:jc w:val="both"/>
        <w:ind w:right="20" w:firstLine="469"/>
        <w:spacing w:after="0" w:line="273" w:lineRule="auto"/>
        <w:rPr>
          <w:sz w:val="20"/>
          <w:szCs w:val="20"/>
          <w:color w:val="auto"/>
        </w:rPr>
      </w:pPr>
      <w:r>
        <w:rPr>
          <w:rFonts w:ascii="Arial" w:cs="Arial" w:eastAsia="Arial" w:hAnsi="Arial"/>
          <w:sz w:val="16"/>
          <w:szCs w:val="16"/>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 and the change in fair value of our interest rate cap contracts.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Income, Net</w:t>
      </w:r>
    </w:p>
    <w:p>
      <w:pPr>
        <w:spacing w:after="0" w:line="112" w:lineRule="exact"/>
        <w:rPr>
          <w:sz w:val="20"/>
          <w:szCs w:val="20"/>
          <w:color w:val="auto"/>
        </w:rPr>
      </w:pPr>
    </w:p>
    <w:p>
      <w:pPr>
        <w:ind w:right="100" w:firstLine="469"/>
        <w:spacing w:after="0" w:line="273" w:lineRule="auto"/>
        <w:rPr>
          <w:sz w:val="20"/>
          <w:szCs w:val="20"/>
          <w:color w:val="auto"/>
        </w:rPr>
      </w:pPr>
      <w:r>
        <w:rPr>
          <w:rFonts w:ascii="Arial" w:cs="Arial" w:eastAsia="Arial" w:hAnsi="Arial"/>
          <w:sz w:val="16"/>
          <w:szCs w:val="16"/>
          <w:color w:val="auto"/>
        </w:rPr>
        <w:t>Other (expense) income, net consists primarily of our foreign currency exchange gains and losses relating to transactions and remeasurement of asset and liability balances denominated in foreign currencies. We expect our foreign currency gains and losses to continue to fluctuate in the future due to changes in foreign currency exchange rates.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112" w:lineRule="exact"/>
        <w:rPr>
          <w:sz w:val="20"/>
          <w:szCs w:val="20"/>
          <w:color w:val="auto"/>
        </w:rPr>
      </w:pPr>
    </w:p>
    <w:p>
      <w:pPr>
        <w:ind w:right="80" w:firstLine="469"/>
        <w:spacing w:after="0" w:line="268"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66" w:lineRule="exact"/>
        <w:rPr>
          <w:sz w:val="20"/>
          <w:szCs w:val="20"/>
          <w:color w:val="auto"/>
        </w:rPr>
      </w:pPr>
    </w:p>
    <w:p>
      <w:pPr>
        <w:ind w:firstLine="465"/>
        <w:spacing w:after="0" w:line="27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6" w:lineRule="exact"/>
        <w:rPr>
          <w:sz w:val="20"/>
          <w:szCs w:val="20"/>
          <w:color w:val="auto"/>
        </w:rPr>
      </w:pPr>
    </w:p>
    <w:p>
      <w:pPr>
        <w:ind w:right="420" w:firstLine="469"/>
        <w:spacing w:after="0" w:line="289" w:lineRule="auto"/>
        <w:rPr>
          <w:sz w:val="20"/>
          <w:szCs w:val="20"/>
          <w:color w:val="auto"/>
        </w:rPr>
      </w:pPr>
      <w:r>
        <w:rPr>
          <w:rFonts w:ascii="Arial" w:cs="Arial" w:eastAsia="Arial" w:hAnsi="Arial"/>
          <w:sz w:val="16"/>
          <w:szCs w:val="16"/>
          <w:color w:val="auto"/>
        </w:rPr>
        <w:t>The following tables set forth the components of our consolidated statements of operations, in dollars and as a percentage of total net revenue, for each of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3"/>
                <w:szCs w:val="13"/>
                <w:b w:val="1"/>
                <w:bCs w:val="1"/>
                <w:color w:val="auto"/>
                <w:w w:val="92"/>
              </w:rPr>
              <w:t>Year Ended December 31,</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9"/>
              <w:spacing w:after="0" w:line="141"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9"/>
              <w:spacing w:after="0" w:line="141"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w w:val="98"/>
              </w:rPr>
              <w:t>(in thousands)</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revenue</w:t>
            </w:r>
          </w:p>
        </w:tc>
        <w:tc>
          <w:tcPr>
            <w:tcW w:w="380" w:type="dxa"/>
            <w:vAlign w:val="bottom"/>
            <w:gridSpan w:val="3"/>
            <w:shd w:val="clear" w:color="auto" w:fill="CFF0FC"/>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1,904,060</w:t>
            </w:r>
          </w:p>
        </w:tc>
        <w:tc>
          <w:tcPr>
            <w:tcW w:w="60" w:type="dxa"/>
            <w:vAlign w:val="bottom"/>
            <w:shd w:val="clear" w:color="auto" w:fill="CFF0FC"/>
          </w:tcPr>
          <w:p>
            <w:pPr>
              <w:spacing w:after="0"/>
              <w:rPr>
                <w:sz w:val="18"/>
                <w:szCs w:val="18"/>
                <w:color w:val="auto"/>
              </w:rPr>
            </w:pPr>
          </w:p>
        </w:tc>
        <w:tc>
          <w:tcPr>
            <w:tcW w:w="360" w:type="dxa"/>
            <w:vAlign w:val="bottom"/>
            <w:gridSpan w:val="4"/>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1,702,367</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1,097,174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1,390,206</w:t>
            </w: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1,236,938</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872,887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513,854</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465,429</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224,287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general and administrative</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315,672</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257,004</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163,033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Product development</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60,288</w:t>
            </w: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50,064</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37,547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375,960</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307,068</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200,580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0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137,894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158,361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23,707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(17,673)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6"/>
                <w:szCs w:val="16"/>
                <w:color w:val="auto"/>
              </w:rPr>
              <w:t>(35,137)</w:t>
            </w:r>
          </w:p>
        </w:tc>
        <w:tc>
          <w:tcPr>
            <w:tcW w:w="240" w:type="dxa"/>
            <w:vAlign w:val="bottom"/>
          </w:tcPr>
          <w:p>
            <w:pPr>
              <w:spacing w:after="0"/>
              <w:rPr>
                <w:sz w:val="18"/>
                <w:szCs w:val="18"/>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6"/>
                <w:szCs w:val="16"/>
                <w:color w:val="auto"/>
              </w:rPr>
              <w:t>(35,548)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(5,661)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Arial" w:cs="Arial" w:eastAsia="Arial" w:hAnsi="Arial"/>
                <w:sz w:val="16"/>
                <w:szCs w:val="16"/>
                <w:color w:val="auto"/>
              </w:rPr>
              <w:t>(1,182)</w:t>
            </w:r>
          </w:p>
        </w:tc>
        <w:tc>
          <w:tcPr>
            <w:tcW w:w="240" w:type="dxa"/>
            <w:vAlign w:val="bottom"/>
            <w:shd w:val="clear" w:color="auto" w:fill="CFF0FC"/>
          </w:tcPr>
          <w:p>
            <w:pPr>
              <w:spacing w:after="0"/>
              <w:rPr>
                <w:sz w:val="18"/>
                <w:szCs w:val="18"/>
                <w:color w:val="auto"/>
              </w:rPr>
            </w:pPr>
          </w:p>
        </w:tc>
        <w:tc>
          <w:tcPr>
            <w:tcW w:w="118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1"/>
        </w:trPr>
        <w:tc>
          <w:tcPr>
            <w:tcW w:w="6500" w:type="dxa"/>
            <w:vAlign w:val="bottom"/>
            <w:gridSpan w:val="2"/>
          </w:tcPr>
          <w:p>
            <w:pPr>
              <w:spacing w:after="0"/>
              <w:rPr>
                <w:sz w:val="20"/>
                <w:szCs w:val="20"/>
                <w:color w:val="auto"/>
              </w:rPr>
            </w:pPr>
            <w:r>
              <w:rPr>
                <w:rFonts w:ascii="Arial" w:cs="Arial" w:eastAsia="Arial" w:hAnsi="Arial"/>
                <w:sz w:val="16"/>
                <w:szCs w:val="16"/>
                <w:color w:val="auto"/>
              </w:rPr>
              <w:t>Total other expense, net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(23,334)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(36,319)</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(37,106)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114,560</w:t>
            </w: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122,042</w:t>
            </w:r>
          </w:p>
        </w:tc>
        <w:tc>
          <w:tcPr>
            <w:tcW w:w="28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(13,399)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6"/>
                <w:szCs w:val="16"/>
                <w:color w:val="auto"/>
              </w:rPr>
              <w:t>(18,825)</w:t>
            </w:r>
          </w:p>
        </w:tc>
        <w:tc>
          <w:tcPr>
            <w:tcW w:w="2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100,960</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103,217</w:t>
            </w:r>
          </w:p>
        </w:tc>
        <w:tc>
          <w:tcPr>
            <w:tcW w:w="28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3"/>
                <w:szCs w:val="13"/>
                <w:b w:val="1"/>
                <w:bCs w:val="1"/>
                <w:color w:val="auto"/>
                <w:w w:val="91"/>
              </w:rPr>
              <w:t>Year Ended December 31,</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9"/>
              <w:spacing w:after="0" w:line="141"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0"/>
              <w:spacing w:after="0" w:line="141"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9"/>
              <w:spacing w:after="0" w:line="141"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revenue</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FF0FC"/>
          </w:tcPr>
          <w:p>
            <w:pPr>
              <w:spacing w:after="0"/>
              <w:rPr>
                <w:sz w:val="18"/>
                <w:szCs w:val="18"/>
                <w:color w:val="auto"/>
              </w:rPr>
            </w:pPr>
          </w:p>
        </w:tc>
        <w:tc>
          <w:tcPr>
            <w:tcW w:w="118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general and administrative</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Product development</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0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(0.3)</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w:t>
            </w: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500" w:type="dxa"/>
            <w:vAlign w:val="bottom"/>
            <w:gridSpan w:val="2"/>
          </w:tcPr>
          <w:p>
            <w:pPr>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tcBorders>
              <w:right w:val="single" w:sz="8" w:color="auto"/>
            </w:tcBorders>
            <w:gridSpan w:val="2"/>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5.3%</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7"/>
                <w:szCs w:val="17"/>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Components of Results of Operations</w:t>
            </w: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5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Revenue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7"/>
            <w:vMerge w:val="restart"/>
          </w:tcPr>
          <w:p>
            <w:pPr>
              <w:jc w:val="center"/>
              <w:ind w:right="200"/>
              <w:spacing w:after="0"/>
              <w:rPr>
                <w:sz w:val="20"/>
                <w:szCs w:val="20"/>
                <w:color w:val="auto"/>
              </w:rPr>
            </w:pPr>
            <w:r>
              <w:rPr>
                <w:rFonts w:ascii="Arial" w:cs="Arial" w:eastAsia="Arial" w:hAnsi="Arial"/>
                <w:sz w:val="13"/>
                <w:szCs w:val="13"/>
                <w:b w:val="1"/>
                <w:bCs w:val="1"/>
                <w:color w:val="auto"/>
                <w:w w:val="91"/>
              </w:rPr>
              <w:t>Year Ended December 31,</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7"/>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9"/>
              <w:spacing w:after="0" w:line="141"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0"/>
              <w:spacing w:after="0" w:line="141"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9"/>
              <w:spacing w:after="0" w:line="141"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center"/>
              <w:ind w:right="480"/>
              <w:spacing w:after="0"/>
              <w:rPr>
                <w:sz w:val="20"/>
                <w:szCs w:val="20"/>
                <w:color w:val="auto"/>
              </w:rPr>
            </w:pPr>
            <w:r>
              <w:rPr>
                <w:rFonts w:ascii="Arial" w:cs="Arial" w:eastAsia="Arial" w:hAnsi="Arial"/>
                <w:sz w:val="13"/>
                <w:szCs w:val="13"/>
                <w:b w:val="1"/>
                <w:bCs w:val="1"/>
                <w:color w:val="auto"/>
                <w:w w:val="89"/>
              </w:rPr>
              <w:t>(in thousands)</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revenue</w:t>
            </w:r>
          </w:p>
        </w:tc>
        <w:tc>
          <w:tcPr>
            <w:tcW w:w="380" w:type="dxa"/>
            <w:vAlign w:val="bottom"/>
            <w:gridSpan w:val="3"/>
            <w:shd w:val="clear" w:color="auto" w:fill="CFF0FC"/>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1,904,060</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gridSpan w:val="4"/>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1,702,367</w:t>
            </w: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1,097,174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20" w:firstLine="469"/>
        <w:spacing w:after="0" w:line="317" w:lineRule="auto"/>
        <w:rPr>
          <w:sz w:val="20"/>
          <w:szCs w:val="20"/>
          <w:color w:val="auto"/>
        </w:rPr>
      </w:pPr>
      <w:r>
        <w:rPr>
          <w:rFonts w:ascii="Arial" w:cs="Arial" w:eastAsia="Arial" w:hAnsi="Arial"/>
          <w:sz w:val="14"/>
          <w:szCs w:val="14"/>
          <w:color w:val="auto"/>
        </w:rPr>
        <w:t>Net revenue increased $201.7 million, or 11.8%, in 2021 as compared to 2020. This was due to a 20.0% increase in sales for our gamer and creator peripherals segment and an 8.1% increase in sales for our gaming components and systems segment. This increase in sales was largely due to increased demand for our products in 2020 and the first half of 2021 driven by the COVID-19 pandemic, with such growth beginning to slow down in the second half of 2021, partly due to the easing of the COVID-19 shelter-in-place restrictions resulting in the reopening of most outside entertainment. In addition, our second half 2021 revenue was negatively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impacted by the global supply and logistics constraints caused by the COVID-19 pandemic, as well as the shortage of reasonably priced GPUs.</w:t>
      </w:r>
    </w:p>
    <w:p>
      <w:pPr>
        <w:spacing w:after="0" w:line="112" w:lineRule="exact"/>
        <w:rPr>
          <w:sz w:val="20"/>
          <w:szCs w:val="20"/>
          <w:color w:val="auto"/>
        </w:rPr>
      </w:pPr>
    </w:p>
    <w:p>
      <w:pPr>
        <w:ind w:right="200" w:firstLine="469"/>
        <w:spacing w:after="0" w:line="268" w:lineRule="auto"/>
        <w:rPr>
          <w:sz w:val="20"/>
          <w:szCs w:val="20"/>
          <w:color w:val="auto"/>
        </w:rPr>
      </w:pPr>
      <w:r>
        <w:rPr>
          <w:rFonts w:ascii="Arial" w:cs="Arial" w:eastAsia="Arial" w:hAnsi="Arial"/>
          <w:sz w:val="16"/>
          <w:szCs w:val="16"/>
          <w:color w:val="auto"/>
        </w:rPr>
        <w:t>Net revenue increased $605.2 million, or 55.2%, in 2020 as compared to 2019. This increase was due to strong revenue growth in both segments. We believe the increased demand of our products was generally due to a larger number of consumers gaming and working from home due to the COVID-19 pandemic in 2020, in addition to existing customers upgrading their systems and gear for a better gaming and/or streaming experience, and to a lesser extent, the inclusion of post-acquisition revenues from our acquisitions of SCUF and Origin.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3"/>
                <w:szCs w:val="13"/>
                <w:b w:val="1"/>
                <w:bCs w:val="1"/>
                <w:color w:val="auto"/>
                <w:w w:val="91"/>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0"/>
        </w:trPr>
        <w:tc>
          <w:tcPr>
            <w:tcW w:w="6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3"/>
              <w:spacing w:after="0" w:line="141"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86"/>
              <w:spacing w:after="0" w:line="141" w:lineRule="exact"/>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3"/>
              <w:spacing w:after="0" w:line="141"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65"/>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9"/>
              </w:rPr>
              <w:t>(in thousands)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513,854</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465,429</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224,287</w:t>
            </w:r>
          </w:p>
        </w:tc>
        <w:tc>
          <w:tcPr>
            <w:tcW w:w="160" w:type="dxa"/>
            <w:vAlign w:val="bottom"/>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27.3%</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20.4%</w:t>
            </w:r>
          </w:p>
        </w:tc>
      </w:tr>
    </w:tbl>
    <w:p>
      <w:pPr>
        <w:spacing w:after="0" w:line="211" w:lineRule="exact"/>
        <w:rPr>
          <w:sz w:val="20"/>
          <w:szCs w:val="20"/>
          <w:color w:val="auto"/>
        </w:rPr>
      </w:pPr>
    </w:p>
    <w:p>
      <w:pPr>
        <w:ind w:right="220" w:firstLine="469"/>
        <w:spacing w:after="0" w:line="299" w:lineRule="auto"/>
        <w:rPr>
          <w:sz w:val="20"/>
          <w:szCs w:val="20"/>
          <w:color w:val="auto"/>
        </w:rPr>
      </w:pPr>
      <w:r>
        <w:rPr>
          <w:rFonts w:ascii="Arial" w:cs="Arial" w:eastAsia="Arial" w:hAnsi="Arial"/>
          <w:sz w:val="15"/>
          <w:szCs w:val="15"/>
          <w:color w:val="auto"/>
        </w:rPr>
        <w:t>Gross margin decreased to 27.0% in 2021 from 27.3% in 2020. The decrease was driven primarily by an increase in logistics costs which were largely driven by global shipping and logistics challenges caused by the COVID-19 pandemic, and increased promotional activity. These negative impacts were partially offset by an increase in gross margin from an improved product mix with more sales from the higher margin gamer and creator peripherals segment.</w:t>
      </w:r>
    </w:p>
    <w:p>
      <w:pPr>
        <w:spacing w:after="0" w:line="46" w:lineRule="exact"/>
        <w:rPr>
          <w:sz w:val="20"/>
          <w:szCs w:val="20"/>
          <w:color w:val="auto"/>
        </w:rPr>
      </w:pPr>
    </w:p>
    <w:p>
      <w:pPr>
        <w:ind w:right="80" w:firstLine="465"/>
        <w:spacing w:after="0" w:line="273" w:lineRule="auto"/>
        <w:rPr>
          <w:sz w:val="20"/>
          <w:szCs w:val="20"/>
          <w:color w:val="auto"/>
        </w:rPr>
      </w:pPr>
      <w:r>
        <w:rPr>
          <w:rFonts w:ascii="Arial" w:cs="Arial" w:eastAsia="Arial" w:hAnsi="Arial"/>
          <w:sz w:val="16"/>
          <w:szCs w:val="16"/>
          <w:color w:val="auto"/>
        </w:rPr>
        <w:t>Gross margin increased to 27.3% in 2020 from 20.4% in 2019. The increase in gross margin was primarily driven by increased sales volume, an improved product mix with more higher margin products being sold in 2020 as compared to 2019 and less promotional activity. This increase was partially offset by increased air freight costs driven primarily by tightness in inventory supply due to the COVID-19 pandemic in 2020.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the global shipping and logistics challenges continue into 2022, we expect our 2022 gross margins to remain pressured by elevated logistics costs.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General and Administrative (SG&amp;A)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4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9"/>
              <w:spacing w:after="0" w:line="141" w:lineRule="exact"/>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65"/>
        </w:trPr>
        <w:tc>
          <w:tcPr>
            <w:tcW w:w="4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Sales, general and administrative</w:t>
            </w:r>
          </w:p>
        </w:tc>
        <w:tc>
          <w:tcPr>
            <w:tcW w:w="2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315,672</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257,004</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163,033</w:t>
            </w:r>
          </w:p>
        </w:tc>
        <w:tc>
          <w:tcPr>
            <w:tcW w:w="120" w:type="dxa"/>
            <w:vAlign w:val="bottom"/>
            <w:shd w:val="clear" w:color="auto" w:fill="CFF0FC"/>
          </w:tcPr>
          <w:p>
            <w:pPr>
              <w:spacing w:after="0"/>
              <w:rPr>
                <w:sz w:val="18"/>
                <w:szCs w:val="18"/>
                <w:color w:val="auto"/>
              </w:rPr>
            </w:pPr>
          </w:p>
        </w:tc>
      </w:tr>
    </w:tbl>
    <w:p>
      <w:pPr>
        <w:spacing w:after="0" w:line="222" w:lineRule="exact"/>
        <w:rPr>
          <w:sz w:val="20"/>
          <w:szCs w:val="20"/>
          <w:color w:val="auto"/>
        </w:rPr>
      </w:pPr>
    </w:p>
    <w:p>
      <w:pPr>
        <w:ind w:right="40" w:firstLine="469"/>
        <w:spacing w:after="0" w:line="265" w:lineRule="auto"/>
        <w:rPr>
          <w:sz w:val="20"/>
          <w:szCs w:val="20"/>
          <w:color w:val="auto"/>
        </w:rPr>
      </w:pPr>
      <w:r>
        <w:rPr>
          <w:rFonts w:ascii="Arial" w:cs="Arial" w:eastAsia="Arial" w:hAnsi="Arial"/>
          <w:sz w:val="16"/>
          <w:szCs w:val="16"/>
          <w:color w:val="auto"/>
        </w:rPr>
        <w:t>SG&amp;A expenses increased $58.7 million, or 22.8%, in 2021 as compared to 2020. The increase was primarily due to a $22.4 million increase in distribution costs primarily driven by an increase in sales volume as well as higher freight costs due to the global supply chain and logistics constraints caused by the COVID-19 pandemic, a $18.3 million increase in personnel-related costs due to headcount growth and higher stock-based compensation, a $5.3 million increase in director and officer insurance policy fees, a $5.2 million increase in marketing and advertising expenses, mainly due to increase in sponsorships and digital marketing programs, and a $3.5 million increase in credit card fees due to increased sales through our webstore.</w:t>
      </w:r>
    </w:p>
    <w:p>
      <w:pPr>
        <w:spacing w:after="0" w:line="70" w:lineRule="exact"/>
        <w:rPr>
          <w:sz w:val="20"/>
          <w:szCs w:val="20"/>
          <w:color w:val="auto"/>
        </w:rPr>
      </w:pPr>
    </w:p>
    <w:p>
      <w:pPr>
        <w:ind w:firstLine="465"/>
        <w:spacing w:after="0" w:line="287" w:lineRule="auto"/>
        <w:rPr>
          <w:sz w:val="20"/>
          <w:szCs w:val="20"/>
          <w:color w:val="auto"/>
        </w:rPr>
      </w:pPr>
      <w:r>
        <w:rPr>
          <w:rFonts w:ascii="Arial" w:cs="Arial" w:eastAsia="Arial" w:hAnsi="Arial"/>
          <w:sz w:val="15"/>
          <w:szCs w:val="15"/>
          <w:color w:val="auto"/>
        </w:rPr>
        <w:t>SG&amp;A expenses increased $94.0 million, or 57.6%, in 2020 as compared to 2019. The increase was primarily due to the inclusion of $29.1 million of SCUF’s post-acquisition SG&amp;A expenses, including debt refinancing costs for funding the SCUF acquisition and acquisition and integration costs related to the SCUF Acquisition, a $27.4 million increase in distribution costs including outbound freight and the costs to operate our distribution hubs due to increased sales volume, a $24.3 million increase in personnel-related costs due to headcount growth and higher bonus expense, a $6.0 million increase in marketing expenses and a $4.4 million increase in fees primarily related to increased credit card fees due to increased sales through our webstore and fees from our insurance policies.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Development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40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9"/>
              <w:spacing w:after="0" w:line="141" w:lineRule="exact"/>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65"/>
        </w:trPr>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Product development</w:t>
            </w:r>
          </w:p>
        </w:tc>
        <w:tc>
          <w:tcPr>
            <w:tcW w:w="3440" w:type="dxa"/>
            <w:vAlign w:val="bottom"/>
            <w:gridSpan w:val="2"/>
            <w:shd w:val="clear" w:color="auto" w:fill="CFF0FC"/>
          </w:tcPr>
          <w:p>
            <w:pPr>
              <w:jc w:val="right"/>
              <w:ind w:right="67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60,288</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50,064</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37,547</w:t>
            </w:r>
          </w:p>
        </w:tc>
        <w:tc>
          <w:tcPr>
            <w:tcW w:w="120" w:type="dxa"/>
            <w:vAlign w:val="bottom"/>
            <w:shd w:val="clear" w:color="auto" w:fill="CFF0FC"/>
          </w:tcPr>
          <w:p>
            <w:pPr>
              <w:spacing w:after="0"/>
              <w:rPr>
                <w:sz w:val="18"/>
                <w:szCs w:val="18"/>
                <w:color w:val="auto"/>
              </w:rPr>
            </w:pPr>
          </w:p>
        </w:tc>
      </w:tr>
    </w:tbl>
    <w:p>
      <w:pPr>
        <w:spacing w:after="0" w:line="222" w:lineRule="exact"/>
        <w:rPr>
          <w:sz w:val="20"/>
          <w:szCs w:val="20"/>
          <w:color w:val="auto"/>
        </w:rPr>
      </w:pPr>
    </w:p>
    <w:p>
      <w:pPr>
        <w:ind w:right="460" w:firstLine="469"/>
        <w:spacing w:after="0" w:line="289" w:lineRule="auto"/>
        <w:rPr>
          <w:sz w:val="20"/>
          <w:szCs w:val="20"/>
          <w:color w:val="auto"/>
        </w:rPr>
      </w:pPr>
      <w:r>
        <w:rPr>
          <w:rFonts w:ascii="Arial" w:cs="Arial" w:eastAsia="Arial" w:hAnsi="Arial"/>
          <w:sz w:val="16"/>
          <w:szCs w:val="16"/>
          <w:color w:val="auto"/>
        </w:rPr>
        <w:t>Product development expenses increased $10.2 million, or 20.4%, in 2021 as compared to 2020. The increase was primarily due to a $6.9 million increase in personnel-related expenses due to headcount growth and higher stock-based compensation, a $1.4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color w:val="auto"/>
        </w:rPr>
        <w:t>increase in consultant and contractor expense supporting our business development efforts and a $1.9 million increase in other product development related costs to support our continued innovation and broadening of our product portfolio.</w:t>
      </w:r>
    </w:p>
    <w:p>
      <w:pPr>
        <w:spacing w:after="0" w:line="50" w:lineRule="exact"/>
        <w:rPr>
          <w:sz w:val="20"/>
          <w:szCs w:val="20"/>
          <w:color w:val="auto"/>
        </w:rPr>
      </w:pPr>
    </w:p>
    <w:p>
      <w:pPr>
        <w:ind w:right="200" w:firstLine="465"/>
        <w:spacing w:after="0" w:line="268" w:lineRule="auto"/>
        <w:rPr>
          <w:sz w:val="20"/>
          <w:szCs w:val="20"/>
          <w:color w:val="auto"/>
        </w:rPr>
      </w:pPr>
      <w:r>
        <w:rPr>
          <w:rFonts w:ascii="Arial" w:cs="Arial" w:eastAsia="Arial" w:hAnsi="Arial"/>
          <w:sz w:val="16"/>
          <w:szCs w:val="16"/>
          <w:color w:val="auto"/>
        </w:rPr>
        <w:t>Product development expenses increased $12.5 million, or 33.3%, in 2020 as compared to 2019. The increase was primarily driven by a $5.7 million increase in personnel-related expenses due to headcount growth and higher bonus expense, the inclusion of $5.8 million of SCUF’s post-acquisition product development expenses and a $5.5 million increase in other product development related expenses. These increases were partially offset by a $4.5 million decrease in amortization expense of developed technologies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and Other Expense, Net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3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6"/>
              <w:spacing w:after="0" w:line="141" w:lineRule="exact"/>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3"/>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65"/>
        </w:trPr>
        <w:tc>
          <w:tcPr>
            <w:tcW w:w="3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3480" w:type="dxa"/>
            <w:vAlign w:val="bottom"/>
            <w:gridSpan w:val="2"/>
            <w:shd w:val="clear" w:color="auto" w:fill="CFF0FC"/>
          </w:tcPr>
          <w:p>
            <w:pPr>
              <w:jc w:val="right"/>
              <w:ind w:right="634"/>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3"/>
              </w:rPr>
              <w:t>(17,673)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(35,137)</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(35,548)</w:t>
            </w:r>
          </w:p>
        </w:tc>
      </w:tr>
      <w:tr>
        <w:trPr>
          <w:trHeight w:val="209"/>
        </w:trPr>
        <w:tc>
          <w:tcPr>
            <w:tcW w:w="3920" w:type="dxa"/>
            <w:vAlign w:val="bottom"/>
          </w:tcPr>
          <w:p>
            <w:pPr>
              <w:spacing w:after="0"/>
              <w:rPr>
                <w:sz w:val="20"/>
                <w:szCs w:val="20"/>
                <w:color w:val="auto"/>
              </w:rPr>
            </w:pPr>
            <w:r>
              <w:rPr>
                <w:rFonts w:ascii="Arial" w:cs="Arial" w:eastAsia="Arial" w:hAnsi="Arial"/>
                <w:sz w:val="16"/>
                <w:szCs w:val="16"/>
                <w:color w:val="auto"/>
              </w:rPr>
              <w:t>Other expense, net</w:t>
            </w:r>
          </w:p>
        </w:tc>
        <w:tc>
          <w:tcPr>
            <w:tcW w:w="2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(5,661)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(1,558)</w:t>
            </w:r>
          </w:p>
        </w:tc>
      </w:tr>
    </w:tbl>
    <w:p>
      <w:pPr>
        <w:spacing w:after="0" w:line="186" w:lineRule="exact"/>
        <w:rPr>
          <w:sz w:val="20"/>
          <w:szCs w:val="20"/>
          <w:color w:val="auto"/>
        </w:rPr>
      </w:pPr>
    </w:p>
    <w:p>
      <w:pPr>
        <w:ind w:right="220" w:firstLine="469"/>
        <w:spacing w:after="0" w:line="287" w:lineRule="auto"/>
        <w:rPr>
          <w:sz w:val="20"/>
          <w:szCs w:val="20"/>
          <w:color w:val="auto"/>
        </w:rPr>
      </w:pPr>
      <w:r>
        <w:rPr>
          <w:rFonts w:ascii="Arial" w:cs="Arial" w:eastAsia="Arial" w:hAnsi="Arial"/>
          <w:sz w:val="15"/>
          <w:szCs w:val="15"/>
          <w:color w:val="auto"/>
        </w:rPr>
        <w:t>Interest expense decreased $17.5 million, or 49.7%, in 2021 as compared to 2020. The decrease was primarily due to lower interest expense paid in 2021 for our First Lien Term Loan as a result of the partial and full repayment of such loan in 2020 and 2021, and no interest paid for our Second Lien Term Loan due to the full repayment of such loan in 2020. Additionally, to a lesser extent, the decrease was due to the lower interest rate on our new Term Loan (defined below) executed in September 2021 which replaced our First Lien Term Loan (defined below). These decreases in interest expense were offset partially by higher losses incurred on debt extinguishment in 2021 compared to 2020 as the total debt amount extinguished in 2021 was higher than in 2020.</w:t>
      </w:r>
    </w:p>
    <w:p>
      <w:pPr>
        <w:spacing w:after="0" w:line="54" w:lineRule="exact"/>
        <w:rPr>
          <w:sz w:val="20"/>
          <w:szCs w:val="20"/>
          <w:color w:val="auto"/>
        </w:rPr>
      </w:pPr>
    </w:p>
    <w:p>
      <w:pPr>
        <w:ind w:right="40" w:firstLine="465"/>
        <w:spacing w:after="0" w:line="265" w:lineRule="auto"/>
        <w:rPr>
          <w:sz w:val="20"/>
          <w:szCs w:val="20"/>
          <w:color w:val="auto"/>
        </w:rPr>
      </w:pPr>
      <w:r>
        <w:rPr>
          <w:rFonts w:ascii="Arial" w:cs="Arial" w:eastAsia="Arial" w:hAnsi="Arial"/>
          <w:sz w:val="16"/>
          <w:szCs w:val="16"/>
          <w:color w:val="auto"/>
        </w:rPr>
        <w:t>Interest expense decreased $0.4 million, or 1.2%, in 2020 as compared to 2019. The decrease was primarily due to lower interest expense paid in 2020 for our First Lien Term Loan and Second Lien Term Loan as a result of the partial extinguishment of our First Lien Term Loan and full extinguishment of our Second Lien Term Loan as well as a decrease in interest from borrowings from our line of credit. The decrease in interest expense was partially offset by an aggregate of $4.2 million write-off of deferred debt discounts and issuance costs associated with extinguishments of our term loans and a $0.5 million loss recognized for the change in fair value of our interest rate cap contracts.</w:t>
      </w:r>
    </w:p>
    <w:p>
      <w:pPr>
        <w:spacing w:after="0" w:line="70" w:lineRule="exact"/>
        <w:rPr>
          <w:sz w:val="20"/>
          <w:szCs w:val="20"/>
          <w:color w:val="auto"/>
        </w:rPr>
      </w:pPr>
    </w:p>
    <w:p>
      <w:pPr>
        <w:ind w:right="180" w:firstLine="465"/>
        <w:spacing w:after="0" w:line="273" w:lineRule="auto"/>
        <w:rPr>
          <w:sz w:val="20"/>
          <w:szCs w:val="20"/>
          <w:color w:val="auto"/>
        </w:rPr>
      </w:pPr>
      <w:r>
        <w:rPr>
          <w:rFonts w:ascii="Arial" w:cs="Arial" w:eastAsia="Arial" w:hAnsi="Arial"/>
          <w:sz w:val="16"/>
          <w:szCs w:val="16"/>
          <w:color w:val="auto"/>
        </w:rPr>
        <w:t>Other (expense) income, net relates primarily to the gains and losses resulting from the impact of foreign exchange rate changes on our cash, accounts receivable and intercompany balances denominated in currencies other than the functional currencies in our subsidiaries. Our foreign currency exposure is primarily driven by fluctuations in the foreign currency exchanges rates of the Euro, British Pound and the Chinese Yuan.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3"/>
                <w:szCs w:val="13"/>
                <w:b w:val="1"/>
                <w:bCs w:val="1"/>
                <w:color w:val="auto"/>
                <w:w w:val="91"/>
              </w:rPr>
              <w:t>Year Ended December 31,</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0"/>
        </w:trPr>
        <w:tc>
          <w:tcPr>
            <w:tcW w:w="4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41" w:lineRule="exact"/>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42"/>
              <w:spacing w:after="0" w:line="141" w:lineRule="exact"/>
              <w:rPr>
                <w:sz w:val="20"/>
                <w:szCs w:val="20"/>
                <w:color w:val="auto"/>
              </w:rPr>
            </w:pPr>
            <w:r>
              <w:rPr>
                <w:rFonts w:ascii="Arial" w:cs="Arial" w:eastAsia="Arial" w:hAnsi="Arial"/>
                <w:sz w:val="13"/>
                <w:szCs w:val="13"/>
                <w:b w:val="1"/>
                <w:bCs w:val="1"/>
                <w:color w:val="auto"/>
                <w:w w:val="89"/>
              </w:rPr>
              <w:t>2020</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2"/>
              <w:spacing w:after="0" w:line="141"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65"/>
        </w:trPr>
        <w:tc>
          <w:tcPr>
            <w:tcW w:w="4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(in thousands, except percentages)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2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114,560</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122,042</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(13,399)</w:t>
            </w:r>
          </w:p>
        </w:tc>
      </w:tr>
      <w:tr>
        <w:trPr>
          <w:trHeight w:val="209"/>
        </w:trPr>
        <w:tc>
          <w:tcPr>
            <w:tcW w:w="44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6"/>
                <w:szCs w:val="16"/>
                <w:color w:val="auto"/>
              </w:rPr>
              <w:t>(13,600)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(18,825)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5,005</w:t>
            </w:r>
          </w:p>
        </w:tc>
        <w:tc>
          <w:tcPr>
            <w:tcW w:w="160" w:type="dxa"/>
            <w:vAlign w:val="bottom"/>
          </w:tcPr>
          <w:p>
            <w:pPr>
              <w:spacing w:after="0"/>
              <w:rPr>
                <w:sz w:val="18"/>
                <w:szCs w:val="18"/>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Effective Tax Rate</w:t>
            </w:r>
          </w:p>
        </w:tc>
        <w:tc>
          <w:tcPr>
            <w:tcW w:w="2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15.4%</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37.4%</w:t>
            </w:r>
          </w:p>
        </w:tc>
      </w:tr>
    </w:tbl>
    <w:p>
      <w:pPr>
        <w:spacing w:after="0" w:line="185" w:lineRule="exact"/>
        <w:rPr>
          <w:sz w:val="20"/>
          <w:szCs w:val="20"/>
          <w:color w:val="auto"/>
        </w:rPr>
      </w:pPr>
    </w:p>
    <w:p>
      <w:pPr>
        <w:ind w:firstLine="469"/>
        <w:spacing w:after="0" w:line="268"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66" w:lineRule="exact"/>
        <w:rPr>
          <w:sz w:val="20"/>
          <w:szCs w:val="20"/>
          <w:color w:val="auto"/>
        </w:rPr>
      </w:pPr>
    </w:p>
    <w:p>
      <w:pPr>
        <w:ind w:right="180" w:firstLine="465"/>
        <w:spacing w:after="0" w:line="273" w:lineRule="auto"/>
        <w:rPr>
          <w:sz w:val="20"/>
          <w:szCs w:val="20"/>
          <w:color w:val="auto"/>
        </w:rPr>
      </w:pPr>
      <w:r>
        <w:rPr>
          <w:rFonts w:ascii="Arial" w:cs="Arial" w:eastAsia="Arial" w:hAnsi="Arial"/>
          <w:sz w:val="16"/>
          <w:szCs w:val="16"/>
          <w:color w:val="auto"/>
        </w:rPr>
        <w:t>Our effective tax rates were tax expense of 11.9% and 15.4% for 2021 and 2020, respectively. The change in effective tax rate for 2021 as compared to 2020 was primarily due to excess tax benefits from stock-based compensation as well as the recognition of a $3.1 million tax benefit resulting from the change in management’s assessment of the realizability of our California deferred tax assets as a result of the increased U.S. profitability.</w:t>
      </w:r>
    </w:p>
    <w:p>
      <w:pPr>
        <w:spacing w:after="0" w:line="63" w:lineRule="exact"/>
        <w:rPr>
          <w:sz w:val="20"/>
          <w:szCs w:val="20"/>
          <w:color w:val="auto"/>
        </w:rPr>
      </w:pPr>
    </w:p>
    <w:p>
      <w:pPr>
        <w:ind w:right="20" w:firstLine="465"/>
        <w:spacing w:after="0" w:line="265" w:lineRule="auto"/>
        <w:rPr>
          <w:sz w:val="20"/>
          <w:szCs w:val="20"/>
          <w:color w:val="auto"/>
        </w:rPr>
      </w:pPr>
      <w:r>
        <w:rPr>
          <w:rFonts w:ascii="Arial" w:cs="Arial" w:eastAsia="Arial" w:hAnsi="Arial"/>
          <w:sz w:val="16"/>
          <w:szCs w:val="16"/>
          <w:color w:val="auto"/>
        </w:rPr>
        <w:t xml:space="preserve">Our effective tax rates were tax expense of 15.4% and tax benefit of 37.4% for 2020 and 2019, respectively. The change in effective tax rate for 2020 as compared to 2019 was primarily due to an increase in income before income tax compared to 2019, the change in the mix of income and losses in the various tax jurisdictions in which we operate, the recognition of a $4.6 million tax benefit resulting from the change in management’s assessment of the realizability of certain deferred tax assets as a result of the reorganization of our organizational structure in connection with our IPO, and a $0.6 million one-time benefit from the change in tax law resulting from the enactment of the Coronavirus Aid, relief and Economic Security Act </w:t>
      </w:r>
      <w:r>
        <w:rPr>
          <w:rFonts w:ascii="Arial" w:cs="Arial" w:eastAsia="Arial" w:hAnsi="Arial"/>
          <w:sz w:val="16"/>
          <w:szCs w:val="16"/>
          <w:i w:val="1"/>
          <w:iCs w:val="1"/>
          <w:color w:val="auto"/>
        </w:rPr>
        <w:t>(“CARES Act”</w:t>
      </w:r>
      <w:r>
        <w:rPr>
          <w:rFonts w:ascii="Arial" w:cs="Arial" w:eastAsia="Arial" w:hAnsi="Arial"/>
          <w:sz w:val="16"/>
          <w:szCs w:val="16"/>
          <w:color w:val="auto"/>
        </w:rPr>
        <w:t>) in the first quarter 2020.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Results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Net Revenue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net revenue by segment expressed both in dollars (thousands) and as a percentage of net revenue: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1"/>
              </w:rPr>
              <w:t>Year Ended December 31,</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40"/>
              <w:spacing w:after="0" w:line="141" w:lineRule="exact"/>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60"/>
              <w:spacing w:after="0" w:line="141"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40"/>
              <w:spacing w:after="0" w:line="141" w:lineRule="exact"/>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Gamer and Creator Peripherals Segment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647,202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34.0%</w:t>
            </w:r>
          </w:p>
        </w:tc>
        <w:tc>
          <w:tcPr>
            <w:tcW w:w="220" w:type="dxa"/>
            <w:vAlign w:val="bottom"/>
            <w:gridSpan w:val="2"/>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539,366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294,141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Gaming Components and Systems Segment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Memory Products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612,964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609,053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463,406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Other Component Products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643,894</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553,948</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339,627</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1,256,858</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1,163,001</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803,033</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420"/>
              <w:spacing w:after="0"/>
              <w:rPr>
                <w:sz w:val="20"/>
                <w:szCs w:val="20"/>
                <w:color w:val="auto"/>
              </w:rPr>
            </w:pPr>
            <w:r>
              <w:rPr>
                <w:rFonts w:ascii="Arial" w:cs="Arial" w:eastAsia="Arial" w:hAnsi="Arial"/>
                <w:sz w:val="16"/>
                <w:szCs w:val="16"/>
                <w:color w:val="auto"/>
              </w:rPr>
              <w:t>Total Net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1,904,060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1,702,367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1,097,174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Gamer and Creator Peripherals Segment</w:t>
      </w:r>
    </w:p>
    <w:p>
      <w:pPr>
        <w:spacing w:after="0" w:line="112" w:lineRule="exact"/>
        <w:rPr>
          <w:sz w:val="20"/>
          <w:szCs w:val="20"/>
          <w:color w:val="auto"/>
        </w:rPr>
      </w:pPr>
    </w:p>
    <w:p>
      <w:pPr>
        <w:ind w:right="80" w:firstLine="469"/>
        <w:spacing w:after="0" w:line="311" w:lineRule="auto"/>
        <w:rPr>
          <w:sz w:val="20"/>
          <w:szCs w:val="20"/>
          <w:color w:val="auto"/>
        </w:rPr>
      </w:pPr>
      <w:r>
        <w:rPr>
          <w:rFonts w:ascii="Arial" w:cs="Arial" w:eastAsia="Arial" w:hAnsi="Arial"/>
          <w:sz w:val="14"/>
          <w:szCs w:val="14"/>
          <w:color w:val="auto"/>
        </w:rPr>
        <w:t>Net revenue of the gamer and creator peripherals segment increased $107.8 million, or 20.0%, in 2021 as compared to 2020 due to revenue growth across almost all product categories. In particular, the Elgato branded content creator products was our fastest growing category in this segment and accounted for approximately one-third of the segment’s revenue. We believe revenue growth in this segment was driven in part by the COVID-19 shelter-in-place orders that prompted consumers to spend more time working and gaming at home and gamers seeking to improve their performance by upgrading their gear. The volume of the products shipped in this segment was lower in the second half of 2021 than the first half of 2021 primarily due to global supply and logistics constraints caused by the COVID-19 pandemic.</w:t>
      </w:r>
    </w:p>
    <w:p>
      <w:pPr>
        <w:spacing w:after="0" w:line="42" w:lineRule="exact"/>
        <w:rPr>
          <w:sz w:val="20"/>
          <w:szCs w:val="20"/>
          <w:color w:val="auto"/>
        </w:rPr>
      </w:pPr>
    </w:p>
    <w:p>
      <w:pPr>
        <w:ind w:right="40" w:firstLine="465"/>
        <w:spacing w:after="0" w:line="273" w:lineRule="auto"/>
        <w:rPr>
          <w:sz w:val="20"/>
          <w:szCs w:val="20"/>
          <w:color w:val="auto"/>
        </w:rPr>
      </w:pPr>
      <w:r>
        <w:rPr>
          <w:rFonts w:ascii="Arial" w:cs="Arial" w:eastAsia="Arial" w:hAnsi="Arial"/>
          <w:sz w:val="16"/>
          <w:szCs w:val="16"/>
          <w:color w:val="auto"/>
        </w:rPr>
        <w:t>Net revenue of the gamer and creator peripherals segment increased $245.2 million, or 83.4%, in 2020 as compared to 2019 primarily due to strong sales growth in sales of Elgato branded streaming products, we believe driven in part by the COVID-19 shelter-in-place orders as consumers spend more time working and gaming at home, and the inclusion of SCUF post-acquisition revenue.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Gaming Components and Systems Segment</w:t>
      </w:r>
    </w:p>
    <w:p>
      <w:pPr>
        <w:spacing w:after="0" w:line="112" w:lineRule="exact"/>
        <w:rPr>
          <w:sz w:val="20"/>
          <w:szCs w:val="20"/>
          <w:color w:val="auto"/>
        </w:rPr>
      </w:pPr>
    </w:p>
    <w:p>
      <w:pPr>
        <w:jc w:val="both"/>
        <w:ind w:right="200" w:firstLine="469"/>
        <w:spacing w:after="0" w:line="268" w:lineRule="auto"/>
        <w:rPr>
          <w:sz w:val="20"/>
          <w:szCs w:val="20"/>
          <w:color w:val="auto"/>
        </w:rPr>
      </w:pPr>
      <w:r>
        <w:rPr>
          <w:rFonts w:ascii="Arial" w:cs="Arial" w:eastAsia="Arial" w:hAnsi="Arial"/>
          <w:sz w:val="16"/>
          <w:szCs w:val="16"/>
          <w:color w:val="auto"/>
        </w:rPr>
        <w:t>Net revenue of the gaming components and systems segment increased $93.9 million or 8.1%, in 2021 as compared to 2020. We believe the revenue growth was driven in part by the COVID-19 shelter-in-place orders, particularly, for our PSUs and pre-built systems. The revenue growth in this segment was partially offset in the second half of 2021 due to the shortage of reasonably priced GPUs which curtailed the demand for new PC builds and related components, as well as global supply and logistics constraints caused by the COVID-19 pandemic.</w:t>
      </w:r>
    </w:p>
    <w:p>
      <w:pPr>
        <w:spacing w:after="0" w:line="66" w:lineRule="exact"/>
        <w:rPr>
          <w:sz w:val="20"/>
          <w:szCs w:val="20"/>
          <w:color w:val="auto"/>
        </w:rPr>
      </w:pPr>
    </w:p>
    <w:p>
      <w:pPr>
        <w:jc w:val="both"/>
        <w:ind w:right="20" w:firstLine="465"/>
        <w:spacing w:after="0" w:line="273" w:lineRule="auto"/>
        <w:rPr>
          <w:sz w:val="20"/>
          <w:szCs w:val="20"/>
          <w:color w:val="auto"/>
        </w:rPr>
      </w:pPr>
      <w:r>
        <w:rPr>
          <w:rFonts w:ascii="Arial" w:cs="Arial" w:eastAsia="Arial" w:hAnsi="Arial"/>
          <w:sz w:val="16"/>
          <w:szCs w:val="16"/>
          <w:color w:val="auto"/>
        </w:rPr>
        <w:t>Net revenue of the gaming components and systems segment increased $360.0 million, or 44.8%, in 2020 as compared to 2019 primarily as a result of strong sales growth across all products due to continued strong market demand, we believe driven in part by the COVID-19 shelter-in-place orders, and to a lesser extent, the inclusion of Origin post-acquisition revenue.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Gross Profit and Gross Margin</w:t>
      </w:r>
    </w:p>
    <w:p>
      <w:pPr>
        <w:spacing w:after="0" w:line="112" w:lineRule="exact"/>
        <w:rPr>
          <w:sz w:val="20"/>
          <w:szCs w:val="20"/>
          <w:color w:val="auto"/>
        </w:rPr>
      </w:pPr>
    </w:p>
    <w:p>
      <w:pPr>
        <w:jc w:val="both"/>
        <w:ind w:firstLine="469"/>
        <w:spacing w:after="0" w:line="289" w:lineRule="auto"/>
        <w:rPr>
          <w:sz w:val="20"/>
          <w:szCs w:val="20"/>
          <w:color w:val="auto"/>
        </w:rPr>
      </w:pPr>
      <w:r>
        <w:rPr>
          <w:rFonts w:ascii="Arial" w:cs="Arial" w:eastAsia="Arial" w:hAnsi="Arial"/>
          <w:sz w:val="16"/>
          <w:szCs w:val="16"/>
          <w:color w:val="auto"/>
        </w:rPr>
        <w:t>The following table sets forth our gross profit expressed in dollars (thousands) and gross margin (which we define as gross profit as a percentage of net revenue)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1"/>
              </w:rPr>
              <w:t>Year Ended December 31,</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00"/>
              <w:spacing w:after="0" w:line="141" w:lineRule="exact"/>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300"/>
              <w:spacing w:after="0" w:line="141"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80"/>
              <w:spacing w:after="0" w:line="141"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Gamer and Creator Peripherals Segment</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224,920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34.8%</w:t>
            </w:r>
          </w:p>
        </w:tc>
        <w:tc>
          <w:tcPr>
            <w:tcW w:w="24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189,742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35.2%</w:t>
            </w:r>
          </w:p>
        </w:tc>
        <w:tc>
          <w:tcPr>
            <w:tcW w:w="280" w:type="dxa"/>
            <w:vAlign w:val="bottom"/>
            <w:gridSpan w:val="2"/>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81,363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96"/>
              </w:rPr>
              <w:t>27.7%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Gaming Components and Systems Segment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Memory Products</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108,901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89"/>
              </w:rPr>
              <w:t>17.8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125,026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ind w:left="280"/>
              <w:spacing w:after="0"/>
              <w:rPr>
                <w:sz w:val="20"/>
                <w:szCs w:val="20"/>
                <w:color w:val="auto"/>
              </w:rPr>
            </w:pPr>
            <w:r>
              <w:rPr>
                <w:rFonts w:ascii="Arial" w:cs="Arial" w:eastAsia="Arial" w:hAnsi="Arial"/>
                <w:sz w:val="16"/>
                <w:szCs w:val="16"/>
                <w:color w:val="auto"/>
                <w:w w:val="89"/>
              </w:rPr>
              <w:t>20.5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74,781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ind w:left="280"/>
              <w:spacing w:after="0"/>
              <w:rPr>
                <w:sz w:val="20"/>
                <w:szCs w:val="20"/>
                <w:color w:val="auto"/>
              </w:rPr>
            </w:pPr>
            <w:r>
              <w:rPr>
                <w:rFonts w:ascii="Arial" w:cs="Arial" w:eastAsia="Arial" w:hAnsi="Arial"/>
                <w:sz w:val="16"/>
                <w:szCs w:val="16"/>
                <w:color w:val="auto"/>
                <w:w w:val="89"/>
              </w:rPr>
              <w:t>16.1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Other Component Products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180,033</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89"/>
              </w:rPr>
              <w:t>28.0</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150,661</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w w:val="89"/>
              </w:rPr>
              <w:t>27.2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68,143</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w w:val="89"/>
              </w:rPr>
              <w:t>20.1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288,934</w:t>
            </w:r>
          </w:p>
        </w:tc>
        <w:tc>
          <w:tcPr>
            <w:tcW w:w="2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w w:val="89"/>
              </w:rPr>
              <w:t>23.0</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275,687</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6"/>
                <w:szCs w:val="16"/>
                <w:color w:val="auto"/>
                <w:w w:val="89"/>
              </w:rPr>
              <w:t>23.7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142,924</w:t>
            </w:r>
          </w:p>
        </w:tc>
        <w:tc>
          <w:tcPr>
            <w:tcW w:w="2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6"/>
                <w:szCs w:val="16"/>
                <w:color w:val="auto"/>
                <w:w w:val="89"/>
              </w:rPr>
              <w:t>17.8</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420"/>
              <w:spacing w:after="0"/>
              <w:rPr>
                <w:sz w:val="20"/>
                <w:szCs w:val="20"/>
                <w:color w:val="auto"/>
              </w:rPr>
            </w:pPr>
            <w:r>
              <w:rPr>
                <w:rFonts w:ascii="Arial" w:cs="Arial" w:eastAsia="Arial" w:hAnsi="Arial"/>
                <w:sz w:val="16"/>
                <w:szCs w:val="16"/>
                <w:color w:val="auto"/>
              </w:rPr>
              <w:t>Total Gross Profit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513,854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465,429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224,287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Arial" w:cs="Arial" w:eastAsia="Arial" w:hAnsi="Arial"/>
                <w:sz w:val="16"/>
                <w:szCs w:val="16"/>
                <w:color w:val="auto"/>
                <w:w w:val="96"/>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6"/>
                <w:szCs w:val="16"/>
                <w:color w:val="auto"/>
              </w:rPr>
              <w:t>51</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Gamer and Creator Peripherals Segment</w:t>
      </w:r>
    </w:p>
    <w:p>
      <w:pPr>
        <w:spacing w:after="0" w:line="112" w:lineRule="exact"/>
        <w:rPr>
          <w:sz w:val="20"/>
          <w:szCs w:val="20"/>
          <w:color w:val="auto"/>
        </w:rPr>
      </w:pPr>
    </w:p>
    <w:p>
      <w:pPr>
        <w:ind w:right="60" w:firstLine="465"/>
        <w:spacing w:after="0" w:line="268" w:lineRule="auto"/>
        <w:rPr>
          <w:sz w:val="20"/>
          <w:szCs w:val="20"/>
          <w:color w:val="auto"/>
        </w:rPr>
      </w:pPr>
      <w:r>
        <w:rPr>
          <w:rFonts w:ascii="Arial" w:cs="Arial" w:eastAsia="Arial" w:hAnsi="Arial"/>
          <w:sz w:val="16"/>
          <w:szCs w:val="16"/>
          <w:color w:val="auto"/>
        </w:rPr>
        <w:t>The gross profit of the gamer and creator peripherals segment increased in 2021 by $35.2 million, or 18.5%, as compared to 2020, largely due to the revenue growth of 20.0% in the same period. Gross margin decreased by 40 basis points primarily due to increased logistics costs caused by the COVID-19 pandemic disruptions and increased promotional activity. These negative impacts to the gross margin were partially offset by the strong growth in the sales of our higher margin Elgato branded content creator products and better leverage on our fixed cost from higher sales volume year-over-year.</w:t>
      </w:r>
    </w:p>
    <w:p>
      <w:pPr>
        <w:spacing w:after="0" w:line="66" w:lineRule="exact"/>
        <w:rPr>
          <w:sz w:val="20"/>
          <w:szCs w:val="20"/>
          <w:color w:val="auto"/>
        </w:rPr>
      </w:pPr>
    </w:p>
    <w:p>
      <w:pPr>
        <w:jc w:val="both"/>
        <w:ind w:right="340" w:firstLine="469"/>
        <w:spacing w:after="0" w:line="273" w:lineRule="auto"/>
        <w:rPr>
          <w:sz w:val="20"/>
          <w:szCs w:val="20"/>
          <w:color w:val="auto"/>
        </w:rPr>
      </w:pPr>
      <w:r>
        <w:rPr>
          <w:rFonts w:ascii="Arial" w:cs="Arial" w:eastAsia="Arial" w:hAnsi="Arial"/>
          <w:sz w:val="16"/>
          <w:szCs w:val="16"/>
          <w:color w:val="auto"/>
        </w:rPr>
        <w:t>The gross profit of the gamer and creator peripherals segment increased in 2020 by $108.4 million, or 133.2%, as compared to 2019, largely due to the strong revenue growth of 83.4% in the same period. The 7.5% increase in gross margin was primarily driven by the addition of higher margin SCUF products and the strong growth in sales of higher margin Elgato branded content creator products, coupled with less promotional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Gaming Components and Systems Segment</w:t>
      </w:r>
    </w:p>
    <w:p>
      <w:pPr>
        <w:spacing w:after="0" w:line="112" w:lineRule="exact"/>
        <w:rPr>
          <w:sz w:val="20"/>
          <w:szCs w:val="20"/>
          <w:color w:val="auto"/>
        </w:rPr>
      </w:pPr>
    </w:p>
    <w:p>
      <w:pPr>
        <w:ind w:right="100" w:firstLine="469"/>
        <w:spacing w:after="0" w:line="299" w:lineRule="auto"/>
        <w:rPr>
          <w:sz w:val="20"/>
          <w:szCs w:val="20"/>
          <w:color w:val="auto"/>
        </w:rPr>
      </w:pPr>
      <w:r>
        <w:rPr>
          <w:rFonts w:ascii="Arial" w:cs="Arial" w:eastAsia="Arial" w:hAnsi="Arial"/>
          <w:sz w:val="15"/>
          <w:szCs w:val="15"/>
          <w:color w:val="auto"/>
        </w:rPr>
        <w:t>The gross profit of the gaming components and systems segment increased in 2021 by $13.2 million, or 4.8%, compared to 2020, primarily due to the revenue growth of 8.1% in the same period. The 70 basis points decrease in gross margin was primarily attributable to our memory products due to lower selling prices as a result of competitive pricing pressure in addition to increased freight and logistics costs across this segment caused by the COVID-19 pandemic disruptions.</w:t>
      </w:r>
    </w:p>
    <w:p>
      <w:pPr>
        <w:spacing w:after="0" w:line="108" w:lineRule="exact"/>
        <w:rPr>
          <w:sz w:val="20"/>
          <w:szCs w:val="20"/>
          <w:color w:val="auto"/>
        </w:rPr>
      </w:pPr>
    </w:p>
    <w:p>
      <w:pPr>
        <w:ind w:right="300" w:firstLine="465"/>
        <w:spacing w:after="0" w:line="324" w:lineRule="auto"/>
        <w:rPr>
          <w:sz w:val="20"/>
          <w:szCs w:val="20"/>
          <w:color w:val="auto"/>
        </w:rPr>
      </w:pPr>
      <w:r>
        <w:rPr>
          <w:rFonts w:ascii="Arial" w:cs="Arial" w:eastAsia="Arial" w:hAnsi="Arial"/>
          <w:sz w:val="15"/>
          <w:szCs w:val="15"/>
          <w:color w:val="auto"/>
        </w:rPr>
        <w:t>The gross profit of the gaming components and systems segment increased in 2020 by $132.8 million, or 92.9%, compared to 2019, primarily due to the strong revenue growth in the same period. The 5.9% increase in gross margin was primarily driven by a higher margin product mix and less promotional activities.</w:t>
      </w:r>
    </w:p>
    <w:p>
      <w:pPr>
        <w:spacing w:after="0" w:line="28" w:lineRule="exact"/>
        <w:rPr>
          <w:sz w:val="20"/>
          <w:szCs w:val="20"/>
          <w:color w:val="auto"/>
        </w:rPr>
      </w:pPr>
    </w:p>
    <w:p>
      <w:pPr>
        <w:ind w:right="120" w:firstLine="469"/>
        <w:spacing w:after="0" w:line="289" w:lineRule="auto"/>
        <w:rPr>
          <w:sz w:val="20"/>
          <w:szCs w:val="20"/>
          <w:color w:val="auto"/>
        </w:rPr>
      </w:pPr>
      <w:r>
        <w:rPr>
          <w:rFonts w:ascii="Arial" w:cs="Arial" w:eastAsia="Arial" w:hAnsi="Arial"/>
          <w:sz w:val="16"/>
          <w:szCs w:val="16"/>
          <w:color w:val="auto"/>
        </w:rPr>
        <w:t>Risks and uncertainties related to the COVID-19 pandemic remain and until the supply chain and logistics constraints ease and GPUs become more available, our revenue and gross margin for both segments may continue to be negatively impacted.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12" w:lineRule="exact"/>
        <w:rPr>
          <w:sz w:val="20"/>
          <w:szCs w:val="20"/>
          <w:color w:val="auto"/>
        </w:rPr>
      </w:pPr>
    </w:p>
    <w:p>
      <w:pPr>
        <w:ind w:firstLine="469"/>
        <w:spacing w:after="0" w:line="268" w:lineRule="auto"/>
        <w:rPr>
          <w:sz w:val="20"/>
          <w:szCs w:val="20"/>
          <w:color w:val="auto"/>
        </w:rPr>
      </w:pPr>
      <w:r>
        <w:rPr>
          <w:rFonts w:ascii="Arial" w:cs="Arial" w:eastAsia="Arial" w:hAnsi="Arial"/>
          <w:sz w:val="16"/>
          <w:szCs w:val="16"/>
          <w:color w:val="auto"/>
        </w:rPr>
        <w:t>Our principal sources of liquidity have been the payments received from customers purchasing our products, the borrowings under our Credit Agreement (defined below) and the net proceeds we received from our IPO completed in September 2020. Our principal uses of cash generally will include purchases of inventory, payroll and other operating expenses related to the development and marketing of our products, capital expenditure, repayments of debt and related interest, income tax payments and future investments in business and technology.</w:t>
      </w:r>
    </w:p>
    <w:p>
      <w:pPr>
        <w:spacing w:after="0" w:line="66" w:lineRule="exact"/>
        <w:rPr>
          <w:sz w:val="20"/>
          <w:szCs w:val="20"/>
          <w:color w:val="auto"/>
        </w:rPr>
      </w:pPr>
    </w:p>
    <w:p>
      <w:pPr>
        <w:ind w:right="160" w:firstLine="469"/>
        <w:spacing w:after="0" w:line="291" w:lineRule="auto"/>
        <w:rPr>
          <w:sz w:val="20"/>
          <w:szCs w:val="20"/>
          <w:color w:val="auto"/>
        </w:rPr>
      </w:pPr>
      <w:r>
        <w:rPr>
          <w:rFonts w:ascii="Arial" w:cs="Arial" w:eastAsia="Arial" w:hAnsi="Arial"/>
          <w:sz w:val="15"/>
          <w:szCs w:val="15"/>
          <w:color w:val="auto"/>
        </w:rPr>
        <w:t>As of December 31, 2021, we had cash and restricted cash, in aggregate of $65.4 million, including $22.8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spacing w:after="0" w:line="52" w:lineRule="exact"/>
        <w:rPr>
          <w:sz w:val="20"/>
          <w:szCs w:val="20"/>
          <w:color w:val="auto"/>
        </w:rPr>
      </w:pPr>
    </w:p>
    <w:p>
      <w:pPr>
        <w:ind w:firstLine="469"/>
        <w:spacing w:after="0" w:line="261" w:lineRule="auto"/>
        <w:rPr>
          <w:sz w:val="20"/>
          <w:szCs w:val="20"/>
          <w:color w:val="auto"/>
        </w:rPr>
      </w:pPr>
      <w:r>
        <w:rPr>
          <w:rFonts w:ascii="Arial" w:cs="Arial" w:eastAsia="Arial" w:hAnsi="Arial"/>
          <w:sz w:val="16"/>
          <w:szCs w:val="16"/>
          <w:color w:val="auto"/>
        </w:rPr>
        <w:t>We believe that the anticipated cash flows from operations based on our current business outlook, combined with our current levels of cash balances at December 31, 2021,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 Our liquidity is subject to various risks including the risks identified in the section titled "Risk Factors" in Item 1A and market risks identified in the section titled "Quantitative and Qualitative Disclosures about Market Risk" in Item 7A, each of which is incorporated herein by reference.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cash flows for the periods indicated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5"/>
              </w:rPr>
              <w:t>Year Ended December 31,</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2"/>
              <w:spacing w:after="0" w:line="141"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6"/>
                <w:szCs w:val="16"/>
                <w:color w:val="auto"/>
              </w:rPr>
              <w:t>Operating activities</w:t>
            </w:r>
          </w:p>
        </w:tc>
        <w:tc>
          <w:tcPr>
            <w:tcW w:w="820" w:type="dxa"/>
            <w:vAlign w:val="bottom"/>
          </w:tcPr>
          <w:p>
            <w:pPr>
              <w:jc w:val="right"/>
              <w:ind w:right="66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20,192</w:t>
            </w:r>
          </w:p>
        </w:tc>
        <w:tc>
          <w:tcPr>
            <w:tcW w:w="14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168,953</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8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7"/>
              </w:rPr>
              <w:t>(20,541)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(10,280)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(145,427)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6"/>
                <w:szCs w:val="16"/>
                <w:color w:val="auto"/>
              </w:rPr>
              <w:t>Financing activities</w:t>
            </w:r>
          </w:p>
        </w:tc>
        <w:tc>
          <w:tcPr>
            <w:tcW w:w="8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(65,404)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(79,131)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Operating Activities</w:t>
      </w:r>
    </w:p>
    <w:p>
      <w:pPr>
        <w:spacing w:after="0" w:line="112" w:lineRule="exact"/>
        <w:rPr>
          <w:sz w:val="20"/>
          <w:szCs w:val="20"/>
          <w:color w:val="auto"/>
        </w:rPr>
      </w:pPr>
    </w:p>
    <w:p>
      <w:pPr>
        <w:ind w:firstLine="469"/>
        <w:spacing w:after="0" w:line="284" w:lineRule="auto"/>
        <w:rPr>
          <w:sz w:val="20"/>
          <w:szCs w:val="20"/>
          <w:color w:val="auto"/>
        </w:rPr>
      </w:pPr>
      <w:r>
        <w:rPr>
          <w:rFonts w:ascii="Arial" w:cs="Arial" w:eastAsia="Arial" w:hAnsi="Arial"/>
          <w:sz w:val="15"/>
          <w:szCs w:val="15"/>
          <w:color w:val="auto"/>
        </w:rPr>
        <w:t>Net cash provided by operating activities for 2021 was $20.2 million and consisted of net income of $101.0 million and non-cash adjustments of $60.0 million and offset partially by a net use of cash of $140.8 million from changes in our net operating assets and liabilities. The non-cash adjustments consisted primarily of amortization of intangibles and depreciation, stock-based compensation expense, loss on debt extinguishment and amortization of debt issuance costs, which were partially offset by changes in deferred income taxes. The net cash outflow from changes in our net operating assets and liabilities was primarily related to increases in inventory purchases and income tax prepayment for our Hong Kong subsidiary, as well as a decrease in accounts payable mainly due to timing of payments and purchases. These cash outflows were partially offset by increases in the accrual for sales returns and customer incentives, income tax payable and bonus accrual.</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cash provided by operating activities for 2020 was $169.0 million and consisted of net income of $103.2 million, non-cash adjustments of $50.8 million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$14.9 million from changes in our net operating assets and liabilities. The non-cash adjustments consisted primarily of amortization of intangibles and depreciation, stock-</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based compensation expense, loss on debt extinguishment and amortization of debt issuance costs, which were partially offset by changes in deferred income taxes. The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net cash inflow from changes in our net operating assets and liabilities was primarily related to increase in accounts payable, other liabilities and accrued expenses.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increase in accounts payable was mainly due to timing of payments and purchases with longer payment terms, and the increase in other liabilities and accrued expenses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was mainly from an increase in the bonus accrual and a higher accrual for sales returns and customer incentives. The cash inflow was partially offset by an increase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inventory, accounts receivable and prepaid expenses and other assets.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Investing Activities</w:t>
      </w:r>
    </w:p>
    <w:p>
      <w:pPr>
        <w:spacing w:after="0" w:line="112" w:lineRule="exact"/>
        <w:rPr>
          <w:sz w:val="20"/>
          <w:szCs w:val="20"/>
          <w:color w:val="auto"/>
        </w:rPr>
      </w:pPr>
    </w:p>
    <w:p>
      <w:pPr>
        <w:ind w:right="60" w:firstLine="469"/>
        <w:spacing w:after="0" w:line="324" w:lineRule="auto"/>
        <w:rPr>
          <w:sz w:val="20"/>
          <w:szCs w:val="20"/>
          <w:color w:val="auto"/>
        </w:rPr>
      </w:pPr>
      <w:r>
        <w:rPr>
          <w:rFonts w:ascii="Arial" w:cs="Arial" w:eastAsia="Arial" w:hAnsi="Arial"/>
          <w:sz w:val="15"/>
          <w:szCs w:val="15"/>
          <w:color w:val="auto"/>
        </w:rPr>
        <w:t>Cash used in investing activities was $20.5 million for 2021 and consisted of $11.0 million for the purchase of capital equipment and software, $4.7 million for the payment of deferred and contingent consideration primarily related to the Origin business acquisition, and $4.8 million for acquisitions of immaterial businesses.</w:t>
      </w:r>
    </w:p>
    <w:p>
      <w:pPr>
        <w:spacing w:after="0" w:line="28" w:lineRule="exact"/>
        <w:rPr>
          <w:sz w:val="20"/>
          <w:szCs w:val="20"/>
          <w:color w:val="auto"/>
        </w:rPr>
      </w:pPr>
    </w:p>
    <w:p>
      <w:pPr>
        <w:ind w:right="140" w:firstLine="469"/>
        <w:spacing w:after="0" w:line="289" w:lineRule="auto"/>
        <w:rPr>
          <w:sz w:val="20"/>
          <w:szCs w:val="20"/>
          <w:color w:val="auto"/>
        </w:rPr>
      </w:pPr>
      <w:r>
        <w:rPr>
          <w:rFonts w:ascii="Arial" w:cs="Arial" w:eastAsia="Arial" w:hAnsi="Arial"/>
          <w:sz w:val="16"/>
          <w:szCs w:val="16"/>
          <w:color w:val="auto"/>
        </w:rPr>
        <w:t>Cash used in investing activities was $10.3 million for 2020 and consisted of $9.0 million for the purchase of capital equipment and software and $1.3 million for acquisitions of immaterial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Financing Activities</w:t>
      </w:r>
    </w:p>
    <w:p>
      <w:pPr>
        <w:spacing w:after="0" w:line="112" w:lineRule="exact"/>
        <w:rPr>
          <w:sz w:val="20"/>
          <w:szCs w:val="20"/>
          <w:color w:val="auto"/>
        </w:rPr>
      </w:pPr>
    </w:p>
    <w:p>
      <w:pPr>
        <w:ind w:right="40" w:firstLine="469"/>
        <w:spacing w:after="0" w:line="268" w:lineRule="auto"/>
        <w:rPr>
          <w:sz w:val="20"/>
          <w:szCs w:val="20"/>
          <w:color w:val="auto"/>
        </w:rPr>
      </w:pPr>
      <w:r>
        <w:rPr>
          <w:rFonts w:ascii="Arial" w:cs="Arial" w:eastAsia="Arial" w:hAnsi="Arial"/>
          <w:sz w:val="16"/>
          <w:szCs w:val="16"/>
          <w:color w:val="auto"/>
        </w:rPr>
        <w:t>Net cash used in financing activities was $65.4 million for 2021 and consisted primarily of $328.2 million repayments of debt and $0.4 million payment of taxes related to net share settlement of equity awards. These cash outflows were partially offset by $248.5 million net proceeds from our new Term Loan executed in September 2021 and $14.9 million proceeds received from the issuance of shares through our employee equity incentive plans. During 2021, we also borrowed $63.5 million from our revolving credit facility to fund our operations and the full amount was repaid in 2021.</w:t>
      </w:r>
    </w:p>
    <w:p>
      <w:pPr>
        <w:spacing w:after="0" w:line="66" w:lineRule="exact"/>
        <w:rPr>
          <w:sz w:val="20"/>
          <w:szCs w:val="20"/>
          <w:color w:val="auto"/>
        </w:rPr>
      </w:pPr>
    </w:p>
    <w:p>
      <w:pPr>
        <w:ind w:right="40" w:firstLine="465"/>
        <w:spacing w:after="0" w:line="273" w:lineRule="auto"/>
        <w:rPr>
          <w:sz w:val="20"/>
          <w:szCs w:val="20"/>
          <w:color w:val="auto"/>
        </w:rPr>
      </w:pPr>
      <w:r>
        <w:rPr>
          <w:rFonts w:ascii="Arial" w:cs="Arial" w:eastAsia="Arial" w:hAnsi="Arial"/>
          <w:sz w:val="16"/>
          <w:szCs w:val="16"/>
          <w:color w:val="auto"/>
        </w:rPr>
        <w:t>Cash used in financing activities was $79.1 million for 2020 and consisted of $190.4 million repayments of debt and $8.5 payment of offering costs. These cash outflows were partially offset by $118.6 million proceeds received from the issuance of common stock in connection with our IPO, after deducting underwriting discounts and commissions, and $1.3 million proceeds received from the issuance of shares through our employee equity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Agreement (Term Loan and Revolving Credit Facility)</w:t>
      </w:r>
    </w:p>
    <w:p>
      <w:pPr>
        <w:spacing w:after="0" w:line="112" w:lineRule="exact"/>
        <w:rPr>
          <w:sz w:val="20"/>
          <w:szCs w:val="20"/>
          <w:color w:val="auto"/>
        </w:rPr>
      </w:pPr>
    </w:p>
    <w:p>
      <w:pPr>
        <w:ind w:right="140" w:firstLine="469"/>
        <w:spacing w:after="0" w:line="273" w:lineRule="auto"/>
        <w:rPr>
          <w:sz w:val="20"/>
          <w:szCs w:val="20"/>
          <w:color w:val="auto"/>
        </w:rPr>
      </w:pPr>
      <w:r>
        <w:rPr>
          <w:rFonts w:ascii="Arial" w:cs="Arial" w:eastAsia="Arial" w:hAnsi="Arial"/>
          <w:sz w:val="16"/>
          <w:szCs w:val="16"/>
          <w:color w:val="auto"/>
        </w:rPr>
        <w:t>On September 3, 2021, we refinanced the First Lien Credit and Guaranty Agreement with a new Credit Agreement (“Credit Agreement”). The new Credit Agreement provides for a total commitment of $350.0 million, consisting of a $100.0 million revolving credit facility (“Revolving Credit Facility”) and a $250.0 million term loan facility (“Term Loan”). The net proceeds from borrowings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left="1" w:right="80"/>
        <w:spacing w:after="0" w:line="289" w:lineRule="auto"/>
        <w:rPr>
          <w:sz w:val="20"/>
          <w:szCs w:val="20"/>
          <w:color w:val="auto"/>
        </w:rPr>
      </w:pPr>
      <w:r>
        <w:rPr>
          <w:rFonts w:ascii="Arial" w:cs="Arial" w:eastAsia="Arial" w:hAnsi="Arial"/>
          <w:sz w:val="16"/>
          <w:szCs w:val="16"/>
          <w:color w:val="auto"/>
        </w:rPr>
        <w:t>under the Term Loan of $248.5 million (net of $1.5 million of debt discount) were used to repay all amounts outstanding under the First Lien Term Loan on September 3, 2021.</w:t>
      </w:r>
    </w:p>
    <w:p>
      <w:pPr>
        <w:spacing w:after="0" w:line="50" w:lineRule="exact"/>
        <w:rPr>
          <w:sz w:val="20"/>
          <w:szCs w:val="20"/>
          <w:color w:val="auto"/>
        </w:rPr>
      </w:pPr>
    </w:p>
    <w:p>
      <w:pPr>
        <w:ind w:left="1" w:right="440" w:firstLine="469"/>
        <w:spacing w:after="0" w:line="273" w:lineRule="auto"/>
        <w:rPr>
          <w:sz w:val="20"/>
          <w:szCs w:val="20"/>
          <w:color w:val="auto"/>
        </w:rPr>
      </w:pPr>
      <w:r>
        <w:rPr>
          <w:rFonts w:ascii="Arial" w:cs="Arial" w:eastAsia="Arial" w:hAnsi="Arial"/>
          <w:sz w:val="16"/>
          <w:szCs w:val="16"/>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w:t>
      </w:r>
    </w:p>
    <w:p>
      <w:pPr>
        <w:spacing w:after="0" w:line="63" w:lineRule="exact"/>
        <w:rPr>
          <w:sz w:val="20"/>
          <w:szCs w:val="20"/>
          <w:color w:val="auto"/>
        </w:rPr>
      </w:pPr>
    </w:p>
    <w:p>
      <w:pPr>
        <w:ind w:left="1" w:right="360" w:firstLine="469"/>
        <w:spacing w:after="0" w:line="329" w:lineRule="auto"/>
        <w:rPr>
          <w:sz w:val="20"/>
          <w:szCs w:val="20"/>
          <w:color w:val="auto"/>
        </w:rPr>
      </w:pPr>
      <w:r>
        <w:rPr>
          <w:rFonts w:ascii="Arial" w:cs="Arial" w:eastAsia="Arial" w:hAnsi="Arial"/>
          <w:sz w:val="14"/>
          <w:szCs w:val="14"/>
          <w:color w:val="auto"/>
        </w:rPr>
        <w:t>The Term Loan and Revolving Credit Facility under the Credit Agreement will each bear interest at our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w:t>
      </w:r>
    </w:p>
    <w:p>
      <w:pPr>
        <w:spacing w:after="0" w:line="29" w:lineRule="exact"/>
        <w:rPr>
          <w:sz w:val="20"/>
          <w:szCs w:val="20"/>
          <w:color w:val="auto"/>
        </w:rPr>
      </w:pPr>
    </w:p>
    <w:p>
      <w:pPr>
        <w:ind w:left="1" w:right="80" w:firstLine="469"/>
        <w:spacing w:after="0" w:line="324" w:lineRule="auto"/>
        <w:rPr>
          <w:sz w:val="20"/>
          <w:szCs w:val="20"/>
          <w:color w:val="auto"/>
        </w:rPr>
      </w:pPr>
      <w:r>
        <w:rPr>
          <w:rFonts w:ascii="Arial" w:cs="Arial" w:eastAsia="Arial" w:hAnsi="Arial"/>
          <w:sz w:val="15"/>
          <w:szCs w:val="15"/>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28" w:lineRule="exact"/>
        <w:rPr>
          <w:sz w:val="20"/>
          <w:szCs w:val="20"/>
          <w:color w:val="auto"/>
        </w:rPr>
      </w:pPr>
    </w:p>
    <w:p>
      <w:pPr>
        <w:ind w:left="1" w:right="40" w:firstLine="469"/>
        <w:spacing w:after="0" w:line="263" w:lineRule="auto"/>
        <w:rPr>
          <w:sz w:val="20"/>
          <w:szCs w:val="20"/>
          <w:color w:val="auto"/>
        </w:rPr>
      </w:pPr>
      <w:r>
        <w:rPr>
          <w:rFonts w:ascii="Arial" w:cs="Arial" w:eastAsia="Arial" w:hAnsi="Arial"/>
          <w:sz w:val="16"/>
          <w:szCs w:val="16"/>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Credit Facility can increase by 2.0%. As of December 31, 2021, we were not in default under the Credit Agreement.</w:t>
      </w:r>
    </w:p>
    <w:p>
      <w:pPr>
        <w:spacing w:after="0" w:line="73" w:lineRule="exact"/>
        <w:rPr>
          <w:sz w:val="20"/>
          <w:szCs w:val="20"/>
          <w:color w:val="auto"/>
        </w:rPr>
      </w:pPr>
    </w:p>
    <w:p>
      <w:pPr>
        <w:ind w:left="1" w:right="20" w:firstLine="469"/>
        <w:spacing w:after="0" w:line="289" w:lineRule="auto"/>
        <w:rPr>
          <w:sz w:val="20"/>
          <w:szCs w:val="20"/>
          <w:color w:val="auto"/>
        </w:rPr>
      </w:pPr>
      <w:r>
        <w:rPr>
          <w:rFonts w:ascii="Arial" w:cs="Arial" w:eastAsia="Arial" w:hAnsi="Arial"/>
          <w:sz w:val="16"/>
          <w:szCs w:val="16"/>
          <w:color w:val="auto"/>
        </w:rPr>
        <w:t>As of December 31, 2021, total principal outstanding of the Term Loan was $248.8 million and the available and uncommitted capacity under the Revolving Credit Facility was $99.5 million.</w:t>
      </w:r>
    </w:p>
    <w:p>
      <w:pPr>
        <w:spacing w:after="0" w:line="248"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Contractual Cash and Other Obligations</w:t>
      </w:r>
    </w:p>
    <w:p>
      <w:pPr>
        <w:spacing w:after="0" w:line="112" w:lineRule="exact"/>
        <w:rPr>
          <w:sz w:val="20"/>
          <w:szCs w:val="20"/>
          <w:color w:val="auto"/>
        </w:rPr>
      </w:pPr>
    </w:p>
    <w:p>
      <w:pPr>
        <w:ind w:left="461"/>
        <w:spacing w:after="0"/>
        <w:rPr>
          <w:sz w:val="20"/>
          <w:szCs w:val="20"/>
          <w:color w:val="auto"/>
        </w:rPr>
      </w:pPr>
      <w:r>
        <w:rPr>
          <w:rFonts w:ascii="Arial" w:cs="Arial" w:eastAsia="Arial" w:hAnsi="Arial"/>
          <w:sz w:val="16"/>
          <w:szCs w:val="16"/>
          <w:color w:val="auto"/>
        </w:rPr>
        <w:t>The following table summarizes our contractual cash and other obligations as of December 31, 2021 (in thousands):</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Payments Due by Period</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62"/>
              <w:spacing w:after="0" w:line="121" w:lineRule="exact"/>
              <w:rPr>
                <w:sz w:val="20"/>
                <w:szCs w:val="20"/>
                <w:color w:val="auto"/>
              </w:rPr>
            </w:pPr>
            <w:r>
              <w:rPr>
                <w:rFonts w:ascii="Arial" w:cs="Arial" w:eastAsia="Arial" w:hAnsi="Arial"/>
                <w:sz w:val="13"/>
                <w:szCs w:val="13"/>
                <w:b w:val="1"/>
                <w:bCs w:val="1"/>
                <w:color w:val="auto"/>
                <w:w w:val="95"/>
              </w:rPr>
              <w:t>Less than</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42"/>
              <w:spacing w:after="0" w:line="121" w:lineRule="exact"/>
              <w:rPr>
                <w:sz w:val="20"/>
                <w:szCs w:val="20"/>
                <w:color w:val="auto"/>
              </w:rPr>
            </w:pPr>
            <w:r>
              <w:rPr>
                <w:rFonts w:ascii="Arial" w:cs="Arial" w:eastAsia="Arial" w:hAnsi="Arial"/>
                <w:sz w:val="13"/>
                <w:szCs w:val="13"/>
                <w:b w:val="1"/>
                <w:bCs w:val="1"/>
                <w:color w:val="auto"/>
                <w:w w:val="95"/>
              </w:rPr>
              <w:t>1-3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362"/>
              <w:spacing w:after="0" w:line="121" w:lineRule="exact"/>
              <w:rPr>
                <w:sz w:val="20"/>
                <w:szCs w:val="20"/>
                <w:color w:val="auto"/>
              </w:rPr>
            </w:pPr>
            <w:r>
              <w:rPr>
                <w:rFonts w:ascii="Arial" w:cs="Arial" w:eastAsia="Arial" w:hAnsi="Arial"/>
                <w:sz w:val="13"/>
                <w:szCs w:val="13"/>
                <w:b w:val="1"/>
                <w:bCs w:val="1"/>
                <w:color w:val="auto"/>
              </w:rPr>
              <w:t>3-5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42"/>
              <w:spacing w:after="0" w:line="121"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1 Year</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0"/>
              </w:rPr>
              <w:t>Years</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Years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5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Debt principal and interest payments </w:t>
            </w:r>
            <w:r>
              <w:rPr>
                <w:rFonts w:ascii="Arial" w:cs="Arial" w:eastAsia="Arial" w:hAnsi="Arial"/>
                <w:sz w:val="13"/>
                <w:szCs w:val="13"/>
                <w:color w:val="auto"/>
              </w:rPr>
              <w:t>(1)</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278,168</w:t>
            </w:r>
          </w:p>
        </w:tc>
        <w:tc>
          <w:tcPr>
            <w:tcW w:w="380" w:type="dxa"/>
            <w:vAlign w:val="bottom"/>
            <w:gridSpan w:val="2"/>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9,899</w:t>
            </w:r>
          </w:p>
        </w:tc>
        <w:tc>
          <w:tcPr>
            <w:tcW w:w="440" w:type="dxa"/>
            <w:vAlign w:val="bottom"/>
            <w:gridSpan w:val="2"/>
            <w:shd w:val="clear" w:color="auto" w:fill="CFF0FC"/>
          </w:tcPr>
          <w:p>
            <w:pPr>
              <w:jc w:val="right"/>
              <w:ind w:right="63"/>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235,285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 xml:space="preserve">Inventory-related purchase obligations </w:t>
            </w:r>
            <w:r>
              <w:rPr>
                <w:rFonts w:ascii="Arial" w:cs="Arial" w:eastAsia="Arial" w:hAnsi="Arial"/>
                <w:sz w:val="13"/>
                <w:szCs w:val="13"/>
                <w:color w:val="auto"/>
              </w:rPr>
              <w:t>(2)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141,599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141,599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13"/>
                <w:szCs w:val="13"/>
                <w:color w:val="auto"/>
              </w:rPr>
              <w:t>(3)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13"/>
                <w:szCs w:val="13"/>
                <w:color w:val="auto"/>
              </w:rPr>
              <w:t>(4)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 in connection with a</w:t>
            </w:r>
          </w:p>
        </w:tc>
        <w:tc>
          <w:tcPr>
            <w:tcW w:w="2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0"/>
        </w:trPr>
        <w:tc>
          <w:tcPr>
            <w:tcW w:w="520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business acquisition</w:t>
            </w:r>
          </w:p>
        </w:tc>
        <w:tc>
          <w:tcPr>
            <w:tcW w:w="22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00" w:type="dxa"/>
            <w:vAlign w:val="bottom"/>
            <w:vMerge w:val="continue"/>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780" w:type="dxa"/>
            <w:vAlign w:val="bottom"/>
            <w:tcBorders>
              <w:bottom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tcBorders>
              <w:bottom w:val="single" w:sz="8" w:color="auto"/>
            </w:tcBorders>
            <w:shd w:val="clear" w:color="auto" w:fill="CFF0FC"/>
          </w:tcPr>
          <w:p>
            <w:pPr>
              <w:spacing w:after="0"/>
              <w:rPr>
                <w:sz w:val="8"/>
                <w:szCs w:val="8"/>
                <w:color w:val="auto"/>
              </w:rPr>
            </w:pPr>
          </w:p>
        </w:tc>
        <w:tc>
          <w:tcPr>
            <w:tcW w:w="840" w:type="dxa"/>
            <w:vAlign w:val="bottom"/>
            <w:tcBorders>
              <w:bottom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800" w:type="dxa"/>
            <w:vAlign w:val="bottom"/>
            <w:tcBorders>
              <w:bottom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800" w:type="dxa"/>
            <w:vAlign w:val="bottom"/>
            <w:tcBorders>
              <w:bottom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bottom w:val="single" w:sz="8" w:color="auto"/>
            </w:tcBorders>
            <w:shd w:val="clear" w:color="auto" w:fill="CFF0FC"/>
          </w:tcPr>
          <w:p>
            <w:pPr>
              <w:spacing w:after="0"/>
              <w:rPr>
                <w:sz w:val="8"/>
                <w:szCs w:val="8"/>
                <w:color w:val="auto"/>
              </w:rPr>
            </w:pPr>
          </w:p>
        </w:tc>
        <w:tc>
          <w:tcPr>
            <w:tcW w:w="880" w:type="dxa"/>
            <w:vAlign w:val="bottom"/>
            <w:tcBorders>
              <w:bottom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520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518,231</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182,727</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58,432</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247,659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61" w:right="40" w:hanging="361"/>
        <w:spacing w:after="0" w:line="282" w:lineRule="auto"/>
        <w:tabs>
          <w:tab w:leader="none" w:pos="36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Amounts represent the principal cash payments as of December 31, 2021 of our Term Loan based on the repayment schedule according to the Credit Agreement and the expected interest payments associated with the Term Loan. See Note 8 “Debt” to our consolidated financial statements for more information.</w:t>
      </w:r>
    </w:p>
    <w:p>
      <w:pPr>
        <w:ind w:left="361" w:right="20" w:hanging="361"/>
        <w:spacing w:after="0" w:line="274" w:lineRule="auto"/>
        <w:tabs>
          <w:tab w:leader="none" w:pos="36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Amounts represent an estimate of purchase obligations related to inventory, of which $17.5 million is related to purchase orders issued to iDisplay, in which we have acquired a 51% controlling financial interest effective January 1, 2022 and therefore, these obligations no longer exist as of the acquisition date.</w:t>
      </w:r>
    </w:p>
    <w:p>
      <w:pPr>
        <w:ind w:left="361" w:hanging="361"/>
        <w:spacing w:after="0"/>
        <w:tabs>
          <w:tab w:leader="none" w:pos="3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represent contractual obligations from our operating leases for offices and warehouse spaces.</w:t>
      </w:r>
    </w:p>
    <w:p>
      <w:pPr>
        <w:spacing w:after="0" w:line="13" w:lineRule="exact"/>
        <w:rPr>
          <w:rFonts w:ascii="Arial" w:cs="Arial" w:eastAsia="Arial" w:hAnsi="Arial"/>
          <w:sz w:val="16"/>
          <w:szCs w:val="16"/>
          <w:color w:val="auto"/>
        </w:rPr>
      </w:pPr>
    </w:p>
    <w:p>
      <w:pPr>
        <w:ind w:left="361" w:hanging="361"/>
        <w:spacing w:after="0"/>
        <w:tabs>
          <w:tab w:leader="none" w:pos="3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represent non-cancelable obligations related to capital expenditures, software licenses, marketing and other activities.</w:t>
      </w:r>
    </w:p>
    <w:p>
      <w:pPr>
        <w:spacing w:after="0" w:line="101" w:lineRule="exact"/>
        <w:rPr>
          <w:sz w:val="20"/>
          <w:szCs w:val="20"/>
          <w:color w:val="auto"/>
        </w:rPr>
      </w:pPr>
    </w:p>
    <w:p>
      <w:pPr>
        <w:ind w:left="1" w:right="80" w:firstLine="469"/>
        <w:spacing w:after="0" w:line="273" w:lineRule="auto"/>
        <w:rPr>
          <w:sz w:val="20"/>
          <w:szCs w:val="20"/>
          <w:color w:val="auto"/>
        </w:rPr>
      </w:pPr>
      <w:r>
        <w:rPr>
          <w:rFonts w:ascii="Arial" w:cs="Arial" w:eastAsia="Arial" w:hAnsi="Arial"/>
          <w:sz w:val="16"/>
          <w:szCs w:val="16"/>
          <w:color w:val="auto"/>
        </w:rPr>
        <w:t>As of December 31, 2021, we had $2.1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2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Critical Accounting Polices and Estimates</w:t>
      </w:r>
    </w:p>
    <w:p>
      <w:pPr>
        <w:spacing w:after="0" w:line="116" w:lineRule="exact"/>
        <w:rPr>
          <w:sz w:val="20"/>
          <w:szCs w:val="20"/>
          <w:color w:val="auto"/>
        </w:rPr>
      </w:pPr>
    </w:p>
    <w:p>
      <w:pPr>
        <w:jc w:val="both"/>
        <w:ind w:left="1" w:right="40" w:firstLine="469"/>
        <w:spacing w:after="0" w:line="273" w:lineRule="auto"/>
        <w:rPr>
          <w:sz w:val="20"/>
          <w:szCs w:val="20"/>
          <w:color w:val="auto"/>
        </w:rPr>
      </w:pPr>
      <w:r>
        <w:rPr>
          <w:rFonts w:ascii="Arial" w:cs="Arial" w:eastAsia="Arial" w:hAnsi="Arial"/>
          <w:sz w:val="16"/>
          <w:szCs w:val="16"/>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69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Accounting Principles ("GAAP"), which requires us to make estimates, judgments and assumptions that affect the reported amounts of assets and liabilities and the disclosure of contingent liabilities at the date of the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169" w:lineRule="exact"/>
        <w:rPr>
          <w:sz w:val="20"/>
          <w:szCs w:val="20"/>
          <w:color w:val="auto"/>
        </w:rPr>
      </w:pPr>
    </w:p>
    <w:p>
      <w:pPr>
        <w:ind w:right="60" w:firstLine="469"/>
        <w:spacing w:after="0" w:line="289" w:lineRule="auto"/>
        <w:rPr>
          <w:sz w:val="20"/>
          <w:szCs w:val="20"/>
          <w:color w:val="auto"/>
        </w:rPr>
      </w:pPr>
      <w:r>
        <w:rPr>
          <w:rFonts w:ascii="Arial" w:cs="Arial" w:eastAsia="Arial" w:hAnsi="Arial"/>
          <w:sz w:val="16"/>
          <w:szCs w:val="16"/>
          <w:color w:val="auto"/>
        </w:rPr>
        <w:t>We believe the accounting policies below are critical in the portrayal of our financial condition and results of operations, and involve management’s most difficult, subjective, or complex judgments.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and Accruals for Product Returns and Customer Incentive Programs</w:t>
      </w:r>
    </w:p>
    <w:p>
      <w:pPr>
        <w:spacing w:after="0" w:line="211" w:lineRule="exact"/>
        <w:rPr>
          <w:sz w:val="20"/>
          <w:szCs w:val="20"/>
          <w:color w:val="auto"/>
        </w:rPr>
      </w:pPr>
    </w:p>
    <w:p>
      <w:pPr>
        <w:ind w:right="420" w:firstLine="469"/>
        <w:spacing w:after="0" w:line="289" w:lineRule="auto"/>
        <w:rPr>
          <w:sz w:val="20"/>
          <w:szCs w:val="20"/>
          <w:color w:val="auto"/>
        </w:rPr>
      </w:pPr>
      <w:r>
        <w:rPr>
          <w:rFonts w:ascii="Arial" w:cs="Arial" w:eastAsia="Arial" w:hAnsi="Arial"/>
          <w:sz w:val="16"/>
          <w:szCs w:val="16"/>
          <w:color w:val="auto"/>
        </w:rPr>
        <w:t>We offer product return rights and customer incentive programs. Customer incentive programs include special pricing arrangements, promotions, rebates and volume-based incentives.</w:t>
      </w:r>
    </w:p>
    <w:p>
      <w:pPr>
        <w:spacing w:after="0" w:line="149" w:lineRule="exact"/>
        <w:rPr>
          <w:sz w:val="20"/>
          <w:szCs w:val="20"/>
          <w:color w:val="auto"/>
        </w:rPr>
      </w:pPr>
    </w:p>
    <w:p>
      <w:pPr>
        <w:ind w:right="40" w:firstLine="469"/>
        <w:spacing w:after="0" w:line="287" w:lineRule="auto"/>
        <w:rPr>
          <w:sz w:val="20"/>
          <w:szCs w:val="20"/>
          <w:color w:val="auto"/>
        </w:rPr>
      </w:pPr>
      <w:r>
        <w:rPr>
          <w:rFonts w:ascii="Arial" w:cs="Arial" w:eastAsia="Arial" w:hAnsi="Arial"/>
          <w:sz w:val="15"/>
          <w:szCs w:val="15"/>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rates. Return rates are influenced by product life cycle status, new product introductions, market acceptance of products, sales levels, the type of customer, seasonality, product quality issues, competitive pressures, published return policy, and other unforeseen global factors. Return rates can fluctuate over time but are sufficiently predictable to allow us to estimate expected future product returns.</w:t>
      </w:r>
    </w:p>
    <w:p>
      <w:pPr>
        <w:spacing w:after="0" w:line="54" w:lineRule="exact"/>
        <w:rPr>
          <w:sz w:val="20"/>
          <w:szCs w:val="20"/>
          <w:color w:val="auto"/>
        </w:rPr>
      </w:pPr>
    </w:p>
    <w:p>
      <w:pPr>
        <w:ind w:right="220" w:firstLine="469"/>
        <w:spacing w:after="0" w:line="311" w:lineRule="auto"/>
        <w:rPr>
          <w:sz w:val="20"/>
          <w:szCs w:val="20"/>
          <w:color w:val="auto"/>
        </w:rPr>
      </w:pPr>
      <w:r>
        <w:rPr>
          <w:rFonts w:ascii="Arial" w:cs="Arial" w:eastAsia="Arial" w:hAnsi="Arial"/>
          <w:sz w:val="14"/>
          <w:szCs w:val="14"/>
          <w:color w:val="auto"/>
        </w:rPr>
        <w:t>Customer incentive programs are considered variable consideration, which we estimate and record as a reduction to revenue at the time of sale. Significant management judgments and estimates must be used to determine the cost of these programs to be included in the transaction price in any accounting period including a reduction for the estimate of amounts that ultimately will not be claimed for certain customer incentive programs. We use the expected value method to arrive at the amount of variable consideration. The Company constrains variable consideration until the likelihood of a significant revenue reversal is not probable. The accrual estimates are based on actual sales data, historical experience, forecasted incentives, anticipated volume of future purchases, and inventory levels in the channel.</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6" w:lineRule="exact"/>
        <w:rPr>
          <w:sz w:val="20"/>
          <w:szCs w:val="20"/>
          <w:color w:val="auto"/>
        </w:rPr>
      </w:pPr>
    </w:p>
    <w:p>
      <w:pPr>
        <w:ind w:right="280" w:firstLine="469"/>
        <w:spacing w:after="0" w:line="289" w:lineRule="auto"/>
        <w:rPr>
          <w:sz w:val="20"/>
          <w:szCs w:val="20"/>
          <w:color w:val="auto"/>
        </w:rPr>
      </w:pPr>
      <w:r>
        <w:rPr>
          <w:rFonts w:ascii="Arial" w:cs="Arial" w:eastAsia="Arial" w:hAnsi="Arial"/>
          <w:sz w:val="16"/>
          <w:szCs w:val="16"/>
          <w:color w:val="auto"/>
        </w:rPr>
        <w:t>Refer to Note 2 to the consolidated financial statements included in this Annual Report on Form 10-K for recent accounting pronouncements adopted and to be adopted.</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6" w:lineRule="exact"/>
        <w:rPr>
          <w:sz w:val="20"/>
          <w:szCs w:val="20"/>
          <w:color w:val="auto"/>
        </w:rPr>
      </w:pPr>
    </w:p>
    <w:p>
      <w:pPr>
        <w:ind w:right="80" w:firstLine="469"/>
        <w:spacing w:after="0" w:line="324"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11" w:lineRule="exact"/>
        <w:rPr>
          <w:sz w:val="20"/>
          <w:szCs w:val="20"/>
          <w:color w:val="auto"/>
        </w:rPr>
      </w:pPr>
    </w:p>
    <w:p>
      <w:pPr>
        <w:ind w:right="440" w:firstLine="469"/>
        <w:spacing w:after="0" w:line="289" w:lineRule="auto"/>
        <w:rPr>
          <w:sz w:val="20"/>
          <w:szCs w:val="20"/>
          <w:color w:val="auto"/>
        </w:rPr>
      </w:pPr>
      <w:r>
        <w:rPr>
          <w:rFonts w:ascii="Arial" w:cs="Arial" w:eastAsia="Arial" w:hAnsi="Arial"/>
          <w:sz w:val="16"/>
          <w:szCs w:val="16"/>
          <w:color w:val="auto"/>
        </w:rPr>
        <w:t>As of December 31, 2021, we had cash and restricted cash of $65.4 million, which consisted primarily of bank deposits. Our cash is held for working capital purposes.</w:t>
      </w:r>
    </w:p>
    <w:p>
      <w:pPr>
        <w:spacing w:after="0" w:line="149" w:lineRule="exact"/>
        <w:rPr>
          <w:sz w:val="20"/>
          <w:szCs w:val="20"/>
          <w:color w:val="auto"/>
        </w:rPr>
      </w:pPr>
    </w:p>
    <w:p>
      <w:pPr>
        <w:ind w:right="80" w:firstLine="469"/>
        <w:spacing w:after="0" w:line="265" w:lineRule="auto"/>
        <w:rPr>
          <w:sz w:val="20"/>
          <w:szCs w:val="20"/>
          <w:color w:val="auto"/>
        </w:rPr>
      </w:pPr>
      <w:r>
        <w:rPr>
          <w:rFonts w:ascii="Arial" w:cs="Arial" w:eastAsia="Arial" w:hAnsi="Arial"/>
          <w:sz w:val="16"/>
          <w:szCs w:val="16"/>
          <w:color w:val="auto"/>
        </w:rPr>
        <w:t>On September 3, 2021, we entered into a new Credit Agreement which replaced our previous credit facilities under First Lien and Credit Guaranty Agreement. As of December 31, 2021, under the new Credit Agreement, we had a $248.8 million Term Loan outstanding (face value), and the Term Loan bears variable market interest rates, primarily LIBOR. Refer to Note 8 “Debt – Credit Agreement” for additional information on this new Credit Agreement. A significant change in these market interest rates may adversely affect our operating results. As of December 31, 2021, a hypothetical 100 basis point change in interest rates would result in a change to interest expense by approximately $2.5 million.</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12" w:lineRule="exact"/>
        <w:rPr>
          <w:sz w:val="20"/>
          <w:szCs w:val="20"/>
          <w:color w:val="auto"/>
        </w:rPr>
      </w:pPr>
    </w:p>
    <w:p>
      <w:pPr>
        <w:ind w:firstLine="469"/>
        <w:spacing w:after="0" w:line="289" w:lineRule="auto"/>
        <w:rPr>
          <w:sz w:val="20"/>
          <w:szCs w:val="20"/>
          <w:color w:val="auto"/>
        </w:rPr>
      </w:pPr>
      <w:r>
        <w:rPr>
          <w:rFonts w:ascii="Arial" w:cs="Arial" w:eastAsia="Arial" w:hAnsi="Arial"/>
          <w:sz w:val="16"/>
          <w:szCs w:val="16"/>
          <w:color w:val="auto"/>
        </w:rPr>
        <w:t>Approximately 18.7% of our net revenue in fiscal year 2021 was denominated in foreign currencies, primarily Euro and British Pound. Any unfavorable movement in the exchange rate between U.S. dollars and the currencies in which we conduct sales in foreign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65" w:lineRule="exact"/>
        <w:rPr>
          <w:sz w:val="20"/>
          <w:szCs w:val="20"/>
          <w:color w:val="auto"/>
        </w:rPr>
      </w:pPr>
    </w:p>
    <w:p>
      <w:pPr>
        <w:ind w:right="200" w:firstLine="469"/>
        <w:spacing w:after="0" w:line="317" w:lineRule="auto"/>
        <w:rPr>
          <w:sz w:val="20"/>
          <w:szCs w:val="20"/>
          <w:color w:val="auto"/>
        </w:rPr>
      </w:pPr>
      <w:r>
        <w:rPr>
          <w:rFonts w:ascii="Arial" w:cs="Arial" w:eastAsia="Arial" w:hAnsi="Arial"/>
          <w:sz w:val="14"/>
          <w:szCs w:val="14"/>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three to four months, and we do not enter into foreign currency forward contracts for trading purposes. The outstanding notional principal amount was $48.6 million and $41.6 million as of December 31, 2021 and 2020, respectively. The gains or losses on these contracts are recognized in earnings based on the changes in fair value of the foreign currency forward contracts.</w:t>
      </w:r>
    </w:p>
    <w:p>
      <w:pPr>
        <w:spacing w:after="0" w:line="136" w:lineRule="exact"/>
        <w:rPr>
          <w:sz w:val="20"/>
          <w:szCs w:val="20"/>
          <w:color w:val="auto"/>
        </w:rPr>
      </w:pPr>
    </w:p>
    <w:p>
      <w:pPr>
        <w:ind w:right="80" w:firstLine="469"/>
        <w:spacing w:after="0" w:line="268" w:lineRule="auto"/>
        <w:rPr>
          <w:sz w:val="20"/>
          <w:szCs w:val="20"/>
          <w:color w:val="auto"/>
        </w:rPr>
      </w:pPr>
      <w:r>
        <w:rPr>
          <w:rFonts w:ascii="Arial" w:cs="Arial" w:eastAsia="Arial" w:hAnsi="Arial"/>
          <w:sz w:val="16"/>
          <w:szCs w:val="16"/>
          <w:color w:val="auto"/>
        </w:rPr>
        <w:t>The net impact of changes in foreign currency rates, including the net gains or (losses) on the forward currency contracts, recognized in other (expense) income, net was $(5.8) million, $(1.5) million, and $(1.6) million, for the years ended December 31, 2021, 2020, and 2019, respectively. A hypothetical ten percent change in exchange rates between foreign currencies and the U.S. dollar would increase or decrease our gains or losses on foreign currency exchange of approximately $3.3 million in our consolidated financial statements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tcPr>
          <w:p>
            <w:pPr>
              <w:spacing w:after="0"/>
              <w:rPr>
                <w:rFonts w:ascii="Arial" w:cs="Arial" w:eastAsia="Arial" w:hAnsi="Arial"/>
                <w:sz w:val="16"/>
                <w:szCs w:val="16"/>
                <w:b w:val="1"/>
                <w:bCs w:val="1"/>
                <w:color w:val="0000EE"/>
                <w:w w:val="90"/>
              </w:rPr>
            </w:pPr>
            <w:hyperlink w:anchor="page3">
              <w:r>
                <w:rPr>
                  <w:rFonts w:ascii="Arial" w:cs="Arial" w:eastAsia="Arial" w:hAnsi="Arial"/>
                  <w:sz w:val="16"/>
                  <w:szCs w:val="16"/>
                  <w:b w:val="1"/>
                  <w:bCs w:val="1"/>
                  <w:color w:val="0000EE"/>
                  <w:w w:val="90"/>
                </w:rPr>
                <w:t>Table of Contents</w:t>
              </w:r>
            </w:hyperlink>
          </w:p>
        </w:tc>
        <w:tc>
          <w:tcPr>
            <w:tcW w:w="98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r>
      <w:tr>
        <w:trPr>
          <w:trHeight w:val="608"/>
        </w:trPr>
        <w:tc>
          <w:tcPr>
            <w:tcW w:w="11080" w:type="dxa"/>
            <w:vAlign w:val="bottom"/>
            <w:gridSpan w:val="9"/>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160" w:type="dxa"/>
            <w:vAlign w:val="bottom"/>
          </w:tcPr>
          <w:p>
            <w:pPr>
              <w:spacing w:after="0"/>
              <w:rPr>
                <w:sz w:val="24"/>
                <w:szCs w:val="24"/>
                <w:color w:val="auto"/>
              </w:rPr>
            </w:pPr>
          </w:p>
        </w:tc>
      </w:tr>
      <w:tr>
        <w:trPr>
          <w:trHeight w:val="592"/>
        </w:trPr>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0" w:type="dxa"/>
            <w:vAlign w:val="bottom"/>
            <w:gridSpan w:val="7"/>
          </w:tcPr>
          <w:p>
            <w:pPr>
              <w:ind w:left="860"/>
              <w:spacing w:after="0"/>
              <w:rPr>
                <w:sz w:val="20"/>
                <w:szCs w:val="20"/>
                <w:color w:val="auto"/>
              </w:rPr>
            </w:pPr>
            <w:r>
              <w:rPr>
                <w:rFonts w:ascii="Arial" w:cs="Arial" w:eastAsia="Arial" w:hAnsi="Arial"/>
                <w:sz w:val="16"/>
                <w:szCs w:val="16"/>
                <w:b w:val="1"/>
                <w:bCs w:val="1"/>
                <w:color w:val="auto"/>
              </w:rPr>
              <w:t>INDEX TO CONSOLIDATED FINANCIAL STATEMENTS</w:t>
            </w:r>
          </w:p>
        </w:tc>
        <w:tc>
          <w:tcPr>
            <w:tcW w:w="160" w:type="dxa"/>
            <w:vAlign w:val="bottom"/>
          </w:tcPr>
          <w:p>
            <w:pPr>
              <w:spacing w:after="0"/>
              <w:rPr>
                <w:sz w:val="24"/>
                <w:szCs w:val="24"/>
                <w:color w:val="auto"/>
              </w:rPr>
            </w:pPr>
          </w:p>
        </w:tc>
      </w:tr>
      <w:tr>
        <w:trPr>
          <w:trHeight w:val="408"/>
        </w:trPr>
        <w:tc>
          <w:tcPr>
            <w:tcW w:w="386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61">
              <w:r>
                <w:rPr>
                  <w:rFonts w:ascii="Arial" w:cs="Arial" w:eastAsia="Arial" w:hAnsi="Arial"/>
                  <w:sz w:val="16"/>
                  <w:szCs w:val="16"/>
                  <w:color w:val="0000EE"/>
                  <w:w w:val="93"/>
                </w:rPr>
                <w:t>Report of Independent Registered Public Accounting Firm</w:t>
              </w:r>
            </w:hyperlink>
          </w:p>
        </w:tc>
        <w:tc>
          <w:tcPr>
            <w:tcW w:w="7220" w:type="dxa"/>
            <w:vAlign w:val="bottom"/>
            <w:gridSpan w:val="6"/>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61">
              <w:r>
                <w:rPr>
                  <w:rFonts w:ascii="Arial" w:cs="Arial" w:eastAsia="Arial" w:hAnsi="Arial"/>
                  <w:sz w:val="16"/>
                  <w:szCs w:val="16"/>
                  <w:color w:val="0000EE"/>
                  <w:w w:val="78"/>
                </w:rPr>
                <w:t>58</w:t>
              </w:r>
            </w:hyperlink>
          </w:p>
        </w:tc>
      </w:tr>
      <w:tr>
        <w:trPr>
          <w:trHeight w:val="313"/>
        </w:trPr>
        <w:tc>
          <w:tcPr>
            <w:tcW w:w="11080" w:type="dxa"/>
            <w:vAlign w:val="bottom"/>
            <w:gridSpan w:val="9"/>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Consolidated Statements of Operations - Years ended December 31, 2021, 2020, and 2019</w:t>
              </w:r>
            </w:hyperlink>
          </w:p>
        </w:tc>
        <w:tc>
          <w:tcPr>
            <w:tcW w:w="160" w:type="dxa"/>
            <w:vAlign w:val="bottom"/>
          </w:tcPr>
          <w:p>
            <w:pPr>
              <w:jc w:val="right"/>
              <w:spacing w:after="0"/>
              <w:rPr>
                <w:rFonts w:ascii="Arial" w:cs="Arial" w:eastAsia="Arial" w:hAnsi="Arial"/>
                <w:sz w:val="16"/>
                <w:szCs w:val="16"/>
                <w:color w:val="0000EE"/>
                <w:w w:val="78"/>
              </w:rPr>
            </w:pPr>
            <w:hyperlink w:anchor="page63">
              <w:r>
                <w:rPr>
                  <w:rFonts w:ascii="Arial" w:cs="Arial" w:eastAsia="Arial" w:hAnsi="Arial"/>
                  <w:sz w:val="16"/>
                  <w:szCs w:val="16"/>
                  <w:color w:val="0000EE"/>
                  <w:w w:val="78"/>
                </w:rPr>
                <w:t>60</w:t>
              </w:r>
            </w:hyperlink>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313"/>
        </w:trPr>
        <w:tc>
          <w:tcPr>
            <w:tcW w:w="728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64">
              <w:r>
                <w:rPr>
                  <w:rFonts w:ascii="Arial" w:cs="Arial" w:eastAsia="Arial" w:hAnsi="Arial"/>
                  <w:sz w:val="16"/>
                  <w:szCs w:val="16"/>
                  <w:color w:val="0000EE"/>
                  <w:w w:val="91"/>
                </w:rPr>
                <w:t>Consolidated Statements of Comprehensive Income (Loss) – Years ended December 31, 2021, 2020, and 2019</w:t>
              </w:r>
            </w:hyperlink>
          </w:p>
        </w:tc>
        <w:tc>
          <w:tcPr>
            <w:tcW w:w="3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64">
              <w:r>
                <w:rPr>
                  <w:rFonts w:ascii="Arial" w:cs="Arial" w:eastAsia="Arial" w:hAnsi="Arial"/>
                  <w:sz w:val="16"/>
                  <w:szCs w:val="16"/>
                  <w:color w:val="0000EE"/>
                  <w:w w:val="78"/>
                </w:rPr>
                <w:t>61</w:t>
              </w:r>
            </w:hyperlink>
          </w:p>
        </w:tc>
      </w:tr>
      <w:tr>
        <w:trPr>
          <w:trHeight w:val="313"/>
        </w:trPr>
        <w:tc>
          <w:tcPr>
            <w:tcW w:w="4420" w:type="dxa"/>
            <w:vAlign w:val="bottom"/>
            <w:tcBorders>
              <w:bottom w:val="single" w:sz="8" w:color="0000EE"/>
            </w:tcBorders>
            <w:gridSpan w:val="4"/>
          </w:tcPr>
          <w:p>
            <w:pPr>
              <w:spacing w:after="0"/>
              <w:rPr>
                <w:rFonts w:ascii="Arial" w:cs="Arial" w:eastAsia="Arial" w:hAnsi="Arial"/>
                <w:sz w:val="16"/>
                <w:szCs w:val="16"/>
                <w:color w:val="0000EE"/>
                <w:w w:val="91"/>
              </w:rPr>
            </w:pPr>
            <w:hyperlink w:anchor="page65">
              <w:r>
                <w:rPr>
                  <w:rFonts w:ascii="Arial" w:cs="Arial" w:eastAsia="Arial" w:hAnsi="Arial"/>
                  <w:sz w:val="16"/>
                  <w:szCs w:val="16"/>
                  <w:color w:val="0000EE"/>
                  <w:w w:val="91"/>
                </w:rPr>
                <w:t>Consolidated Balance Sheets – As of December 31, 2021 and 2020</w:t>
              </w:r>
            </w:hyperlink>
          </w:p>
        </w:tc>
        <w:tc>
          <w:tcPr>
            <w:tcW w:w="6660" w:type="dxa"/>
            <w:vAlign w:val="bottom"/>
            <w:gridSpan w:val="5"/>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65">
              <w:r>
                <w:rPr>
                  <w:rFonts w:ascii="Arial" w:cs="Arial" w:eastAsia="Arial" w:hAnsi="Arial"/>
                  <w:sz w:val="16"/>
                  <w:szCs w:val="16"/>
                  <w:color w:val="0000EE"/>
                  <w:w w:val="78"/>
                </w:rPr>
                <w:t>62</w:t>
              </w:r>
            </w:hyperlink>
          </w:p>
        </w:tc>
      </w:tr>
      <w:tr>
        <w:trPr>
          <w:trHeight w:val="313"/>
        </w:trPr>
        <w:tc>
          <w:tcPr>
            <w:tcW w:w="11080" w:type="dxa"/>
            <w:vAlign w:val="bottom"/>
            <w:tcBorders>
              <w:bottom w:val="single" w:sz="8" w:color="0000EE"/>
            </w:tcBorders>
            <w:gridSpan w:val="9"/>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Consolidated Statements of Stockholders’ Equity - Years ended December 31, 2021, 2020, and 2019</w:t>
              </w:r>
            </w:hyperlink>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66">
              <w:r>
                <w:rPr>
                  <w:rFonts w:ascii="Arial" w:cs="Arial" w:eastAsia="Arial" w:hAnsi="Arial"/>
                  <w:sz w:val="16"/>
                  <w:szCs w:val="16"/>
                  <w:color w:val="0000EE"/>
                  <w:w w:val="78"/>
                </w:rPr>
                <w:t>63</w:t>
              </w:r>
            </w:hyperlink>
          </w:p>
        </w:tc>
      </w:tr>
      <w:tr>
        <w:trPr>
          <w:trHeight w:val="313"/>
        </w:trPr>
        <w:tc>
          <w:tcPr>
            <w:tcW w:w="11080" w:type="dxa"/>
            <w:vAlign w:val="bottom"/>
            <w:gridSpan w:val="9"/>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Consolidated Statements of Cash Flows - Years ended December 31, 2021 and 2020, and 2019</w:t>
              </w:r>
            </w:hyperlink>
          </w:p>
        </w:tc>
        <w:tc>
          <w:tcPr>
            <w:tcW w:w="160" w:type="dxa"/>
            <w:vAlign w:val="bottom"/>
          </w:tcPr>
          <w:p>
            <w:pPr>
              <w:jc w:val="right"/>
              <w:spacing w:after="0"/>
              <w:rPr>
                <w:rFonts w:ascii="Arial" w:cs="Arial" w:eastAsia="Arial" w:hAnsi="Arial"/>
                <w:sz w:val="16"/>
                <w:szCs w:val="16"/>
                <w:color w:val="0000EE"/>
                <w:w w:val="78"/>
              </w:rPr>
            </w:pPr>
            <w:hyperlink w:anchor="page67">
              <w:r>
                <w:rPr>
                  <w:rFonts w:ascii="Arial" w:cs="Arial" w:eastAsia="Arial" w:hAnsi="Arial"/>
                  <w:sz w:val="16"/>
                  <w:szCs w:val="16"/>
                  <w:color w:val="0000EE"/>
                  <w:w w:val="78"/>
                </w:rPr>
                <w:t>64</w:t>
              </w:r>
            </w:hyperlink>
          </w:p>
        </w:tc>
      </w:tr>
      <w:tr>
        <w:trPr>
          <w:trHeight w:val="313"/>
        </w:trPr>
        <w:tc>
          <w:tcPr>
            <w:tcW w:w="28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1"/>
              </w:rPr>
            </w:pPr>
            <w:hyperlink w:anchor="page68">
              <w:r>
                <w:rPr>
                  <w:rFonts w:ascii="Arial" w:cs="Arial" w:eastAsia="Arial" w:hAnsi="Arial"/>
                  <w:sz w:val="16"/>
                  <w:szCs w:val="16"/>
                  <w:color w:val="0000EE"/>
                  <w:w w:val="91"/>
                </w:rPr>
                <w:t>Notes to Consolidated Financial Statements</w:t>
              </w:r>
            </w:hyperlink>
          </w:p>
        </w:tc>
        <w:tc>
          <w:tcPr>
            <w:tcW w:w="3340" w:type="dxa"/>
            <w:vAlign w:val="bottom"/>
            <w:tcBorders>
              <w:top w:val="single" w:sz="8" w:color="0000EE"/>
            </w:tcBorders>
            <w:gridSpan w:val="4"/>
          </w:tcPr>
          <w:p>
            <w:pPr>
              <w:spacing w:after="0"/>
              <w:rPr>
                <w:sz w:val="24"/>
                <w:szCs w:val="24"/>
                <w:color w:val="auto"/>
              </w:rPr>
            </w:pPr>
          </w:p>
        </w:tc>
        <w:tc>
          <w:tcPr>
            <w:tcW w:w="4860" w:type="dxa"/>
            <w:vAlign w:val="bottom"/>
            <w:gridSpan w:val="3"/>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6"/>
                <w:szCs w:val="16"/>
                <w:color w:val="0000EE"/>
                <w:w w:val="78"/>
              </w:rPr>
            </w:pPr>
            <w:hyperlink w:anchor="page68">
              <w:r>
                <w:rPr>
                  <w:rFonts w:ascii="Arial" w:cs="Arial" w:eastAsia="Arial" w:hAnsi="Arial"/>
                  <w:sz w:val="16"/>
                  <w:szCs w:val="16"/>
                  <w:color w:val="0000EE"/>
                  <w:w w:val="78"/>
                </w:rPr>
                <w:t>65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Corsair Gaming, Inc.: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Opinions on the Consolidated Financial Statements and Internal Control Over Financial Reporting</w:t>
      </w:r>
    </w:p>
    <w:p>
      <w:pPr>
        <w:spacing w:after="0" w:line="8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 xml:space="preserve">We have audited the accompanying consolidated balance sheets of Corsair Gaming, Inc. and subsidiaries (the Company) as of December 31, 2021 and 2020, the related consolidated statements of operations, comprehensive income (loss), stockholders’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Opinions</w:t>
      </w:r>
    </w:p>
    <w:p>
      <w:pPr>
        <w:spacing w:after="0" w:line="10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0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 price in contracts with customers</w:t>
      </w:r>
    </w:p>
    <w:p>
      <w:pPr>
        <w:spacing w:after="0" w:line="100"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As discussed in Note 2 to the consolidated financial statements, the transaction price received by the Company from sales to distributors and retailers is net of variable consideration that may include product returns and customer incentives. Estimates of expected future product returns are recorded based on historical return rates, among other factors. Customer incentive programs are recorded based on historical experience and forecasted incentives, and include special pricing arrangements, promotions, rebates, volume-based incentives, and price protection credits for certain customers. The amounts recorded for accrued reserves for sales returns and accrued reserves for customer incentive programs were $37.2 million and $66.7 million, respectively, as of December 31, 2021.</w:t>
      </w:r>
    </w:p>
    <w:p>
      <w:pPr>
        <w:spacing w:after="0" w:line="15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identified the evaluation of the transaction price in contracts with customers as a critical audit matter. Subjective auditor judgment was required to evaluate changes in conditions and events affecting (1) the Company’s historical return rates, and (2) the length of time between when a sale occurs and a return is processed, which are used to determine accrued reserves for sales returns. In addition, subjective auditor judgment was required to evaluate the reliability of data used to determine certain accrued reserves for customer incentive programs.</w:t>
      </w:r>
    </w:p>
    <w:p>
      <w:pPr>
        <w:spacing w:after="0" w:line="165" w:lineRule="exact"/>
        <w:rPr>
          <w:sz w:val="20"/>
          <w:szCs w:val="20"/>
          <w:color w:val="auto"/>
        </w:rPr>
      </w:pPr>
    </w:p>
    <w:p>
      <w:pPr>
        <w:ind w:right="200"/>
        <w:spacing w:after="0" w:line="281"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related to the Company’s process to determine the transaction price, including controls related to estimating variable consideration related to product returns and customer incentives. We evaluated the historical return rates by assessing the historical relationship between sales and returns, considering the effect of external market conditions obtained from peer company data and market publications. We evaluated the length of time between when a sale occurs and a return is processed by comparing (1) the return date obtained from return claims from customers to (2) the estimated date the sale occurred obtained from supporting documentation. We evaluated the reliability of data used to determine certain accrued reserves for customer incentive programs by selecting a sample of incentives recorded during the year and (1) comparing the key inputs to correspondence with customers and customer agreements, and (2) recalculating the total incentive amount and comparing it to the incentive recorded or the claim from the customer if it was received by the Company before December 31,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1"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Net revenue</w:t>
            </w: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1,904,060</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1,702,367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1,390,206</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1,236,938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872,887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513,854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465,429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Sales, general and administrative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315,672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257,004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Product development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60,288</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50,064</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375,960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307,068</w:t>
            </w: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200,580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137,894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158,361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(17,673)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(35,137)</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(35,548)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(5,661)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(1,182)</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1"/>
        </w:trPr>
        <w:tc>
          <w:tcPr>
            <w:tcW w:w="6640" w:type="dxa"/>
            <w:vAlign w:val="bottom"/>
            <w:gridSpan w:val="2"/>
          </w:tcPr>
          <w:p>
            <w:pPr>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(36,319)</w:t>
            </w: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114,560</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122,042</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(13,399)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(13,600)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(18,825)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100,960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103,217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6"/>
                <w:szCs w:val="16"/>
                <w:color w:val="auto"/>
              </w:rPr>
              <w:t>Net income (loss) per share</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FF0FC"/>
              <w:bottom w:val="single" w:sz="8" w:color="CFF0FC"/>
            </w:tcBorders>
            <w:vMerge w:val="restart"/>
          </w:tcPr>
          <w:p>
            <w:pPr>
              <w:ind w:left="10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tcBorders>
              <w:bottom w:val="single" w:sz="8" w:color="CFF0FC"/>
            </w:tcBorders>
            <w:vMerge w:val="continue"/>
          </w:tcPr>
          <w:p>
            <w:pPr>
              <w:spacing w:after="0"/>
              <w:rPr>
                <w:sz w:val="19"/>
                <w:szCs w:val="19"/>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shares used to compute net income (loss) per share</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93,260</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86,256</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100,004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90,577</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76,223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line="141"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1"/>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37"/>
        </w:trPr>
        <w:tc>
          <w:tcPr>
            <w:tcW w:w="6640" w:type="dxa"/>
            <w:vAlign w:val="bottom"/>
          </w:tcPr>
          <w:p>
            <w:pPr>
              <w:spacing w:after="0"/>
              <w:rPr>
                <w:sz w:val="20"/>
                <w:szCs w:val="20"/>
                <w:color w:val="auto"/>
              </w:rPr>
            </w:pPr>
            <w:r>
              <w:rPr>
                <w:rFonts w:ascii="Arial" w:cs="Arial" w:eastAsia="Arial" w:hAnsi="Arial"/>
                <w:sz w:val="3"/>
                <w:szCs w:val="3"/>
                <w:b w:val="1"/>
                <w:bCs w:val="1"/>
                <w:color w:val="auto"/>
              </w:rPr>
              <w:t>\</w:t>
            </w: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4"/>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100,960</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103,217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(8,394)</w:t>
            </w: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Foreign currency translation adjustments, net of zero tax</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(1,482)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FF0FC"/>
          </w:tcPr>
          <w:p>
            <w:pPr>
              <w:spacing w:after="0"/>
              <w:rPr>
                <w:sz w:val="18"/>
                <w:szCs w:val="18"/>
                <w:color w:val="auto"/>
              </w:rPr>
            </w:pPr>
          </w:p>
        </w:tc>
      </w:tr>
      <w:tr>
        <w:trPr>
          <w:trHeight w:val="197"/>
        </w:trPr>
        <w:tc>
          <w:tcPr>
            <w:tcW w:w="6640" w:type="dxa"/>
            <w:vAlign w:val="bottom"/>
          </w:tcPr>
          <w:p>
            <w:pPr>
              <w:ind w:left="120"/>
              <w:spacing w:after="0"/>
              <w:rPr>
                <w:sz w:val="20"/>
                <w:szCs w:val="20"/>
                <w:color w:val="auto"/>
              </w:rPr>
            </w:pPr>
            <w:r>
              <w:rPr>
                <w:rFonts w:ascii="Arial" w:cs="Arial" w:eastAsia="Arial" w:hAnsi="Arial"/>
                <w:sz w:val="16"/>
                <w:szCs w:val="16"/>
                <w:color w:val="auto"/>
              </w:rPr>
              <w:t>Unrealized foreign exchange gain (loss) from long-term</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640" w:type="dxa"/>
            <w:vAlign w:val="bottom"/>
          </w:tcPr>
          <w:p>
            <w:pPr>
              <w:ind w:left="240"/>
              <w:spacing w:after="0"/>
              <w:rPr>
                <w:sz w:val="20"/>
                <w:szCs w:val="20"/>
                <w:color w:val="auto"/>
              </w:rPr>
            </w:pPr>
            <w:r>
              <w:rPr>
                <w:rFonts w:ascii="Arial" w:cs="Arial" w:eastAsia="Arial" w:hAnsi="Arial"/>
                <w:sz w:val="16"/>
                <w:szCs w:val="16"/>
                <w:color w:val="auto"/>
              </w:rPr>
              <w:t>intercompany loans, net of tax benefit (expense) of $76,</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640" w:type="dxa"/>
            <w:vAlign w:val="bottom"/>
          </w:tcPr>
          <w:p>
            <w:pPr>
              <w:ind w:left="240"/>
              <w:spacing w:after="0"/>
              <w:rPr>
                <w:sz w:val="20"/>
                <w:szCs w:val="20"/>
                <w:color w:val="auto"/>
              </w:rPr>
            </w:pPr>
            <w:r>
              <w:rPr>
                <w:rFonts w:ascii="Arial" w:cs="Arial" w:eastAsia="Arial" w:hAnsi="Arial"/>
                <w:sz w:val="16"/>
                <w:szCs w:val="16"/>
                <w:color w:val="auto"/>
              </w:rPr>
              <w:t>$(150), and $55 for the years ended December 31, 2021,</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640" w:type="dxa"/>
            <w:vAlign w:val="bottom"/>
          </w:tcPr>
          <w:p>
            <w:pPr>
              <w:ind w:left="240"/>
              <w:spacing w:after="0"/>
              <w:rPr>
                <w:sz w:val="20"/>
                <w:szCs w:val="20"/>
                <w:color w:val="auto"/>
              </w:rPr>
            </w:pPr>
            <w:r>
              <w:rPr>
                <w:rFonts w:ascii="Arial" w:cs="Arial" w:eastAsia="Arial" w:hAnsi="Arial"/>
                <w:sz w:val="16"/>
                <w:szCs w:val="16"/>
                <w:color w:val="auto"/>
              </w:rPr>
              <w:t>2020, and 2019, respectively</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(278)</w:t>
            </w:r>
          </w:p>
        </w:tc>
      </w:tr>
      <w:tr>
        <w:trPr>
          <w:trHeight w:val="202"/>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99,093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106,915</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2"/>
        </w:trPr>
        <w:tc>
          <w:tcPr>
            <w:tcW w:w="78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7"/>
                <w:szCs w:val="17"/>
                <w:color w:val="auto"/>
              </w:rPr>
            </w:pP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62,415</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129,543</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3,795</w:t>
            </w:r>
          </w:p>
        </w:tc>
        <w:tc>
          <w:tcPr>
            <w:tcW w:w="120" w:type="dxa"/>
            <w:vAlign w:val="bottom"/>
          </w:tcPr>
          <w:p>
            <w:pPr>
              <w:spacing w:after="0"/>
              <w:rPr>
                <w:sz w:val="18"/>
                <w:szCs w:val="18"/>
                <w:color w:val="auto"/>
              </w:rPr>
            </w:pPr>
          </w:p>
        </w:tc>
      </w:tr>
      <w:tr>
        <w:trPr>
          <w:trHeight w:val="210"/>
        </w:trPr>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291,287</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293,629</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298,315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226,007</w:t>
            </w:r>
          </w:p>
        </w:tc>
        <w:tc>
          <w:tcPr>
            <w:tcW w:w="120" w:type="dxa"/>
            <w:vAlign w:val="bottom"/>
          </w:tcPr>
          <w:p>
            <w:pPr>
              <w:spacing w:after="0"/>
              <w:rPr>
                <w:sz w:val="18"/>
                <w:szCs w:val="18"/>
                <w:color w:val="auto"/>
              </w:rPr>
            </w:pPr>
          </w:p>
        </w:tc>
      </w:tr>
      <w:tr>
        <w:trPr>
          <w:trHeight w:val="210"/>
        </w:trPr>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51,024</w:t>
            </w:r>
          </w:p>
        </w:tc>
        <w:tc>
          <w:tcPr>
            <w:tcW w:w="2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37,997</w:t>
            </w:r>
          </w:p>
        </w:tc>
        <w:tc>
          <w:tcPr>
            <w:tcW w:w="120" w:type="dxa"/>
            <w:vAlign w:val="bottom"/>
            <w:shd w:val="clear" w:color="auto" w:fill="CFF0FC"/>
          </w:tcPr>
          <w:p>
            <w:pPr>
              <w:spacing w:after="0"/>
              <w:rPr>
                <w:sz w:val="18"/>
                <w:szCs w:val="18"/>
                <w:color w:val="auto"/>
              </w:rPr>
            </w:pPr>
          </w:p>
        </w:tc>
      </w:tr>
      <w:tr>
        <w:trPr>
          <w:trHeight w:val="201"/>
        </w:trPr>
        <w:tc>
          <w:tcPr>
            <w:tcW w:w="78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705,775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690,971</w:t>
            </w:r>
          </w:p>
        </w:tc>
        <w:tc>
          <w:tcPr>
            <w:tcW w:w="120" w:type="dxa"/>
            <w:vAlign w:val="bottom"/>
          </w:tcPr>
          <w:p>
            <w:pPr>
              <w:spacing w:after="0"/>
              <w:rPr>
                <w:sz w:val="17"/>
                <w:szCs w:val="17"/>
                <w:color w:val="auto"/>
              </w:rPr>
            </w:pPr>
          </w:p>
        </w:tc>
      </w:tr>
      <w:tr>
        <w:trPr>
          <w:trHeight w:val="211"/>
        </w:trPr>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noncurrent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16,819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16,475</w:t>
            </w:r>
          </w:p>
        </w:tc>
        <w:tc>
          <w:tcPr>
            <w:tcW w:w="120" w:type="dxa"/>
            <w:vAlign w:val="bottom"/>
          </w:tcPr>
          <w:p>
            <w:pPr>
              <w:spacing w:after="0"/>
              <w:rPr>
                <w:sz w:val="18"/>
                <w:szCs w:val="18"/>
                <w:color w:val="auto"/>
              </w:rPr>
            </w:pPr>
          </w:p>
        </w:tc>
      </w:tr>
      <w:tr>
        <w:trPr>
          <w:trHeight w:val="211"/>
        </w:trPr>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317,054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312,760</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225,709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259,317</w:t>
            </w:r>
          </w:p>
        </w:tc>
        <w:tc>
          <w:tcPr>
            <w:tcW w:w="120" w:type="dxa"/>
            <w:vAlign w:val="bottom"/>
          </w:tcPr>
          <w:p>
            <w:pPr>
              <w:spacing w:after="0"/>
              <w:rPr>
                <w:sz w:val="18"/>
                <w:szCs w:val="18"/>
                <w:color w:val="auto"/>
              </w:rPr>
            </w:pPr>
          </w:p>
        </w:tc>
      </w:tr>
      <w:tr>
        <w:trPr>
          <w:trHeight w:val="211"/>
        </w:trPr>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71,808</w:t>
            </w:r>
          </w:p>
        </w:tc>
        <w:tc>
          <w:tcPr>
            <w:tcW w:w="2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34,362</w:t>
            </w:r>
          </w:p>
        </w:tc>
        <w:tc>
          <w:tcPr>
            <w:tcW w:w="120" w:type="dxa"/>
            <w:vAlign w:val="bottom"/>
            <w:shd w:val="clear" w:color="auto" w:fill="CFF0FC"/>
          </w:tcPr>
          <w:p>
            <w:pPr>
              <w:spacing w:after="0"/>
              <w:rPr>
                <w:sz w:val="18"/>
                <w:szCs w:val="18"/>
                <w:color w:val="auto"/>
              </w:rPr>
            </w:pPr>
          </w:p>
        </w:tc>
      </w:tr>
      <w:tr>
        <w:trPr>
          <w:trHeight w:val="241"/>
        </w:trPr>
        <w:tc>
          <w:tcPr>
            <w:tcW w:w="7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1,337,396</w:t>
            </w:r>
          </w:p>
        </w:tc>
        <w:tc>
          <w:tcPr>
            <w:tcW w:w="28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1,314,115</w:t>
            </w:r>
          </w:p>
        </w:tc>
        <w:tc>
          <w:tcPr>
            <w:tcW w:w="120" w:type="dxa"/>
            <w:vAlign w:val="bottom"/>
            <w:tcBorders>
              <w:bottom w:val="single" w:sz="8" w:color="CFF0FC"/>
            </w:tcBorders>
          </w:tcPr>
          <w:p>
            <w:pPr>
              <w:spacing w:after="0"/>
              <w:rPr>
                <w:sz w:val="20"/>
                <w:szCs w:val="20"/>
                <w:color w:val="auto"/>
              </w:rPr>
            </w:pPr>
          </w:p>
        </w:tc>
      </w:tr>
      <w:tr>
        <w:trPr>
          <w:trHeight w:val="187"/>
        </w:trPr>
        <w:tc>
          <w:tcPr>
            <w:tcW w:w="7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Debt maturing within one year</w:t>
            </w: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236,120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299,636</w:t>
            </w:r>
          </w:p>
        </w:tc>
        <w:tc>
          <w:tcPr>
            <w:tcW w:w="120" w:type="dxa"/>
            <w:vAlign w:val="bottom"/>
          </w:tcPr>
          <w:p>
            <w:pPr>
              <w:spacing w:after="0"/>
              <w:rPr>
                <w:sz w:val="18"/>
                <w:szCs w:val="18"/>
                <w:color w:val="auto"/>
              </w:rPr>
            </w:pPr>
          </w:p>
        </w:tc>
      </w:tr>
      <w:tr>
        <w:trPr>
          <w:trHeight w:val="210"/>
        </w:trPr>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liabilities and accrued expenses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205,874</w:t>
            </w:r>
          </w:p>
        </w:tc>
        <w:tc>
          <w:tcPr>
            <w:tcW w:w="2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205,745</w:t>
            </w:r>
          </w:p>
        </w:tc>
        <w:tc>
          <w:tcPr>
            <w:tcW w:w="120" w:type="dxa"/>
            <w:vAlign w:val="bottom"/>
            <w:shd w:val="clear" w:color="auto" w:fill="CFF0FC"/>
          </w:tcPr>
          <w:p>
            <w:pPr>
              <w:spacing w:after="0"/>
              <w:rPr>
                <w:sz w:val="18"/>
                <w:szCs w:val="18"/>
                <w:color w:val="auto"/>
              </w:rPr>
            </w:pPr>
          </w:p>
        </w:tc>
      </w:tr>
      <w:tr>
        <w:trPr>
          <w:trHeight w:val="201"/>
        </w:trPr>
        <w:tc>
          <w:tcPr>
            <w:tcW w:w="784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446,747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505,381</w:t>
            </w:r>
          </w:p>
        </w:tc>
        <w:tc>
          <w:tcPr>
            <w:tcW w:w="120" w:type="dxa"/>
            <w:vAlign w:val="bottom"/>
          </w:tcPr>
          <w:p>
            <w:pPr>
              <w:spacing w:after="0"/>
              <w:rPr>
                <w:sz w:val="17"/>
                <w:szCs w:val="17"/>
                <w:color w:val="auto"/>
              </w:rPr>
            </w:pPr>
          </w:p>
        </w:tc>
      </w:tr>
      <w:tr>
        <w:trPr>
          <w:trHeight w:val="211"/>
        </w:trPr>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242,898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321,393</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29,752</w:t>
            </w:r>
          </w:p>
        </w:tc>
        <w:tc>
          <w:tcPr>
            <w:tcW w:w="120" w:type="dxa"/>
            <w:vAlign w:val="bottom"/>
          </w:tcPr>
          <w:p>
            <w:pPr>
              <w:spacing w:after="0"/>
              <w:rPr>
                <w:sz w:val="18"/>
                <w:szCs w:val="18"/>
                <w:color w:val="auto"/>
              </w:rPr>
            </w:pPr>
          </w:p>
        </w:tc>
      </w:tr>
      <w:tr>
        <w:trPr>
          <w:trHeight w:val="211"/>
        </w:trPr>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 noncurrent</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53,871</w:t>
            </w:r>
          </w:p>
        </w:tc>
        <w:tc>
          <w:tcPr>
            <w:tcW w:w="2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20,199</w:t>
            </w:r>
          </w:p>
        </w:tc>
        <w:tc>
          <w:tcPr>
            <w:tcW w:w="120" w:type="dxa"/>
            <w:vAlign w:val="bottom"/>
            <w:shd w:val="clear" w:color="auto" w:fill="CFF0FC"/>
          </w:tcPr>
          <w:p>
            <w:pPr>
              <w:spacing w:after="0"/>
              <w:rPr>
                <w:sz w:val="18"/>
                <w:szCs w:val="18"/>
                <w:color w:val="auto"/>
              </w:rPr>
            </w:pPr>
          </w:p>
        </w:tc>
      </w:tr>
      <w:tr>
        <w:trPr>
          <w:trHeight w:val="201"/>
        </w:trPr>
        <w:tc>
          <w:tcPr>
            <w:tcW w:w="7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769,216</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876,725</w:t>
            </w:r>
          </w:p>
        </w:tc>
        <w:tc>
          <w:tcPr>
            <w:tcW w:w="120" w:type="dxa"/>
            <w:vAlign w:val="bottom"/>
            <w:tcBorders>
              <w:bottom w:val="single" w:sz="8" w:color="CFF0FC"/>
            </w:tcBorders>
          </w:tcPr>
          <w:p>
            <w:pPr>
              <w:spacing w:after="0"/>
              <w:rPr>
                <w:sz w:val="17"/>
                <w:szCs w:val="17"/>
                <w:color w:val="auto"/>
              </w:rPr>
            </w:pPr>
          </w:p>
        </w:tc>
      </w:tr>
      <w:tr>
        <w:trPr>
          <w:trHeight w:val="203"/>
        </w:trPr>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9)</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Preferred stock, $0.0001 par value: 5,000 shares authorized, nil and nil shares issued</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78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and outstanding as of December 30, 2021 and 2020, respectively</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7840" w:type="dxa"/>
            <w:vAlign w:val="bottom"/>
          </w:tcPr>
          <w:p>
            <w:pPr>
              <w:ind w:left="120"/>
              <w:spacing w:after="0"/>
              <w:rPr>
                <w:sz w:val="20"/>
                <w:szCs w:val="20"/>
                <w:color w:val="auto"/>
              </w:rPr>
            </w:pPr>
            <w:r>
              <w:rPr>
                <w:rFonts w:ascii="Arial" w:cs="Arial" w:eastAsia="Arial" w:hAnsi="Arial"/>
                <w:sz w:val="16"/>
                <w:szCs w:val="16"/>
                <w:color w:val="auto"/>
              </w:rPr>
              <w:t>Common stock, $0.0001 par value: 300,000 shares authorized, 94,510 and 91,935</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7840" w:type="dxa"/>
            <w:vAlign w:val="bottom"/>
          </w:tcPr>
          <w:p>
            <w:pPr>
              <w:ind w:left="240"/>
              <w:spacing w:after="0"/>
              <w:rPr>
                <w:sz w:val="20"/>
                <w:szCs w:val="20"/>
                <w:color w:val="auto"/>
              </w:rPr>
            </w:pPr>
            <w:r>
              <w:rPr>
                <w:rFonts w:ascii="Arial" w:cs="Arial" w:eastAsia="Arial" w:hAnsi="Arial"/>
                <w:sz w:val="16"/>
                <w:szCs w:val="16"/>
                <w:color w:val="auto"/>
              </w:rPr>
              <w:t>shares issued and outstanding as of December 31, 2021 and 2020,</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r>
      <w:tr>
        <w:trPr>
          <w:trHeight w:val="210"/>
        </w:trPr>
        <w:tc>
          <w:tcPr>
            <w:tcW w:w="7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470,364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438,667</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Pr>
          <w:p>
            <w:pPr>
              <w:ind w:left="120"/>
              <w:spacing w:after="0"/>
              <w:rPr>
                <w:sz w:val="20"/>
                <w:szCs w:val="20"/>
                <w:color w:val="auto"/>
              </w:rPr>
            </w:pPr>
            <w:r>
              <w:rPr>
                <w:rFonts w:ascii="Arial" w:cs="Arial" w:eastAsia="Arial" w:hAnsi="Arial"/>
                <w:sz w:val="16"/>
                <w:szCs w:val="16"/>
                <w:color w:val="auto"/>
              </w:rPr>
              <w:t>Retained earnings (accumulated deficit)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98,147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(2,813)</w:t>
            </w:r>
          </w:p>
        </w:tc>
      </w:tr>
      <w:tr>
        <w:trPr>
          <w:trHeight w:val="210"/>
        </w:trPr>
        <w:tc>
          <w:tcPr>
            <w:tcW w:w="7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(340)</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w:t>
            </w:r>
          </w:p>
        </w:tc>
        <w:tc>
          <w:tcPr>
            <w:tcW w:w="120" w:type="dxa"/>
            <w:vAlign w:val="bottom"/>
            <w:shd w:val="clear" w:color="auto" w:fill="CFF0FC"/>
          </w:tcPr>
          <w:p>
            <w:pPr>
              <w:spacing w:after="0"/>
              <w:rPr>
                <w:sz w:val="18"/>
                <w:szCs w:val="18"/>
                <w:color w:val="auto"/>
              </w:rPr>
            </w:pPr>
          </w:p>
        </w:tc>
      </w:tr>
      <w:tr>
        <w:trPr>
          <w:trHeight w:val="201"/>
        </w:trPr>
        <w:tc>
          <w:tcPr>
            <w:tcW w:w="784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568,180</w:t>
            </w:r>
          </w:p>
        </w:tc>
        <w:tc>
          <w:tcPr>
            <w:tcW w:w="28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437,390</w:t>
            </w:r>
          </w:p>
        </w:tc>
        <w:tc>
          <w:tcPr>
            <w:tcW w:w="120" w:type="dxa"/>
            <w:vAlign w:val="bottom"/>
            <w:tcBorders>
              <w:bottom w:val="single" w:sz="8" w:color="CFF0FC"/>
            </w:tcBorders>
          </w:tcPr>
          <w:p>
            <w:pPr>
              <w:spacing w:after="0"/>
              <w:rPr>
                <w:sz w:val="17"/>
                <w:szCs w:val="17"/>
                <w:color w:val="auto"/>
              </w:rPr>
            </w:pPr>
          </w:p>
        </w:tc>
      </w:tr>
      <w:tr>
        <w:trPr>
          <w:trHeight w:val="202"/>
        </w:trPr>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1,337,396</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1,314,115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Retained</w:t>
            </w: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6"/>
        </w:trPr>
        <w:tc>
          <w:tcPr>
            <w:tcW w:w="3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420"/>
              <w:spacing w:after="0" w:line="136"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36" w:lineRule="exact"/>
              <w:rPr>
                <w:sz w:val="20"/>
                <w:szCs w:val="20"/>
                <w:color w:val="auto"/>
              </w:rPr>
            </w:pPr>
            <w:r>
              <w:rPr>
                <w:rFonts w:ascii="Arial" w:cs="Arial" w:eastAsia="Arial" w:hAnsi="Arial"/>
                <w:sz w:val="13"/>
                <w:szCs w:val="13"/>
                <w:b w:val="1"/>
                <w:bCs w:val="1"/>
                <w:color w:val="auto"/>
                <w:w w:val="93"/>
              </w:rPr>
              <w:t>Earnings</w:t>
            </w:r>
          </w:p>
        </w:tc>
        <w:tc>
          <w:tcPr>
            <w:tcW w:w="120" w:type="dxa"/>
            <w:vAlign w:val="bottom"/>
          </w:tcPr>
          <w:p>
            <w:pPr>
              <w:spacing w:after="0"/>
              <w:rPr>
                <w:sz w:val="11"/>
                <w:szCs w:val="11"/>
                <w:color w:val="auto"/>
              </w:rPr>
            </w:pPr>
          </w:p>
        </w:tc>
        <w:tc>
          <w:tcPr>
            <w:tcW w:w="118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6"/>
              </w:rPr>
              <w:t>Total</w:t>
            </w:r>
          </w:p>
        </w:tc>
      </w:tr>
      <w:tr>
        <w:trPr>
          <w:trHeight w:val="156"/>
        </w:trPr>
        <w:tc>
          <w:tcPr>
            <w:tcW w:w="3500" w:type="dxa"/>
            <w:vAlign w:val="bottom"/>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Comprehensive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Stockholders’</w:t>
            </w:r>
          </w:p>
        </w:tc>
      </w:tr>
      <w:tr>
        <w:trPr>
          <w:trHeight w:val="140"/>
        </w:trPr>
        <w:tc>
          <w:tcPr>
            <w:tcW w:w="3500" w:type="dxa"/>
            <w:vAlign w:val="bottom"/>
          </w:tcPr>
          <w:p>
            <w:pPr>
              <w:spacing w:after="0"/>
              <w:rPr>
                <w:sz w:val="12"/>
                <w:szCs w:val="12"/>
                <w:color w:val="auto"/>
              </w:rPr>
            </w:pPr>
          </w:p>
        </w:tc>
        <w:tc>
          <w:tcPr>
            <w:tcW w:w="1400" w:type="dxa"/>
            <w:vAlign w:val="bottom"/>
            <w:gridSpan w:val="2"/>
          </w:tcPr>
          <w:p>
            <w:pPr>
              <w:jc w:val="right"/>
              <w:ind w:right="640"/>
              <w:spacing w:after="0" w:line="14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20" w:type="dxa"/>
            <w:vAlign w:val="bottom"/>
          </w:tcPr>
          <w:p>
            <w:pPr>
              <w:jc w:val="right"/>
              <w:ind w:right="58"/>
              <w:spacing w:after="0" w:line="141"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500"/>
              <w:spacing w:after="0" w:line="141"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8"/>
              </w:rPr>
              <w:t>Income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95"/>
              </w:rPr>
              <w:t>Equity</w:t>
            </w:r>
          </w:p>
        </w:tc>
      </w:tr>
      <w:tr>
        <w:trPr>
          <w:trHeight w:val="42"/>
        </w:trPr>
        <w:tc>
          <w:tcPr>
            <w:tcW w:w="350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10"/>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Balance as of December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75,896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258,238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(93,161)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(2,383)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162,702</w:t>
            </w:r>
          </w:p>
        </w:tc>
        <w:tc>
          <w:tcPr>
            <w:tcW w:w="120" w:type="dxa"/>
            <w:vAlign w:val="bottom"/>
            <w:shd w:val="clear" w:color="auto" w:fill="CFF0FC"/>
          </w:tcPr>
          <w:p>
            <w:pPr>
              <w:spacing w:after="0"/>
              <w:rPr>
                <w:sz w:val="18"/>
                <w:szCs w:val="18"/>
                <w:color w:val="auto"/>
              </w:rPr>
            </w:pPr>
          </w:p>
        </w:tc>
      </w:tr>
      <w:tr>
        <w:trPr>
          <w:trHeight w:val="197"/>
        </w:trPr>
        <w:tc>
          <w:tcPr>
            <w:tcW w:w="3500" w:type="dxa"/>
            <w:vAlign w:val="bottom"/>
          </w:tcPr>
          <w:p>
            <w:pPr>
              <w:ind w:left="120"/>
              <w:spacing w:after="0"/>
              <w:rPr>
                <w:sz w:val="20"/>
                <w:szCs w:val="20"/>
                <w:color w:val="auto"/>
              </w:rPr>
            </w:pPr>
            <w:r>
              <w:rPr>
                <w:rFonts w:ascii="Arial" w:cs="Arial" w:eastAsia="Arial" w:hAnsi="Arial"/>
                <w:sz w:val="16"/>
                <w:szCs w:val="16"/>
                <w:color w:val="auto"/>
              </w:rPr>
              <w:t>Cumulative effect of adoption of new</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500" w:type="dxa"/>
            <w:vAlign w:val="bottom"/>
          </w:tcPr>
          <w:p>
            <w:pPr>
              <w:ind w:left="240"/>
              <w:spacing w:after="0"/>
              <w:rPr>
                <w:sz w:val="20"/>
                <w:szCs w:val="20"/>
                <w:color w:val="auto"/>
              </w:rPr>
            </w:pPr>
            <w:r>
              <w:rPr>
                <w:rFonts w:ascii="Arial" w:cs="Arial" w:eastAsia="Arial" w:hAnsi="Arial"/>
                <w:sz w:val="16"/>
                <w:szCs w:val="16"/>
                <w:color w:val="auto"/>
              </w:rPr>
              <w:t>accounting standard</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(3,686)</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(3,686)</w:t>
            </w:r>
          </w:p>
        </w:tc>
      </w:tr>
      <w:tr>
        <w:trPr>
          <w:trHeight w:val="198"/>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in relation</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 acquisitions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FF0FC"/>
          </w:tcPr>
          <w:p>
            <w:pPr>
              <w:spacing w:after="0"/>
              <w:rPr>
                <w:sz w:val="18"/>
                <w:szCs w:val="18"/>
                <w:color w:val="auto"/>
              </w:rPr>
            </w:pPr>
          </w:p>
        </w:tc>
      </w:tr>
      <w:tr>
        <w:trPr>
          <w:trHeight w:val="197"/>
        </w:trPr>
        <w:tc>
          <w:tcPr>
            <w:tcW w:w="3500" w:type="dxa"/>
            <w:vAlign w:val="bottom"/>
          </w:tcPr>
          <w:p>
            <w:pPr>
              <w:ind w:left="120"/>
              <w:spacing w:after="0"/>
              <w:rPr>
                <w:sz w:val="20"/>
                <w:szCs w:val="20"/>
                <w:color w:val="auto"/>
              </w:rPr>
            </w:pPr>
            <w:r>
              <w:rPr>
                <w:rFonts w:ascii="Arial" w:cs="Arial" w:eastAsia="Arial" w:hAnsi="Arial"/>
                <w:sz w:val="16"/>
                <w:szCs w:val="16"/>
                <w:color w:val="auto"/>
              </w:rPr>
              <w:t>Issuance of common stock in</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500" w:type="dxa"/>
            <w:vAlign w:val="bottom"/>
          </w:tcPr>
          <w:p>
            <w:pPr>
              <w:ind w:left="240"/>
              <w:spacing w:after="0"/>
              <w:rPr>
                <w:sz w:val="20"/>
                <w:szCs w:val="20"/>
                <w:color w:val="auto"/>
              </w:rPr>
            </w:pPr>
            <w:r>
              <w:rPr>
                <w:rFonts w:ascii="Arial" w:cs="Arial" w:eastAsia="Arial" w:hAnsi="Arial"/>
                <w:sz w:val="16"/>
                <w:szCs w:val="16"/>
                <w:color w:val="auto"/>
              </w:rPr>
              <w:t>connection with employee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500" w:type="dxa"/>
            <w:vAlign w:val="bottom"/>
          </w:tcPr>
          <w:p>
            <w:pPr>
              <w:ind w:left="240"/>
              <w:spacing w:after="0"/>
              <w:rPr>
                <w:sz w:val="20"/>
                <w:szCs w:val="20"/>
                <w:color w:val="auto"/>
              </w:rPr>
            </w:pPr>
            <w:r>
              <w:rPr>
                <w:rFonts w:ascii="Arial" w:cs="Arial" w:eastAsia="Arial" w:hAnsi="Arial"/>
                <w:sz w:val="16"/>
                <w:szCs w:val="16"/>
                <w:color w:val="auto"/>
              </w:rPr>
              <w:t>equity incentive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r>
      <w:tr>
        <w:trPr>
          <w:trHeight w:val="198"/>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for capital</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contribution from stockholders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53,500</w:t>
            </w:r>
          </w:p>
        </w:tc>
        <w:tc>
          <w:tcPr>
            <w:tcW w:w="120" w:type="dxa"/>
            <w:vAlign w:val="bottom"/>
            <w:shd w:val="clear" w:color="auto" w:fill="CFF0FC"/>
          </w:tcPr>
          <w:p>
            <w:pPr>
              <w:spacing w:after="0"/>
              <w:rPr>
                <w:sz w:val="18"/>
                <w:szCs w:val="18"/>
                <w:color w:val="auto"/>
              </w:rPr>
            </w:pPr>
          </w:p>
        </w:tc>
      </w:tr>
      <w:tr>
        <w:trPr>
          <w:trHeight w:val="209"/>
        </w:trPr>
        <w:tc>
          <w:tcPr>
            <w:tcW w:w="350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(1,531)</w:t>
            </w:r>
          </w:p>
        </w:tc>
      </w:tr>
      <w:tr>
        <w:trPr>
          <w:trHeight w:val="210"/>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3,848</w:t>
            </w:r>
          </w:p>
        </w:tc>
        <w:tc>
          <w:tcPr>
            <w:tcW w:w="120" w:type="dxa"/>
            <w:vAlign w:val="bottom"/>
            <w:shd w:val="clear" w:color="auto" w:fill="CFF0FC"/>
          </w:tcPr>
          <w:p>
            <w:pPr>
              <w:spacing w:after="0"/>
              <w:rPr>
                <w:sz w:val="18"/>
                <w:szCs w:val="18"/>
                <w:color w:val="auto"/>
              </w:rPr>
            </w:pPr>
          </w:p>
        </w:tc>
      </w:tr>
      <w:tr>
        <w:trPr>
          <w:trHeight w:val="209"/>
        </w:trPr>
        <w:tc>
          <w:tcPr>
            <w:tcW w:w="350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r>
      <w:tr>
        <w:trPr>
          <w:trHeight w:val="210"/>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(8,394)</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(8,394)</w:t>
            </w:r>
          </w:p>
        </w:tc>
      </w:tr>
      <w:tr>
        <w:trPr>
          <w:trHeight w:val="201"/>
        </w:trPr>
        <w:tc>
          <w:tcPr>
            <w:tcW w:w="3500" w:type="dxa"/>
            <w:vAlign w:val="bottom"/>
          </w:tcPr>
          <w:p>
            <w:pPr>
              <w:spacing w:after="0"/>
              <w:rPr>
                <w:sz w:val="20"/>
                <w:szCs w:val="20"/>
                <w:color w:val="auto"/>
              </w:rPr>
            </w:pPr>
            <w:r>
              <w:rPr>
                <w:rFonts w:ascii="Arial" w:cs="Arial" w:eastAsia="Arial" w:hAnsi="Arial"/>
                <w:sz w:val="16"/>
                <w:szCs w:val="16"/>
                <w:color w:val="auto"/>
              </w:rPr>
              <w:t>Balance as of December 31, 2019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84,079</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324,968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(106,030)</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216,775</w:t>
            </w:r>
          </w:p>
        </w:tc>
        <w:tc>
          <w:tcPr>
            <w:tcW w:w="120" w:type="dxa"/>
            <w:vAlign w:val="bottom"/>
          </w:tcPr>
          <w:p>
            <w:pPr>
              <w:spacing w:after="0"/>
              <w:rPr>
                <w:sz w:val="17"/>
                <w:szCs w:val="17"/>
                <w:color w:val="auto"/>
              </w:rPr>
            </w:pPr>
          </w:p>
        </w:tc>
      </w:tr>
      <w:tr>
        <w:trPr>
          <w:trHeight w:val="210"/>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to directors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3500" w:type="dxa"/>
            <w:vAlign w:val="bottom"/>
          </w:tcPr>
          <w:p>
            <w:pPr>
              <w:ind w:left="120"/>
              <w:spacing w:after="0"/>
              <w:rPr>
                <w:sz w:val="20"/>
                <w:szCs w:val="20"/>
                <w:color w:val="auto"/>
              </w:rPr>
            </w:pPr>
            <w:r>
              <w:rPr>
                <w:rFonts w:ascii="Arial" w:cs="Arial" w:eastAsia="Arial" w:hAnsi="Arial"/>
                <w:sz w:val="16"/>
                <w:szCs w:val="16"/>
                <w:color w:val="auto"/>
              </w:rPr>
              <w:t>Issuance of common stock in</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500" w:type="dxa"/>
            <w:vAlign w:val="bottom"/>
          </w:tcPr>
          <w:p>
            <w:pPr>
              <w:ind w:left="240"/>
              <w:spacing w:after="0"/>
              <w:rPr>
                <w:sz w:val="20"/>
                <w:szCs w:val="20"/>
                <w:color w:val="auto"/>
              </w:rPr>
            </w:pPr>
            <w:r>
              <w:rPr>
                <w:rFonts w:ascii="Arial" w:cs="Arial" w:eastAsia="Arial" w:hAnsi="Arial"/>
                <w:sz w:val="16"/>
                <w:szCs w:val="16"/>
                <w:color w:val="auto"/>
              </w:rPr>
              <w:t>connection with employee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500" w:type="dxa"/>
            <w:vAlign w:val="bottom"/>
          </w:tcPr>
          <w:p>
            <w:pPr>
              <w:ind w:left="240"/>
              <w:spacing w:after="0"/>
              <w:rPr>
                <w:sz w:val="20"/>
                <w:szCs w:val="20"/>
                <w:color w:val="auto"/>
              </w:rPr>
            </w:pPr>
            <w:r>
              <w:rPr>
                <w:rFonts w:ascii="Arial" w:cs="Arial" w:eastAsia="Arial" w:hAnsi="Arial"/>
                <w:sz w:val="16"/>
                <w:szCs w:val="16"/>
                <w:color w:val="auto"/>
              </w:rPr>
              <w:t>equity incentive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336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18"/>
                <w:szCs w:val="18"/>
                <w:color w:val="auto"/>
              </w:rPr>
            </w:pPr>
          </w:p>
        </w:tc>
      </w:tr>
      <w:tr>
        <w:trPr>
          <w:trHeight w:val="198"/>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upon</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7"/>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initial public offering,</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7"/>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of underwriting discounts</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7"/>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and commissions and other</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offering costs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106,567</w:t>
            </w:r>
          </w:p>
        </w:tc>
        <w:tc>
          <w:tcPr>
            <w:tcW w:w="120" w:type="dxa"/>
            <w:vAlign w:val="bottom"/>
            <w:shd w:val="clear" w:color="auto" w:fill="CFF0FC"/>
          </w:tcPr>
          <w:p>
            <w:pPr>
              <w:spacing w:after="0"/>
              <w:rPr>
                <w:sz w:val="18"/>
                <w:szCs w:val="18"/>
                <w:color w:val="auto"/>
              </w:rPr>
            </w:pPr>
          </w:p>
        </w:tc>
      </w:tr>
      <w:tr>
        <w:trPr>
          <w:trHeight w:val="209"/>
        </w:trPr>
        <w:tc>
          <w:tcPr>
            <w:tcW w:w="35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5,796</w:t>
            </w:r>
          </w:p>
        </w:tc>
        <w:tc>
          <w:tcPr>
            <w:tcW w:w="120" w:type="dxa"/>
            <w:vAlign w:val="bottom"/>
          </w:tcPr>
          <w:p>
            <w:pPr>
              <w:spacing w:after="0"/>
              <w:rPr>
                <w:sz w:val="18"/>
                <w:szCs w:val="18"/>
                <w:color w:val="auto"/>
              </w:rPr>
            </w:pPr>
          </w:p>
        </w:tc>
      </w:tr>
      <w:tr>
        <w:trPr>
          <w:trHeight w:val="210"/>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income</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w:t>
            </w:r>
          </w:p>
        </w:tc>
        <w:tc>
          <w:tcPr>
            <w:tcW w:w="120" w:type="dxa"/>
            <w:vAlign w:val="bottom"/>
            <w:shd w:val="clear" w:color="auto" w:fill="CFF0FC"/>
          </w:tcPr>
          <w:p>
            <w:pPr>
              <w:spacing w:after="0"/>
              <w:rPr>
                <w:sz w:val="18"/>
                <w:szCs w:val="18"/>
                <w:color w:val="auto"/>
              </w:rPr>
            </w:pPr>
          </w:p>
        </w:tc>
      </w:tr>
      <w:tr>
        <w:trPr>
          <w:trHeight w:val="209"/>
        </w:trPr>
        <w:tc>
          <w:tcPr>
            <w:tcW w:w="35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103,217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103,217</w:t>
            </w:r>
          </w:p>
        </w:tc>
        <w:tc>
          <w:tcPr>
            <w:tcW w:w="120" w:type="dxa"/>
            <w:vAlign w:val="bottom"/>
          </w:tcPr>
          <w:p>
            <w:pPr>
              <w:spacing w:after="0"/>
              <w:rPr>
                <w:sz w:val="18"/>
                <w:szCs w:val="18"/>
                <w:color w:val="auto"/>
              </w:rPr>
            </w:pPr>
          </w:p>
        </w:tc>
      </w:tr>
      <w:tr>
        <w:trPr>
          <w:trHeight w:val="20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91,935</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438,667</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(2,813)</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1,527</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437,390</w:t>
            </w:r>
          </w:p>
        </w:tc>
        <w:tc>
          <w:tcPr>
            <w:tcW w:w="120" w:type="dxa"/>
            <w:vAlign w:val="bottom"/>
            <w:tcBorders>
              <w:top w:val="single" w:sz="8" w:color="CFF0FC"/>
            </w:tcBorders>
            <w:shd w:val="clear" w:color="auto" w:fill="CFF0FC"/>
          </w:tcPr>
          <w:p>
            <w:pPr>
              <w:spacing w:after="0"/>
              <w:rPr>
                <w:sz w:val="17"/>
                <w:szCs w:val="17"/>
                <w:color w:val="auto"/>
              </w:rPr>
            </w:pPr>
          </w:p>
        </w:tc>
      </w:tr>
      <w:tr>
        <w:trPr>
          <w:trHeight w:val="197"/>
        </w:trPr>
        <w:tc>
          <w:tcPr>
            <w:tcW w:w="3500" w:type="dxa"/>
            <w:vAlign w:val="bottom"/>
          </w:tcPr>
          <w:p>
            <w:pPr>
              <w:ind w:left="120"/>
              <w:spacing w:after="0"/>
              <w:rPr>
                <w:sz w:val="20"/>
                <w:szCs w:val="20"/>
                <w:color w:val="auto"/>
              </w:rPr>
            </w:pPr>
            <w:r>
              <w:rPr>
                <w:rFonts w:ascii="Arial" w:cs="Arial" w:eastAsia="Arial" w:hAnsi="Arial"/>
                <w:sz w:val="16"/>
                <w:szCs w:val="16"/>
                <w:color w:val="auto"/>
              </w:rPr>
              <w:t>Issuance of common stock in</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500" w:type="dxa"/>
            <w:vAlign w:val="bottom"/>
          </w:tcPr>
          <w:p>
            <w:pPr>
              <w:ind w:left="240"/>
              <w:spacing w:after="0"/>
              <w:rPr>
                <w:sz w:val="20"/>
                <w:szCs w:val="20"/>
                <w:color w:val="auto"/>
              </w:rPr>
            </w:pPr>
            <w:r>
              <w:rPr>
                <w:rFonts w:ascii="Arial" w:cs="Arial" w:eastAsia="Arial" w:hAnsi="Arial"/>
                <w:sz w:val="16"/>
                <w:szCs w:val="16"/>
                <w:color w:val="auto"/>
              </w:rPr>
              <w:t>connection with employee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500" w:type="dxa"/>
            <w:vAlign w:val="bottom"/>
          </w:tcPr>
          <w:p>
            <w:pPr>
              <w:ind w:left="240"/>
              <w:spacing w:after="0"/>
              <w:rPr>
                <w:sz w:val="20"/>
                <w:szCs w:val="20"/>
                <w:color w:val="auto"/>
              </w:rPr>
            </w:pPr>
            <w:r>
              <w:rPr>
                <w:rFonts w:ascii="Arial" w:cs="Arial" w:eastAsia="Arial" w:hAnsi="Arial"/>
                <w:sz w:val="16"/>
                <w:szCs w:val="16"/>
                <w:color w:val="auto"/>
              </w:rPr>
              <w:t>equity incentive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2,590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14,872</w:t>
            </w:r>
          </w:p>
        </w:tc>
        <w:tc>
          <w:tcPr>
            <w:tcW w:w="120" w:type="dxa"/>
            <w:vAlign w:val="bottom"/>
          </w:tcPr>
          <w:p>
            <w:pPr>
              <w:spacing w:after="0"/>
              <w:rPr>
                <w:sz w:val="18"/>
                <w:szCs w:val="18"/>
                <w:color w:val="auto"/>
              </w:rPr>
            </w:pPr>
          </w:p>
        </w:tc>
      </w:tr>
      <w:tr>
        <w:trPr>
          <w:trHeight w:val="198"/>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withheld related to net share</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3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w:t>
            </w:r>
          </w:p>
        </w:tc>
      </w:tr>
      <w:tr>
        <w:trPr>
          <w:trHeight w:val="209"/>
        </w:trPr>
        <w:tc>
          <w:tcPr>
            <w:tcW w:w="35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17,242</w:t>
            </w:r>
          </w:p>
        </w:tc>
        <w:tc>
          <w:tcPr>
            <w:tcW w:w="120" w:type="dxa"/>
            <w:vAlign w:val="bottom"/>
          </w:tcPr>
          <w:p>
            <w:pPr>
              <w:spacing w:after="0"/>
              <w:rPr>
                <w:sz w:val="18"/>
                <w:szCs w:val="18"/>
                <w:color w:val="auto"/>
              </w:rPr>
            </w:pPr>
          </w:p>
        </w:tc>
      </w:tr>
      <w:tr>
        <w:trPr>
          <w:trHeight w:val="210"/>
        </w:trPr>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loss</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(1,867)</w:t>
            </w:r>
          </w:p>
        </w:tc>
      </w:tr>
      <w:tr>
        <w:trPr>
          <w:trHeight w:val="209"/>
        </w:trPr>
        <w:tc>
          <w:tcPr>
            <w:tcW w:w="35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100,960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100,960</w:t>
            </w:r>
          </w:p>
        </w:tc>
        <w:tc>
          <w:tcPr>
            <w:tcW w:w="120" w:type="dxa"/>
            <w:vAlign w:val="bottom"/>
          </w:tcPr>
          <w:p>
            <w:pPr>
              <w:spacing w:after="0"/>
              <w:rPr>
                <w:sz w:val="18"/>
                <w:szCs w:val="18"/>
                <w:color w:val="auto"/>
              </w:rPr>
            </w:pPr>
          </w:p>
        </w:tc>
      </w:tr>
      <w:tr>
        <w:trPr>
          <w:trHeight w:val="202"/>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December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94,510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470,364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98,147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568,180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5"/>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6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6"/>
              <w:spacing w:after="0" w:line="141"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6"/>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6"/>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40" w:type="dxa"/>
            <w:vAlign w:val="bottom"/>
          </w:tcPr>
          <w:p>
            <w:pPr>
              <w:spacing w:after="0"/>
              <w:rPr>
                <w:sz w:val="20"/>
                <w:szCs w:val="20"/>
                <w:color w:val="auto"/>
              </w:rPr>
            </w:pPr>
            <w:r>
              <w:rPr>
                <w:rFonts w:ascii="Arial" w:cs="Arial" w:eastAsia="Arial" w:hAnsi="Arial"/>
                <w:sz w:val="15"/>
                <w:szCs w:val="15"/>
                <w:color w:val="auto"/>
              </w:rPr>
              <w:t>Net income (loss)</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100,960</w:t>
            </w:r>
          </w:p>
        </w:tc>
        <w:tc>
          <w:tcPr>
            <w:tcW w:w="12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103,217</w:t>
            </w:r>
          </w:p>
        </w:tc>
        <w:tc>
          <w:tcPr>
            <w:tcW w:w="26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(8,394)</w:t>
            </w:r>
          </w:p>
        </w:tc>
        <w:tc>
          <w:tcPr>
            <w:tcW w:w="0" w:type="dxa"/>
            <w:vAlign w:val="bottom"/>
          </w:tcPr>
          <w:p>
            <w:pPr>
              <w:spacing w:after="0"/>
              <w:rPr>
                <w:sz w:val="1"/>
                <w:szCs w:val="1"/>
                <w:color w:val="auto"/>
              </w:rPr>
            </w:pPr>
          </w:p>
        </w:tc>
      </w:tr>
      <w:tr>
        <w:trPr>
          <w:trHeight w:val="192"/>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net cash provided by</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4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operating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17,235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5,796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Depreciation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9,318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Amortization of intangible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34,794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33,916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30,123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Debt issuance costs amortization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Loss on debt extinguishment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4,114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(11,962)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(7,476)</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(11,535)</w:t>
            </w: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(347)</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(91,492)</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(48,033)</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Inventories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(71,316)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(80,086)</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220"/>
              <w:spacing w:after="0"/>
              <w:rPr>
                <w:sz w:val="20"/>
                <w:szCs w:val="20"/>
                <w:color w:val="auto"/>
              </w:rPr>
            </w:pPr>
            <w:r>
              <w:rPr>
                <w:rFonts w:ascii="Arial" w:cs="Arial" w:eastAsia="Arial" w:hAnsi="Arial"/>
                <w:sz w:val="15"/>
                <w:szCs w:val="15"/>
                <w:color w:val="auto"/>
              </w:rPr>
              <w:t>Prepaid expenses and other assets</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(13,177)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(7,953)</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(1,619)</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(63,722)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116,522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Other liabilities and accrued expenses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7,019</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77,933</w:t>
            </w:r>
          </w:p>
        </w:tc>
        <w:tc>
          <w:tcPr>
            <w:tcW w:w="2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30,773</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FF0FC"/>
          </w:tcPr>
          <w:p>
            <w:pPr>
              <w:ind w:left="34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20,192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168,953</w:t>
            </w:r>
          </w:p>
        </w:tc>
        <w:tc>
          <w:tcPr>
            <w:tcW w:w="2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37,103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Acquisition of businesses, net of cash acquired</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(4,846)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(1,291)</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(126,104)</w:t>
            </w: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Payment of deferred and contingent consideration</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(4,721)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(10,300)</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Purchase of property and equipment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(10,974)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(8,989)</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(8,848)</w:t>
            </w: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Purchase of intangible asset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34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(20,541)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(10,280)</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(145,427)</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Proceeds from issuance of debt, net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248,513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113,885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Repayment of debt</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(328,188)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(190,394)</w:t>
            </w: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(3,969)</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Payment of debt issuance costs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(194)</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(2,450)</w:t>
            </w: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Borrowings from line of credit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Repayment of line of credit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(63,500)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(27,000)</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5"/>
                <w:szCs w:val="15"/>
                <w:color w:val="auto"/>
              </w:rPr>
              <w:t>Proceeds from initial public offering, net of $8,925 underwriting</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40" w:type="dxa"/>
            <w:vAlign w:val="bottom"/>
          </w:tcPr>
          <w:p>
            <w:pPr>
              <w:ind w:left="220"/>
              <w:spacing w:after="0"/>
              <w:rPr>
                <w:sz w:val="20"/>
                <w:szCs w:val="20"/>
                <w:color w:val="auto"/>
              </w:rPr>
            </w:pPr>
            <w:r>
              <w:rPr>
                <w:rFonts w:ascii="Arial" w:cs="Arial" w:eastAsia="Arial" w:hAnsi="Arial"/>
                <w:sz w:val="15"/>
                <w:szCs w:val="15"/>
                <w:color w:val="auto"/>
              </w:rPr>
              <w:t>discounts and commissions</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118,575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Payment of other offering costs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(8,455)</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Proceeds from issuance of common stock to common stockholders</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Repurchase of common stock</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(1,531)</w:t>
            </w: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Proceeds from issuance of shares through employee equity incentive plans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Payment of taxes related to net share settlement of equity awards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(397)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34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(65,404)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(79,131)</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132,314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Effect of exchange rate changes on cash</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(2,435)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5"/>
                <w:szCs w:val="15"/>
                <w:color w:val="auto"/>
              </w:rPr>
              <w:t>Net increase (decrease) in cash and restricted cash</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(68,188)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81,621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24,027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Cash and restricted cash at the beginning of the year</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133,568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51,947</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27,920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40" w:type="dxa"/>
            <w:vAlign w:val="bottom"/>
          </w:tcPr>
          <w:p>
            <w:pPr>
              <w:spacing w:after="0"/>
              <w:rPr>
                <w:sz w:val="20"/>
                <w:szCs w:val="20"/>
                <w:color w:val="auto"/>
              </w:rPr>
            </w:pPr>
            <w:r>
              <w:rPr>
                <w:rFonts w:ascii="Arial" w:cs="Arial" w:eastAsia="Arial" w:hAnsi="Arial"/>
                <w:sz w:val="15"/>
                <w:szCs w:val="15"/>
                <w:color w:val="auto"/>
              </w:rPr>
              <w:t>Cash and restricted cash at the end of the year</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65,380</w:t>
            </w:r>
          </w:p>
        </w:tc>
        <w:tc>
          <w:tcPr>
            <w:tcW w:w="1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133,568</w:t>
            </w:r>
          </w:p>
        </w:tc>
        <w:tc>
          <w:tcPr>
            <w:tcW w:w="260" w:type="dxa"/>
            <w:vAlign w:val="bottom"/>
          </w:tcPr>
          <w:p>
            <w:pPr>
              <w:spacing w:after="0"/>
              <w:rPr>
                <w:sz w:val="19"/>
                <w:szCs w:val="19"/>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Supplemental cash flow disclosures:</w:t>
            </w: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40" w:type="dxa"/>
            <w:vAlign w:val="bottom"/>
          </w:tcPr>
          <w:p>
            <w:pPr>
              <w:spacing w:after="0"/>
              <w:rPr>
                <w:sz w:val="20"/>
                <w:szCs w:val="20"/>
                <w:color w:val="auto"/>
              </w:rPr>
            </w:pPr>
            <w:r>
              <w:rPr>
                <w:rFonts w:ascii="Arial" w:cs="Arial" w:eastAsia="Arial" w:hAnsi="Arial"/>
                <w:sz w:val="15"/>
                <w:szCs w:val="15"/>
                <w:color w:val="auto"/>
              </w:rPr>
              <w:t>Cash paid for interest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11,267</w:t>
            </w:r>
          </w:p>
        </w:tc>
        <w:tc>
          <w:tcPr>
            <w:tcW w:w="12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27,957</w:t>
            </w:r>
          </w:p>
        </w:tc>
        <w:tc>
          <w:tcPr>
            <w:tcW w:w="26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32,842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Cash paid for income taxes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41,243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Equipment purchased and unpaid at period end</w:t>
            </w: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2,122</w:t>
            </w: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Issuance of common stock relating to business acquisitions</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Deferred purchase consideration related to business acquisitions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Pr>
          <w:p>
            <w:pPr>
              <w:ind w:left="120"/>
              <w:spacing w:after="0"/>
              <w:rPr>
                <w:sz w:val="20"/>
                <w:szCs w:val="20"/>
                <w:color w:val="auto"/>
              </w:rPr>
            </w:pPr>
            <w:r>
              <w:rPr>
                <w:rFonts w:ascii="Arial" w:cs="Arial" w:eastAsia="Arial" w:hAnsi="Arial"/>
                <w:sz w:val="15"/>
                <w:szCs w:val="15"/>
                <w:color w:val="auto"/>
              </w:rPr>
              <w:t>Measurement period adjustments relating to business acquisitions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1,531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Deferred offering costs included in accounts payable and accrued expenses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Corsair Gaming,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12" w:lineRule="exact"/>
        <w:rPr>
          <w:sz w:val="20"/>
          <w:szCs w:val="20"/>
          <w:color w:val="auto"/>
        </w:rPr>
      </w:pPr>
    </w:p>
    <w:p>
      <w:pPr>
        <w:ind w:right="100" w:firstLine="511"/>
        <w:spacing w:after="0" w:line="289" w:lineRule="auto"/>
        <w:rPr>
          <w:sz w:val="20"/>
          <w:szCs w:val="20"/>
          <w:color w:val="auto"/>
        </w:rPr>
      </w:pPr>
      <w:r>
        <w:rPr>
          <w:rFonts w:ascii="Arial" w:cs="Arial" w:eastAsia="Arial" w:hAnsi="Arial"/>
          <w:sz w:val="16"/>
          <w:szCs w:val="16"/>
          <w:color w:val="auto"/>
        </w:rPr>
        <w:t xml:space="preserve">Corsair Gaming, Inc., a Delaware corporation, together with its subsidiaries </w:t>
      </w:r>
      <w:r>
        <w:rPr>
          <w:rFonts w:ascii="Arial" w:cs="Arial" w:eastAsia="Arial" w:hAnsi="Arial"/>
          <w:sz w:val="16"/>
          <w:szCs w:val="16"/>
          <w:i w:val="1"/>
          <w:iCs w:val="1"/>
          <w:color w:val="auto"/>
        </w:rPr>
        <w:t>(collectively, “Corsair” the “Company”, “we”, “us”, or “our”)</w:t>
      </w:r>
      <w:r>
        <w:rPr>
          <w:rFonts w:ascii="Arial" w:cs="Arial" w:eastAsia="Arial" w:hAnsi="Arial"/>
          <w:sz w:val="16"/>
          <w:szCs w:val="16"/>
          <w:color w:val="auto"/>
        </w:rPr>
        <w:t>, is a global provider and innovator of high-performance gear for gamers, streamers and content creators, many of which build their own PCs using our components.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Corsair is organized into two reportable segments:</w:t>
      </w:r>
    </w:p>
    <w:p>
      <w:pPr>
        <w:spacing w:after="0" w:line="108" w:lineRule="exact"/>
        <w:rPr>
          <w:sz w:val="20"/>
          <w:szCs w:val="20"/>
          <w:color w:val="auto"/>
        </w:rPr>
      </w:pPr>
    </w:p>
    <w:p>
      <w:pPr>
        <w:ind w:left="1020" w:right="180" w:hanging="516"/>
        <w:spacing w:after="0" w:line="276"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Gamer and creator peripherals</w:t>
      </w:r>
      <w:r>
        <w:rPr>
          <w:rFonts w:ascii="Arial" w:cs="Arial" w:eastAsia="Arial" w:hAnsi="Arial"/>
          <w:sz w:val="16"/>
          <w:szCs w:val="16"/>
          <w:color w:val="auto"/>
        </w:rPr>
        <w:t>. Includes our high-performance gaming keyboards, mice, headsets, controllers, and our streaming gear, which includes</w:t>
      </w:r>
      <w:r>
        <w:rPr>
          <w:rFonts w:ascii="Arial" w:cs="Arial" w:eastAsia="Arial" w:hAnsi="Arial"/>
          <w:sz w:val="16"/>
          <w:szCs w:val="16"/>
          <w:b w:val="1"/>
          <w:bCs w:val="1"/>
          <w:color w:val="auto"/>
        </w:rPr>
        <w:t xml:space="preserve"> </w:t>
      </w:r>
      <w:r>
        <w:rPr>
          <w:rFonts w:ascii="Arial" w:cs="Arial" w:eastAsia="Arial" w:hAnsi="Arial"/>
          <w:sz w:val="16"/>
          <w:szCs w:val="16"/>
          <w:color w:val="auto"/>
        </w:rPr>
        <w:t>capture cards, Stream Decks, USB microphones, our Facecam streaming camera, studio accessories and EpocCam software, as well as coaching and training services, among others.</w:t>
      </w:r>
    </w:p>
    <w:p>
      <w:pPr>
        <w:spacing w:after="0" w:line="56" w:lineRule="exact"/>
        <w:rPr>
          <w:rFonts w:ascii="Arial" w:cs="Arial" w:eastAsia="Arial" w:hAnsi="Arial"/>
          <w:sz w:val="16"/>
          <w:szCs w:val="16"/>
          <w:color w:val="auto"/>
        </w:rPr>
      </w:pPr>
    </w:p>
    <w:p>
      <w:pPr>
        <w:ind w:left="1020" w:right="160" w:hanging="516"/>
        <w:spacing w:after="0" w:line="29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Gaming components and systems</w:t>
      </w:r>
      <w:r>
        <w:rPr>
          <w:rFonts w:ascii="Arial" w:cs="Arial" w:eastAsia="Arial" w:hAnsi="Arial"/>
          <w:sz w:val="16"/>
          <w:szCs w:val="16"/>
          <w:color w:val="auto"/>
        </w:rPr>
        <w:t>. Includes our high-performance power supply units, or PSUs, cooling solutions, computer cases, DRAM modules,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high-end prebuilt and custom-built gaming PCs, among others.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Public Offering and Secondary Offering</w:t>
      </w:r>
    </w:p>
    <w:p>
      <w:pPr>
        <w:spacing w:after="0" w:line="112" w:lineRule="exact"/>
        <w:rPr>
          <w:sz w:val="20"/>
          <w:szCs w:val="20"/>
          <w:color w:val="auto"/>
        </w:rPr>
      </w:pPr>
    </w:p>
    <w:p>
      <w:pPr>
        <w:ind w:right="20" w:firstLine="511"/>
        <w:spacing w:after="0" w:line="268" w:lineRule="auto"/>
        <w:rPr>
          <w:sz w:val="20"/>
          <w:szCs w:val="20"/>
          <w:color w:val="auto"/>
        </w:rPr>
      </w:pPr>
      <w:r>
        <w:rPr>
          <w:rFonts w:ascii="Arial" w:cs="Arial" w:eastAsia="Arial" w:hAnsi="Arial"/>
          <w:sz w:val="16"/>
          <w:szCs w:val="16"/>
          <w:color w:val="auto"/>
        </w:rPr>
        <w:t xml:space="preserve">On September 25, 2020, we completed our initial public offering </w:t>
      </w:r>
      <w:r>
        <w:rPr>
          <w:rFonts w:ascii="Arial" w:cs="Arial" w:eastAsia="Arial" w:hAnsi="Arial"/>
          <w:sz w:val="16"/>
          <w:szCs w:val="16"/>
          <w:i w:val="1"/>
          <w:iCs w:val="1"/>
          <w:color w:val="auto"/>
        </w:rPr>
        <w:t>(the “IPO”)</w:t>
      </w:r>
      <w:r>
        <w:rPr>
          <w:rFonts w:ascii="Arial" w:cs="Arial" w:eastAsia="Arial" w:hAnsi="Arial"/>
          <w:sz w:val="16"/>
          <w:szCs w:val="16"/>
          <w:color w:val="auto"/>
        </w:rPr>
        <w:t>. In connection with the IPO, we sold 7,500,000 shares of common stock at $17.00 per share, resulting in proceeds of $118.6 million, net of the underwriting discounts and commissions and before offering costs. In connection with the IPO, certain selling stockholders sold 6,500,000 shares of common stock at $17.00 per share. Subsequent to the IPO, certain selling stockholders further sold 1,135,375 shares pursuant to the underwriters’ exercise of their option to purchase additional shares.</w:t>
      </w:r>
    </w:p>
    <w:p>
      <w:pPr>
        <w:spacing w:after="0" w:line="66" w:lineRule="exact"/>
        <w:rPr>
          <w:sz w:val="20"/>
          <w:szCs w:val="20"/>
          <w:color w:val="auto"/>
        </w:rPr>
      </w:pPr>
    </w:p>
    <w:p>
      <w:pPr>
        <w:ind w:right="400" w:firstLine="511"/>
        <w:spacing w:after="0" w:line="289" w:lineRule="auto"/>
        <w:rPr>
          <w:sz w:val="20"/>
          <w:szCs w:val="20"/>
          <w:color w:val="auto"/>
        </w:rPr>
      </w:pPr>
      <w:r>
        <w:rPr>
          <w:rFonts w:ascii="Arial" w:cs="Arial" w:eastAsia="Arial" w:hAnsi="Arial"/>
          <w:sz w:val="16"/>
          <w:szCs w:val="16"/>
          <w:color w:val="auto"/>
        </w:rPr>
        <w:t>On January 26, 2021, we completed a secondary offering of our common stock where certain selling stockholders sold 8,625,000, shares of common stock at $35.00 per share.</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did not receive any of the proceeds from the sale of shares by the selling stockholders.</w:t>
      </w:r>
    </w:p>
    <w:p>
      <w:pPr>
        <w:spacing w:after="0" w:line="211" w:lineRule="exact"/>
        <w:rPr>
          <w:sz w:val="20"/>
          <w:szCs w:val="20"/>
          <w:color w:val="auto"/>
        </w:rPr>
      </w:pPr>
    </w:p>
    <w:p>
      <w:pPr>
        <w:ind w:right="60" w:firstLine="511"/>
        <w:spacing w:after="0" w:line="273" w:lineRule="auto"/>
        <w:rPr>
          <w:sz w:val="20"/>
          <w:szCs w:val="20"/>
          <w:color w:val="auto"/>
        </w:rPr>
      </w:pPr>
      <w:r>
        <w:rPr>
          <w:rFonts w:ascii="Arial" w:cs="Arial" w:eastAsia="Arial" w:hAnsi="Arial"/>
          <w:sz w:val="16"/>
          <w:szCs w:val="16"/>
          <w:color w:val="auto"/>
        </w:rPr>
        <w:t>Deferred offering costs consist primarily of accounting, legal, and other fees related to the IPO. Prior to the IPO, all deferred offering costs were capitalized in other assets in the consolidated balance sheets. After the IPO, $12.0 million of deferred offering costs were reclassified into stockholders’ equity as a reduction of the IPO proceeds in the consolidated balance sheet as of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2" w:lineRule="exact"/>
        <w:rPr>
          <w:sz w:val="20"/>
          <w:szCs w:val="20"/>
          <w:color w:val="auto"/>
        </w:rPr>
      </w:pPr>
    </w:p>
    <w:p>
      <w:pPr>
        <w:jc w:val="both"/>
        <w:ind w:firstLine="511"/>
        <w:spacing w:after="0" w:line="273" w:lineRule="auto"/>
        <w:rPr>
          <w:sz w:val="20"/>
          <w:szCs w:val="20"/>
          <w:color w:val="auto"/>
        </w:rPr>
      </w:pPr>
      <w:r>
        <w:rPr>
          <w:rFonts w:ascii="Arial" w:cs="Arial" w:eastAsia="Arial" w:hAnsi="Arial"/>
          <w:sz w:val="16"/>
          <w:szCs w:val="16"/>
          <w:color w:val="auto"/>
        </w:rPr>
        <w:t>The accompanying consolidated financial statements include those of Corsair and its subsidiaries, after elimination of all intercompany balances and transactions. These consolidated financial statements have been prepared in accordance with United States generally accepted accounting principles (“U.S. GAAP”) and pursuant to the rules and regulations of the United States Securities and Exchange Commission (the “SEC”).</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2" w:lineRule="exact"/>
        <w:rPr>
          <w:sz w:val="20"/>
          <w:szCs w:val="20"/>
          <w:color w:val="auto"/>
        </w:rPr>
      </w:pPr>
    </w:p>
    <w:p>
      <w:pPr>
        <w:ind w:right="40" w:firstLine="511"/>
        <w:spacing w:after="0" w:line="26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and Uncertainties related to the COVID-19 Pandemic</w:t>
      </w:r>
    </w:p>
    <w:p>
      <w:pPr>
        <w:spacing w:after="0" w:line="116" w:lineRule="exact"/>
        <w:rPr>
          <w:sz w:val="20"/>
          <w:szCs w:val="20"/>
          <w:color w:val="auto"/>
        </w:rPr>
      </w:pPr>
    </w:p>
    <w:p>
      <w:pPr>
        <w:ind w:right="40" w:firstLine="511"/>
        <w:spacing w:after="0" w:line="300" w:lineRule="auto"/>
        <w:rPr>
          <w:sz w:val="20"/>
          <w:szCs w:val="20"/>
          <w:color w:val="auto"/>
        </w:rPr>
      </w:pPr>
      <w:r>
        <w:rPr>
          <w:rFonts w:ascii="Arial" w:cs="Arial" w:eastAsia="Arial" w:hAnsi="Arial"/>
          <w:sz w:val="14"/>
          <w:szCs w:val="14"/>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in 2021, which led to increases in operating costs such as the significantly elevated ocean freight costs we incurred in the second half of 2021, as compared to the same period of 2020. These negative financial impacts have been offset by revenue growth in 2020 and 2021, partly due to an increase in demand for our gear as more people are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and could continue to, result in shelter-in-place and other similar restrictions being eased. Such easing of restrictions likely has, and will continue to, result in consumers returning to other alternative forms of entertainment and interaction. This in turn has, and could continue to, result in a decline in demand for our products. 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52" w:lineRule="exact"/>
        <w:rPr>
          <w:sz w:val="20"/>
          <w:szCs w:val="20"/>
          <w:color w:val="auto"/>
        </w:rPr>
      </w:pPr>
    </w:p>
    <w:p>
      <w:pPr>
        <w:ind w:right="160" w:firstLine="511"/>
        <w:spacing w:after="0" w:line="268" w:lineRule="auto"/>
        <w:rPr>
          <w:sz w:val="20"/>
          <w:szCs w:val="20"/>
          <w:color w:val="auto"/>
        </w:rPr>
      </w:pPr>
      <w:r>
        <w:rPr>
          <w:rFonts w:ascii="Arial" w:cs="Arial" w:eastAsia="Arial" w:hAnsi="Arial"/>
          <w:sz w:val="16"/>
          <w:szCs w:val="16"/>
          <w:color w:val="auto"/>
        </w:rPr>
        <w:t>As of the date of issuance of these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2" w:lineRule="exact"/>
        <w:rPr>
          <w:sz w:val="20"/>
          <w:szCs w:val="20"/>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determine revenue recognition through the following five-step approach:</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the customer</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12" w:lineRule="exact"/>
        <w:rPr>
          <w:rFonts w:ascii="Arial" w:cs="Arial" w:eastAsia="Arial" w:hAnsi="Arial"/>
          <w:sz w:val="16"/>
          <w:szCs w:val="16"/>
          <w:color w:val="auto"/>
        </w:rPr>
      </w:pPr>
    </w:p>
    <w:p>
      <w:pPr>
        <w:ind w:left="1020" w:hanging="516"/>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recognition of revenue when, or as the performance obligation is fulfilled</w:t>
      </w:r>
    </w:p>
    <w:p>
      <w:pPr>
        <w:spacing w:after="0" w:line="112" w:lineRule="exact"/>
        <w:rPr>
          <w:sz w:val="20"/>
          <w:szCs w:val="20"/>
          <w:color w:val="auto"/>
        </w:rPr>
      </w:pPr>
    </w:p>
    <w:p>
      <w:pPr>
        <w:ind w:right="20" w:firstLine="511"/>
        <w:spacing w:after="0" w:line="289" w:lineRule="auto"/>
        <w:rPr>
          <w:sz w:val="20"/>
          <w:szCs w:val="20"/>
          <w:color w:val="auto"/>
        </w:rPr>
      </w:pPr>
      <w:r>
        <w:rPr>
          <w:rFonts w:ascii="Arial" w:cs="Arial" w:eastAsia="Arial" w:hAnsi="Arial"/>
          <w:sz w:val="16"/>
          <w:szCs w:val="16"/>
          <w:color w:val="auto"/>
        </w:rPr>
        <w:t>Revenue is recognized when performance obligations are satisfied under the terms of the contracts, and control of the products is transferred to the customers in an amount that reflects the consideration we expect to receive from the customers in exchange for those products or services.</w:t>
      </w:r>
    </w:p>
    <w:p>
      <w:pPr>
        <w:spacing w:after="0" w:line="50" w:lineRule="exact"/>
        <w:rPr>
          <w:sz w:val="20"/>
          <w:szCs w:val="20"/>
          <w:color w:val="auto"/>
        </w:rPr>
      </w:pPr>
    </w:p>
    <w:p>
      <w:pPr>
        <w:ind w:right="120" w:firstLine="511"/>
        <w:spacing w:after="0" w:line="263" w:lineRule="auto"/>
        <w:rPr>
          <w:sz w:val="20"/>
          <w:szCs w:val="20"/>
          <w:color w:val="auto"/>
        </w:rPr>
      </w:pPr>
      <w:r>
        <w:rPr>
          <w:rFonts w:ascii="Arial" w:cs="Arial" w:eastAsia="Arial" w:hAnsi="Arial"/>
          <w:sz w:val="16"/>
          <w:szCs w:val="16"/>
          <w:color w:val="auto"/>
        </w:rPr>
        <w:t>Our products are primarily sold through a network of distributors and retailers, including online retailers, and to a lesser extent direct to consumers. We primarily sell hardware products, such as gamer and creator peripherals and gaming components and systems. These products are hardware devices, which may include embedded software that function together, and are considered as one performance obligation. Hardware devices are generally plug and play, requiring no configuration and little or no installation. Revenue is recognized at a point in time when control of the products is transferred to the customer which generally occurs upon shipment or delivery to customer. We report revenue net of any required taxes collected from customers and remitted to government authorities, with the collected taxes recorded as other liabilities and accrued expenses until remitted to the relevant government authority.</w:t>
      </w:r>
    </w:p>
    <w:p>
      <w:pPr>
        <w:spacing w:after="0" w:line="73" w:lineRule="exact"/>
        <w:rPr>
          <w:sz w:val="20"/>
          <w:szCs w:val="20"/>
          <w:color w:val="auto"/>
        </w:rPr>
      </w:pPr>
    </w:p>
    <w:p>
      <w:pPr>
        <w:ind w:right="200" w:firstLine="511"/>
        <w:spacing w:after="0" w:line="273" w:lineRule="auto"/>
        <w:rPr>
          <w:sz w:val="20"/>
          <w:szCs w:val="20"/>
          <w:color w:val="auto"/>
        </w:rPr>
      </w:pPr>
      <w:r>
        <w:rPr>
          <w:rFonts w:ascii="Arial" w:cs="Arial" w:eastAsia="Arial" w:hAnsi="Arial"/>
          <w:sz w:val="16"/>
          <w:szCs w:val="16"/>
          <w:color w:val="auto"/>
        </w:rPr>
        <w:t>Shipping and handling costs associated with outbound freight are accounted for as a fulfillment cost and are included as part of our distribution costs recorded under sales, general and administrative expenses. Costs of maintaining our web store and credit card processing fees related to sales on our webstore are recorded under sales, general and administrative expenses.</w:t>
      </w:r>
    </w:p>
    <w:p>
      <w:pPr>
        <w:spacing w:after="0" w:line="63"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We generally provide a warranty on products that provides assurance that our products conform to published specifications. Such assurance-type warranties are not deemed to be separate performance obligations from the product, and costs associated with providing these warranties are accrued in accordance with ASC 460-10, Guarantees.</w:t>
      </w:r>
    </w:p>
    <w:p>
      <w:pPr>
        <w:spacing w:after="0" w:line="63" w:lineRule="exact"/>
        <w:rPr>
          <w:sz w:val="20"/>
          <w:szCs w:val="20"/>
          <w:color w:val="auto"/>
        </w:rPr>
      </w:pPr>
    </w:p>
    <w:p>
      <w:pPr>
        <w:ind w:right="360" w:firstLine="511"/>
        <w:spacing w:after="0" w:line="289" w:lineRule="auto"/>
        <w:rPr>
          <w:sz w:val="20"/>
          <w:szCs w:val="20"/>
          <w:color w:val="auto"/>
        </w:rPr>
      </w:pPr>
      <w:r>
        <w:rPr>
          <w:rFonts w:ascii="Arial" w:cs="Arial" w:eastAsia="Arial" w:hAnsi="Arial"/>
          <w:sz w:val="16"/>
          <w:szCs w:val="16"/>
          <w:color w:val="auto"/>
        </w:rPr>
        <w:t>We offer return rights and customer incentive programs. Customer incentive programs include special pricing arrangements, promotions, rebates and volume-based incentives.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120" w:firstLine="511"/>
        <w:spacing w:after="0" w:line="265" w:lineRule="auto"/>
        <w:rPr>
          <w:sz w:val="20"/>
          <w:szCs w:val="20"/>
          <w:color w:val="auto"/>
        </w:rPr>
      </w:pPr>
      <w:r>
        <w:rPr>
          <w:rFonts w:ascii="Arial" w:cs="Arial" w:eastAsia="Arial" w:hAnsi="Arial"/>
          <w:sz w:val="16"/>
          <w:szCs w:val="16"/>
          <w:color w:val="auto"/>
        </w:rPr>
        <w:t>We have agreements with certain customers that contain terms allowing price protection credits to be issued in the event of a subsequent price reduction. Our decision to make price reductions is influenced by product life cycle stage, market acceptance of products, the competitive environment, new product introductions and other factors. Accruals for estimated expected future pricing actions are recognized at the time of sale based on analysis of historical pricing actions by customer and by product, inventories owned by and located at distributors and retailers, current customer demand, current operating conditions, and other relevant customer and product information, such as stage of product life-cycle.</w:t>
      </w:r>
    </w:p>
    <w:p>
      <w:pPr>
        <w:spacing w:after="0" w:line="70" w:lineRule="exact"/>
        <w:rPr>
          <w:sz w:val="20"/>
          <w:szCs w:val="20"/>
          <w:color w:val="auto"/>
        </w:rPr>
      </w:pPr>
    </w:p>
    <w:p>
      <w:pPr>
        <w:ind w:right="120" w:firstLine="511"/>
        <w:spacing w:after="0" w:line="289" w:lineRule="auto"/>
        <w:rPr>
          <w:sz w:val="20"/>
          <w:szCs w:val="20"/>
          <w:color w:val="auto"/>
        </w:rPr>
      </w:pPr>
      <w:r>
        <w:rPr>
          <w:rFonts w:ascii="Arial" w:cs="Arial" w:eastAsia="Arial" w:hAnsi="Arial"/>
          <w:sz w:val="16"/>
          <w:szCs w:val="16"/>
          <w:color w:val="auto"/>
        </w:rPr>
        <w:t>The transaction price received by us from sales to distributors and retailers is calculated as selling price net of variable consideration which may include rebates, product returns and price protection.</w:t>
      </w:r>
    </w:p>
    <w:p>
      <w:pPr>
        <w:spacing w:after="0" w:line="50" w:lineRule="exact"/>
        <w:rPr>
          <w:sz w:val="20"/>
          <w:szCs w:val="20"/>
          <w:color w:val="auto"/>
        </w:rPr>
      </w:pPr>
    </w:p>
    <w:p>
      <w:pPr>
        <w:ind w:right="60" w:firstLine="511"/>
        <w:spacing w:after="0" w:line="287" w:lineRule="auto"/>
        <w:rPr>
          <w:sz w:val="20"/>
          <w:szCs w:val="20"/>
          <w:color w:val="auto"/>
        </w:rPr>
      </w:pPr>
      <w:r>
        <w:rPr>
          <w:rFonts w:ascii="Arial" w:cs="Arial" w:eastAsia="Arial" w:hAnsi="Arial"/>
          <w:sz w:val="15"/>
          <w:szCs w:val="15"/>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rates. Return rates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54" w:lineRule="exact"/>
        <w:rPr>
          <w:sz w:val="20"/>
          <w:szCs w:val="20"/>
          <w:color w:val="auto"/>
        </w:rPr>
      </w:pPr>
    </w:p>
    <w:p>
      <w:pPr>
        <w:jc w:val="both"/>
        <w:ind w:right="160" w:firstLine="511"/>
        <w:spacing w:after="0" w:line="273" w:lineRule="auto"/>
        <w:rPr>
          <w:sz w:val="20"/>
          <w:szCs w:val="20"/>
          <w:color w:val="auto"/>
        </w:rPr>
      </w:pPr>
      <w:r>
        <w:rPr>
          <w:rFonts w:ascii="Arial" w:cs="Arial" w:eastAsia="Arial" w:hAnsi="Arial"/>
          <w:sz w:val="16"/>
          <w:szCs w:val="16"/>
          <w:color w:val="auto"/>
        </w:rPr>
        <w:t>We normally require payments from customers within 30 to 90 days from invoice date. We do not generally modify payment terms on existing receivables. Our contracts with customers typically do not include significant financing components as the period between the satisfaction of the performance obligations and timing of payment are generally within one year.</w:t>
      </w:r>
    </w:p>
    <w:p>
      <w:pPr>
        <w:spacing w:after="0" w:line="63" w:lineRule="exact"/>
        <w:rPr>
          <w:sz w:val="20"/>
          <w:szCs w:val="20"/>
          <w:color w:val="auto"/>
        </w:rPr>
      </w:pPr>
    </w:p>
    <w:p>
      <w:pPr>
        <w:ind w:right="180" w:firstLine="511"/>
        <w:spacing w:after="0" w:line="311" w:lineRule="auto"/>
        <w:rPr>
          <w:sz w:val="20"/>
          <w:szCs w:val="20"/>
          <w:color w:val="auto"/>
        </w:rPr>
      </w:pPr>
      <w:r>
        <w:rPr>
          <w:rFonts w:ascii="Arial" w:cs="Arial" w:eastAsia="Arial" w:hAnsi="Arial"/>
          <w:sz w:val="14"/>
          <w:szCs w:val="14"/>
          <w:color w:val="auto"/>
        </w:rPr>
        <w:t>Customer incentive programs are considered variable consideration, which we estimate and record as a reduction to revenue at the time of sale. Significant management judgments and estimates must be used to determine the cost of these programs to be included in the transaction price in any accounting period including a reduction for the estimate of amounts that ultimately will not be claimed for certain customer incentive programs. We use the expected value method to arrive at the amount of variable consideration. The Company constrains variable consideration until the likelihood of a significant revenue reversal is not probable. The accrual estimates are based on actual sales data, historical experience, forecasted incentives, anticipated volume of future purchases, and inventory levels in the channel.</w:t>
      </w:r>
    </w:p>
    <w:p>
      <w:pPr>
        <w:spacing w:after="0" w:line="42"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During the years ended December 31, 2021 and 2020, we did not recognize any material revenue adjustments related to performance obligations satisfied in prior periods as a result of changes in estimated variable consideration. Because the majority of the performance obligations in our contracts with customers relate to contracts with a duration of less than one year, we have elected to apply the optional exemption to not disclose the aggregate amount of the transaction price allocated to performance obligations that are unsatisfied or partially unsatisfied at the end of the reporting period.</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Contract Balances</w:t>
      </w:r>
    </w:p>
    <w:p>
      <w:pPr>
        <w:spacing w:after="0" w:line="112" w:lineRule="exact"/>
        <w:rPr>
          <w:sz w:val="20"/>
          <w:szCs w:val="20"/>
          <w:color w:val="auto"/>
        </w:rPr>
      </w:pPr>
    </w:p>
    <w:p>
      <w:pPr>
        <w:ind w:right="280" w:firstLine="511"/>
        <w:spacing w:after="0" w:line="289" w:lineRule="auto"/>
        <w:rPr>
          <w:sz w:val="20"/>
          <w:szCs w:val="20"/>
          <w:color w:val="auto"/>
        </w:rPr>
      </w:pPr>
      <w:r>
        <w:rPr>
          <w:rFonts w:ascii="Arial" w:cs="Arial" w:eastAsia="Arial" w:hAnsi="Arial"/>
          <w:sz w:val="16"/>
          <w:szCs w:val="16"/>
          <w:color w:val="auto"/>
        </w:rPr>
        <w:t>Contract assets represent amounts that have been recognized as revenue but for which we did not have the unconditional right to invoice the customers. There were no contract assets as of December 31, 2021 and 2020.</w:t>
      </w:r>
    </w:p>
    <w:p>
      <w:pPr>
        <w:spacing w:after="0" w:line="50"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Contract liabilities are obligations to transfer products or services to a customer for which we have received consideration, or the amount is due, from the customer. Our contract liabilities primarily consist of deferred revenue and unearned revenue. Deferred revenue consists primarily of amounts that have been shipped and invoiced but not recognized as revenue as of period end because the control of the inventory has not passed to the customer. Revenue will be recognized when the customer has obtained control of the inventory sold, which is generally within 3 months or less. The deferred revenue balances as of December 31, 2021 and 2020 were not material.</w:t>
      </w:r>
    </w:p>
    <w:p>
      <w:pPr>
        <w:spacing w:after="0" w:line="70" w:lineRule="exact"/>
        <w:rPr>
          <w:sz w:val="20"/>
          <w:szCs w:val="20"/>
          <w:color w:val="auto"/>
        </w:rPr>
      </w:pPr>
    </w:p>
    <w:p>
      <w:pPr>
        <w:jc w:val="both"/>
        <w:ind w:right="320" w:firstLine="511"/>
        <w:spacing w:after="0" w:line="273" w:lineRule="auto"/>
        <w:rPr>
          <w:sz w:val="20"/>
          <w:szCs w:val="20"/>
          <w:color w:val="auto"/>
        </w:rPr>
      </w:pPr>
      <w:r>
        <w:rPr>
          <w:rFonts w:ascii="Arial" w:cs="Arial" w:eastAsia="Arial" w:hAnsi="Arial"/>
          <w:sz w:val="16"/>
          <w:szCs w:val="16"/>
          <w:color w:val="auto"/>
        </w:rPr>
        <w:t>Unearned revenue consists of payments received from customers in advance of product shipment for our webstore orders. These orders are generally shipped within two weeks from order date and revenue will be recognized when the customer has obtained control of the inventory sold. The unearned revenue balance as of December 31, 2021 and 2020 was $4.8 million and $8.0 million, respectively.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Contract liabilities are included in other liabilities and accrued expenses and other liabilities noncurrent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2"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Cost of revenue consists of product costs, including purchases from contract manufacturers, inbound freight costs from manufacturers to our distribution hubs, as well as inter-hubs shipments, duties and tariffs, warranty replacement costs, costs to process and rework returned items, depreciation of tooling equipment, warehousing costs, inventory valuation write-downs, certain allocated costs related to facilities and IT department, and personnel-related expenses and other operating expenses related to supply chain logistics.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 Costs</w:t>
      </w:r>
    </w:p>
    <w:p>
      <w:pPr>
        <w:spacing w:after="0" w:line="112"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Distribution costs, recorded as a component of sales, general and administrative expenses, include the costs to operate two of our distribution hubs internally and the costs paid to third-party logistics providers to operate our remaining four distribution hubs. Distribution costs also include the costs of shipping products to customers through third party carriers. Amounts billed to customers for shipping and handling of products are recorded in net revenue. We do not consider distribution costs to be part of the costs to bring our products to the finished condition and therefore record such distribution costs as sales, general and administrative expense rather than in cost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Development Costs</w:t>
      </w:r>
    </w:p>
    <w:p>
      <w:pPr>
        <w:spacing w:after="0" w:line="112" w:lineRule="exact"/>
        <w:rPr>
          <w:sz w:val="20"/>
          <w:szCs w:val="20"/>
          <w:color w:val="auto"/>
        </w:rPr>
      </w:pPr>
    </w:p>
    <w:p>
      <w:pPr>
        <w:ind w:right="100" w:firstLine="511"/>
        <w:spacing w:after="0" w:line="291" w:lineRule="auto"/>
        <w:rPr>
          <w:sz w:val="20"/>
          <w:szCs w:val="20"/>
          <w:color w:val="auto"/>
        </w:rPr>
      </w:pPr>
      <w:r>
        <w:rPr>
          <w:rFonts w:ascii="Arial" w:cs="Arial" w:eastAsia="Arial" w:hAnsi="Arial"/>
          <w:sz w:val="15"/>
          <w:szCs w:val="15"/>
          <w:color w:val="auto"/>
        </w:rPr>
        <w:t>Product development costs are generally expensed as incurred.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To date, almost all of the software development costs have been expensed as incurred because the period between achieving technological feasibility and the release of the software has been short and development costs qualifying for capitalization have been insignificant.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12" w:lineRule="exact"/>
        <w:rPr>
          <w:sz w:val="20"/>
          <w:szCs w:val="20"/>
          <w:color w:val="auto"/>
        </w:rPr>
      </w:pPr>
    </w:p>
    <w:p>
      <w:pPr>
        <w:ind w:right="600" w:firstLine="511"/>
        <w:spacing w:after="0" w:line="273" w:lineRule="auto"/>
        <w:rPr>
          <w:sz w:val="20"/>
          <w:szCs w:val="20"/>
          <w:color w:val="auto"/>
        </w:rPr>
      </w:pPr>
      <w:r>
        <w:rPr>
          <w:rFonts w:ascii="Arial" w:cs="Arial" w:eastAsia="Arial" w:hAnsi="Arial"/>
          <w:sz w:val="16"/>
          <w:szCs w:val="16"/>
          <w:color w:val="auto"/>
        </w:rPr>
        <w:t>Advertising costs are expensed as incurred and are included as a component of sales, general and administrative expense in the consolidated statements of operations. Advertising and promotion expenses were $19.8 million, $19.1 million, and $11.3 million for the years ended December 31, 2021, 2020, and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2"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We measure and recognize compensation for all stock-based compensation awards, including stock options, stock purchase rights and restricted stock units (“RSU”), based upon the grant-date fair value of those awards. The grant-date fair value of our stock options and stock purchase rights is estimated using a Black-Scholes-Merton option-pricing model. The fair value of our RSUs is calculated based on the market value of our stock at the grant date. Stock-based compensation is recognized on a straight-line basis over the requisite service period and we have elected to recognize actual forfeitures by reducing the stock-based compensation in the same period as the forfeitures occur.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Segments</w:t>
      </w:r>
    </w:p>
    <w:p>
      <w:pPr>
        <w:spacing w:after="0" w:line="112" w:lineRule="exact"/>
        <w:rPr>
          <w:sz w:val="20"/>
          <w:szCs w:val="20"/>
          <w:color w:val="auto"/>
        </w:rPr>
      </w:pPr>
    </w:p>
    <w:p>
      <w:pPr>
        <w:jc w:val="both"/>
        <w:ind w:right="80" w:firstLine="511"/>
        <w:spacing w:after="0" w:line="273" w:lineRule="auto"/>
        <w:rPr>
          <w:sz w:val="20"/>
          <w:szCs w:val="20"/>
          <w:color w:val="auto"/>
        </w:rPr>
      </w:pPr>
      <w:r>
        <w:rPr>
          <w:rFonts w:ascii="Arial" w:cs="Arial" w:eastAsia="Arial" w:hAnsi="Arial"/>
          <w:sz w:val="16"/>
          <w:szCs w:val="16"/>
          <w:color w:val="auto"/>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 (b) for which discrete financial information is available.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two reportable segments:</w:t>
      </w:r>
    </w:p>
    <w:p>
      <w:pPr>
        <w:spacing w:after="0" w:line="108" w:lineRule="exact"/>
        <w:rPr>
          <w:sz w:val="20"/>
          <w:szCs w:val="20"/>
          <w:color w:val="auto"/>
        </w:rPr>
      </w:pPr>
    </w:p>
    <w:p>
      <w:pPr>
        <w:jc w:val="both"/>
        <w:ind w:left="1020" w:right="460" w:hanging="516"/>
        <w:spacing w:after="0" w:line="276"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Gamer and Creator Peripherals</w:t>
      </w:r>
      <w:r>
        <w:rPr>
          <w:rFonts w:ascii="Arial" w:cs="Arial" w:eastAsia="Arial" w:hAnsi="Arial"/>
          <w:sz w:val="16"/>
          <w:szCs w:val="16"/>
          <w:color w:val="auto"/>
        </w:rPr>
        <w:t>, which includes high-performance gaming keyboards, mice, headsets, controllers, and our gaming gear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capture cards, Stream Decks, USB microphones, our Facecam streaming camera, studio accessories and EpocCam software, as well as coaching and training services, among others.</w:t>
      </w:r>
    </w:p>
    <w:p>
      <w:pPr>
        <w:spacing w:after="0" w:line="56" w:lineRule="exact"/>
        <w:rPr>
          <w:rFonts w:ascii="Arial" w:cs="Arial" w:eastAsia="Arial" w:hAnsi="Arial"/>
          <w:sz w:val="16"/>
          <w:szCs w:val="16"/>
          <w:color w:val="auto"/>
        </w:rPr>
      </w:pPr>
    </w:p>
    <w:p>
      <w:pPr>
        <w:ind w:left="1020" w:right="100" w:hanging="516"/>
        <w:spacing w:after="0" w:line="29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Gaming Components and Systems</w:t>
      </w:r>
      <w:r>
        <w:rPr>
          <w:rFonts w:ascii="Arial" w:cs="Arial" w:eastAsia="Arial" w:hAnsi="Arial"/>
          <w:sz w:val="16"/>
          <w:szCs w:val="16"/>
          <w:color w:val="auto"/>
        </w:rPr>
        <w:t>, which includes high performance power supply units, or PSUs, cooling solutions, computer cases, DRAM modules,</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high-end prebuilt and custom-built gaming PCs, among others.</w:t>
      </w:r>
    </w:p>
    <w:p>
      <w:pPr>
        <w:spacing w:after="0" w:line="145" w:lineRule="exact"/>
        <w:rPr>
          <w:sz w:val="20"/>
          <w:szCs w:val="20"/>
          <w:color w:val="auto"/>
        </w:rPr>
      </w:pPr>
    </w:p>
    <w:p>
      <w:pPr>
        <w:ind w:right="200" w:firstLine="511"/>
        <w:spacing w:after="0" w:line="273" w:lineRule="auto"/>
        <w:rPr>
          <w:sz w:val="20"/>
          <w:szCs w:val="20"/>
          <w:color w:val="auto"/>
        </w:rPr>
      </w:pPr>
      <w:r>
        <w:rPr>
          <w:rFonts w:ascii="Arial" w:cs="Arial" w:eastAsia="Arial" w:hAnsi="Arial"/>
          <w:sz w:val="16"/>
          <w:szCs w:val="16"/>
          <w:color w:val="auto"/>
        </w:rPr>
        <w:t>Our CODM is determined to be Corsair’s Chief Executive Officer. The results of the reportable segments are derived directly from our reporting system and are based on the methods of internal reporting which are not necessarily in conformity with GAAP. The segmental net revenue and gross profit are used to evaluate the performance of, and allocate resources to, each of the segments.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12" w:lineRule="exact"/>
        <w:rPr>
          <w:sz w:val="20"/>
          <w:szCs w:val="20"/>
          <w:color w:val="auto"/>
        </w:rPr>
      </w:pPr>
    </w:p>
    <w:p>
      <w:pPr>
        <w:ind w:right="260" w:firstLine="511"/>
        <w:spacing w:after="0" w:line="289" w:lineRule="auto"/>
        <w:rPr>
          <w:sz w:val="20"/>
          <w:szCs w:val="20"/>
          <w:color w:val="auto"/>
        </w:rPr>
      </w:pPr>
      <w:r>
        <w:rPr>
          <w:rFonts w:ascii="Arial" w:cs="Arial" w:eastAsia="Arial" w:hAnsi="Arial"/>
          <w:sz w:val="16"/>
          <w:szCs w:val="16"/>
          <w:color w:val="auto"/>
        </w:rPr>
        <w:t>Total restricted cash as of December 31, 2021 and 2020 was $3.0 million and $4.0 million, respectively. The restricted cash serves as collateral for certain bank guarantees, customer deposits and security deposits.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12" w:lineRule="exact"/>
        <w:rPr>
          <w:sz w:val="20"/>
          <w:szCs w:val="20"/>
          <w:color w:val="auto"/>
        </w:rPr>
      </w:pPr>
    </w:p>
    <w:p>
      <w:pPr>
        <w:ind w:right="120" w:firstLine="511"/>
        <w:spacing w:after="0" w:line="273" w:lineRule="auto"/>
        <w:rPr>
          <w:sz w:val="20"/>
          <w:szCs w:val="20"/>
          <w:color w:val="auto"/>
        </w:rPr>
      </w:pPr>
      <w:r>
        <w:rPr>
          <w:rFonts w:ascii="Arial" w:cs="Arial" w:eastAsia="Arial" w:hAnsi="Arial"/>
          <w:sz w:val="16"/>
          <w:szCs w:val="16"/>
          <w:color w:val="auto"/>
        </w:rPr>
        <w:t>Accounts receivable from contracts with customers are recorded at the invoiced amount when we have an unconditional right to consideration, net of allowance for credit losses. We maintain trade credit insurance to mitigate credit risks on certain of our accounts receivable that reimburse us for up to 90% of collection losses. We estimate an allowance for credit losses by using a combination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relevant information including historical loss information, adjusted to take into account current market conditions and our customers’ financial condition, the amount of any receivables in dispute, the current receivables aging, and the current payment terms.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12" w:lineRule="exact"/>
        <w:rPr>
          <w:sz w:val="20"/>
          <w:szCs w:val="20"/>
          <w:color w:val="auto"/>
        </w:rPr>
      </w:pPr>
    </w:p>
    <w:p>
      <w:pPr>
        <w:ind w:right="300" w:firstLine="511"/>
        <w:spacing w:after="0" w:line="324" w:lineRule="auto"/>
        <w:rPr>
          <w:sz w:val="20"/>
          <w:szCs w:val="20"/>
          <w:color w:val="auto"/>
        </w:rPr>
      </w:pPr>
      <w:r>
        <w:rPr>
          <w:rFonts w:ascii="Arial" w:cs="Arial" w:eastAsia="Arial" w:hAnsi="Arial"/>
          <w:sz w:val="15"/>
          <w:szCs w:val="15"/>
          <w:color w:val="auto"/>
        </w:rPr>
        <w:t>Our financial instruments that are exposed to concentrations of credit risk consist principally of cash, restricted cash and accounts receivable. We maintain our cash and restricted cash with various high-quality financial institutions with investment-grade ratings and we have not experienced any losses.</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One customer accounted for more than 10% of our consolidated net revenue for the years ended December 31, 2021, 2020 and 2019.</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2021, and 2020, two customers each represented more than 10% of our accounts receivable, net.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112" w:lineRule="exact"/>
        <w:rPr>
          <w:sz w:val="20"/>
          <w:szCs w:val="20"/>
          <w:color w:val="auto"/>
        </w:rPr>
      </w:pPr>
    </w:p>
    <w:p>
      <w:pPr>
        <w:ind w:right="20" w:firstLine="511"/>
        <w:spacing w:after="0" w:line="291" w:lineRule="auto"/>
        <w:rPr>
          <w:sz w:val="20"/>
          <w:szCs w:val="20"/>
          <w:color w:val="auto"/>
        </w:rPr>
      </w:pPr>
      <w:r>
        <w:rPr>
          <w:rFonts w:ascii="Arial" w:cs="Arial" w:eastAsia="Arial" w:hAnsi="Arial"/>
          <w:sz w:val="15"/>
          <w:szCs w:val="15"/>
          <w:color w:val="auto"/>
        </w:rPr>
        <w:t>Inventories primarily consist of finished goods and to a lesser extent component parts, which are purchased from contract manufacturers and component suppliers. Inventories are stated at lower of cost and net realizable value using the weighted average cost method of accounting. We assess the valuation of inventory balances including an assessment to determine potential excess and/or obsolete inventory. We may be required to write down the value of inventory if estimates of future demand and market conditions indicate estimated excess or obsolete inventory. For the periods presented, we have not experienced significant write-downs.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12" w:lineRule="exact"/>
        <w:rPr>
          <w:sz w:val="20"/>
          <w:szCs w:val="20"/>
          <w:color w:val="auto"/>
        </w:rPr>
      </w:pPr>
    </w:p>
    <w:p>
      <w:pPr>
        <w:ind w:right="160" w:firstLine="511"/>
        <w:spacing w:after="0" w:line="268" w:lineRule="auto"/>
        <w:rPr>
          <w:sz w:val="20"/>
          <w:szCs w:val="20"/>
          <w:color w:val="auto"/>
        </w:rPr>
      </w:pPr>
      <w:r>
        <w:rPr>
          <w:rFonts w:ascii="Arial" w:cs="Arial" w:eastAsia="Arial" w:hAnsi="Arial"/>
          <w:sz w:val="16"/>
          <w:szCs w:val="16"/>
          <w:color w:val="auto"/>
        </w:rPr>
        <w:t>Property and equipment are stated at cost, less accumulated depreciation. Major improvements that extend the life, capacity or improve the safety of an asset are capitalized, while maintenance and repairs are expensed as incurred. Depreciation is calculated on the straight-line method over the estimated useful lives of the assets, determined to be two to seven years. Leasehold improvements are amortized over the shorter of the remaining lease term or the estimated useful lives of the improvements.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Our lease portfolio consists primarily of real estate facilities for manufacturing, distribution, warehousing and office use purposes under operating leases.</w:t>
      </w:r>
    </w:p>
    <w:p>
      <w:pPr>
        <w:spacing w:after="0" w:line="124" w:lineRule="exact"/>
        <w:rPr>
          <w:sz w:val="20"/>
          <w:szCs w:val="20"/>
          <w:color w:val="auto"/>
        </w:rPr>
      </w:pPr>
    </w:p>
    <w:p>
      <w:pPr>
        <w:ind w:firstLine="511"/>
        <w:spacing w:after="0" w:line="287" w:lineRule="auto"/>
        <w:rPr>
          <w:sz w:val="20"/>
          <w:szCs w:val="20"/>
          <w:color w:val="auto"/>
        </w:rPr>
      </w:pPr>
      <w:r>
        <w:rPr>
          <w:rFonts w:ascii="Arial" w:cs="Arial" w:eastAsia="Arial" w:hAnsi="Arial"/>
          <w:sz w:val="15"/>
          <w:szCs w:val="15"/>
          <w:color w:val="auto"/>
        </w:rPr>
        <w:t>We determine if an arrangement is or contains a lease at inception. Right-of-use (“ROU”) assets and lease liabilities are recognized at commencement based on the present value of the lease consideration in the contracts over the lease term. We do not record leases with an initial term of 12 months or less on our consolidated balance sheet but continue to record rent expense on a straight-line basis over the lease term. Certain of our lease agreements include options to extend or renew the lease terms. Such options are excluded from the ROU assets and lease liabilities unless they are reasonably certain to be exercised. We account for the lease and non-lease components as a single lease component. Operating lease expense is recognized on a straight-line basis over the lease term.</w:t>
      </w:r>
    </w:p>
    <w:p>
      <w:pPr>
        <w:spacing w:after="0" w:line="54" w:lineRule="exact"/>
        <w:rPr>
          <w:sz w:val="20"/>
          <w:szCs w:val="20"/>
          <w:color w:val="auto"/>
        </w:rPr>
      </w:pPr>
    </w:p>
    <w:p>
      <w:pPr>
        <w:ind w:firstLine="511"/>
        <w:spacing w:after="0" w:line="291" w:lineRule="auto"/>
        <w:rPr>
          <w:sz w:val="20"/>
          <w:szCs w:val="20"/>
          <w:color w:val="auto"/>
        </w:rPr>
      </w:pPr>
      <w:r>
        <w:rPr>
          <w:rFonts w:ascii="Arial" w:cs="Arial" w:eastAsia="Arial" w:hAnsi="Arial"/>
          <w:sz w:val="15"/>
          <w:szCs w:val="15"/>
          <w:color w:val="auto"/>
        </w:rPr>
        <w:t>We apply the incremental borrowing rate, in determining the present value of the lease consideration, as our leases do not provide an implicit rate. Our incremental borrowing rate is the rate of interest we would have to pay on a collateralized basis to borrow an amount equal to the lease payments under similar terms. Because we do not frequently borrow on a collateralized basis, we consider a combination of factors to determine our incremental borrowing rate, including our credit worthiness, adjusted to approximate a collateralized rating, observable market yield curves, and the U.S. and foreign currency risk-free rates.</w:t>
      </w:r>
    </w:p>
    <w:p>
      <w:pPr>
        <w:spacing w:after="0" w:line="52"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Our variable lease expense consists primarily of warehousing and distribution services related to our outsourced distribution hubs, and to a lesser extent, variable costs related to office common area maintenance charges. Our service contracts with third-party logistic service providers include both fixed payments for the use of a fixed warehouse space and variable payments based on the usage of their services for distribution and warehouse management. The fixed payments are included in the calculation of the ROU asset and lease liability, but the variable payments are expensed as incurred. In addition, our real estate leases typically contain variable payments for office common area maintenance and these costs are also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12" w:lineRule="exact"/>
        <w:rPr>
          <w:sz w:val="20"/>
          <w:szCs w:val="20"/>
          <w:color w:val="auto"/>
        </w:rPr>
      </w:pPr>
    </w:p>
    <w:p>
      <w:pPr>
        <w:ind w:firstLine="511"/>
        <w:spacing w:after="0" w:line="289" w:lineRule="auto"/>
        <w:rPr>
          <w:sz w:val="20"/>
          <w:szCs w:val="20"/>
          <w:color w:val="auto"/>
        </w:rPr>
      </w:pPr>
      <w:r>
        <w:rPr>
          <w:rFonts w:ascii="Arial" w:cs="Arial" w:eastAsia="Arial" w:hAnsi="Arial"/>
          <w:sz w:val="16"/>
          <w:szCs w:val="16"/>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are available in active markets for identical assets or liabilities as of the measurement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jc w:val="both"/>
        <w:ind w:right="140" w:firstLine="511"/>
        <w:spacing w:after="0" w:line="273"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—Pricing inputs are other than quoted prices in active market, which are either directly or indirectly observable as of the report date. The nature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includes investments for which quoted prices are available but traded less frequently and investments that are fair valued using other securities, the parameters of which can be directly observed.</w:t>
      </w:r>
    </w:p>
    <w:p>
      <w:pPr>
        <w:spacing w:after="0" w:line="63" w:lineRule="exact"/>
        <w:rPr>
          <w:sz w:val="20"/>
          <w:szCs w:val="20"/>
          <w:color w:val="auto"/>
        </w:rPr>
      </w:pPr>
    </w:p>
    <w:p>
      <w:pPr>
        <w:ind w:right="100" w:firstLine="511"/>
        <w:spacing w:after="0" w:line="289"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inputs into the determination of fair value are not observable and require significant management judgment or estimation.</w:t>
      </w:r>
    </w:p>
    <w:p>
      <w:pPr>
        <w:spacing w:after="0" w:line="50" w:lineRule="exact"/>
        <w:rPr>
          <w:sz w:val="20"/>
          <w:szCs w:val="20"/>
          <w:color w:val="auto"/>
        </w:rPr>
      </w:pPr>
    </w:p>
    <w:p>
      <w:pPr>
        <w:jc w:val="both"/>
        <w:ind w:right="300" w:firstLine="511"/>
        <w:spacing w:after="0" w:line="273" w:lineRule="auto"/>
        <w:rPr>
          <w:sz w:val="20"/>
          <w:szCs w:val="20"/>
          <w:color w:val="auto"/>
        </w:rPr>
      </w:pPr>
      <w:r>
        <w:rPr>
          <w:rFonts w:ascii="Arial" w:cs="Arial" w:eastAsia="Arial" w:hAnsi="Arial"/>
          <w:sz w:val="16"/>
          <w:szCs w:val="16"/>
          <w:color w:val="auto"/>
        </w:rPr>
        <w:t>Fair value accounting is applied to all financial assets and liabilities that are recognized or disclosed at fair value in our consolidated financial statements on a recurring basis. Our financial instruments, including cash, restricted cash, accounts receivable, accounts payable, borrowings from credit lines and other liabilities and accrued expenses approximate fair value due to their short-term maturities.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2"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We account for business combinations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purchase acquisition exceeds the fair value of the net assets acquired. Amounts recorded in a business combination may change during the measurement period, which is a period not to exceed one year from the date of acquisition, as additional information about conditions existing at the acquisition date becomes available. We include the results of operations of the acquired business in the consolidated financial statements prospectively from the date of acquisition. Acquisition-related charges, including primarily third-party professional fees, accounting fees and legal fees are recognized separately from the business combination and are expensed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112"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Goodwill and indefinite-lived intangible assets are not amortized and are tested for impairment on an annual basis at October 1 or between annual tests if an event occurs or circumstances change that would more likely than not reduce the fair value of the reporting unit or asset below its carrying value. We perform our annual goodwill impairment assessment at the reporting unit level and our indefinite-lived intangible assets at the individual asset level. In reviewing impairment, we have the option to first assess qualitative factors to determine whether the existence of events or circumstances leads to a determination that it is more likely than not (greater than 50%) that the estimated fair value of a reporting unit is less than its carrying amount. We also may elect not to perform the qualitative assessment and, instead, proceed directly to the quantitative impairment test. The ultimate outcome of the goodwill impairment review for a reporting unit should be the same whether we choose to perform the qualitative assessment or proceed directly to the quantitative impairment test.</w:t>
      </w:r>
    </w:p>
    <w:p>
      <w:pPr>
        <w:spacing w:after="0" w:line="62" w:lineRule="exact"/>
        <w:rPr>
          <w:sz w:val="20"/>
          <w:szCs w:val="20"/>
          <w:color w:val="auto"/>
        </w:rPr>
      </w:pPr>
    </w:p>
    <w:p>
      <w:pPr>
        <w:ind w:firstLine="511"/>
        <w:spacing w:after="0" w:line="291" w:lineRule="auto"/>
        <w:rPr>
          <w:sz w:val="20"/>
          <w:szCs w:val="20"/>
          <w:color w:val="auto"/>
        </w:rPr>
      </w:pPr>
      <w:r>
        <w:rPr>
          <w:rFonts w:ascii="Arial" w:cs="Arial" w:eastAsia="Arial" w:hAnsi="Arial"/>
          <w:sz w:val="15"/>
          <w:szCs w:val="15"/>
          <w:color w:val="auto"/>
        </w:rPr>
        <w:t>A qualitative assessment requires that we consider events or circumstances including macroeconomic conditions, industry and market considerations, cost factors, overall financial performance, changes in management or key personnel, changes in strategy, changes in customers, changes in the composition or carrying amount of a reporting segment’s net assets and changes in our stock price. If, after assessing the totality of events or circumstances, we determine that it is more likely than not that the fair values of our reporting units are greater than the carrying amounts, then the quantitative goodwill impairment test is not performed.</w:t>
      </w:r>
    </w:p>
    <w:p>
      <w:pPr>
        <w:spacing w:after="0" w:line="52" w:lineRule="exact"/>
        <w:rPr>
          <w:sz w:val="20"/>
          <w:szCs w:val="20"/>
          <w:color w:val="auto"/>
        </w:rPr>
      </w:pPr>
    </w:p>
    <w:p>
      <w:pPr>
        <w:ind w:right="180" w:firstLine="511"/>
        <w:spacing w:after="0" w:line="289" w:lineRule="auto"/>
        <w:rPr>
          <w:sz w:val="20"/>
          <w:szCs w:val="20"/>
          <w:color w:val="auto"/>
        </w:rPr>
      </w:pPr>
      <w:r>
        <w:rPr>
          <w:rFonts w:ascii="Arial" w:cs="Arial" w:eastAsia="Arial" w:hAnsi="Arial"/>
          <w:sz w:val="16"/>
          <w:szCs w:val="16"/>
          <w:color w:val="auto"/>
        </w:rPr>
        <w:t>For the year ended December 31, 2021, we elected to perform the qualitative assessment for both goodwill and indefinite-lived intangible assets and determined that an impairment was not more likely than not for both assets and no further analysis was required.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 with finite-lives and Long-Lived Assets</w:t>
      </w:r>
    </w:p>
    <w:p>
      <w:pPr>
        <w:spacing w:after="0" w:line="112" w:lineRule="exact"/>
        <w:rPr>
          <w:sz w:val="20"/>
          <w:szCs w:val="20"/>
          <w:color w:val="auto"/>
        </w:rPr>
      </w:pPr>
    </w:p>
    <w:p>
      <w:pPr>
        <w:ind w:firstLine="511"/>
        <w:spacing w:after="0" w:line="268" w:lineRule="auto"/>
        <w:rPr>
          <w:sz w:val="20"/>
          <w:szCs w:val="20"/>
          <w:color w:val="auto"/>
        </w:rPr>
      </w:pPr>
      <w:r>
        <w:rPr>
          <w:rFonts w:ascii="Arial" w:cs="Arial" w:eastAsia="Arial" w:hAnsi="Arial"/>
          <w:sz w:val="16"/>
          <w:szCs w:val="16"/>
          <w:color w:val="auto"/>
        </w:rPr>
        <w:t>Our intangible assets with finite lives principally include acquired technology, patents, tradenames, customer relationships and non-compete agreements. The assets are carried at cost and amortized using a straight-line method over the estimated economic lives of the assets. Amortization expense related to patents is included in cost of revenues. Amortization expense related to developed technology is included in product development costs. Amortization expense related to customer relationships, trade name and non-compete agreements is included in sales, general and administrative costs.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long-lived assets are primarily comprised of operating lease ROU assets and property and equipment.</w:t>
      </w:r>
    </w:p>
    <w:p>
      <w:pPr>
        <w:spacing w:after="0" w:line="112"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We evaluate the recoverability of intangible assets with finite lives and long-lived assets for impairment whenever events or changes in circumstances indicate that the carrying amounts may not be recoverable. For ROU assets such circumstances would include a decision to abandon the use of all or part of an asset, or subleases that do not fully recover the costs of the associated lease. Recoverability is measured by comparing the carrying amounts to the future undiscounted cash flows the assets are expected to generate. If it is determined that an asset may not be recoverable, an impairment loss equal to the excess of the asset’s carrying value over its fair value is recorded. Fair value is determined based on an asset’s projected discounted future cash flow or appraised value, depending on the nature of the asset. Such impairment charges recorded in the periods presented were not material.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Warranty Reserve</w:t>
      </w:r>
    </w:p>
    <w:p>
      <w:pPr>
        <w:spacing w:after="0" w:line="112" w:lineRule="exact"/>
        <w:rPr>
          <w:sz w:val="20"/>
          <w:szCs w:val="20"/>
          <w:color w:val="auto"/>
        </w:rPr>
      </w:pPr>
    </w:p>
    <w:p>
      <w:pPr>
        <w:jc w:val="both"/>
        <w:ind w:right="40" w:firstLine="511"/>
        <w:spacing w:after="0" w:line="291" w:lineRule="auto"/>
        <w:rPr>
          <w:sz w:val="20"/>
          <w:szCs w:val="20"/>
          <w:color w:val="auto"/>
        </w:rPr>
      </w:pPr>
      <w:r>
        <w:rPr>
          <w:rFonts w:ascii="Arial" w:cs="Arial" w:eastAsia="Arial" w:hAnsi="Arial"/>
          <w:sz w:val="15"/>
          <w:szCs w:val="15"/>
          <w:color w:val="auto"/>
        </w:rPr>
        <w:t>All of our products are covered by warranty to be free from defects in material and workmanship for periods ranging from six months to ten years, and for life for memory products. Our warranty does not provide a service beyond assuring that the product complies with agreed-upon specifications. At the time of sale, an estimate of future warranty costs is recorded as a component of cost of revenue and a warranty liability is recorded for estimated costs to satisfy the warranty obligation. The estimate of the costs to fulfill our warranty obligations is based on historical experience and expectations of future costs to repair or replace.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Issuance Costs and Debt Discounts</w:t>
      </w:r>
    </w:p>
    <w:p>
      <w:pPr>
        <w:spacing w:after="0" w:line="112"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Costs incurred in obtaining long-term financing paid to parties other than creditors are considered a debt issuance cost. Amounts paid to creditors are recorded as a reduction in the proceeds received by the creditor and are considered a discount on the issuance of debt. Deferred issuance costs and debt discounts are amortized over the terms of the long-term financing agreements using the effective-interest method and recorded as a deduction of the carrying amount of the debt in the consolidated balance sheets. Deferred issuance costs of our revolving line of credit are recorded in prepaid expenses and other current assets and other assets, according to the timing of amortization.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Nonmonetary Transactions</w:t>
      </w:r>
    </w:p>
    <w:p>
      <w:pPr>
        <w:spacing w:after="0" w:line="112" w:lineRule="exact"/>
        <w:rPr>
          <w:sz w:val="20"/>
          <w:szCs w:val="20"/>
          <w:color w:val="auto"/>
        </w:rPr>
      </w:pPr>
    </w:p>
    <w:p>
      <w:pPr>
        <w:ind w:right="20" w:firstLine="511"/>
        <w:spacing w:after="0" w:line="262" w:lineRule="auto"/>
        <w:rPr>
          <w:sz w:val="20"/>
          <w:szCs w:val="20"/>
          <w:color w:val="auto"/>
        </w:rPr>
      </w:pPr>
      <w:r>
        <w:rPr>
          <w:rFonts w:ascii="Arial" w:cs="Arial" w:eastAsia="Arial" w:hAnsi="Arial"/>
          <w:sz w:val="16"/>
          <w:szCs w:val="16"/>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repurchase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December 31, 2021, we recognized $5.0 million prepaid inventory and $5.4 million accrued liabilities, and as of December 31, 2020, we recognized $5.9 million prepaid inventory and accrued liabilities.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Because the transactions are nonmonetary, they have not been included in the consolidated statements of cash flows pursuant to ASC 230, Statement of Cash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Flows.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12" w:lineRule="exact"/>
        <w:rPr>
          <w:sz w:val="20"/>
          <w:szCs w:val="20"/>
          <w:color w:val="auto"/>
        </w:rPr>
      </w:pPr>
    </w:p>
    <w:p>
      <w:pPr>
        <w:ind w:right="420" w:firstLine="511"/>
        <w:spacing w:after="0" w:line="273" w:lineRule="auto"/>
        <w:rPr>
          <w:sz w:val="20"/>
          <w:szCs w:val="20"/>
          <w:color w:val="auto"/>
        </w:rPr>
      </w:pPr>
      <w:r>
        <w:rPr>
          <w:rFonts w:ascii="Arial" w:cs="Arial" w:eastAsia="Arial" w:hAnsi="Arial"/>
          <w:sz w:val="16"/>
          <w:szCs w:val="16"/>
          <w:color w:val="auto"/>
        </w:rPr>
        <w:t>For subsidiaries that have non-U.S. dollar functional currencies, the assets and liabilities of these subsidiaries are translated using period-end exchange rates. Revenues and expenses are translated using average exchange rates in effect during the reporting period. Cumulative translation gains and losses are included as a component of stockholders’ equity in accumulated other comprehensive income (loss).</w:t>
      </w:r>
    </w:p>
    <w:p>
      <w:pPr>
        <w:spacing w:after="0" w:line="63" w:lineRule="exact"/>
        <w:rPr>
          <w:sz w:val="20"/>
          <w:szCs w:val="20"/>
          <w:color w:val="auto"/>
        </w:rPr>
      </w:pPr>
    </w:p>
    <w:p>
      <w:pPr>
        <w:ind w:right="20" w:firstLine="511"/>
        <w:spacing w:after="0" w:line="291" w:lineRule="auto"/>
        <w:rPr>
          <w:sz w:val="20"/>
          <w:szCs w:val="20"/>
          <w:color w:val="auto"/>
        </w:rPr>
      </w:pPr>
      <w:r>
        <w:rPr>
          <w:rFonts w:ascii="Arial" w:cs="Arial" w:eastAsia="Arial" w:hAnsi="Arial"/>
          <w:sz w:val="15"/>
          <w:szCs w:val="15"/>
          <w:color w:val="auto"/>
        </w:rPr>
        <w:t>Monetary assets or liabilities denominated in currencies other than the functional currency are remeasured using exchange rates prevailing on the balance sheet date. Foreign currency remeasurement gains and (losses), net is included in other (expense) income, net in the consolidated statements of operations and the amounts were $(6.3) million, $1.6 million and $1.4 million for the years ended December 31, 2021, 2020 and 2019, respectively. These amounts do not include the change in fair value of our foreign currency forward contracts. Refer to Note 4, Derivative Financial Instruments for more information on our hedging instruments.</w:t>
      </w:r>
    </w:p>
    <w:p>
      <w:pPr>
        <w:spacing w:after="0" w:line="52" w:lineRule="exact"/>
        <w:rPr>
          <w:sz w:val="20"/>
          <w:szCs w:val="20"/>
          <w:color w:val="auto"/>
        </w:rPr>
      </w:pPr>
    </w:p>
    <w:p>
      <w:pPr>
        <w:ind w:right="740" w:firstLine="511"/>
        <w:spacing w:after="0" w:line="289" w:lineRule="auto"/>
        <w:rPr>
          <w:sz w:val="20"/>
          <w:szCs w:val="20"/>
          <w:color w:val="auto"/>
        </w:rPr>
      </w:pPr>
      <w:r>
        <w:rPr>
          <w:rFonts w:ascii="Arial" w:cs="Arial" w:eastAsia="Arial" w:hAnsi="Arial"/>
          <w:sz w:val="16"/>
          <w:szCs w:val="16"/>
          <w:color w:val="auto"/>
        </w:rPr>
        <w:t>Gains and losses on long-term intercompany loans not intended to be repaid in the foreseeable future are recorded as a component of accumulated other comprehensive income (loss).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2"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We are subject to foreign income taxes on our foreign operations. All deferred tax assets and liabilities are classified as non-current in the consolidated financial statements.</w:t>
      </w:r>
    </w:p>
    <w:p>
      <w:pPr>
        <w:spacing w:after="0" w:line="73"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We recognize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left="1" w:right="560" w:firstLine="511"/>
        <w:spacing w:after="0" w:line="289" w:lineRule="auto"/>
        <w:rPr>
          <w:sz w:val="20"/>
          <w:szCs w:val="20"/>
          <w:color w:val="auto"/>
        </w:rPr>
      </w:pPr>
      <w:r>
        <w:rPr>
          <w:rFonts w:ascii="Arial" w:cs="Arial" w:eastAsia="Arial" w:hAnsi="Arial"/>
          <w:sz w:val="16"/>
          <w:szCs w:val="16"/>
          <w:color w:val="auto"/>
        </w:rPr>
        <w:t>We consider many factors when evaluating and estimating our tax positions and tax benefits, which may require periodic adjustments. Interest charges and penalties related to unrecognized tax benefits are recognized as a component of the income tax (expense) benefit.</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Net Income (Loss) per Share</w:t>
      </w:r>
    </w:p>
    <w:p>
      <w:pPr>
        <w:spacing w:after="0" w:line="112" w:lineRule="exact"/>
        <w:rPr>
          <w:sz w:val="20"/>
          <w:szCs w:val="20"/>
          <w:color w:val="auto"/>
        </w:rPr>
      </w:pPr>
    </w:p>
    <w:p>
      <w:pPr>
        <w:jc w:val="both"/>
        <w:ind w:left="1" w:right="260" w:firstLine="511"/>
        <w:spacing w:after="0" w:line="299" w:lineRule="auto"/>
        <w:rPr>
          <w:sz w:val="20"/>
          <w:szCs w:val="20"/>
          <w:color w:val="auto"/>
        </w:rPr>
      </w:pPr>
      <w:r>
        <w:rPr>
          <w:rFonts w:ascii="Arial" w:cs="Arial" w:eastAsia="Arial" w:hAnsi="Arial"/>
          <w:sz w:val="15"/>
          <w:szCs w:val="15"/>
          <w:color w:val="auto"/>
        </w:rPr>
        <w:t>Basic net income (loss) per share is computed by dividing net income (loss) by the weighted-average number of shares outstanding during the period, without consideration of potential dilutive securities. Diluted net income per share is computed based on the weighted-average number of shares outstanding during the period, adjusted to include the incremental shares expected to be issued for assumed exercise of options under the treasury stock method.</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12" w:lineRule="exact"/>
        <w:rPr>
          <w:sz w:val="20"/>
          <w:szCs w:val="20"/>
          <w:color w:val="auto"/>
        </w:rPr>
      </w:pPr>
    </w:p>
    <w:p>
      <w:pPr>
        <w:ind w:left="1" w:right="340" w:firstLine="511"/>
        <w:spacing w:after="0" w:line="324" w:lineRule="auto"/>
        <w:rPr>
          <w:sz w:val="20"/>
          <w:szCs w:val="20"/>
          <w:color w:val="auto"/>
        </w:rPr>
      </w:pPr>
      <w:r>
        <w:rPr>
          <w:rFonts w:ascii="Arial" w:cs="Arial" w:eastAsia="Arial" w:hAnsi="Arial"/>
          <w:sz w:val="15"/>
          <w:szCs w:val="15"/>
          <w:color w:val="auto"/>
        </w:rPr>
        <w:t>In December 2019, the FASB issued ASU No. 2019-12, Income Taxes (Topic 740), to simplify various aspects related to the accounting for income taxes. We adopted this standard effective January 1, 2021. The adoption of this new standard did not have a material impact on our consolidated financial statements.</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112" w:lineRule="exact"/>
        <w:rPr>
          <w:sz w:val="20"/>
          <w:szCs w:val="20"/>
          <w:color w:val="auto"/>
        </w:rPr>
      </w:pPr>
    </w:p>
    <w:p>
      <w:pPr>
        <w:ind w:left="1" w:right="80" w:firstLine="511"/>
        <w:spacing w:after="0" w:line="268" w:lineRule="auto"/>
        <w:rPr>
          <w:sz w:val="20"/>
          <w:szCs w:val="20"/>
          <w:color w:val="auto"/>
        </w:rPr>
      </w:pPr>
      <w:r>
        <w:rPr>
          <w:rFonts w:ascii="Arial" w:cs="Arial" w:eastAsia="Arial" w:hAnsi="Arial"/>
          <w:sz w:val="16"/>
          <w:szCs w:val="16"/>
          <w:color w:val="auto"/>
        </w:rPr>
        <w:t>In March 2020, the FASB issued ASU No. 2020-04, Reference Rate Reform (Topic 848),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 December 31, 2022. We plan to adopt ASU 2019-12 effective January 1, 2022, and we do not expect the adoption will have a material impact on our consolidated financial statements.</w:t>
      </w:r>
    </w:p>
    <w:p>
      <w:pPr>
        <w:spacing w:after="0" w:line="35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3. Fair Value Measurement</w:t>
      </w:r>
    </w:p>
    <w:p>
      <w:pPr>
        <w:spacing w:after="0" w:line="116" w:lineRule="exact"/>
        <w:rPr>
          <w:sz w:val="20"/>
          <w:szCs w:val="20"/>
          <w:color w:val="auto"/>
        </w:rPr>
      </w:pPr>
    </w:p>
    <w:p>
      <w:pPr>
        <w:jc w:val="both"/>
        <w:ind w:left="1" w:right="360" w:firstLine="511"/>
        <w:spacing w:after="0" w:line="273" w:lineRule="auto"/>
        <w:rPr>
          <w:sz w:val="20"/>
          <w:szCs w:val="20"/>
          <w:color w:val="auto"/>
        </w:rPr>
      </w:pPr>
      <w:r>
        <w:rPr>
          <w:rFonts w:ascii="Arial" w:cs="Arial" w:eastAsia="Arial" w:hAnsi="Arial"/>
          <w:sz w:val="16"/>
          <w:szCs w:val="16"/>
          <w:color w:val="auto"/>
        </w:rPr>
        <w:t>The balances of our financial assets that were measured at fair value on a recurring basis as of December 31, 2021 and 2020 were not material. The following tables summarize our financial liabilities that were measured at fair value on a recurring basis, and indicate the fair value hierarchy of the valuation inputs utilized to determine such fair value (in thousands):</w:t>
      </w:r>
    </w:p>
    <w:p>
      <w:pPr>
        <w:spacing w:after="0" w:line="216"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3"/>
                <w:szCs w:val="13"/>
                <w:b w:val="1"/>
                <w:bCs w:val="1"/>
                <w:color w:val="auto"/>
              </w:rPr>
              <w:t>December 31, 2021</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30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tcBorders>
              <w:bottom w:val="single" w:sz="8" w:color="auto"/>
            </w:tcBorders>
          </w:tcPr>
          <w:p>
            <w:pPr>
              <w:jc w:val="right"/>
              <w:ind w:right="7"/>
              <w:spacing w:after="0" w:line="141" w:lineRule="exact"/>
              <w:rPr>
                <w:sz w:val="20"/>
                <w:szCs w:val="20"/>
                <w:color w:val="auto"/>
              </w:rPr>
            </w:pPr>
            <w:r>
              <w:rPr>
                <w:rFonts w:ascii="Arial" w:cs="Arial" w:eastAsia="Arial" w:hAnsi="Arial"/>
                <w:sz w:val="13"/>
                <w:szCs w:val="13"/>
                <w:b w:val="1"/>
                <w:bCs w:val="1"/>
                <w:color w:val="auto"/>
              </w:rPr>
              <w:t>(Level 1)</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1"/>
              <w:spacing w:after="0" w:line="141" w:lineRule="exact"/>
              <w:rPr>
                <w:sz w:val="20"/>
                <w:szCs w:val="20"/>
                <w:color w:val="auto"/>
              </w:rPr>
            </w:pPr>
            <w:r>
              <w:rPr>
                <w:rFonts w:ascii="Arial" w:cs="Arial" w:eastAsia="Arial" w:hAnsi="Arial"/>
                <w:sz w:val="13"/>
                <w:szCs w:val="13"/>
                <w:b w:val="1"/>
                <w:bCs w:val="1"/>
                <w:color w:val="auto"/>
              </w:rPr>
              <w:t>(Level 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1"/>
              <w:spacing w:after="0" w:line="141"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r>
      <w:tr>
        <w:trPr>
          <w:trHeight w:val="227"/>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5840" w:type="dxa"/>
            <w:vAlign w:val="bottom"/>
            <w:gridSpan w:val="2"/>
          </w:tcPr>
          <w:p>
            <w:pPr>
              <w:spacing w:after="0"/>
              <w:rPr>
                <w:sz w:val="20"/>
                <w:szCs w:val="20"/>
                <w:color w:val="auto"/>
              </w:rPr>
            </w:pPr>
            <w:r>
              <w:rPr>
                <w:rFonts w:ascii="Arial" w:cs="Arial" w:eastAsia="Arial" w:hAnsi="Arial"/>
                <w:sz w:val="16"/>
                <w:szCs w:val="16"/>
                <w:color w:val="auto"/>
              </w:rPr>
              <w:t>Contingent cash consideration in connection with a</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40" w:type="dxa"/>
            <w:vAlign w:val="bottom"/>
            <w:gridSpan w:val="2"/>
          </w:tcPr>
          <w:p>
            <w:pPr>
              <w:ind w:left="120"/>
              <w:spacing w:after="0"/>
              <w:rPr>
                <w:sz w:val="20"/>
                <w:szCs w:val="20"/>
                <w:color w:val="auto"/>
              </w:rPr>
            </w:pPr>
            <w:r>
              <w:rPr>
                <w:rFonts w:ascii="Arial" w:cs="Arial" w:eastAsia="Arial" w:hAnsi="Arial"/>
                <w:sz w:val="16"/>
                <w:szCs w:val="16"/>
                <w:color w:val="auto"/>
              </w:rPr>
              <w:t>business acquisition—SCUF</w:t>
            </w:r>
            <w:r>
              <w:rPr>
                <w:rFonts w:ascii="Arial" w:cs="Arial" w:eastAsia="Arial" w:hAnsi="Arial"/>
                <w:sz w:val="13"/>
                <w:szCs w:val="13"/>
                <w:color w:val="auto"/>
              </w:rPr>
              <w:t>(2)</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1,250</w:t>
            </w:r>
          </w:p>
        </w:tc>
        <w:tc>
          <w:tcPr>
            <w:tcW w:w="500" w:type="dxa"/>
            <w:vAlign w:val="bottom"/>
            <w:gridSpan w:val="3"/>
          </w:tcPr>
          <w:p>
            <w:pPr>
              <w:jc w:val="right"/>
              <w:ind w:right="10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r>
      <w:tr>
        <w:trPr>
          <w:trHeight w:val="211"/>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Foreign currency forward contracts</w:t>
            </w:r>
            <w:r>
              <w:rPr>
                <w:rFonts w:ascii="Arial" w:cs="Arial" w:eastAsia="Arial" w:hAnsi="Arial"/>
                <w:sz w:val="13"/>
                <w:szCs w:val="13"/>
                <w:color w:val="auto"/>
              </w:rPr>
              <w:t>(1)</w:t>
            </w:r>
          </w:p>
        </w:tc>
        <w:tc>
          <w:tcPr>
            <w:tcW w:w="8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427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FF0FC"/>
          </w:tcPr>
          <w:p>
            <w:pPr>
              <w:spacing w:after="0"/>
              <w:rPr>
                <w:sz w:val="18"/>
                <w:szCs w:val="18"/>
                <w:color w:val="auto"/>
              </w:rPr>
            </w:pPr>
          </w:p>
        </w:tc>
      </w:tr>
      <w:tr>
        <w:trPr>
          <w:trHeight w:val="209"/>
        </w:trPr>
        <w:tc>
          <w:tcPr>
            <w:tcW w:w="5840" w:type="dxa"/>
            <w:vAlign w:val="bottom"/>
            <w:gridSpan w:val="2"/>
          </w:tcPr>
          <w:p>
            <w:pPr>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r>
      <w:tr>
        <w:trPr>
          <w:trHeight w:val="202"/>
        </w:trPr>
        <w:tc>
          <w:tcPr>
            <w:tcW w:w="5840" w:type="dxa"/>
            <w:vAlign w:val="bottom"/>
            <w:tcBorders>
              <w:top w:val="single" w:sz="8" w:color="CFF0FC"/>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Total liabilities</w:t>
            </w:r>
          </w:p>
        </w:tc>
        <w:tc>
          <w:tcPr>
            <w:tcW w:w="880" w:type="dxa"/>
            <w:vAlign w:val="bottom"/>
            <w:tcBorders>
              <w:top w:val="single" w:sz="8" w:color="auto"/>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w w:val="87"/>
              </w:rPr>
              <w:t>—</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ind w:right="68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427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30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3"/>
                <w:szCs w:val="13"/>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30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tcBorders>
              <w:bottom w:val="single" w:sz="8" w:color="auto"/>
            </w:tcBorders>
          </w:tcPr>
          <w:p>
            <w:pPr>
              <w:jc w:val="right"/>
              <w:ind w:right="7"/>
              <w:spacing w:after="0" w:line="141" w:lineRule="exact"/>
              <w:rPr>
                <w:sz w:val="20"/>
                <w:szCs w:val="20"/>
                <w:color w:val="auto"/>
              </w:rPr>
            </w:pPr>
            <w:r>
              <w:rPr>
                <w:rFonts w:ascii="Arial" w:cs="Arial" w:eastAsia="Arial" w:hAnsi="Arial"/>
                <w:sz w:val="13"/>
                <w:szCs w:val="13"/>
                <w:b w:val="1"/>
                <w:bCs w:val="1"/>
                <w:color w:val="auto"/>
              </w:rPr>
              <w:t>(Level 1)</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1"/>
              <w:spacing w:after="0" w:line="141" w:lineRule="exact"/>
              <w:rPr>
                <w:sz w:val="20"/>
                <w:szCs w:val="20"/>
                <w:color w:val="auto"/>
              </w:rPr>
            </w:pPr>
            <w:r>
              <w:rPr>
                <w:rFonts w:ascii="Arial" w:cs="Arial" w:eastAsia="Arial" w:hAnsi="Arial"/>
                <w:sz w:val="13"/>
                <w:szCs w:val="13"/>
                <w:b w:val="1"/>
                <w:bCs w:val="1"/>
                <w:color w:val="auto"/>
              </w:rPr>
              <w:t>(Level 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1"/>
              <w:spacing w:after="0" w:line="141"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r>
      <w:tr>
        <w:trPr>
          <w:trHeight w:val="227"/>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5840" w:type="dxa"/>
            <w:vAlign w:val="bottom"/>
            <w:gridSpan w:val="2"/>
          </w:tcPr>
          <w:p>
            <w:pPr>
              <w:spacing w:after="0"/>
              <w:rPr>
                <w:sz w:val="20"/>
                <w:szCs w:val="20"/>
                <w:color w:val="auto"/>
              </w:rPr>
            </w:pPr>
            <w:r>
              <w:rPr>
                <w:rFonts w:ascii="Arial" w:cs="Arial" w:eastAsia="Arial" w:hAnsi="Arial"/>
                <w:sz w:val="16"/>
                <w:szCs w:val="16"/>
                <w:color w:val="auto"/>
              </w:rPr>
              <w:t>Contingent cash consideration in connection with a</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40" w:type="dxa"/>
            <w:vAlign w:val="bottom"/>
            <w:gridSpan w:val="2"/>
          </w:tcPr>
          <w:p>
            <w:pPr>
              <w:ind w:left="120"/>
              <w:spacing w:after="0"/>
              <w:rPr>
                <w:sz w:val="20"/>
                <w:szCs w:val="20"/>
                <w:color w:val="auto"/>
              </w:rPr>
            </w:pPr>
            <w:r>
              <w:rPr>
                <w:rFonts w:ascii="Arial" w:cs="Arial" w:eastAsia="Arial" w:hAnsi="Arial"/>
                <w:sz w:val="16"/>
                <w:szCs w:val="16"/>
                <w:color w:val="auto"/>
              </w:rPr>
              <w:t>business acquisition—Origin</w:t>
            </w:r>
            <w:r>
              <w:rPr>
                <w:rFonts w:ascii="Arial" w:cs="Arial" w:eastAsia="Arial" w:hAnsi="Arial"/>
                <w:sz w:val="13"/>
                <w:szCs w:val="13"/>
                <w:color w:val="auto"/>
              </w:rPr>
              <w:t>(3)</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2,887</w:t>
            </w:r>
          </w:p>
        </w:tc>
        <w:tc>
          <w:tcPr>
            <w:tcW w:w="500" w:type="dxa"/>
            <w:vAlign w:val="bottom"/>
            <w:gridSpan w:val="3"/>
          </w:tcPr>
          <w:p>
            <w:pPr>
              <w:jc w:val="right"/>
              <w:ind w:right="10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18"/>
                <w:szCs w:val="18"/>
                <w:color w:val="auto"/>
              </w:rPr>
            </w:pPr>
          </w:p>
        </w:tc>
      </w:tr>
      <w:tr>
        <w:trPr>
          <w:trHeight w:val="198"/>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Contingent consideration in connection with a</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58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business acquisition—SCUF</w:t>
            </w:r>
            <w:r>
              <w:rPr>
                <w:rFonts w:ascii="Arial" w:cs="Arial" w:eastAsia="Arial" w:hAnsi="Arial"/>
                <w:sz w:val="13"/>
                <w:szCs w:val="13"/>
                <w:color w:val="auto"/>
              </w:rPr>
              <w:t>(2)</w:t>
            </w:r>
          </w:p>
        </w:tc>
        <w:tc>
          <w:tcPr>
            <w:tcW w:w="8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FF0FC"/>
          </w:tcPr>
          <w:p>
            <w:pPr>
              <w:spacing w:after="0"/>
              <w:rPr>
                <w:sz w:val="18"/>
                <w:szCs w:val="18"/>
                <w:color w:val="auto"/>
              </w:rPr>
            </w:pPr>
          </w:p>
        </w:tc>
      </w:tr>
      <w:tr>
        <w:trPr>
          <w:trHeight w:val="197"/>
        </w:trPr>
        <w:tc>
          <w:tcPr>
            <w:tcW w:w="5840" w:type="dxa"/>
            <w:vAlign w:val="bottom"/>
            <w:gridSpan w:val="2"/>
          </w:tcPr>
          <w:p>
            <w:pPr>
              <w:spacing w:after="0"/>
              <w:rPr>
                <w:sz w:val="20"/>
                <w:szCs w:val="20"/>
                <w:color w:val="auto"/>
              </w:rPr>
            </w:pPr>
            <w:r>
              <w:rPr>
                <w:rFonts w:ascii="Arial" w:cs="Arial" w:eastAsia="Arial" w:hAnsi="Arial"/>
                <w:sz w:val="16"/>
                <w:szCs w:val="16"/>
                <w:color w:val="auto"/>
              </w:rPr>
              <w:t>Deferred cash consideration in connection with a</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40" w:type="dxa"/>
            <w:vAlign w:val="bottom"/>
            <w:gridSpan w:val="2"/>
          </w:tcPr>
          <w:p>
            <w:pPr>
              <w:ind w:left="120"/>
              <w:spacing w:after="0"/>
              <w:rPr>
                <w:sz w:val="20"/>
                <w:szCs w:val="20"/>
                <w:color w:val="auto"/>
              </w:rPr>
            </w:pPr>
            <w:r>
              <w:rPr>
                <w:rFonts w:ascii="Arial" w:cs="Arial" w:eastAsia="Arial" w:hAnsi="Arial"/>
                <w:sz w:val="16"/>
                <w:szCs w:val="16"/>
                <w:color w:val="auto"/>
              </w:rPr>
              <w:t>business acquisition—Origin</w:t>
            </w:r>
            <w:r>
              <w:rPr>
                <w:rFonts w:ascii="Arial" w:cs="Arial" w:eastAsia="Arial" w:hAnsi="Arial"/>
                <w:sz w:val="13"/>
                <w:szCs w:val="13"/>
                <w:color w:val="auto"/>
              </w:rPr>
              <w:t>(3)</w:t>
            </w:r>
          </w:p>
        </w:tc>
        <w:tc>
          <w:tcPr>
            <w:tcW w:w="8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18"/>
                <w:szCs w:val="18"/>
                <w:color w:val="auto"/>
              </w:rPr>
            </w:pPr>
          </w:p>
        </w:tc>
      </w:tr>
      <w:tr>
        <w:trPr>
          <w:trHeight w:val="211"/>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Foreign currency forward contracts</w:t>
            </w:r>
            <w:r>
              <w:rPr>
                <w:rFonts w:ascii="Arial" w:cs="Arial" w:eastAsia="Arial" w:hAnsi="Arial"/>
                <w:sz w:val="13"/>
                <w:szCs w:val="13"/>
                <w:color w:val="auto"/>
              </w:rPr>
              <w:t>(1)</w:t>
            </w:r>
          </w:p>
        </w:tc>
        <w:tc>
          <w:tcPr>
            <w:tcW w:w="8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819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FF0FC"/>
          </w:tcPr>
          <w:p>
            <w:pPr>
              <w:spacing w:after="0"/>
              <w:rPr>
                <w:sz w:val="18"/>
                <w:szCs w:val="18"/>
                <w:color w:val="auto"/>
              </w:rPr>
            </w:pPr>
          </w:p>
        </w:tc>
      </w:tr>
      <w:tr>
        <w:trPr>
          <w:trHeight w:val="201"/>
        </w:trPr>
        <w:tc>
          <w:tcPr>
            <w:tcW w:w="5840" w:type="dxa"/>
            <w:vAlign w:val="bottom"/>
            <w:gridSpan w:val="2"/>
          </w:tcPr>
          <w:p>
            <w:pPr>
              <w:ind w:left="280"/>
              <w:spacing w:after="0"/>
              <w:rPr>
                <w:sz w:val="20"/>
                <w:szCs w:val="20"/>
                <w:color w:val="auto"/>
              </w:rPr>
            </w:pPr>
            <w:r>
              <w:rPr>
                <w:rFonts w:ascii="Arial" w:cs="Arial" w:eastAsia="Arial" w:hAnsi="Arial"/>
                <w:sz w:val="16"/>
                <w:szCs w:val="16"/>
                <w:color w:val="auto"/>
              </w:rPr>
              <w:t>Total liabilities</w:t>
            </w: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7"/>
                <w:szCs w:val="17"/>
                <w:color w:val="auto"/>
              </w:rPr>
            </w:pPr>
          </w:p>
        </w:tc>
        <w:tc>
          <w:tcPr>
            <w:tcW w:w="840" w:type="dxa"/>
            <w:vAlign w:val="bottom"/>
            <w:tcBorders>
              <w:top w:val="single" w:sz="8" w:color="auto"/>
            </w:tcBorders>
          </w:tcPr>
          <w:p>
            <w:pPr>
              <w:jc w:val="right"/>
              <w:ind w:right="68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819</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5,642</w:t>
            </w:r>
          </w:p>
        </w:tc>
        <w:tc>
          <w:tcPr>
            <w:tcW w:w="280" w:type="dxa"/>
            <w:vAlign w:val="bottom"/>
            <w:gridSpan w:val="2"/>
          </w:tcPr>
          <w:p>
            <w:pPr>
              <w:spacing w:after="0"/>
              <w:rPr>
                <w:sz w:val="17"/>
                <w:szCs w:val="17"/>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30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1" w:lineRule="exact"/>
        <w:rPr>
          <w:sz w:val="20"/>
          <w:szCs w:val="20"/>
          <w:color w:val="auto"/>
        </w:rPr>
      </w:pPr>
    </w:p>
    <w:p>
      <w:pPr>
        <w:ind w:left="361" w:right="140" w:hanging="361"/>
        <w:spacing w:after="0" w:line="271" w:lineRule="auto"/>
        <w:tabs>
          <w:tab w:leader="none" w:pos="361"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fair values of the forward contracts and interest rate cap contract are based on similar exchange traded derivatives and the related asset or liability is, therefore, included within Level 2 of the fair value hierarchy.</w:t>
      </w:r>
    </w:p>
    <w:p>
      <w:pPr>
        <w:ind w:left="361" w:right="60" w:hanging="361"/>
        <w:spacing w:after="0" w:line="270" w:lineRule="auto"/>
        <w:tabs>
          <w:tab w:leader="none" w:pos="361"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fair value of the contingent consideration from our SCUF acquisition in 2019 was determined based on the estimates of acquired tax benefits owed to SCUF’s sellers according to the merger agreement, and these estimates represent a level 3 fair value measurement. The $1.3 million liability as of December 31, 2020 consisted of $0.1 million based on a contractual amount and the remaining $1.2 million is subject to update upon filing our tax returns for tax years 2020 and 2021. In September 2021, we filed the tax return for the 2020 tax year, and as a result, the $1.3 million liability as of December 31, 2021 was updated to consist of $0.3 million based on a contractual amount and the remaining $1.0 million is subject to update upon filing our tax return for tax year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697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75" w:name="page76"/>
    <w:bookmarkEnd w:id="75"/>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14" w:lineRule="exact"/>
        <w:rPr>
          <w:sz w:val="20"/>
          <w:szCs w:val="20"/>
          <w:color w:val="auto"/>
        </w:rPr>
      </w:pPr>
    </w:p>
    <w:p>
      <w:pPr>
        <w:ind w:left="361" w:hanging="361"/>
        <w:spacing w:after="0"/>
        <w:tabs>
          <w:tab w:leader="none" w:pos="361" w:val="left"/>
        </w:tabs>
        <w:numPr>
          <w:ilvl w:val="0"/>
          <w:numId w:val="34"/>
        </w:numPr>
        <w:rPr>
          <w:rFonts w:ascii="Arial" w:cs="Arial" w:eastAsia="Arial" w:hAnsi="Arial"/>
          <w:sz w:val="26"/>
          <w:szCs w:val="26"/>
          <w:color w:val="auto"/>
          <w:vertAlign w:val="superscript"/>
        </w:rPr>
      </w:pPr>
      <w:r>
        <w:rPr>
          <w:rFonts w:ascii="Arial" w:cs="Arial" w:eastAsia="Arial" w:hAnsi="Arial"/>
          <w:sz w:val="13"/>
          <w:szCs w:val="13"/>
          <w:color w:val="auto"/>
        </w:rPr>
        <w:t>Total earn-out liability of $2.9 million and deferred cash consideration of $1.5 million from our Origin acquisition in 2019 were fully paid and settled in 2021.</w:t>
      </w:r>
    </w:p>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4. Derivative Financial Instruments</w:t>
      </w:r>
    </w:p>
    <w:p>
      <w:pPr>
        <w:spacing w:after="0" w:line="116" w:lineRule="exact"/>
        <w:rPr>
          <w:sz w:val="20"/>
          <w:szCs w:val="20"/>
          <w:color w:val="auto"/>
        </w:rPr>
      </w:pPr>
    </w:p>
    <w:p>
      <w:pPr>
        <w:ind w:left="1" w:right="20" w:firstLine="511"/>
        <w:spacing w:after="0" w:line="263" w:lineRule="auto"/>
        <w:rPr>
          <w:sz w:val="20"/>
          <w:szCs w:val="20"/>
          <w:color w:val="auto"/>
        </w:rPr>
      </w:pPr>
      <w:r>
        <w:rPr>
          <w:rFonts w:ascii="Arial" w:cs="Arial" w:eastAsia="Arial" w:hAnsi="Arial"/>
          <w:sz w:val="16"/>
          <w:szCs w:val="16"/>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consolidated balance sheets. We do not designate such instruments as hedges for accounting purposes; accordingly, changes in the value of these contracts are recognized in each reporting period in other (expense) income, net in the consolidated statements of operations. We do not enter into derivative instruments for trading purposes.</w:t>
      </w:r>
    </w:p>
    <w:p>
      <w:pPr>
        <w:spacing w:after="0" w:line="73" w:lineRule="exact"/>
        <w:rPr>
          <w:sz w:val="20"/>
          <w:szCs w:val="20"/>
          <w:color w:val="auto"/>
        </w:rPr>
      </w:pPr>
    </w:p>
    <w:p>
      <w:pPr>
        <w:ind w:left="1" w:right="80" w:firstLine="511"/>
        <w:spacing w:after="0" w:line="268" w:lineRule="auto"/>
        <w:rPr>
          <w:sz w:val="20"/>
          <w:szCs w:val="20"/>
          <w:color w:val="auto"/>
        </w:rPr>
      </w:pPr>
      <w:r>
        <w:rPr>
          <w:rFonts w:ascii="Arial" w:cs="Arial" w:eastAsia="Arial" w:hAnsi="Arial"/>
          <w:sz w:val="16"/>
          <w:szCs w:val="16"/>
          <w:color w:val="auto"/>
        </w:rPr>
        <w:t>The foreign currency forward contracts generally mature within three to four months. The notional principal amount of outstanding foreign exchange forward contracts was $48.6 million and $41.6 million as of December 31, 2021 and December 31, 2020, respectively. The net fair value gain (loss) recognized in other (expense) income, net in relation to these derivative instruments was $0.5 million, $(3.0) million, and $(0.2) million for the year ended December 31, 2021, 2020, and 2019, respectively.</w:t>
      </w:r>
    </w:p>
    <w:p>
      <w:pPr>
        <w:spacing w:after="0" w:line="26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5. Business Combinations</w:t>
      </w:r>
    </w:p>
    <w:p>
      <w:pPr>
        <w:spacing w:after="0" w:line="215" w:lineRule="exact"/>
        <w:rPr>
          <w:sz w:val="20"/>
          <w:szCs w:val="20"/>
          <w:color w:val="auto"/>
        </w:rPr>
      </w:pPr>
    </w:p>
    <w:p>
      <w:pPr>
        <w:ind w:left="1" w:right="40" w:firstLine="511"/>
        <w:spacing w:after="0" w:line="365" w:lineRule="auto"/>
        <w:rPr>
          <w:sz w:val="20"/>
          <w:szCs w:val="20"/>
          <w:color w:val="auto"/>
        </w:rPr>
      </w:pPr>
      <w:r>
        <w:rPr>
          <w:rFonts w:ascii="Arial" w:cs="Arial" w:eastAsia="Arial" w:hAnsi="Arial"/>
          <w:sz w:val="14"/>
          <w:szCs w:val="14"/>
          <w:color w:val="auto"/>
        </w:rPr>
        <w:t>We completed four acquisitions in the last two years, namely, Visual by Impulse and BoxFX Ltd in 2021, and EpocCam and Gamer Sensei in 2020, none of which were material, both individually and in the aggregate, to our consolidated financial statements. They were accounted for using the acquisition method of accounting.</w:t>
      </w:r>
    </w:p>
    <w:p>
      <w:pPr>
        <w:spacing w:after="0" w:line="29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6. Goodwill and Intangible Assets</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Goodwill</w:t>
      </w:r>
    </w:p>
    <w:p>
      <w:pPr>
        <w:spacing w:after="0" w:line="112" w:lineRule="exact"/>
        <w:rPr>
          <w:sz w:val="20"/>
          <w:szCs w:val="20"/>
          <w:color w:val="auto"/>
        </w:rPr>
      </w:pPr>
    </w:p>
    <w:p>
      <w:pPr>
        <w:jc w:val="both"/>
        <w:ind w:left="1" w:right="300" w:firstLine="511"/>
        <w:spacing w:after="0" w:line="273" w:lineRule="auto"/>
        <w:rPr>
          <w:sz w:val="20"/>
          <w:szCs w:val="20"/>
          <w:color w:val="auto"/>
        </w:rPr>
      </w:pPr>
      <w:r>
        <w:rPr>
          <w:rFonts w:ascii="Arial" w:cs="Arial" w:eastAsia="Arial" w:hAnsi="Arial"/>
          <w:sz w:val="16"/>
          <w:szCs w:val="16"/>
          <w:color w:val="auto"/>
        </w:rPr>
        <w:t>We have four reporting units: Gaming Peripherals, Gaming Components, Gaming Memory and Gaming Systems. The Gamer and Creator Peripherals segment includes the Gaming Peripherals reporting unit, and the Gaming Components and Systems segment includes the Gaming Components, Gaming Memory and Gaming Systems reporting units.</w:t>
      </w:r>
    </w:p>
    <w:p>
      <w:pPr>
        <w:spacing w:after="0" w:line="162" w:lineRule="exact"/>
        <w:rPr>
          <w:sz w:val="20"/>
          <w:szCs w:val="20"/>
          <w:color w:val="auto"/>
        </w:rPr>
      </w:pPr>
    </w:p>
    <w:p>
      <w:pPr>
        <w:ind w:left="501"/>
        <w:spacing w:after="0"/>
        <w:rPr>
          <w:sz w:val="20"/>
          <w:szCs w:val="20"/>
          <w:color w:val="auto"/>
        </w:rPr>
      </w:pPr>
      <w:r>
        <w:rPr>
          <w:rFonts w:ascii="Arial" w:cs="Arial" w:eastAsia="Arial" w:hAnsi="Arial"/>
          <w:sz w:val="16"/>
          <w:szCs w:val="16"/>
          <w:color w:val="auto"/>
        </w:rPr>
        <w:t>The following table summarizes the changes in the carrying amount of goodwill by reportable segment (in thousands):</w:t>
      </w: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0"/>
              </w:rPr>
              <w:t>Gaming</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460"/>
              <w:spacing w:after="0" w:line="136" w:lineRule="exact"/>
              <w:rPr>
                <w:sz w:val="20"/>
                <w:szCs w:val="20"/>
                <w:color w:val="auto"/>
              </w:rPr>
            </w:pPr>
            <w:r>
              <w:rPr>
                <w:rFonts w:ascii="Arial" w:cs="Arial" w:eastAsia="Arial" w:hAnsi="Arial"/>
                <w:sz w:val="13"/>
                <w:szCs w:val="13"/>
                <w:b w:val="1"/>
                <w:bCs w:val="1"/>
                <w:color w:val="auto"/>
                <w:w w:val="90"/>
              </w:rPr>
              <w:t>Components</w:t>
            </w:r>
          </w:p>
        </w:tc>
        <w:tc>
          <w:tcPr>
            <w:tcW w:w="220" w:type="dxa"/>
            <w:vAlign w:val="bottom"/>
          </w:tcPr>
          <w:p>
            <w:pPr>
              <w:spacing w:after="0"/>
              <w:rPr>
                <w:sz w:val="11"/>
                <w:szCs w:val="11"/>
                <w:color w:val="auto"/>
              </w:rPr>
            </w:pPr>
          </w:p>
        </w:tc>
        <w:tc>
          <w:tcPr>
            <w:tcW w:w="1360" w:type="dxa"/>
            <w:vAlign w:val="bottom"/>
            <w:gridSpan w:val="2"/>
          </w:tcPr>
          <w:p>
            <w:pPr>
              <w:jc w:val="center"/>
              <w:ind w:right="480"/>
              <w:spacing w:after="0" w:line="136" w:lineRule="exact"/>
              <w:rPr>
                <w:sz w:val="20"/>
                <w:szCs w:val="20"/>
                <w:color w:val="auto"/>
              </w:rPr>
            </w:pPr>
            <w:r>
              <w:rPr>
                <w:rFonts w:ascii="Arial" w:cs="Arial" w:eastAsia="Arial" w:hAnsi="Arial"/>
                <w:sz w:val="13"/>
                <w:szCs w:val="13"/>
                <w:b w:val="1"/>
                <w:bCs w:val="1"/>
                <w:color w:val="auto"/>
                <w:w w:val="94"/>
              </w:rPr>
              <w:t>Gamer and</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460"/>
              <w:spacing w:after="0" w:line="136" w:lineRule="exact"/>
              <w:rPr>
                <w:sz w:val="20"/>
                <w:szCs w:val="20"/>
                <w:color w:val="auto"/>
              </w:rPr>
            </w:pPr>
            <w:r>
              <w:rPr>
                <w:rFonts w:ascii="Arial" w:cs="Arial" w:eastAsia="Arial" w:hAnsi="Arial"/>
                <w:sz w:val="13"/>
                <w:szCs w:val="13"/>
                <w:b w:val="1"/>
                <w:bCs w:val="1"/>
                <w:color w:val="auto"/>
                <w:w w:val="86"/>
              </w:rPr>
              <w:t>and</w:t>
            </w:r>
          </w:p>
        </w:tc>
        <w:tc>
          <w:tcPr>
            <w:tcW w:w="220" w:type="dxa"/>
            <w:vAlign w:val="bottom"/>
          </w:tcPr>
          <w:p>
            <w:pPr>
              <w:spacing w:after="0"/>
              <w:rPr>
                <w:sz w:val="11"/>
                <w:szCs w:val="11"/>
                <w:color w:val="auto"/>
              </w:rPr>
            </w:pPr>
          </w:p>
        </w:tc>
        <w:tc>
          <w:tcPr>
            <w:tcW w:w="1360" w:type="dxa"/>
            <w:vAlign w:val="bottom"/>
            <w:gridSpan w:val="2"/>
          </w:tcPr>
          <w:p>
            <w:pPr>
              <w:jc w:val="center"/>
              <w:ind w:right="480"/>
              <w:spacing w:after="0" w:line="136" w:lineRule="exact"/>
              <w:rPr>
                <w:sz w:val="20"/>
                <w:szCs w:val="20"/>
                <w:color w:val="auto"/>
              </w:rPr>
            </w:pPr>
            <w:r>
              <w:rPr>
                <w:rFonts w:ascii="Arial" w:cs="Arial" w:eastAsia="Arial" w:hAnsi="Arial"/>
                <w:sz w:val="13"/>
                <w:szCs w:val="13"/>
                <w:b w:val="1"/>
                <w:bCs w:val="1"/>
                <w:color w:val="auto"/>
                <w:w w:val="95"/>
              </w:rPr>
              <w:t>Creator</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2"/>
              </w:rPr>
              <w:t>Systems</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0"/>
              </w:rPr>
              <w:t>Peripherals</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2600" w:type="dxa"/>
            <w:vAlign w:val="bottom"/>
            <w:gridSpan w:val="2"/>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167,375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20"/>
              <w:spacing w:after="0"/>
              <w:rPr>
                <w:sz w:val="20"/>
                <w:szCs w:val="20"/>
                <w:color w:val="auto"/>
              </w:rPr>
            </w:pPr>
            <w:r>
              <w:rPr>
                <w:rFonts w:ascii="Arial" w:cs="Arial" w:eastAsia="Arial" w:hAnsi="Arial"/>
                <w:sz w:val="16"/>
                <w:szCs w:val="16"/>
                <w:color w:val="auto"/>
              </w:rPr>
              <w:t>Addition from business acquisitions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Measurement period adjustments</w:t>
            </w:r>
          </w:p>
        </w:tc>
        <w:tc>
          <w:tcPr>
            <w:tcW w:w="2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(1,326)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Effect of foreign currency exchange rates</w:t>
            </w:r>
          </w:p>
        </w:tc>
        <w:tc>
          <w:tcPr>
            <w:tcW w:w="24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2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145,644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167,116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20"/>
              <w:spacing w:after="0"/>
              <w:rPr>
                <w:sz w:val="20"/>
                <w:szCs w:val="20"/>
                <w:color w:val="auto"/>
              </w:rPr>
            </w:pPr>
            <w:r>
              <w:rPr>
                <w:rFonts w:ascii="Arial" w:cs="Arial" w:eastAsia="Arial" w:hAnsi="Arial"/>
                <w:sz w:val="16"/>
                <w:szCs w:val="16"/>
                <w:color w:val="auto"/>
              </w:rPr>
              <w:t>Addition from business acquisitions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Measurement period adjustments</w:t>
            </w:r>
          </w:p>
        </w:tc>
        <w:tc>
          <w:tcPr>
            <w:tcW w:w="2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20"/>
              <w:spacing w:after="0"/>
              <w:rPr>
                <w:sz w:val="20"/>
                <w:szCs w:val="20"/>
                <w:color w:val="auto"/>
              </w:rPr>
            </w:pPr>
            <w:r>
              <w:rPr>
                <w:rFonts w:ascii="Arial" w:cs="Arial" w:eastAsia="Arial" w:hAnsi="Arial"/>
                <w:sz w:val="16"/>
                <w:szCs w:val="16"/>
                <w:color w:val="auto"/>
              </w:rPr>
              <w:t>Effect of foreign currency exchange rates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(334)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2"/>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2021</w:t>
            </w:r>
          </w:p>
        </w:tc>
        <w:tc>
          <w:tcPr>
            <w:tcW w:w="24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145,310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171,744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317,054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0" w:type="dxa"/>
            <w:vAlign w:val="bottom"/>
            <w:vMerge w:val="restart"/>
          </w:tcPr>
          <w:p>
            <w:pPr>
              <w:jc w:val="right"/>
              <w:ind w:right="858"/>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2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4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intangible assets, net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2021</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3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22"/>
              <w:spacing w:after="0" w:line="121" w:lineRule="exact"/>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22"/>
              <w:spacing w:after="0" w:line="121" w:lineRule="exact"/>
              <w:rPr>
                <w:sz w:val="20"/>
                <w:szCs w:val="20"/>
                <w:color w:val="auto"/>
              </w:rPr>
            </w:pPr>
            <w:r>
              <w:rPr>
                <w:rFonts w:ascii="Arial" w:cs="Arial" w:eastAsia="Arial" w:hAnsi="Arial"/>
                <w:sz w:val="13"/>
                <w:szCs w:val="13"/>
                <w:b w:val="1"/>
                <w:bCs w:val="1"/>
                <w:color w:val="auto"/>
                <w:w w:val="85"/>
              </w:rPr>
              <w:t>Net</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420"/>
              <w:spacing w:after="0" w:line="121"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22"/>
              <w:spacing w:after="0" w:line="121"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r>
      <w:tr>
        <w:trPr>
          <w:trHeight w:val="136"/>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22"/>
              <w:spacing w:after="0" w:line="136"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01"/>
              <w:spacing w:after="0" w:line="136" w:lineRule="exact"/>
              <w:rPr>
                <w:sz w:val="20"/>
                <w:szCs w:val="20"/>
                <w:color w:val="auto"/>
              </w:rPr>
            </w:pPr>
            <w:r>
              <w:rPr>
                <w:rFonts w:ascii="Arial" w:cs="Arial" w:eastAsia="Arial" w:hAnsi="Arial"/>
                <w:sz w:val="13"/>
                <w:szCs w:val="13"/>
                <w:b w:val="1"/>
                <w:bCs w:val="1"/>
                <w:color w:val="auto"/>
                <w:w w:val="93"/>
              </w:rPr>
              <w:t>Accumulated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42"/>
              <w:spacing w:after="0" w:line="136" w:lineRule="exact"/>
              <w:rPr>
                <w:sz w:val="20"/>
                <w:szCs w:val="20"/>
                <w:color w:val="auto"/>
              </w:rPr>
            </w:pPr>
            <w:r>
              <w:rPr>
                <w:rFonts w:ascii="Arial" w:cs="Arial" w:eastAsia="Arial" w:hAnsi="Arial"/>
                <w:sz w:val="13"/>
                <w:szCs w:val="13"/>
                <w:b w:val="1"/>
                <w:bCs w:val="1"/>
                <w:color w:val="auto"/>
                <w:w w:val="97"/>
              </w:rPr>
              <w:t>Carrying</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420"/>
              <w:spacing w:after="0" w:line="136"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1"/>
                <w:szCs w:val="11"/>
                <w:color w:val="auto"/>
              </w:rPr>
            </w:pPr>
          </w:p>
        </w:tc>
        <w:tc>
          <w:tcPr>
            <w:tcW w:w="1200" w:type="dxa"/>
            <w:vAlign w:val="bottom"/>
            <w:gridSpan w:val="2"/>
          </w:tcPr>
          <w:p>
            <w:pPr>
              <w:ind w:left="40"/>
              <w:spacing w:after="0" w:line="136"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7"/>
              </w:rPr>
              <w:t>Carrying</w:t>
            </w:r>
          </w:p>
        </w:tc>
      </w:tr>
      <w:tr>
        <w:trPr>
          <w:trHeight w:val="156"/>
        </w:trPr>
        <w:tc>
          <w:tcPr>
            <w:tcW w:w="3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5"/>
              </w:rPr>
              <w:t>Amortization</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3"/>
              </w:rPr>
              <w:t>Amount</w:t>
            </w: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r>
      <w:tr>
        <w:trPr>
          <w:trHeight w:val="227"/>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14,922</w:t>
            </w:r>
          </w:p>
        </w:tc>
        <w:tc>
          <w:tcPr>
            <w:tcW w:w="42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17,164</w:t>
            </w:r>
          </w:p>
        </w:tc>
        <w:tc>
          <w:tcPr>
            <w:tcW w:w="56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shd w:val="clear" w:color="auto" w:fill="CFF0FC"/>
          </w:tcPr>
          <w:p>
            <w:pPr>
              <w:spacing w:after="0"/>
              <w:rPr>
                <w:sz w:val="19"/>
                <w:szCs w:val="19"/>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Trade name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30,632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27,759</w:t>
            </w:r>
          </w:p>
        </w:tc>
        <w:tc>
          <w:tcPr>
            <w:tcW w:w="100" w:type="dxa"/>
            <w:vAlign w:val="bottom"/>
          </w:tcPr>
          <w:p>
            <w:pPr>
              <w:spacing w:after="0"/>
              <w:rPr>
                <w:sz w:val="18"/>
                <w:szCs w:val="18"/>
                <w:color w:val="auto"/>
              </w:rPr>
            </w:pPr>
          </w:p>
        </w:tc>
      </w:tr>
      <w:tr>
        <w:trPr>
          <w:trHeight w:val="211"/>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218,566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123,656</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72,892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145,577</w:t>
            </w:r>
          </w:p>
        </w:tc>
        <w:tc>
          <w:tcPr>
            <w:tcW w:w="100" w:type="dxa"/>
            <w:vAlign w:val="bottom"/>
            <w:shd w:val="clear" w:color="auto" w:fill="CFF0FC"/>
          </w:tcPr>
          <w:p>
            <w:pPr>
              <w:spacing w:after="0"/>
              <w:rPr>
                <w:sz w:val="18"/>
                <w:szCs w:val="18"/>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Patent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23,285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27,595</w:t>
            </w:r>
          </w:p>
        </w:tc>
        <w:tc>
          <w:tcPr>
            <w:tcW w:w="100" w:type="dxa"/>
            <w:vAlign w:val="bottom"/>
          </w:tcPr>
          <w:p>
            <w:pPr>
              <w:spacing w:after="0"/>
              <w:rPr>
                <w:sz w:val="18"/>
                <w:szCs w:val="18"/>
                <w:color w:val="auto"/>
              </w:rPr>
            </w:pPr>
          </w:p>
        </w:tc>
      </w:tr>
      <w:tr>
        <w:trPr>
          <w:trHeight w:val="211"/>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Non-competition agreements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2,521</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2,521</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FF0FC"/>
          </w:tcPr>
          <w:p>
            <w:pPr>
              <w:spacing w:after="0"/>
              <w:rPr>
                <w:sz w:val="18"/>
                <w:szCs w:val="18"/>
                <w:color w:val="auto"/>
              </w:rPr>
            </w:pPr>
          </w:p>
        </w:tc>
      </w:tr>
      <w:tr>
        <w:trPr>
          <w:trHeight w:val="201"/>
        </w:trPr>
        <w:tc>
          <w:tcPr>
            <w:tcW w:w="3260" w:type="dxa"/>
            <w:vAlign w:val="bottom"/>
          </w:tcPr>
          <w:p>
            <w:pPr>
              <w:ind w:left="220"/>
              <w:spacing w:after="0"/>
              <w:rPr>
                <w:sz w:val="20"/>
                <w:szCs w:val="20"/>
                <w:color w:val="auto"/>
              </w:rPr>
            </w:pPr>
            <w:r>
              <w:rPr>
                <w:rFonts w:ascii="Arial" w:cs="Arial" w:eastAsia="Arial" w:hAnsi="Arial"/>
                <w:sz w:val="16"/>
                <w:szCs w:val="16"/>
                <w:color w:val="auto"/>
              </w:rPr>
              <w:t>Total finite-life intangibles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315,319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125,163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190,156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314,440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90,553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223,887</w:t>
            </w:r>
          </w:p>
        </w:tc>
        <w:tc>
          <w:tcPr>
            <w:tcW w:w="100" w:type="dxa"/>
            <w:vAlign w:val="bottom"/>
          </w:tcPr>
          <w:p>
            <w:pPr>
              <w:spacing w:after="0"/>
              <w:rPr>
                <w:sz w:val="17"/>
                <w:szCs w:val="17"/>
                <w:color w:val="auto"/>
              </w:rPr>
            </w:pPr>
          </w:p>
        </w:tc>
      </w:tr>
      <w:tr>
        <w:trPr>
          <w:trHeight w:val="211"/>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Indefinite life trade name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35,430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35,430</w:t>
            </w:r>
          </w:p>
        </w:tc>
        <w:tc>
          <w:tcPr>
            <w:tcW w:w="100" w:type="dxa"/>
            <w:vAlign w:val="bottom"/>
            <w:shd w:val="clear" w:color="auto" w:fill="CFF0FC"/>
          </w:tcPr>
          <w:p>
            <w:pPr>
              <w:spacing w:after="0"/>
              <w:rPr>
                <w:sz w:val="18"/>
                <w:szCs w:val="18"/>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2"/>
        </w:trPr>
        <w:tc>
          <w:tcPr>
            <w:tcW w:w="32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350,872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125,163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225,709</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349,870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90,553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259,317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right="20" w:firstLine="511"/>
        <w:spacing w:after="0" w:line="289" w:lineRule="auto"/>
        <w:rPr>
          <w:sz w:val="20"/>
          <w:szCs w:val="20"/>
          <w:color w:val="auto"/>
        </w:rPr>
      </w:pPr>
      <w:r>
        <w:rPr>
          <w:rFonts w:ascii="Arial" w:cs="Arial" w:eastAsia="Arial" w:hAnsi="Arial"/>
          <w:sz w:val="16"/>
          <w:szCs w:val="16"/>
          <w:color w:val="auto"/>
        </w:rPr>
        <w:t>In the year after an identified intangible asset becomes fully amortized, we remove the fully amortized balances from the gross asset and accumulated amortization amounts from the table above.</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expense of intangible assets is recognized in our consolidated statements of operations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1"/>
              <w:spacing w:after="0" w:line="141"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60"/>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227"/>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820" w:type="dxa"/>
            <w:vAlign w:val="bottom"/>
            <w:shd w:val="clear" w:color="auto" w:fill="CFF0FC"/>
          </w:tcPr>
          <w:p>
            <w:pPr>
              <w:jc w:val="right"/>
              <w:ind w:right="6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4,860</w:t>
            </w:r>
          </w:p>
        </w:tc>
        <w:tc>
          <w:tcPr>
            <w:tcW w:w="56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3,898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0FC"/>
          </w:tcPr>
          <w:p>
            <w:pPr>
              <w:spacing w:after="0"/>
              <w:rPr>
                <w:sz w:val="19"/>
                <w:szCs w:val="19"/>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Sales, general and administrative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24,611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24,535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23,035</w:t>
            </w:r>
          </w:p>
        </w:tc>
        <w:tc>
          <w:tcPr>
            <w:tcW w:w="100" w:type="dxa"/>
            <w:vAlign w:val="bottom"/>
          </w:tcPr>
          <w:p>
            <w:pPr>
              <w:spacing w:after="0"/>
              <w:rPr>
                <w:sz w:val="18"/>
                <w:szCs w:val="18"/>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Product development</w:t>
            </w:r>
          </w:p>
        </w:tc>
        <w:tc>
          <w:tcPr>
            <w:tcW w:w="8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5,323</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5,483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FF0FC"/>
          </w:tcPr>
          <w:p>
            <w:pPr>
              <w:spacing w:after="0"/>
              <w:rPr>
                <w:sz w:val="18"/>
                <w:szCs w:val="18"/>
                <w:color w:val="auto"/>
              </w:rPr>
            </w:pPr>
          </w:p>
        </w:tc>
      </w:tr>
      <w:tr>
        <w:trPr>
          <w:trHeight w:val="201"/>
        </w:trPr>
        <w:tc>
          <w:tcPr>
            <w:tcW w:w="6640" w:type="dxa"/>
            <w:vAlign w:val="bottom"/>
          </w:tcPr>
          <w:p>
            <w:pPr>
              <w:ind w:left="220"/>
              <w:spacing w:after="0"/>
              <w:rPr>
                <w:sz w:val="20"/>
                <w:szCs w:val="20"/>
                <w:color w:val="auto"/>
              </w:rPr>
            </w:pPr>
            <w:r>
              <w:rPr>
                <w:rFonts w:ascii="Arial" w:cs="Arial" w:eastAsia="Arial" w:hAnsi="Arial"/>
                <w:sz w:val="16"/>
                <w:szCs w:val="16"/>
                <w:color w:val="auto"/>
              </w:rPr>
              <w:t>Total amortization of intangible assets</w:t>
            </w: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34,794</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33,916</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30,123</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8520" w:type="dxa"/>
            <w:vAlign w:val="bottom"/>
            <w:gridSpan w:val="5"/>
          </w:tcPr>
          <w:p>
            <w:pPr>
              <w:ind w:left="500"/>
              <w:spacing w:after="0"/>
              <w:rPr>
                <w:sz w:val="20"/>
                <w:szCs w:val="20"/>
                <w:color w:val="auto"/>
              </w:rPr>
            </w:pPr>
            <w:r>
              <w:rPr>
                <w:rFonts w:ascii="Arial" w:cs="Arial" w:eastAsia="Arial" w:hAnsi="Arial"/>
                <w:sz w:val="16"/>
                <w:szCs w:val="16"/>
                <w:color w:val="auto"/>
                <w:w w:val="96"/>
              </w:rPr>
              <w:t>The estimated future amortization expense of intangible assets as of December 31, 2021 is as follows (in thousands):</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08"/>
        </w:trPr>
        <w:tc>
          <w:tcPr>
            <w:tcW w:w="6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Amounts</w:t>
            </w:r>
          </w:p>
        </w:tc>
      </w:tr>
      <w:tr>
        <w:trPr>
          <w:trHeight w:val="202"/>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2022</w:t>
            </w:r>
          </w:p>
        </w:tc>
        <w:tc>
          <w:tcPr>
            <w:tcW w:w="8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34,419</w:t>
            </w: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2023</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32,813</w:t>
            </w:r>
          </w:p>
        </w:tc>
        <w:tc>
          <w:tcPr>
            <w:tcW w:w="100" w:type="dxa"/>
            <w:vAlign w:val="bottom"/>
          </w:tcPr>
          <w:p>
            <w:pPr>
              <w:spacing w:after="0"/>
              <w:rPr>
                <w:sz w:val="18"/>
                <w:szCs w:val="18"/>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31,362</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2025</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31,058</w:t>
            </w:r>
          </w:p>
        </w:tc>
        <w:tc>
          <w:tcPr>
            <w:tcW w:w="100" w:type="dxa"/>
            <w:vAlign w:val="bottom"/>
          </w:tcPr>
          <w:p>
            <w:pPr>
              <w:spacing w:after="0"/>
              <w:rPr>
                <w:sz w:val="18"/>
                <w:szCs w:val="18"/>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27,684</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82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32,820</w:t>
            </w:r>
          </w:p>
        </w:tc>
        <w:tc>
          <w:tcPr>
            <w:tcW w:w="100" w:type="dxa"/>
            <w:vAlign w:val="bottom"/>
            <w:tcBorders>
              <w:bottom w:val="single" w:sz="8" w:color="CFF0FC"/>
            </w:tcBorders>
          </w:tcPr>
          <w:p>
            <w:pPr>
              <w:spacing w:after="0"/>
              <w:rPr>
                <w:sz w:val="18"/>
                <w:szCs w:val="18"/>
                <w:color w:val="auto"/>
              </w:rPr>
            </w:pPr>
          </w:p>
        </w:tc>
      </w:tr>
      <w:tr>
        <w:trPr>
          <w:trHeight w:val="202"/>
        </w:trPr>
        <w:tc>
          <w:tcPr>
            <w:tcW w:w="66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190,156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Balance Sheet Components</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components of certain balance sheet amounts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58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4820" w:type="dxa"/>
            <w:vAlign w:val="bottom"/>
            <w:gridSpan w:val="2"/>
            <w:shd w:val="clear" w:color="auto" w:fill="CFF0FC"/>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62,415</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Restricted cash—short term</w:t>
            </w:r>
          </w:p>
        </w:tc>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cash—noncurrent</w:t>
            </w:r>
          </w:p>
        </w:tc>
        <w:tc>
          <w:tcPr>
            <w:tcW w:w="386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tcPr>
          <w:p>
            <w:pPr>
              <w:ind w:left="220"/>
              <w:spacing w:after="0"/>
              <w:rPr>
                <w:sz w:val="20"/>
                <w:szCs w:val="20"/>
                <w:color w:val="auto"/>
              </w:rPr>
            </w:pPr>
            <w:r>
              <w:rPr>
                <w:rFonts w:ascii="Arial" w:cs="Arial" w:eastAsia="Arial" w:hAnsi="Arial"/>
                <w:sz w:val="16"/>
                <w:szCs w:val="16"/>
                <w:color w:val="auto"/>
              </w:rPr>
              <w:t>Total cash and restricted cash</w:t>
            </w:r>
          </w:p>
        </w:tc>
        <w:tc>
          <w:tcPr>
            <w:tcW w:w="3860" w:type="dxa"/>
            <w:vAlign w:val="bottom"/>
          </w:tcPr>
          <w:p>
            <w:pPr>
              <w:spacing w:after="0"/>
              <w:rPr>
                <w:sz w:val="17"/>
                <w:szCs w:val="17"/>
                <w:color w:val="auto"/>
              </w:rPr>
            </w:pP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65,380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vMerge w:val="restart"/>
          </w:tcPr>
          <w:p>
            <w:pPr>
              <w:spacing w:after="0"/>
              <w:rPr>
                <w:sz w:val="23"/>
                <w:szCs w:val="23"/>
                <w:color w:val="auto"/>
              </w:rPr>
            </w:pPr>
          </w:p>
        </w:tc>
        <w:tc>
          <w:tcPr>
            <w:tcW w:w="3840" w:type="dxa"/>
            <w:vAlign w:val="bottom"/>
          </w:tcPr>
          <w:p>
            <w:pPr>
              <w:spacing w:after="0"/>
              <w:rPr>
                <w:sz w:val="23"/>
                <w:szCs w:val="23"/>
                <w:color w:val="auto"/>
              </w:rPr>
            </w:pPr>
          </w:p>
        </w:tc>
        <w:tc>
          <w:tcPr>
            <w:tcW w:w="482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4820" w:type="dxa"/>
            <w:vAlign w:val="bottom"/>
            <w:gridSpan w:val="2"/>
            <w:shd w:val="clear" w:color="auto" w:fill="CFF0FC"/>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291,816</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Allowance for credit losses</w:t>
            </w:r>
          </w:p>
        </w:tc>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(529)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386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291,287</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293,629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60" w:type="dxa"/>
            <w:vAlign w:val="bottom"/>
            <w:vMerge w:val="restart"/>
          </w:tcPr>
          <w:p>
            <w:pPr>
              <w:jc w:val="right"/>
              <w:ind w:right="1942"/>
              <w:spacing w:after="0"/>
              <w:rPr>
                <w:sz w:val="20"/>
                <w:szCs w:val="20"/>
                <w:color w:val="auto"/>
              </w:rPr>
            </w:pPr>
            <w:r>
              <w:rPr>
                <w:rFonts w:ascii="Arial" w:cs="Arial" w:eastAsia="Arial" w:hAnsi="Arial"/>
                <w:sz w:val="16"/>
                <w:szCs w:val="16"/>
                <w:color w:val="auto"/>
              </w:rPr>
              <w:t>74</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62,110</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Work in progress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231,274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298,315</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vMerge w:val="restart"/>
          </w:tcPr>
          <w:p>
            <w:pPr>
              <w:spacing w:after="0"/>
              <w:rPr>
                <w:sz w:val="24"/>
                <w:szCs w:val="24"/>
                <w:color w:val="auto"/>
              </w:rPr>
            </w:pPr>
          </w:p>
        </w:tc>
        <w:tc>
          <w:tcPr>
            <w:tcW w:w="7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Manufacturing equipment</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26,094</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Computer equipment, software and office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Furniture and fixtures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property and equipment</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45,364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(28,545)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(23,163)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960" w:type="dxa"/>
            <w:vAlign w:val="bottom"/>
            <w:tcBorders>
              <w:top w:val="single" w:sz="8" w:color="auto"/>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16,819</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16,475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vMerge w:val="restart"/>
          </w:tcPr>
          <w:p>
            <w:pPr>
              <w:spacing w:after="0"/>
              <w:rPr>
                <w:sz w:val="23"/>
                <w:szCs w:val="23"/>
                <w:color w:val="auto"/>
              </w:rPr>
            </w:pPr>
          </w:p>
        </w:tc>
        <w:tc>
          <w:tcPr>
            <w:tcW w:w="7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51,387</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Deferred tax asset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0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71,808</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vMerge w:val="restart"/>
          </w:tcPr>
          <w:p>
            <w:pPr>
              <w:spacing w:after="0"/>
              <w:rPr>
                <w:sz w:val="24"/>
                <w:szCs w:val="24"/>
                <w:color w:val="auto"/>
              </w:rPr>
            </w:pPr>
          </w:p>
        </w:tc>
        <w:tc>
          <w:tcPr>
            <w:tcW w:w="7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Accrued reserves for customer incentive programs</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66,733</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Accrued reserves for sales returns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37,166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Accrued payroll and related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Accrued freight expenses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18,296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Income tax payable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56,837</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liabilities and accrued expenses</w:t>
            </w: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205,874</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205,745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vMerge w:val="restart"/>
          </w:tcPr>
          <w:p>
            <w:pPr>
              <w:spacing w:after="0"/>
              <w:rPr>
                <w:sz w:val="23"/>
                <w:szCs w:val="23"/>
                <w:color w:val="auto"/>
              </w:rPr>
            </w:pPr>
          </w:p>
        </w:tc>
        <w:tc>
          <w:tcPr>
            <w:tcW w:w="7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noncurrent</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51,153</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 liabilities, noncurrent</w:t>
            </w: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53,871</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20,199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8. Debt</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7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700" w:type="dxa"/>
            <w:vAlign w:val="bottom"/>
          </w:tcPr>
          <w:p>
            <w:pPr>
              <w:ind w:left="440"/>
              <w:spacing w:after="0"/>
              <w:rPr>
                <w:sz w:val="20"/>
                <w:szCs w:val="20"/>
                <w:color w:val="auto"/>
              </w:rPr>
            </w:pPr>
            <w:r>
              <w:rPr>
                <w:rFonts w:ascii="Arial" w:cs="Arial" w:eastAsia="Arial" w:hAnsi="Arial"/>
                <w:sz w:val="16"/>
                <w:szCs w:val="16"/>
                <w:color w:val="auto"/>
              </w:rPr>
              <w:t>Our debt consisted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8"/>
              <w:spacing w:after="0" w:line="141"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700" w:type="dxa"/>
            <w:vAlign w:val="bottom"/>
          </w:tcPr>
          <w:p>
            <w:pPr>
              <w:ind w:left="3740"/>
              <w:spacing w:after="0"/>
              <w:rPr>
                <w:sz w:val="20"/>
                <w:szCs w:val="20"/>
                <w:color w:val="auto"/>
              </w:rPr>
            </w:pPr>
            <w:r>
              <w:rPr>
                <w:rFonts w:ascii="Arial" w:cs="Arial" w:eastAsia="Arial" w:hAnsi="Arial"/>
                <w:sz w:val="3"/>
                <w:szCs w:val="3"/>
                <w:b w:val="1"/>
                <w:bCs w:val="1"/>
                <w:color w:val="auto"/>
              </w:rPr>
              <w:t>X</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Term Loan (variable rate) due September 2026</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248,750</w:t>
            </w:r>
          </w:p>
        </w:tc>
        <w:tc>
          <w:tcPr>
            <w:tcW w:w="2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First Lien Term Loan (variable rate) extinguished in September 2021</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326,938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Debt discount and issuance cost, net of amortization</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(1,099)</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Total debt</w:t>
            </w: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247,651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321,393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Less: debt maturing within one year</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242,898</w:t>
            </w:r>
          </w:p>
        </w:tc>
        <w:tc>
          <w:tcPr>
            <w:tcW w:w="28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First Lien Credit and Guaranty Agreement (Extinguished in September 2021)</w:t>
      </w:r>
    </w:p>
    <w:p>
      <w:pPr>
        <w:spacing w:after="0" w:line="112" w:lineRule="exact"/>
        <w:rPr>
          <w:sz w:val="20"/>
          <w:szCs w:val="20"/>
          <w:color w:val="auto"/>
        </w:rPr>
      </w:pPr>
    </w:p>
    <w:p>
      <w:pPr>
        <w:ind w:right="200" w:firstLine="511"/>
        <w:spacing w:after="0" w:line="268" w:lineRule="auto"/>
        <w:rPr>
          <w:sz w:val="20"/>
          <w:szCs w:val="20"/>
          <w:color w:val="auto"/>
        </w:rPr>
      </w:pPr>
      <w:r>
        <w:rPr>
          <w:rFonts w:ascii="Arial" w:cs="Arial" w:eastAsia="Arial" w:hAnsi="Arial"/>
          <w:sz w:val="16"/>
          <w:szCs w:val="16"/>
          <w:color w:val="auto"/>
        </w:rPr>
        <w:t>In August 2017, we entered into a syndicated First Lien Credit and Guaranty Agreement (</w:t>
      </w:r>
      <w:r>
        <w:rPr>
          <w:rFonts w:ascii="Arial" w:cs="Arial" w:eastAsia="Arial" w:hAnsi="Arial"/>
          <w:sz w:val="16"/>
          <w:szCs w:val="16"/>
          <w:i w:val="1"/>
          <w:iCs w:val="1"/>
          <w:color w:val="auto"/>
        </w:rPr>
        <w:t>“First Lien”</w:t>
      </w:r>
      <w:r>
        <w:rPr>
          <w:rFonts w:ascii="Arial" w:cs="Arial" w:eastAsia="Arial" w:hAnsi="Arial"/>
          <w:sz w:val="16"/>
          <w:szCs w:val="16"/>
          <w:color w:val="auto"/>
        </w:rPr>
        <w:t>) with various financial institutions. The First Lien originally provided a $235 million term loan (</w:t>
      </w:r>
      <w:r>
        <w:rPr>
          <w:rFonts w:ascii="Arial" w:cs="Arial" w:eastAsia="Arial" w:hAnsi="Arial"/>
          <w:sz w:val="16"/>
          <w:szCs w:val="16"/>
          <w:i w:val="1"/>
          <w:iCs w:val="1"/>
          <w:color w:val="auto"/>
        </w:rPr>
        <w:t>“First Lien Term Loan”</w:t>
      </w:r>
      <w:r>
        <w:rPr>
          <w:rFonts w:ascii="Arial" w:cs="Arial" w:eastAsia="Arial" w:hAnsi="Arial"/>
          <w:sz w:val="16"/>
          <w:szCs w:val="16"/>
          <w:color w:val="auto"/>
        </w:rPr>
        <w:t>) for a business acquisition and to repay existing indebtedness of the acquired company and a $50 million revolving line-of-credit (</w:t>
      </w:r>
      <w:r>
        <w:rPr>
          <w:rFonts w:ascii="Arial" w:cs="Arial" w:eastAsia="Arial" w:hAnsi="Arial"/>
          <w:sz w:val="16"/>
          <w:szCs w:val="16"/>
          <w:i w:val="1"/>
          <w:iCs w:val="1"/>
          <w:color w:val="auto"/>
        </w:rPr>
        <w:t>“Revolver”</w:t>
      </w:r>
      <w:r>
        <w:rPr>
          <w:rFonts w:ascii="Arial" w:cs="Arial" w:eastAsia="Arial" w:hAnsi="Arial"/>
          <w:sz w:val="16"/>
          <w:szCs w:val="16"/>
          <w:color w:val="auto"/>
        </w:rPr>
        <w:t>). The First Lien and the Revolver mature on August 28, 2024 and August 28, 2022, respectively. Subsequently, we entered into several amendments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First Lien and the principal amount of the First Lien Term Loan was increased by $10 million in 2017 and increased by $115 million in each of 2018 and 2019, primarily to fund various business acquisitions and operational needs.</w:t>
      </w:r>
    </w:p>
    <w:p>
      <w:pPr>
        <w:spacing w:after="0" w:line="50"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 Funds Effective Rate plus 0.5%, (iii) one month LIBOR plus 1.0% and (iv) 2%, plus a margin of 3.5%, or (b) the greater of (i) LIBOR and (ii) 1.0%, plus a margin of 4.5%. The Revolver initially bore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 in October 2018, the First Lien term loan and Revolver margin were both changed to range from 2.75% to 3.25% for base rate loans and to range from 3.75% to 4.25% for Eurodollar loans, based on our net leverage ratio.</w:t>
      </w:r>
    </w:p>
    <w:p>
      <w:pPr>
        <w:spacing w:after="0" w:line="73"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According to the repayment schedule, the Consolidated Excess Cash Flow (as defined in the First Lien) and the IPO repayment provisions as set forth in the First Lien, we made required repayments of the First Lien Term Loan of $59.6 million, in aggregate, in 2020 using the net proceeds from our IPO and excess cash on hand. Further, we may prepay the First Lien Term Loan and the Revolver at any time without premium or penalty other than customary LIBOR breakage. In 2020, we began to prepay the First Lien Term loan using our excess cash on hand, resulting in voluntary prepayments of $80.8 million in 2020 and $78.3 million in 2021 through September 2021. The remainder of First Lien Term Loan of $248.5 million was fully prepaid with the proceeds from the Term Loan (defined below) on September 3, 2021, and as a result, all obligations and covenants thereunder were terminated.</w:t>
      </w:r>
    </w:p>
    <w:p>
      <w:pPr>
        <w:spacing w:after="0" w:line="73" w:lineRule="exact"/>
        <w:rPr>
          <w:sz w:val="20"/>
          <w:szCs w:val="20"/>
          <w:color w:val="auto"/>
        </w:rPr>
      </w:pPr>
    </w:p>
    <w:p>
      <w:pPr>
        <w:ind w:right="260" w:firstLine="511"/>
        <w:spacing w:after="0" w:line="289" w:lineRule="auto"/>
        <w:rPr>
          <w:sz w:val="20"/>
          <w:szCs w:val="20"/>
          <w:color w:val="auto"/>
        </w:rPr>
      </w:pPr>
      <w:r>
        <w:rPr>
          <w:rFonts w:ascii="Arial" w:cs="Arial" w:eastAsia="Arial" w:hAnsi="Arial"/>
          <w:sz w:val="16"/>
          <w:szCs w:val="16"/>
          <w:color w:val="auto"/>
        </w:rPr>
        <w:t>In connection with the progressive prepayments of the First Lien Term Loan throughout 2020 and 2021, we have recorded losses on extinguishment of debt of $4.9 million and $2.5 million for the years ended December 31, 2021 and 2020, respectively.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Second Lien Credit and Guaranty Agreement (Extinguished in September 2020)</w:t>
      </w:r>
    </w:p>
    <w:p>
      <w:pPr>
        <w:spacing w:after="0" w:line="112" w:lineRule="exact"/>
        <w:rPr>
          <w:sz w:val="20"/>
          <w:szCs w:val="20"/>
          <w:color w:val="auto"/>
        </w:rPr>
      </w:pPr>
    </w:p>
    <w:p>
      <w:pPr>
        <w:ind w:right="20" w:firstLine="511"/>
        <w:spacing w:after="0" w:line="287" w:lineRule="auto"/>
        <w:rPr>
          <w:sz w:val="20"/>
          <w:szCs w:val="20"/>
          <w:color w:val="auto"/>
        </w:rPr>
      </w:pPr>
      <w:r>
        <w:rPr>
          <w:rFonts w:ascii="Arial" w:cs="Arial" w:eastAsia="Arial" w:hAnsi="Arial"/>
          <w:sz w:val="15"/>
          <w:szCs w:val="15"/>
          <w:color w:val="auto"/>
        </w:rPr>
        <w:t>In August 2017, we also entered into a syndicated Second Lien Credit and Guaranty Agreement (</w:t>
      </w:r>
      <w:r>
        <w:rPr>
          <w:rFonts w:ascii="Arial" w:cs="Arial" w:eastAsia="Arial" w:hAnsi="Arial"/>
          <w:sz w:val="15"/>
          <w:szCs w:val="15"/>
          <w:i w:val="1"/>
          <w:iCs w:val="1"/>
          <w:color w:val="auto"/>
        </w:rPr>
        <w:t>“Second Lien”</w:t>
      </w:r>
      <w:r>
        <w:rPr>
          <w:rFonts w:ascii="Arial" w:cs="Arial" w:eastAsia="Arial" w:hAnsi="Arial"/>
          <w:sz w:val="15"/>
          <w:szCs w:val="15"/>
          <w:color w:val="auto"/>
        </w:rPr>
        <w:t>) with various financial institutions. The Second Lien initially provided a $65 million term loan (</w:t>
      </w:r>
      <w:r>
        <w:rPr>
          <w:rFonts w:ascii="Arial" w:cs="Arial" w:eastAsia="Arial" w:hAnsi="Arial"/>
          <w:sz w:val="15"/>
          <w:szCs w:val="15"/>
          <w:i w:val="1"/>
          <w:iCs w:val="1"/>
          <w:color w:val="auto"/>
        </w:rPr>
        <w:t>“Second Lien Term Loan”</w:t>
      </w:r>
      <w:r>
        <w:rPr>
          <w:rFonts w:ascii="Arial" w:cs="Arial" w:eastAsia="Arial" w:hAnsi="Arial"/>
          <w:sz w:val="15"/>
          <w:szCs w:val="15"/>
          <w:color w:val="auto"/>
        </w:rPr>
        <w:t>),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w:t>
      </w:r>
    </w:p>
    <w:p>
      <w:pPr>
        <w:spacing w:after="0" w:line="54" w:lineRule="exact"/>
        <w:rPr>
          <w:sz w:val="20"/>
          <w:szCs w:val="20"/>
          <w:color w:val="auto"/>
        </w:rPr>
      </w:pPr>
    </w:p>
    <w:p>
      <w:pPr>
        <w:ind w:right="220" w:firstLine="511"/>
        <w:spacing w:after="0" w:line="273" w:lineRule="auto"/>
        <w:rPr>
          <w:sz w:val="20"/>
          <w:szCs w:val="20"/>
          <w:color w:val="auto"/>
        </w:rPr>
      </w:pPr>
      <w:r>
        <w:rPr>
          <w:rFonts w:ascii="Arial" w:cs="Arial" w:eastAsia="Arial" w:hAnsi="Arial"/>
          <w:sz w:val="16"/>
          <w:szCs w:val="16"/>
          <w:color w:val="auto"/>
        </w:rPr>
        <w:t>In 2020, with excess cash on hand, we prepaid the entire outstanding balance of $50 million on the Second Lien Term Loan without paying any premium or penalty, and as a result, all obligations and covenants thereunder were terminated. In connection with the prepayments of the Second Lien Term Loan in 2020, we have recorded losses on extinguishment of debt of $1.6 million for the year ended December 31, 2020.</w:t>
      </w:r>
    </w:p>
    <w:p>
      <w:pPr>
        <w:spacing w:after="0" w:line="63" w:lineRule="exact"/>
        <w:rPr>
          <w:sz w:val="20"/>
          <w:szCs w:val="20"/>
          <w:color w:val="auto"/>
        </w:rPr>
      </w:pPr>
    </w:p>
    <w:p>
      <w:pPr>
        <w:ind w:right="740" w:firstLine="511"/>
        <w:spacing w:after="0" w:line="289" w:lineRule="auto"/>
        <w:rPr>
          <w:sz w:val="20"/>
          <w:szCs w:val="20"/>
          <w:color w:val="auto"/>
        </w:rPr>
      </w:pPr>
      <w:r>
        <w:rPr>
          <w:rFonts w:ascii="Arial" w:cs="Arial" w:eastAsia="Arial" w:hAnsi="Arial"/>
          <w:sz w:val="16"/>
          <w:szCs w:val="16"/>
          <w:color w:val="auto"/>
        </w:rPr>
        <w:t>The weighted average effective interest rate inclusive of the debt discount and debt issuance costs for the First Lien and Second Lien, in aggregate, was approximately 5.4% and 6.4% for years ended December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Agreement</w:t>
      </w:r>
    </w:p>
    <w:p>
      <w:pPr>
        <w:spacing w:after="0" w:line="112" w:lineRule="exact"/>
        <w:rPr>
          <w:sz w:val="20"/>
          <w:szCs w:val="20"/>
          <w:color w:val="auto"/>
        </w:rPr>
      </w:pPr>
    </w:p>
    <w:p>
      <w:pPr>
        <w:ind w:right="260" w:firstLine="511"/>
        <w:spacing w:after="0" w:line="268" w:lineRule="auto"/>
        <w:rPr>
          <w:sz w:val="20"/>
          <w:szCs w:val="20"/>
          <w:color w:val="auto"/>
        </w:rPr>
      </w:pPr>
      <w:r>
        <w:rPr>
          <w:rFonts w:ascii="Arial" w:cs="Arial" w:eastAsia="Arial" w:hAnsi="Arial"/>
          <w:sz w:val="16"/>
          <w:szCs w:val="16"/>
          <w:color w:val="auto"/>
        </w:rPr>
        <w:t>On September 3, 2021, we entered into a new Credit Agreement (“</w:t>
      </w:r>
      <w:r>
        <w:rPr>
          <w:rFonts w:ascii="Arial" w:cs="Arial" w:eastAsia="Arial" w:hAnsi="Arial"/>
          <w:sz w:val="16"/>
          <w:szCs w:val="16"/>
          <w:i w:val="1"/>
          <w:iCs w:val="1"/>
          <w:color w:val="auto"/>
        </w:rPr>
        <w:t>Credit Agreement</w:t>
      </w:r>
      <w:r>
        <w:rPr>
          <w:rFonts w:ascii="Arial" w:cs="Arial" w:eastAsia="Arial" w:hAnsi="Arial"/>
          <w:sz w:val="16"/>
          <w:szCs w:val="16"/>
          <w:color w:val="auto"/>
        </w:rPr>
        <w:t>”) which provides for a $100.0 million five-year revolving credit facility (“</w:t>
      </w:r>
      <w:r>
        <w:rPr>
          <w:rFonts w:ascii="Arial" w:cs="Arial" w:eastAsia="Arial" w:hAnsi="Arial"/>
          <w:sz w:val="16"/>
          <w:szCs w:val="16"/>
          <w:i w:val="1"/>
          <w:iCs w:val="1"/>
          <w:color w:val="auto"/>
        </w:rPr>
        <w:t>Revolving Facility</w:t>
      </w:r>
      <w:r>
        <w:rPr>
          <w:rFonts w:ascii="Arial" w:cs="Arial" w:eastAsia="Arial" w:hAnsi="Arial"/>
          <w:sz w:val="16"/>
          <w:szCs w:val="16"/>
          <w:color w:val="auto"/>
        </w:rPr>
        <w:t>”) and a $250.0 million five-year term loan facility (“</w:t>
      </w:r>
      <w:r>
        <w:rPr>
          <w:rFonts w:ascii="Arial" w:cs="Arial" w:eastAsia="Arial" w:hAnsi="Arial"/>
          <w:sz w:val="16"/>
          <w:szCs w:val="16"/>
          <w:i w:val="1"/>
          <w:iCs w:val="1"/>
          <w:color w:val="auto"/>
        </w:rPr>
        <w:t>Term Loan</w:t>
      </w:r>
      <w:r>
        <w:rPr>
          <w:rFonts w:ascii="Arial" w:cs="Arial" w:eastAsia="Arial" w:hAnsi="Arial"/>
          <w:sz w:val="16"/>
          <w:szCs w:val="16"/>
          <w:color w:val="auto"/>
        </w:rPr>
        <w:t>”),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66" w:lineRule="exact"/>
        <w:rPr>
          <w:sz w:val="20"/>
          <w:szCs w:val="20"/>
          <w:color w:val="auto"/>
        </w:rPr>
      </w:pPr>
    </w:p>
    <w:p>
      <w:pPr>
        <w:ind w:right="140" w:firstLine="511"/>
        <w:spacing w:after="0" w:line="273" w:lineRule="auto"/>
        <w:rPr>
          <w:sz w:val="20"/>
          <w:szCs w:val="20"/>
          <w:color w:val="auto"/>
        </w:rPr>
      </w:pPr>
      <w:r>
        <w:rPr>
          <w:rFonts w:ascii="Arial" w:cs="Arial" w:eastAsia="Arial" w:hAnsi="Arial"/>
          <w:sz w:val="16"/>
          <w:szCs w:val="16"/>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63" w:lineRule="exact"/>
        <w:rPr>
          <w:sz w:val="20"/>
          <w:szCs w:val="20"/>
          <w:color w:val="auto"/>
        </w:rPr>
      </w:pPr>
    </w:p>
    <w:p>
      <w:pPr>
        <w:ind w:right="140" w:firstLine="511"/>
        <w:spacing w:after="0" w:line="299" w:lineRule="auto"/>
        <w:rPr>
          <w:sz w:val="20"/>
          <w:szCs w:val="20"/>
          <w:color w:val="auto"/>
        </w:rPr>
      </w:pPr>
      <w:r>
        <w:rPr>
          <w:rFonts w:ascii="Arial" w:cs="Arial" w:eastAsia="Arial" w:hAnsi="Arial"/>
          <w:sz w:val="15"/>
          <w:szCs w:val="15"/>
          <w:color w:val="auto"/>
        </w:rPr>
        <w:t>The Term Loan and Revolving Facility under the Credit Agreement will each bear interest at the Company’s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p>
    <w:p>
      <w:pPr>
        <w:spacing w:after="0" w:line="46" w:lineRule="exact"/>
        <w:rPr>
          <w:sz w:val="20"/>
          <w:szCs w:val="20"/>
          <w:color w:val="auto"/>
        </w:rPr>
      </w:pPr>
    </w:p>
    <w:p>
      <w:pPr>
        <w:ind w:firstLine="511"/>
        <w:spacing w:after="0" w:line="324" w:lineRule="auto"/>
        <w:rPr>
          <w:sz w:val="20"/>
          <w:szCs w:val="20"/>
          <w:color w:val="auto"/>
        </w:rPr>
      </w:pPr>
      <w:r>
        <w:rPr>
          <w:rFonts w:ascii="Arial" w:cs="Arial" w:eastAsia="Arial" w:hAnsi="Arial"/>
          <w:sz w:val="15"/>
          <w:szCs w:val="15"/>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28" w:lineRule="exact"/>
        <w:rPr>
          <w:sz w:val="20"/>
          <w:szCs w:val="20"/>
          <w:color w:val="auto"/>
        </w:rPr>
      </w:pPr>
    </w:p>
    <w:p>
      <w:pPr>
        <w:ind w:right="640" w:firstLine="511"/>
        <w:spacing w:after="0" w:line="289" w:lineRule="auto"/>
        <w:rPr>
          <w:sz w:val="20"/>
          <w:szCs w:val="20"/>
          <w:color w:val="auto"/>
        </w:rPr>
      </w:pPr>
      <w:r>
        <w:rPr>
          <w:rFonts w:ascii="Arial" w:cs="Arial" w:eastAsia="Arial" w:hAnsi="Arial"/>
          <w:sz w:val="16"/>
          <w:szCs w:val="16"/>
          <w:color w:val="auto"/>
        </w:rPr>
        <w:t>The Credit Agreement contains covenants with which we must comply during the term of the agreement, which we believe are ordinary and standard for agreements of this nature, including the maintenance of a maximum Consolidated Total Net Leverage Ratio</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rate on the Term loan and Revolving Facility can be increased by 2.0%. As of December 31, 2021, we were not in default under the Credit Agreement and our Consolidated Total Net Leverage Ratio and Consolidated Interest Coverage Ratio were 1.1 to 1.0 and 11.5 to 1.0 as of December 31, 2021, respectively.</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2021, we had no outstanding balance under the Revolving Facility.</w:t>
      </w:r>
    </w:p>
    <w:p>
      <w:pPr>
        <w:spacing w:after="0" w:line="112" w:lineRule="exact"/>
        <w:rPr>
          <w:sz w:val="20"/>
          <w:szCs w:val="20"/>
          <w:color w:val="auto"/>
        </w:rPr>
      </w:pPr>
    </w:p>
    <w:p>
      <w:pPr>
        <w:ind w:right="200" w:firstLine="511"/>
        <w:spacing w:after="0" w:line="289" w:lineRule="auto"/>
        <w:rPr>
          <w:sz w:val="20"/>
          <w:szCs w:val="20"/>
          <w:color w:val="auto"/>
        </w:rPr>
      </w:pPr>
      <w:r>
        <w:rPr>
          <w:rFonts w:ascii="Arial" w:cs="Arial" w:eastAsia="Arial" w:hAnsi="Arial"/>
          <w:sz w:val="16"/>
          <w:szCs w:val="16"/>
          <w:color w:val="auto"/>
        </w:rPr>
        <w:t>As of December 31, 2021, the carrying value of our Term Loan was $247.7 million. The estimated fair value of our Term Loan as of December 31, 2021, which we have classified as a Level 2 financial instrument, was approximately $261.7 million.</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effective interest rate inclusive of the debt discount and debt issuance costs for the Term Loan was approximately 1.4% for the year ended December 31,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interest expense recognized for all periods presented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8"/>
          </w:tcPr>
          <w:p>
            <w:pPr>
              <w:jc w:val="center"/>
              <w:ind w:right="23"/>
              <w:spacing w:after="0"/>
              <w:rPr>
                <w:sz w:val="20"/>
                <w:szCs w:val="20"/>
                <w:color w:val="auto"/>
              </w:rPr>
            </w:pPr>
            <w:r>
              <w:rPr>
                <w:rFonts w:ascii="Arial" w:cs="Arial" w:eastAsia="Arial" w:hAnsi="Arial"/>
                <w:sz w:val="13"/>
                <w:szCs w:val="13"/>
                <w:b w:val="1"/>
                <w:bCs w:val="1"/>
                <w:color w:val="auto"/>
                <w:w w:val="91"/>
              </w:rPr>
              <w:t>Year Ended December 31,</w:t>
            </w: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61"/>
              <w:spacing w:after="0" w:line="141" w:lineRule="exact"/>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40"/>
              <w:spacing w:after="0" w:line="141" w:lineRule="exact"/>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First and Second Lien Guaranty Agreement:</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6"/>
                <w:szCs w:val="16"/>
                <w:color w:val="auto"/>
              </w:rPr>
              <w:t>Contractual interest expense for term loan</w:t>
            </w:r>
          </w:p>
        </w:tc>
        <w:tc>
          <w:tcPr>
            <w:tcW w:w="820" w:type="dxa"/>
            <w:vAlign w:val="bottom"/>
          </w:tcPr>
          <w:p>
            <w:pPr>
              <w:jc w:val="right"/>
              <w:ind w:right="643"/>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9,818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27,387</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29,757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Contractual interest expense for revolving facility</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6"/>
                <w:szCs w:val="16"/>
                <w:color w:val="auto"/>
              </w:rPr>
              <w:t>Amortization of debt discount and issuance cost</w:t>
            </w:r>
          </w:p>
        </w:tc>
        <w:tc>
          <w:tcPr>
            <w:tcW w:w="8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1,343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2,632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on debt extinguishment</w:t>
            </w: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4,904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4,114</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Credit Agreement: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Contractual interest expense for term loan</w:t>
            </w: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1,113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6"/>
                <w:szCs w:val="16"/>
                <w:color w:val="auto"/>
              </w:rPr>
              <w:t>Contractual interest expense for revolving facility</w:t>
            </w:r>
          </w:p>
        </w:tc>
        <w:tc>
          <w:tcPr>
            <w:tcW w:w="8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Amortization of debt discount and issuance cost</w:t>
            </w: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327</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988</w:t>
            </w: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interest expense recognized</w:t>
            </w:r>
          </w:p>
        </w:tc>
        <w:tc>
          <w:tcPr>
            <w:tcW w:w="820" w:type="dxa"/>
            <w:vAlign w:val="bottom"/>
            <w:tcBorders>
              <w:bottom w:val="single" w:sz="8" w:color="auto"/>
            </w:tcBorders>
            <w:shd w:val="clear" w:color="auto" w:fill="CFF0FC"/>
          </w:tcPr>
          <w:p>
            <w:pPr>
              <w:jc w:val="right"/>
              <w:ind w:right="6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98"/>
              </w:rPr>
              <w:t>17,673</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35,137</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35,548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9520" w:type="dxa"/>
            <w:vAlign w:val="bottom"/>
            <w:gridSpan w:val="9"/>
          </w:tcPr>
          <w:p>
            <w:pPr>
              <w:ind w:left="480"/>
              <w:spacing w:after="0"/>
              <w:rPr>
                <w:sz w:val="20"/>
                <w:szCs w:val="20"/>
                <w:color w:val="auto"/>
              </w:rPr>
            </w:pPr>
            <w:r>
              <w:rPr>
                <w:rFonts w:ascii="Arial" w:cs="Arial" w:eastAsia="Arial" w:hAnsi="Arial"/>
                <w:sz w:val="16"/>
                <w:szCs w:val="16"/>
                <w:color w:val="auto"/>
              </w:rPr>
              <w:t>The estimated future principal payments under our total long-term debt as of December 31, 2021 are as follows (in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w w:val="88"/>
              </w:rPr>
              <w:t>Amounts</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18"/>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2023</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6,875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2025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211,875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4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248,750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9. Commitments and Contingencies</w:t>
            </w: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6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Product Warranties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6620" w:type="dxa"/>
            <w:vAlign w:val="bottom"/>
          </w:tcPr>
          <w:p>
            <w:pPr>
              <w:ind w:left="480"/>
              <w:spacing w:after="0"/>
              <w:rPr>
                <w:sz w:val="20"/>
                <w:szCs w:val="20"/>
                <w:color w:val="auto"/>
              </w:rPr>
            </w:pPr>
            <w:r>
              <w:rPr>
                <w:rFonts w:ascii="Arial" w:cs="Arial" w:eastAsia="Arial" w:hAnsi="Arial"/>
                <w:sz w:val="16"/>
                <w:szCs w:val="16"/>
                <w:color w:val="auto"/>
              </w:rPr>
              <w:t>Changes in our assurance-type warranty obligations were as follows (in thousands):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3"/>
                <w:szCs w:val="13"/>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1"/>
              <w:spacing w:after="0" w:line="141" w:lineRule="exact"/>
              <w:rPr>
                <w:sz w:val="20"/>
                <w:szCs w:val="20"/>
                <w:color w:val="auto"/>
              </w:rPr>
            </w:pPr>
            <w:r>
              <w:rPr>
                <w:rFonts w:ascii="Arial" w:cs="Arial" w:eastAsia="Arial" w:hAnsi="Arial"/>
                <w:sz w:val="13"/>
                <w:szCs w:val="13"/>
                <w:b w:val="1"/>
                <w:bCs w:val="1"/>
                <w:color w:val="auto"/>
                <w:w w:val="89"/>
              </w:rPr>
              <w:t>2021</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0"/>
              <w:spacing w:after="0" w:line="141"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Beginning of the period</w:t>
            </w: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5,865</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Warranty provision related to products shipped</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Deductions for warranty claims processed</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18"/>
              <w:spacing w:after="0"/>
              <w:rPr>
                <w:sz w:val="20"/>
                <w:szCs w:val="20"/>
                <w:color w:val="auto"/>
              </w:rPr>
            </w:pPr>
            <w:r>
              <w:rPr>
                <w:rFonts w:ascii="Arial" w:cs="Arial" w:eastAsia="Arial" w:hAnsi="Arial"/>
                <w:sz w:val="16"/>
                <w:szCs w:val="16"/>
                <w:color w:val="auto"/>
              </w:rPr>
              <w:t>(6,758)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End of period</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5,656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Unconditional Purchase Obligations</w:t>
      </w:r>
    </w:p>
    <w:p>
      <w:pPr>
        <w:spacing w:after="0" w:line="112" w:lineRule="exact"/>
        <w:rPr>
          <w:sz w:val="20"/>
          <w:szCs w:val="20"/>
          <w:color w:val="auto"/>
        </w:rPr>
      </w:pPr>
    </w:p>
    <w:p>
      <w:pPr>
        <w:jc w:val="both"/>
        <w:ind w:right="40" w:firstLine="511"/>
        <w:spacing w:after="0" w:line="273" w:lineRule="auto"/>
        <w:rPr>
          <w:sz w:val="20"/>
          <w:szCs w:val="20"/>
          <w:color w:val="auto"/>
        </w:rPr>
      </w:pPr>
      <w:r>
        <w:rPr>
          <w:rFonts w:ascii="Arial" w:cs="Arial" w:eastAsia="Arial" w:hAnsi="Arial"/>
          <w:sz w:val="16"/>
          <w:szCs w:val="16"/>
          <w:color w:val="auto"/>
        </w:rPr>
        <w:t xml:space="preserve">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w:t>
      </w:r>
      <w:r>
        <w:rPr>
          <w:rFonts w:ascii="Arial" w:cs="Arial" w:eastAsia="Arial" w:hAnsi="Arial"/>
          <w:sz w:val="16"/>
          <w:szCs w:val="16"/>
          <w:i w:val="1"/>
          <w:iCs w:val="1"/>
          <w:color w:val="auto"/>
        </w:rPr>
        <w:t>(“ERP”</w:t>
      </w:r>
      <w:r>
        <w:rPr>
          <w:rFonts w:ascii="Arial" w:cs="Arial" w:eastAsia="Arial" w:hAnsi="Arial"/>
          <w:sz w:val="16"/>
          <w:szCs w:val="16"/>
          <w:color w:val="auto"/>
        </w:rPr>
        <w:t>) system and the related support services as well 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marketing sponsorship. The total long-term non-cancelable purchase commitments as of December 31, 2021 was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20"/>
              <w:spacing w:after="0"/>
              <w:rPr>
                <w:sz w:val="20"/>
                <w:szCs w:val="20"/>
                <w:color w:val="auto"/>
              </w:rPr>
            </w:pPr>
            <w:r>
              <w:rPr>
                <w:rFonts w:ascii="Arial" w:cs="Arial" w:eastAsia="Arial" w:hAnsi="Arial"/>
                <w:sz w:val="13"/>
                <w:szCs w:val="13"/>
                <w:b w:val="1"/>
                <w:bCs w:val="1"/>
                <w:color w:val="auto"/>
              </w:rPr>
              <w:t>Amounts</w:t>
            </w:r>
          </w:p>
        </w:tc>
        <w:tc>
          <w:tcPr>
            <w:tcW w:w="100" w:type="dxa"/>
            <w:vAlign w:val="bottom"/>
          </w:tcPr>
          <w:p>
            <w:pPr>
              <w:spacing w:after="0"/>
              <w:rPr>
                <w:sz w:val="13"/>
                <w:szCs w:val="13"/>
                <w:color w:val="auto"/>
              </w:rPr>
            </w:pPr>
          </w:p>
        </w:tc>
      </w:tr>
      <w:tr>
        <w:trPr>
          <w:trHeight w:val="37"/>
        </w:trPr>
        <w:tc>
          <w:tcPr>
            <w:tcW w:w="2420" w:type="dxa"/>
            <w:vAlign w:val="bottom"/>
          </w:tcPr>
          <w:p>
            <w:pPr>
              <w:spacing w:after="0"/>
              <w:rPr>
                <w:sz w:val="3"/>
                <w:szCs w:val="3"/>
                <w:color w:val="auto"/>
              </w:rPr>
            </w:pPr>
          </w:p>
        </w:tc>
        <w:tc>
          <w:tcPr>
            <w:tcW w:w="7220" w:type="dxa"/>
            <w:vAlign w:val="bottom"/>
            <w:gridSpan w:val="3"/>
          </w:tcPr>
          <w:p>
            <w:pPr>
              <w:jc w:val="right"/>
              <w:ind w:right="5069"/>
              <w:spacing w:after="0"/>
              <w:rPr>
                <w:sz w:val="20"/>
                <w:szCs w:val="20"/>
                <w:color w:val="auto"/>
              </w:rPr>
            </w:pPr>
            <w:r>
              <w:rPr>
                <w:rFonts w:ascii="Arial" w:cs="Arial" w:eastAsia="Arial" w:hAnsi="Arial"/>
                <w:sz w:val="3"/>
                <w:szCs w:val="3"/>
                <w:b w:val="1"/>
                <w:bCs w:val="1"/>
                <w:color w:val="auto"/>
              </w:rPr>
              <w:t>x</w:t>
            </w: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4"/>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7220" w:type="dxa"/>
            <w:vAlign w:val="bottom"/>
            <w:gridSpan w:val="3"/>
            <w:shd w:val="clear" w:color="auto" w:fill="CFF0FC"/>
          </w:tcPr>
          <w:p>
            <w:pPr>
              <w:jc w:val="right"/>
              <w:ind w:right="24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w:t>
            </w:r>
          </w:p>
        </w:tc>
        <w:tc>
          <w:tcPr>
            <w:tcW w:w="100" w:type="dxa"/>
            <w:vAlign w:val="bottom"/>
            <w:shd w:val="clear" w:color="auto" w:fill="CFF0FC"/>
          </w:tcPr>
          <w:p>
            <w:pPr>
              <w:spacing w:after="0"/>
              <w:rPr>
                <w:sz w:val="18"/>
                <w:szCs w:val="18"/>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6"/>
                <w:szCs w:val="16"/>
                <w:color w:val="auto"/>
              </w:rPr>
              <w:t>2023</w:t>
            </w:r>
          </w:p>
        </w:tc>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18"/>
                <w:szCs w:val="18"/>
                <w:color w:val="auto"/>
              </w:rPr>
            </w:pPr>
          </w:p>
        </w:tc>
      </w:tr>
      <w:tr>
        <w:trPr>
          <w:trHeight w:val="211"/>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6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FF0FC"/>
          </w:tcPr>
          <w:p>
            <w:pPr>
              <w:spacing w:after="0"/>
              <w:rPr>
                <w:sz w:val="18"/>
                <w:szCs w:val="18"/>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6"/>
                <w:szCs w:val="16"/>
                <w:color w:val="auto"/>
              </w:rPr>
              <w:t>2025</w:t>
            </w:r>
          </w:p>
        </w:tc>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r>
      <w:tr>
        <w:trPr>
          <w:trHeight w:val="211"/>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6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2420" w:type="dxa"/>
            <w:vAlign w:val="bottom"/>
          </w:tcPr>
          <w:p>
            <w:pPr>
              <w:spacing w:after="0"/>
              <w:rPr>
                <w:sz w:val="20"/>
                <w:szCs w:val="20"/>
                <w:color w:val="auto"/>
              </w:rPr>
            </w:pPr>
            <w:r>
              <w:rPr>
                <w:rFonts w:ascii="Arial" w:cs="Arial" w:eastAsia="Arial" w:hAnsi="Arial"/>
                <w:sz w:val="16"/>
                <w:szCs w:val="16"/>
                <w:color w:val="auto"/>
              </w:rPr>
              <w:t>Total</w:t>
            </w:r>
          </w:p>
        </w:tc>
        <w:tc>
          <w:tcPr>
            <w:tcW w:w="6860" w:type="dxa"/>
            <w:vAlign w:val="bottom"/>
            <w:gridSpan w:val="2"/>
          </w:tcPr>
          <w:p>
            <w:pPr>
              <w:spacing w:after="0"/>
              <w:rPr>
                <w:sz w:val="17"/>
                <w:szCs w:val="17"/>
                <w:color w:val="auto"/>
              </w:rPr>
            </w:pPr>
          </w:p>
        </w:tc>
        <w:tc>
          <w:tcPr>
            <w:tcW w:w="360" w:type="dxa"/>
            <w:vAlign w:val="bottom"/>
            <w:tcBorders>
              <w:top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7,145</w:t>
            </w:r>
          </w:p>
        </w:tc>
        <w:tc>
          <w:tcPr>
            <w:tcW w:w="100" w:type="dxa"/>
            <w:vAlign w:val="bottom"/>
          </w:tcPr>
          <w:p>
            <w:pPr>
              <w:spacing w:after="0"/>
              <w:rPr>
                <w:sz w:val="17"/>
                <w:szCs w:val="17"/>
                <w:color w:val="auto"/>
              </w:rPr>
            </w:pPr>
          </w:p>
        </w:tc>
      </w:tr>
      <w:tr>
        <w:trPr>
          <w:trHeight w:val="20"/>
        </w:trPr>
        <w:tc>
          <w:tcPr>
            <w:tcW w:w="24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total non-cancelable long-term purchase commitments outstanding as of December 31, 2020 was $6.8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Letters of Credit</w:t>
      </w:r>
    </w:p>
    <w:p>
      <w:pPr>
        <w:spacing w:after="0" w:line="112" w:lineRule="exact"/>
        <w:rPr>
          <w:sz w:val="20"/>
          <w:szCs w:val="20"/>
          <w:color w:val="auto"/>
        </w:rPr>
      </w:pPr>
    </w:p>
    <w:p>
      <w:pPr>
        <w:ind w:right="200" w:firstLine="511"/>
        <w:spacing w:after="0" w:line="289" w:lineRule="auto"/>
        <w:rPr>
          <w:sz w:val="20"/>
          <w:szCs w:val="20"/>
          <w:color w:val="auto"/>
        </w:rPr>
      </w:pPr>
      <w:r>
        <w:rPr>
          <w:rFonts w:ascii="Arial" w:cs="Arial" w:eastAsia="Arial" w:hAnsi="Arial"/>
          <w:sz w:val="16"/>
          <w:szCs w:val="16"/>
          <w:color w:val="auto"/>
        </w:rPr>
        <w:t>The letters of credit outstanding, in aggregate, was $0.5 million and $2.0 million as of December 31, 2021 and 2020, respectively. No amounts have been drawn upon the letters of credit for all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112"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consolidated balance sheets, statements of operations, or statements of cash flows. We currently have directors’ and officers’ insurance.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Stockholders’ Equity</w:t>
      </w:r>
    </w:p>
    <w:p>
      <w:pPr>
        <w:spacing w:after="0" w:line="116" w:lineRule="exact"/>
        <w:rPr>
          <w:sz w:val="20"/>
          <w:szCs w:val="20"/>
          <w:color w:val="auto"/>
        </w:rPr>
      </w:pPr>
    </w:p>
    <w:p>
      <w:pPr>
        <w:ind w:right="60" w:firstLine="511"/>
        <w:spacing w:after="0" w:line="273" w:lineRule="auto"/>
        <w:rPr>
          <w:sz w:val="20"/>
          <w:szCs w:val="20"/>
          <w:color w:val="auto"/>
        </w:rPr>
      </w:pPr>
      <w:r>
        <w:rPr>
          <w:rFonts w:ascii="Arial" w:cs="Arial" w:eastAsia="Arial" w:hAnsi="Arial"/>
          <w:sz w:val="16"/>
          <w:szCs w:val="16"/>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December 31, 2021 and 2020.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Equity Incentive Plans and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 Plans</w:t>
      </w:r>
    </w:p>
    <w:p>
      <w:pPr>
        <w:spacing w:after="0" w:line="112"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In 2017, we adopted the 2017 Equity Incentive Program (</w:t>
      </w:r>
      <w:r>
        <w:rPr>
          <w:rFonts w:ascii="Arial" w:cs="Arial" w:eastAsia="Arial" w:hAnsi="Arial"/>
          <w:sz w:val="16"/>
          <w:szCs w:val="16"/>
          <w:i w:val="1"/>
          <w:iCs w:val="1"/>
          <w:color w:val="auto"/>
        </w:rPr>
        <w:t>the “2017 Plan”</w:t>
      </w:r>
      <w:r>
        <w:rPr>
          <w:rFonts w:ascii="Arial" w:cs="Arial" w:eastAsia="Arial" w:hAnsi="Arial"/>
          <w:sz w:val="16"/>
          <w:szCs w:val="16"/>
          <w:color w:val="auto"/>
        </w:rPr>
        <w:t>). In September 2020, we adopted the 2020 Incentive Award Plan (</w:t>
      </w:r>
      <w:r>
        <w:rPr>
          <w:rFonts w:ascii="Arial" w:cs="Arial" w:eastAsia="Arial" w:hAnsi="Arial"/>
          <w:sz w:val="16"/>
          <w:szCs w:val="16"/>
          <w:i w:val="1"/>
          <w:iCs w:val="1"/>
          <w:color w:val="auto"/>
        </w:rPr>
        <w:t>the “2020 Plan</w:t>
      </w:r>
      <w:r>
        <w:rPr>
          <w:rFonts w:ascii="Arial" w:cs="Arial" w:eastAsia="Arial" w:hAnsi="Arial"/>
          <w:sz w:val="16"/>
          <w:szCs w:val="16"/>
          <w:color w:val="auto"/>
        </w:rPr>
        <w:t>”). The 2020 Plan is the successor and continuation to the 2017 Plan. The 2020 Plan provides for the grant of stock options, stock appreciation rights, restricted stock awards, RSUs, performance awards and other forms of awards. Incentive stock options may be granted only to employees. All other awards may be granted to eligible employees, non-employee directors and consultants, at the discretion of our board of directors (</w:t>
      </w:r>
      <w:r>
        <w:rPr>
          <w:rFonts w:ascii="Arial" w:cs="Arial" w:eastAsia="Arial" w:hAnsi="Arial"/>
          <w:sz w:val="16"/>
          <w:szCs w:val="16"/>
          <w:i w:val="1"/>
          <w:iCs w:val="1"/>
          <w:color w:val="auto"/>
        </w:rPr>
        <w:t>the “Board”</w:t>
      </w:r>
      <w:r>
        <w:rPr>
          <w:rFonts w:ascii="Arial" w:cs="Arial" w:eastAsia="Arial" w:hAnsi="Arial"/>
          <w:sz w:val="16"/>
          <w:szCs w:val="16"/>
          <w:color w:val="auto"/>
        </w:rPr>
        <w:t>).</w:t>
      </w:r>
    </w:p>
    <w:p>
      <w:pPr>
        <w:spacing w:after="0" w:line="66" w:lineRule="exact"/>
        <w:rPr>
          <w:sz w:val="20"/>
          <w:szCs w:val="20"/>
          <w:color w:val="auto"/>
        </w:rPr>
      </w:pPr>
    </w:p>
    <w:p>
      <w:pPr>
        <w:ind w:right="20" w:firstLine="511"/>
        <w:spacing w:after="0" w:line="317" w:lineRule="auto"/>
        <w:rPr>
          <w:sz w:val="20"/>
          <w:szCs w:val="20"/>
          <w:color w:val="auto"/>
        </w:rPr>
      </w:pPr>
      <w:r>
        <w:rPr>
          <w:rFonts w:ascii="Arial" w:cs="Arial" w:eastAsia="Arial" w:hAnsi="Arial"/>
          <w:sz w:val="14"/>
          <w:szCs w:val="14"/>
          <w:color w:val="auto"/>
        </w:rPr>
        <w:t>Under the 2020 Plan, 5,125,000 shares of our common stock were initially reserved for issuance. The 2020 Plan reserve also includes any shares under the 2017 Plan and the 2020 Plan that may become available for issuance if the award terminates without the delivery of shares or if shares are tendered to satisfy the exercise price or tax withholding obligation with respect of the award. According to the provisions in the 2020 Plan, in March 2021, our Board approved an annual increase in the shares of common stock reserved for issuance by 3,677,385 shares. As of December 31, 2021, there were 7,626,827 shares reserved for future issuance the 2020 Plan.</w:t>
      </w:r>
    </w:p>
    <w:p>
      <w:pPr>
        <w:spacing w:after="0" w:line="38" w:lineRule="exact"/>
        <w:rPr>
          <w:sz w:val="20"/>
          <w:szCs w:val="20"/>
          <w:color w:val="auto"/>
        </w:rPr>
      </w:pPr>
    </w:p>
    <w:p>
      <w:pPr>
        <w:ind w:right="200" w:firstLine="511"/>
        <w:spacing w:after="0" w:line="365" w:lineRule="auto"/>
        <w:rPr>
          <w:sz w:val="20"/>
          <w:szCs w:val="20"/>
          <w:color w:val="auto"/>
        </w:rPr>
      </w:pPr>
      <w:r>
        <w:rPr>
          <w:rFonts w:ascii="Arial" w:cs="Arial" w:eastAsia="Arial" w:hAnsi="Arial"/>
          <w:sz w:val="14"/>
          <w:szCs w:val="14"/>
          <w:color w:val="auto"/>
        </w:rPr>
        <w:t>All stock options under the 2017 Plan and the 2020 Plan are issued at exercise prices not less than the fair market value on the date of grant. RSUs have no exercise price. Both stock options and RSUs vest over a period of time as determined by the Board, generally four to five years, and expire ten years from date of grant.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12" w:lineRule="exact"/>
        <w:rPr>
          <w:sz w:val="20"/>
          <w:szCs w:val="20"/>
          <w:color w:val="auto"/>
        </w:rPr>
      </w:pPr>
    </w:p>
    <w:p>
      <w:pPr>
        <w:jc w:val="both"/>
        <w:ind w:right="140" w:firstLine="511"/>
        <w:spacing w:after="0" w:line="268" w:lineRule="auto"/>
        <w:rPr>
          <w:sz w:val="20"/>
          <w:szCs w:val="20"/>
          <w:color w:val="auto"/>
        </w:rPr>
      </w:pPr>
      <w:r>
        <w:rPr>
          <w:rFonts w:ascii="Arial" w:cs="Arial" w:eastAsia="Arial" w:hAnsi="Arial"/>
          <w:sz w:val="16"/>
          <w:szCs w:val="16"/>
          <w:color w:val="auto"/>
        </w:rPr>
        <w:t>In September 2020, we adopted the 2020 Employee Stock Purchase Plan (</w:t>
      </w:r>
      <w:r>
        <w:rPr>
          <w:rFonts w:ascii="Arial" w:cs="Arial" w:eastAsia="Arial" w:hAnsi="Arial"/>
          <w:sz w:val="16"/>
          <w:szCs w:val="16"/>
          <w:i w:val="1"/>
          <w:iCs w:val="1"/>
          <w:color w:val="auto"/>
        </w:rPr>
        <w:t>the “ESPP</w:t>
      </w:r>
      <w:r>
        <w:rPr>
          <w:rFonts w:ascii="Arial" w:cs="Arial" w:eastAsia="Arial" w:hAnsi="Arial"/>
          <w:sz w:val="16"/>
          <w:szCs w:val="16"/>
          <w:color w:val="auto"/>
        </w:rPr>
        <w:t>”). The ESPP is designed to allow eligible employees to purchase shares of our common stock, at semi-annual intervals, with their accumulated payroll deductions. The ESPP initially reserved 1,025,000 shares of our common stock for issuance. According to the provisions in the ESPP, in March 2021, our Board approved an annual increase in the shares of common stock reserved for issuance by 919,346 shares. The first ESPP offering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period began on January 1, 2021. For the year ended December 31, 2021, 205,464 shares of common stock were sold to our employees under the ESPP. As of December 31, 2021, there were 1,738,882 shares reserved for future issuance under the ESPP.</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 Activities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stock option activities and related information for the year ended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Weighted-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14"/>
              <w:spacing w:after="0" w:line="136" w:lineRule="exact"/>
              <w:rPr>
                <w:sz w:val="20"/>
                <w:szCs w:val="20"/>
                <w:color w:val="auto"/>
              </w:rPr>
            </w:pPr>
            <w:r>
              <w:rPr>
                <w:rFonts w:ascii="Arial" w:cs="Arial" w:eastAsia="Arial" w:hAnsi="Arial"/>
                <w:sz w:val="13"/>
                <w:szCs w:val="13"/>
                <w:b w:val="1"/>
                <w:bCs w:val="1"/>
                <w:color w:val="auto"/>
                <w:w w:val="89"/>
              </w:rPr>
              <w:t>Average</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Average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89"/>
              </w:rPr>
              <w:t>Exercise</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Remaining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2"/>
              </w:rPr>
              <w:t>Price Per</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Contractual</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3"/>
                <w:szCs w:val="13"/>
                <w:color w:val="auto"/>
              </w:rPr>
            </w:pPr>
          </w:p>
        </w:tc>
        <w:tc>
          <w:tcPr>
            <w:tcW w:w="920" w:type="dxa"/>
            <w:vAlign w:val="bottom"/>
          </w:tcPr>
          <w:p>
            <w:pPr>
              <w:jc w:val="center"/>
              <w:ind w:left="294"/>
              <w:spacing w:after="0"/>
              <w:rPr>
                <w:sz w:val="20"/>
                <w:szCs w:val="20"/>
                <w:color w:val="auto"/>
              </w:rPr>
            </w:pPr>
            <w:r>
              <w:rPr>
                <w:rFonts w:ascii="Arial" w:cs="Arial" w:eastAsia="Arial" w:hAnsi="Arial"/>
                <w:sz w:val="13"/>
                <w:szCs w:val="13"/>
                <w:b w:val="1"/>
                <w:bCs w:val="1"/>
                <w:color w:val="auto"/>
                <w:w w:val="88"/>
              </w:rPr>
              <w:t>Share</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Term</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Intrinsic Value</w:t>
            </w:r>
          </w:p>
        </w:tc>
        <w:tc>
          <w:tcPr>
            <w:tcW w:w="0" w:type="dxa"/>
            <w:vAlign w:val="bottom"/>
          </w:tcPr>
          <w:p>
            <w:pPr>
              <w:spacing w:after="0"/>
              <w:rPr>
                <w:sz w:val="1"/>
                <w:szCs w:val="1"/>
                <w:color w:val="auto"/>
              </w:rPr>
            </w:pPr>
          </w:p>
        </w:tc>
      </w:tr>
      <w:tr>
        <w:trPr>
          <w:trHeight w:val="140"/>
        </w:trPr>
        <w:tc>
          <w:tcPr>
            <w:tcW w:w="49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3"/>
              </w:rPr>
              <w:t>(In years)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06"/>
              <w:spacing w:after="0" w:line="141"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10,211,737</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74"/>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449"/>
              <w:spacing w:after="0"/>
              <w:rPr>
                <w:sz w:val="20"/>
                <w:szCs w:val="20"/>
                <w:color w:val="auto"/>
              </w:rPr>
            </w:pPr>
            <w:r>
              <w:rPr>
                <w:rFonts w:ascii="Arial" w:cs="Arial" w:eastAsia="Arial" w:hAnsi="Arial"/>
                <w:sz w:val="16"/>
                <w:szCs w:val="16"/>
                <w:color w:val="auto"/>
              </w:rPr>
              <w:t>7.7</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spacing w:after="0"/>
              <w:rPr>
                <w:sz w:val="20"/>
                <w:szCs w:val="20"/>
                <w:color w:val="auto"/>
              </w:rPr>
            </w:pPr>
            <w:r>
              <w:rPr>
                <w:rFonts w:ascii="Arial" w:cs="Arial" w:eastAsia="Arial" w:hAnsi="Arial"/>
                <w:sz w:val="16"/>
                <w:szCs w:val="16"/>
                <w:color w:val="auto"/>
              </w:rPr>
              <w:t>695,122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40.16</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Exercised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(2,335,250)</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20"/>
              <w:spacing w:after="0"/>
              <w:rPr>
                <w:sz w:val="20"/>
                <w:szCs w:val="20"/>
                <w:color w:val="auto"/>
              </w:rPr>
            </w:pPr>
            <w:r>
              <w:rPr>
                <w:rFonts w:ascii="Arial" w:cs="Arial" w:eastAsia="Arial" w:hAnsi="Arial"/>
                <w:sz w:val="16"/>
                <w:szCs w:val="16"/>
                <w:color w:val="auto"/>
              </w:rPr>
              <w:t>Forfeited/cancelled</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(408,000)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6.64</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December 31,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8,163,609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CFF0FC"/>
              <w:bottom w:val="single" w:sz="8" w:color="CFF0FC"/>
            </w:tcBorders>
            <w:gridSpan w:val="2"/>
            <w:shd w:val="clear" w:color="auto" w:fill="CFF0FC"/>
          </w:tcPr>
          <w:p>
            <w:pPr>
              <w:jc w:val="right"/>
              <w:ind w:right="774"/>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360" w:type="dxa"/>
            <w:vAlign w:val="bottom"/>
            <w:tcBorders>
              <w:top w:val="single" w:sz="8" w:color="CFF0FC"/>
              <w:bottom w:val="single" w:sz="8" w:color="CFF0FC"/>
            </w:tcBorders>
            <w:shd w:val="clear" w:color="auto" w:fill="CFF0FC"/>
          </w:tcPr>
          <w:p>
            <w:pPr>
              <w:jc w:val="right"/>
              <w:ind w:right="449"/>
              <w:spacing w:after="0"/>
              <w:rPr>
                <w:sz w:val="20"/>
                <w:szCs w:val="20"/>
                <w:color w:val="auto"/>
              </w:rPr>
            </w:pPr>
            <w:r>
              <w:rPr>
                <w:rFonts w:ascii="Arial" w:cs="Arial" w:eastAsia="Arial" w:hAnsi="Arial"/>
                <w:sz w:val="16"/>
                <w:szCs w:val="16"/>
                <w:color w:val="auto"/>
              </w:rPr>
              <w:t>6.9</w:t>
            </w:r>
          </w:p>
        </w:tc>
        <w:tc>
          <w:tcPr>
            <w:tcW w:w="4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112,411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Vested and exercisable as of December 31, 2021</w:t>
            </w: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vMerge w:val="restart"/>
          </w:tcPr>
          <w:p>
            <w:pPr>
              <w:jc w:val="right"/>
              <w:ind w:right="774"/>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5.33</w:t>
            </w:r>
          </w:p>
        </w:tc>
        <w:tc>
          <w:tcPr>
            <w:tcW w:w="280" w:type="dxa"/>
            <w:vAlign w:val="bottom"/>
          </w:tcPr>
          <w:p>
            <w:pPr>
              <w:spacing w:after="0" w:line="20" w:lineRule="exact"/>
              <w:rPr>
                <w:sz w:val="1"/>
                <w:szCs w:val="1"/>
                <w:color w:val="auto"/>
              </w:rPr>
            </w:pPr>
          </w:p>
        </w:tc>
        <w:tc>
          <w:tcPr>
            <w:tcW w:w="1360" w:type="dxa"/>
            <w:vAlign w:val="bottom"/>
            <w:vMerge w:val="restart"/>
          </w:tcPr>
          <w:p>
            <w:pPr>
              <w:jc w:val="right"/>
              <w:ind w:right="449"/>
              <w:spacing w:after="0"/>
              <w:rPr>
                <w:sz w:val="20"/>
                <w:szCs w:val="20"/>
                <w:color w:val="auto"/>
              </w:rPr>
            </w:pPr>
            <w:r>
              <w:rPr>
                <w:rFonts w:ascii="Arial" w:cs="Arial" w:eastAsia="Arial" w:hAnsi="Arial"/>
                <w:sz w:val="16"/>
                <w:szCs w:val="16"/>
                <w:color w:val="auto"/>
              </w:rPr>
              <w:t>6.4</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65,617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98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4,173,467</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280" w:firstLine="469"/>
        <w:spacing w:after="0" w:line="273" w:lineRule="auto"/>
        <w:rPr>
          <w:sz w:val="20"/>
          <w:szCs w:val="20"/>
          <w:color w:val="auto"/>
        </w:rPr>
      </w:pPr>
      <w:r>
        <w:rPr>
          <w:rFonts w:ascii="Arial" w:cs="Arial" w:eastAsia="Arial" w:hAnsi="Arial"/>
          <w:sz w:val="16"/>
          <w:szCs w:val="16"/>
          <w:color w:val="auto"/>
        </w:rPr>
        <w:t>The weighted-average grant date fair value per share for stock options granted in years ended December 31, 2021, 2020 and 2019 was $16.77, $3.68 and $2.89, respectively. The total intrinsic value of options exercised for the years ended December 31, 2021, 2020 and 2019 was $66.0 million, $1.5 million, and $0.1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RSU Activities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RSU activities and related information for the year ended 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2"/>
          </w:tcPr>
          <w:p>
            <w:pPr>
              <w:jc w:val="center"/>
              <w:ind w:right="400"/>
              <w:spacing w:after="0" w:line="136"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2"/>
          </w:tcPr>
          <w:p>
            <w:pPr>
              <w:jc w:val="center"/>
              <w:ind w:right="400"/>
              <w:spacing w:after="0" w:line="136" w:lineRule="exact"/>
              <w:rPr>
                <w:sz w:val="20"/>
                <w:szCs w:val="20"/>
                <w:color w:val="auto"/>
              </w:rPr>
            </w:pPr>
            <w:r>
              <w:rPr>
                <w:rFonts w:ascii="Arial" w:cs="Arial" w:eastAsia="Arial" w:hAnsi="Arial"/>
                <w:sz w:val="13"/>
                <w:szCs w:val="13"/>
                <w:b w:val="1"/>
                <w:bCs w:val="1"/>
                <w:color w:val="auto"/>
                <w:w w:val="95"/>
              </w:rPr>
              <w:t>Grant Date Fair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0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Number of Shares</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Value Per Share</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7040" w:type="dxa"/>
            <w:vAlign w:val="bottom"/>
          </w:tcPr>
          <w:p>
            <w:pPr>
              <w:spacing w:after="0"/>
              <w:rPr>
                <w:sz w:val="3"/>
                <w:szCs w:val="3"/>
                <w:color w:val="auto"/>
              </w:rPr>
            </w:pPr>
          </w:p>
        </w:tc>
        <w:tc>
          <w:tcPr>
            <w:tcW w:w="18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153,488</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880" w:type="dxa"/>
            <w:vAlign w:val="bottom"/>
          </w:tcPr>
          <w:p>
            <w:pPr>
              <w:jc w:val="right"/>
              <w:spacing w:after="0"/>
              <w:rPr>
                <w:sz w:val="20"/>
                <w:szCs w:val="20"/>
                <w:color w:val="auto"/>
              </w:rPr>
            </w:pPr>
            <w:r>
              <w:rPr>
                <w:rFonts w:ascii="Arial" w:cs="Arial" w:eastAsia="Arial" w:hAnsi="Arial"/>
                <w:sz w:val="16"/>
                <w:szCs w:val="16"/>
                <w:color w:val="auto"/>
              </w:rPr>
              <w:t>572,785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(50,327)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Forfeited/cancelled</w:t>
            </w:r>
          </w:p>
        </w:tc>
        <w:tc>
          <w:tcPr>
            <w:tcW w:w="2060" w:type="dxa"/>
            <w:vAlign w:val="bottom"/>
            <w:gridSpan w:val="2"/>
          </w:tcPr>
          <w:p>
            <w:pPr>
              <w:jc w:val="right"/>
              <w:ind w:right="140"/>
              <w:spacing w:after="0"/>
              <w:rPr>
                <w:sz w:val="20"/>
                <w:szCs w:val="20"/>
                <w:color w:val="auto"/>
              </w:rPr>
            </w:pPr>
            <w:r>
              <w:rPr>
                <w:rFonts w:ascii="Arial" w:cs="Arial" w:eastAsia="Arial" w:hAnsi="Arial"/>
                <w:sz w:val="16"/>
                <w:szCs w:val="16"/>
                <w:color w:val="auto"/>
              </w:rPr>
              <w:t>(34,086)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December 31,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641,860</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34.06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0" w:firstLine="469"/>
        <w:spacing w:after="0" w:line="289" w:lineRule="auto"/>
        <w:rPr>
          <w:sz w:val="20"/>
          <w:szCs w:val="20"/>
          <w:color w:val="auto"/>
        </w:rPr>
      </w:pPr>
      <w:r>
        <w:rPr>
          <w:rFonts w:ascii="Arial" w:cs="Arial" w:eastAsia="Arial" w:hAnsi="Arial"/>
          <w:sz w:val="16"/>
          <w:szCs w:val="16"/>
          <w:color w:val="auto"/>
        </w:rPr>
        <w:t>The weighted-average grant date fair value per share for RSUs granted in years ended December 31, 2021 and 2020 was $34.78 and $28.66, respectively. The total fair value of RSUs vested in the years ended December 31, 2021 and 2020 was $1.4 million and $0.1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stock-based compensation expense by line item in our consolidated statements of operations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4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1"/>
              <w:spacing w:after="0" w:line="141"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1"/>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227"/>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w:t>
            </w:r>
          </w:p>
        </w:tc>
        <w:tc>
          <w:tcPr>
            <w:tcW w:w="58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9"/>
                <w:szCs w:val="19"/>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6"/>
                <w:szCs w:val="16"/>
                <w:color w:val="auto"/>
              </w:rPr>
              <w:t>Sales, general and administrative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13,772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3,084</w:t>
            </w:r>
          </w:p>
        </w:tc>
        <w:tc>
          <w:tcPr>
            <w:tcW w:w="100" w:type="dxa"/>
            <w:vAlign w:val="bottom"/>
          </w:tcPr>
          <w:p>
            <w:pPr>
              <w:spacing w:after="0"/>
              <w:rPr>
                <w:sz w:val="18"/>
                <w:szCs w:val="18"/>
                <w:color w:val="auto"/>
              </w:rPr>
            </w:pPr>
          </w:p>
        </w:tc>
      </w:tr>
      <w:tr>
        <w:trPr>
          <w:trHeight w:val="211"/>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Product development</w:t>
            </w: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2,457</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FF0FC"/>
          </w:tcPr>
          <w:p>
            <w:pPr>
              <w:spacing w:after="0"/>
              <w:rPr>
                <w:sz w:val="18"/>
                <w:szCs w:val="18"/>
                <w:color w:val="auto"/>
              </w:rPr>
            </w:pPr>
          </w:p>
        </w:tc>
      </w:tr>
      <w:tr>
        <w:trPr>
          <w:trHeight w:val="241"/>
        </w:trPr>
        <w:tc>
          <w:tcPr>
            <w:tcW w:w="644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 xml:space="preserve">Stock-based compensation expense, net of amounts capitalized </w:t>
            </w:r>
            <w:r>
              <w:rPr>
                <w:rFonts w:ascii="Arial" w:cs="Arial" w:eastAsia="Arial" w:hAnsi="Arial"/>
                <w:sz w:val="13"/>
                <w:szCs w:val="13"/>
                <w:color w:val="auto"/>
              </w:rPr>
              <w:t>(1)</w:t>
            </w:r>
          </w:p>
        </w:tc>
        <w:tc>
          <w:tcPr>
            <w:tcW w:w="86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17,235</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w:t>
            </w:r>
          </w:p>
        </w:tc>
        <w:tc>
          <w:tcPr>
            <w:tcW w:w="100" w:type="dxa"/>
            <w:vAlign w:val="bottom"/>
            <w:tcBorders>
              <w:bottom w:val="single" w:sz="8" w:color="CFF0FC"/>
            </w:tcBorders>
          </w:tcPr>
          <w:p>
            <w:pPr>
              <w:spacing w:after="0"/>
              <w:rPr>
                <w:sz w:val="20"/>
                <w:szCs w:val="20"/>
                <w:color w:val="auto"/>
              </w:rPr>
            </w:pPr>
          </w:p>
        </w:tc>
      </w:tr>
      <w:tr>
        <w:trPr>
          <w:trHeight w:val="175"/>
        </w:trPr>
        <w:tc>
          <w:tcPr>
            <w:tcW w:w="644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Income tax benefits (expense) related to stock-based</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9"/>
        </w:trPr>
        <w:tc>
          <w:tcPr>
            <w:tcW w:w="64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compensation expense</w:t>
            </w: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6,796</w:t>
            </w:r>
          </w:p>
        </w:tc>
        <w:tc>
          <w:tcPr>
            <w:tcW w:w="58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(476)</w:t>
            </w:r>
          </w:p>
        </w:tc>
        <w:tc>
          <w:tcPr>
            <w:tcW w:w="420" w:type="dxa"/>
            <w:vAlign w:val="bottom"/>
            <w:gridSpan w:val="2"/>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5" w:lineRule="exact"/>
        <w:rPr>
          <w:sz w:val="20"/>
          <w:szCs w:val="20"/>
          <w:color w:val="auto"/>
        </w:rPr>
      </w:pPr>
    </w:p>
    <w:p>
      <w:pPr>
        <w:ind w:left="5540" w:right="2780" w:hanging="5073"/>
        <w:spacing w:after="0" w:line="546" w:lineRule="auto"/>
        <w:tabs>
          <w:tab w:leader="none" w:pos="8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Total stock-based compensation expense capitalized in inventory was not material for each of the periods presented.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-97155</wp:posOffset>
            </wp:positionV>
            <wp:extent cx="71697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right="100" w:firstLine="511"/>
        <w:spacing w:after="0" w:line="289" w:lineRule="auto"/>
        <w:rPr>
          <w:sz w:val="20"/>
          <w:szCs w:val="20"/>
          <w:color w:val="auto"/>
        </w:rPr>
      </w:pPr>
      <w:r>
        <w:rPr>
          <w:rFonts w:ascii="Arial" w:cs="Arial" w:eastAsia="Arial" w:hAnsi="Arial"/>
          <w:sz w:val="16"/>
          <w:szCs w:val="16"/>
          <w:color w:val="auto"/>
        </w:rPr>
        <w:t>The following table summarizes by type of grant, the total unrecognized stock-based compensation expense and the remaining period over which such expense is expected to be recognized (in thousands, except number of 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4"/>
          </w:tcPr>
          <w:p>
            <w:pPr>
              <w:ind w:left="1320"/>
              <w:spacing w:after="0"/>
              <w:rPr>
                <w:sz w:val="20"/>
                <w:szCs w:val="20"/>
                <w:color w:val="auto"/>
              </w:rPr>
            </w:pPr>
            <w:r>
              <w:rPr>
                <w:rFonts w:ascii="Arial" w:cs="Arial" w:eastAsia="Arial" w:hAnsi="Arial"/>
                <w:sz w:val="13"/>
                <w:szCs w:val="13"/>
                <w:b w:val="1"/>
                <w:bCs w:val="1"/>
                <w:color w:val="auto"/>
              </w:rPr>
              <w:t>December 31, 2021</w:t>
            </w:r>
          </w:p>
        </w:tc>
      </w:tr>
      <w:tr>
        <w:trPr>
          <w:trHeight w:val="120"/>
        </w:trPr>
        <w:tc>
          <w:tcPr>
            <w:tcW w:w="70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0"/>
              </w:rPr>
              <w:t>Remaining weighted average</w:t>
            </w:r>
          </w:p>
        </w:tc>
        <w:tc>
          <w:tcPr>
            <w:tcW w:w="100" w:type="dxa"/>
            <w:vAlign w:val="bottom"/>
          </w:tcPr>
          <w:p>
            <w:pPr>
              <w:spacing w:after="0"/>
              <w:rPr>
                <w:sz w:val="10"/>
                <w:szCs w:val="10"/>
                <w:color w:val="auto"/>
              </w:rPr>
            </w:pPr>
          </w:p>
        </w:tc>
      </w:tr>
      <w:tr>
        <w:trPr>
          <w:trHeight w:val="136"/>
        </w:trPr>
        <w:tc>
          <w:tcPr>
            <w:tcW w:w="7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5"/>
              </w:rPr>
              <w:t>period</w:t>
            </w:r>
          </w:p>
        </w:tc>
      </w:tr>
      <w:tr>
        <w:trPr>
          <w:trHeight w:val="156"/>
        </w:trPr>
        <w:tc>
          <w:tcPr>
            <w:tcW w:w="7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w w:val="95"/>
              </w:rPr>
              <w:t>Unrecognized Expense</w:t>
            </w:r>
          </w:p>
        </w:tc>
        <w:tc>
          <w:tcPr>
            <w:tcW w:w="3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years)</w:t>
            </w:r>
          </w:p>
        </w:tc>
        <w:tc>
          <w:tcPr>
            <w:tcW w:w="100" w:type="dxa"/>
            <w:vAlign w:val="bottom"/>
          </w:tcPr>
          <w:p>
            <w:pPr>
              <w:spacing w:after="0"/>
              <w:rPr>
                <w:sz w:val="13"/>
                <w:szCs w:val="13"/>
                <w:color w:val="auto"/>
              </w:rPr>
            </w:pPr>
          </w:p>
        </w:tc>
      </w:tr>
      <w:tr>
        <w:trPr>
          <w:trHeight w:val="227"/>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17,542</w:t>
            </w:r>
          </w:p>
        </w:tc>
        <w:tc>
          <w:tcPr>
            <w:tcW w:w="2200" w:type="dxa"/>
            <w:vAlign w:val="bottom"/>
            <w:gridSpan w:val="2"/>
            <w:shd w:val="clear" w:color="auto" w:fill="CFF0FC"/>
          </w:tcPr>
          <w:p>
            <w:pPr>
              <w:jc w:val="center"/>
              <w:ind w:left="318"/>
              <w:spacing w:after="0"/>
              <w:rPr>
                <w:sz w:val="20"/>
                <w:szCs w:val="20"/>
                <w:color w:val="auto"/>
              </w:rPr>
            </w:pPr>
            <w:r>
              <w:rPr>
                <w:rFonts w:ascii="Arial" w:cs="Arial" w:eastAsia="Arial" w:hAnsi="Arial"/>
                <w:sz w:val="16"/>
                <w:szCs w:val="16"/>
                <w:color w:val="auto"/>
                <w:w w:val="89"/>
              </w:rPr>
              <w:t>3.1</w:t>
            </w:r>
          </w:p>
        </w:tc>
        <w:tc>
          <w:tcPr>
            <w:tcW w:w="100" w:type="dxa"/>
            <w:vAlign w:val="bottom"/>
            <w:shd w:val="clear" w:color="auto" w:fill="CFF0FC"/>
          </w:tcPr>
          <w:p>
            <w:pPr>
              <w:spacing w:after="0"/>
              <w:rPr>
                <w:sz w:val="19"/>
                <w:szCs w:val="19"/>
                <w:color w:val="auto"/>
              </w:rPr>
            </w:pPr>
          </w:p>
        </w:tc>
      </w:tr>
      <w:tr>
        <w:trPr>
          <w:trHeight w:val="209"/>
        </w:trPr>
        <w:tc>
          <w:tcPr>
            <w:tcW w:w="7060" w:type="dxa"/>
            <w:vAlign w:val="bottom"/>
          </w:tcPr>
          <w:p>
            <w:pPr>
              <w:spacing w:after="0"/>
              <w:rPr>
                <w:sz w:val="20"/>
                <w:szCs w:val="20"/>
                <w:color w:val="auto"/>
              </w:rPr>
            </w:pPr>
            <w:r>
              <w:rPr>
                <w:rFonts w:ascii="Arial" w:cs="Arial" w:eastAsia="Arial" w:hAnsi="Arial"/>
                <w:sz w:val="16"/>
                <w:szCs w:val="16"/>
                <w:color w:val="auto"/>
              </w:rPr>
              <w:t>Stock Options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16,591</w:t>
            </w:r>
          </w:p>
        </w:tc>
        <w:tc>
          <w:tcPr>
            <w:tcW w:w="2200" w:type="dxa"/>
            <w:vAlign w:val="bottom"/>
            <w:gridSpan w:val="2"/>
          </w:tcPr>
          <w:p>
            <w:pPr>
              <w:jc w:val="center"/>
              <w:ind w:left="318"/>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8"/>
                <w:szCs w:val="18"/>
                <w:color w:val="auto"/>
              </w:rPr>
            </w:pPr>
          </w:p>
        </w:tc>
      </w:tr>
      <w:tr>
        <w:trPr>
          <w:trHeight w:val="211"/>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center"/>
              <w:ind w:right="20"/>
              <w:spacing w:after="0"/>
              <w:rPr>
                <w:sz w:val="20"/>
                <w:szCs w:val="20"/>
                <w:color w:val="auto"/>
              </w:rPr>
            </w:pPr>
            <w:r>
              <w:rPr>
                <w:rFonts w:ascii="Arial" w:cs="Arial" w:eastAsia="Arial" w:hAnsi="Arial"/>
                <w:sz w:val="16"/>
                <w:szCs w:val="16"/>
                <w:color w:val="auto"/>
                <w:w w:val="99"/>
              </w:rPr>
              <w:t>—</w:t>
            </w:r>
          </w:p>
        </w:tc>
      </w:tr>
      <w:tr>
        <w:trPr>
          <w:trHeight w:val="201"/>
        </w:trPr>
        <w:tc>
          <w:tcPr>
            <w:tcW w:w="7060" w:type="dxa"/>
            <w:vAlign w:val="bottom"/>
          </w:tcPr>
          <w:p>
            <w:pPr>
              <w:spacing w:after="0"/>
              <w:rPr>
                <w:sz w:val="20"/>
                <w:szCs w:val="20"/>
                <w:color w:val="auto"/>
              </w:rPr>
            </w:pPr>
            <w:r>
              <w:rPr>
                <w:rFonts w:ascii="Arial" w:cs="Arial" w:eastAsia="Arial" w:hAnsi="Arial"/>
                <w:sz w:val="16"/>
                <w:szCs w:val="16"/>
                <w:color w:val="auto"/>
              </w:rPr>
              <w:t>Total unrecognized stock-based compensation expense</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34,133</w:t>
            </w: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Assumptions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estimate the fair value of the stock options at the date of grant using the Black-Scholes-Merton pricing model, with the following valuation assumptions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values: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6"/>
              </w:rPr>
              <w:t>Year Ended December 31,</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20" w:type="dxa"/>
            <w:vAlign w:val="bottom"/>
            <w:tcBorders>
              <w:bottom w:val="single" w:sz="8" w:color="auto"/>
            </w:tcBorders>
          </w:tcPr>
          <w:p>
            <w:pPr>
              <w:jc w:val="right"/>
              <w:ind w:right="541"/>
              <w:spacing w:after="0" w:line="141" w:lineRule="exact"/>
              <w:rPr>
                <w:sz w:val="20"/>
                <w:szCs w:val="20"/>
                <w:color w:val="auto"/>
              </w:rPr>
            </w:pPr>
            <w:r>
              <w:rPr>
                <w:rFonts w:ascii="Arial" w:cs="Arial" w:eastAsia="Arial" w:hAnsi="Arial"/>
                <w:sz w:val="13"/>
                <w:szCs w:val="13"/>
                <w:b w:val="1"/>
                <w:bCs w:val="1"/>
                <w:color w:val="auto"/>
              </w:rPr>
              <w:t>2021</w:t>
            </w:r>
          </w:p>
        </w:tc>
        <w:tc>
          <w:tcPr>
            <w:tcW w:w="1820" w:type="dxa"/>
            <w:vAlign w:val="bottom"/>
            <w:tcBorders>
              <w:bottom w:val="single" w:sz="8" w:color="auto"/>
            </w:tcBorders>
          </w:tcPr>
          <w:p>
            <w:pPr>
              <w:jc w:val="right"/>
              <w:ind w:right="783"/>
              <w:spacing w:after="0" w:line="141" w:lineRule="exact"/>
              <w:rPr>
                <w:sz w:val="20"/>
                <w:szCs w:val="20"/>
                <w:color w:val="auto"/>
              </w:rPr>
            </w:pPr>
            <w:r>
              <w:rPr>
                <w:rFonts w:ascii="Arial" w:cs="Arial" w:eastAsia="Arial" w:hAnsi="Arial"/>
                <w:sz w:val="13"/>
                <w:szCs w:val="13"/>
                <w:b w:val="1"/>
                <w:bCs w:val="1"/>
                <w:color w:val="auto"/>
              </w:rPr>
              <w:t>2020</w:t>
            </w:r>
          </w:p>
        </w:tc>
        <w:tc>
          <w:tcPr>
            <w:tcW w:w="126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Expected term (years)</w:t>
            </w:r>
          </w:p>
        </w:tc>
        <w:tc>
          <w:tcPr>
            <w:tcW w:w="14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6.01</w:t>
            </w:r>
          </w:p>
        </w:tc>
        <w:tc>
          <w:tcPr>
            <w:tcW w:w="1820" w:type="dxa"/>
            <w:vAlign w:val="bottom"/>
            <w:shd w:val="clear" w:color="auto" w:fill="CFF0FC"/>
          </w:tcPr>
          <w:p>
            <w:pPr>
              <w:jc w:val="right"/>
              <w:ind w:right="263"/>
              <w:spacing w:after="0"/>
              <w:rPr>
                <w:sz w:val="20"/>
                <w:szCs w:val="20"/>
                <w:color w:val="auto"/>
              </w:rPr>
            </w:pPr>
            <w:r>
              <w:rPr>
                <w:rFonts w:ascii="Arial" w:cs="Arial" w:eastAsia="Arial" w:hAnsi="Arial"/>
                <w:sz w:val="16"/>
                <w:szCs w:val="16"/>
                <w:color w:val="auto"/>
              </w:rPr>
              <w:t>6.37</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Expected volatility</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43.1% - 47.0%</w:t>
            </w:r>
          </w:p>
        </w:tc>
        <w:tc>
          <w:tcPr>
            <w:tcW w:w="1820" w:type="dxa"/>
            <w:vAlign w:val="bottom"/>
          </w:tcPr>
          <w:p>
            <w:pPr>
              <w:jc w:val="right"/>
              <w:ind w:right="263"/>
              <w:spacing w:after="0"/>
              <w:rPr>
                <w:sz w:val="20"/>
                <w:szCs w:val="20"/>
                <w:color w:val="auto"/>
              </w:rPr>
            </w:pPr>
            <w:r>
              <w:rPr>
                <w:rFonts w:ascii="Arial" w:cs="Arial" w:eastAsia="Arial" w:hAnsi="Arial"/>
                <w:sz w:val="16"/>
                <w:szCs w:val="16"/>
                <w:color w:val="auto"/>
              </w:rPr>
              <w:t>35.8% - 44.0%</w:t>
            </w:r>
          </w:p>
        </w:tc>
        <w:tc>
          <w:tcPr>
            <w:tcW w:w="1260" w:type="dxa"/>
            <w:vAlign w:val="bottom"/>
          </w:tcPr>
          <w:p>
            <w:pPr>
              <w:jc w:val="right"/>
              <w:spacing w:after="0"/>
              <w:rPr>
                <w:sz w:val="20"/>
                <w:szCs w:val="20"/>
                <w:color w:val="auto"/>
              </w:rPr>
            </w:pPr>
            <w:r>
              <w:rPr>
                <w:rFonts w:ascii="Arial" w:cs="Arial" w:eastAsia="Arial" w:hAnsi="Arial"/>
                <w:sz w:val="16"/>
                <w:szCs w:val="16"/>
                <w:color w:val="auto"/>
              </w:rPr>
              <w:t>34.3% - 36.1%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4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820" w:type="dxa"/>
            <w:vAlign w:val="bottom"/>
            <w:shd w:val="clear" w:color="auto" w:fill="CFF0FC"/>
          </w:tcPr>
          <w:p>
            <w:pPr>
              <w:jc w:val="right"/>
              <w:ind w:right="263"/>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0.05% - 1.34%</w:t>
            </w:r>
          </w:p>
        </w:tc>
        <w:tc>
          <w:tcPr>
            <w:tcW w:w="1820" w:type="dxa"/>
            <w:vAlign w:val="bottom"/>
          </w:tcPr>
          <w:p>
            <w:pPr>
              <w:jc w:val="right"/>
              <w:ind w:right="263"/>
              <w:spacing w:after="0"/>
              <w:rPr>
                <w:sz w:val="20"/>
                <w:szCs w:val="20"/>
                <w:color w:val="auto"/>
              </w:rPr>
            </w:pPr>
            <w:r>
              <w:rPr>
                <w:rFonts w:ascii="Arial" w:cs="Arial" w:eastAsia="Arial" w:hAnsi="Arial"/>
                <w:sz w:val="16"/>
                <w:szCs w:val="16"/>
                <w:color w:val="auto"/>
              </w:rPr>
              <w:t>0.3% - 1.8%</w:t>
            </w:r>
          </w:p>
        </w:tc>
        <w:tc>
          <w:tcPr>
            <w:tcW w:w="1260" w:type="dxa"/>
            <w:vAlign w:val="bottom"/>
          </w:tcPr>
          <w:p>
            <w:pPr>
              <w:jc w:val="right"/>
              <w:spacing w:after="0"/>
              <w:rPr>
                <w:sz w:val="20"/>
                <w:szCs w:val="20"/>
                <w:color w:val="auto"/>
              </w:rPr>
            </w:pPr>
            <w:r>
              <w:rPr>
                <w:rFonts w:ascii="Arial" w:cs="Arial" w:eastAsia="Arial" w:hAnsi="Arial"/>
                <w:sz w:val="16"/>
                <w:szCs w:val="16"/>
                <w:color w:val="auto"/>
              </w:rPr>
              <w:t>1.4 - 2.6%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760" w:firstLine="469"/>
        <w:spacing w:after="0" w:line="276" w:lineRule="auto"/>
        <w:rPr>
          <w:sz w:val="20"/>
          <w:szCs w:val="20"/>
          <w:color w:val="auto"/>
        </w:rPr>
      </w:pPr>
      <w:r>
        <w:rPr>
          <w:rFonts w:ascii="Arial" w:cs="Arial" w:eastAsia="Arial" w:hAnsi="Arial"/>
          <w:sz w:val="16"/>
          <w:szCs w:val="16"/>
          <w:color w:val="auto"/>
        </w:rPr>
        <w:t>We estimate the fair value of the shares under the ESPP at the date of grant using the Black-Scholes-Merton pricing model, with the following valuation assumptions and inputs: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98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880" w:type="dxa"/>
            <w:vAlign w:val="bottom"/>
            <w:tcBorders>
              <w:bottom w:val="single" w:sz="8" w:color="auto"/>
            </w:tcBorders>
          </w:tcPr>
          <w:p>
            <w:pPr>
              <w:jc w:val="right"/>
              <w:ind w:right="743"/>
              <w:spacing w:after="0" w:line="141"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2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(years)</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6"/>
                <w:szCs w:val="16"/>
                <w:color w:val="auto"/>
              </w:rPr>
              <w:t>Expected volatility</w:t>
            </w:r>
          </w:p>
        </w:tc>
        <w:tc>
          <w:tcPr>
            <w:tcW w:w="1880" w:type="dxa"/>
            <w:vAlign w:val="bottom"/>
          </w:tcPr>
          <w:p>
            <w:pPr>
              <w:jc w:val="right"/>
              <w:spacing w:after="0"/>
              <w:rPr>
                <w:sz w:val="20"/>
                <w:szCs w:val="20"/>
                <w:color w:val="auto"/>
              </w:rPr>
            </w:pPr>
            <w:r>
              <w:rPr>
                <w:rFonts w:ascii="Arial" w:cs="Arial" w:eastAsia="Arial" w:hAnsi="Arial"/>
                <w:sz w:val="16"/>
                <w:szCs w:val="16"/>
                <w:color w:val="auto"/>
              </w:rPr>
              <w:t>43.2% - 45.1%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880" w:type="dxa"/>
            <w:vAlign w:val="bottom"/>
          </w:tcPr>
          <w:p>
            <w:pPr>
              <w:jc w:val="right"/>
              <w:spacing w:after="0"/>
              <w:rPr>
                <w:sz w:val="20"/>
                <w:szCs w:val="20"/>
                <w:color w:val="auto"/>
              </w:rPr>
            </w:pPr>
            <w:r>
              <w:rPr>
                <w:rFonts w:ascii="Arial" w:cs="Arial" w:eastAsia="Arial" w:hAnsi="Arial"/>
                <w:sz w:val="16"/>
                <w:szCs w:val="16"/>
                <w:color w:val="auto"/>
              </w:rPr>
              <w:t>0.05% - 0.09%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340" w:firstLine="469"/>
        <w:spacing w:after="0" w:line="289" w:lineRule="auto"/>
        <w:rPr>
          <w:sz w:val="20"/>
          <w:szCs w:val="20"/>
          <w:color w:val="auto"/>
        </w:rPr>
      </w:pPr>
      <w:r>
        <w:rPr>
          <w:rFonts w:ascii="Arial" w:cs="Arial" w:eastAsia="Arial" w:hAnsi="Arial"/>
          <w:sz w:val="16"/>
          <w:szCs w:val="16"/>
          <w:color w:val="auto"/>
        </w:rPr>
        <w:t>Each of the inputs to the Black-Scholes-Merton pricing model, as discussed below, is subjective and generally requires significant judgment and estimation by management.</w:t>
      </w:r>
    </w:p>
    <w:p>
      <w:pPr>
        <w:spacing w:after="0" w:line="50" w:lineRule="exact"/>
        <w:rPr>
          <w:sz w:val="20"/>
          <w:szCs w:val="20"/>
          <w:color w:val="auto"/>
        </w:rPr>
      </w:pPr>
    </w:p>
    <w:p>
      <w:pPr>
        <w:ind w:right="40" w:firstLine="465"/>
        <w:spacing w:after="0" w:line="268"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stock options are expected to be outstanding. Since we do not have sufficient historical exercise data</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 reasonable basis upon which to estimate expected term due to the limited period of time our common stock has been publicly traded, the simplified method is used to estimate the expected term of our stock options. The simplified method calculates the expected term as the average of the time-to-vesting and the contractual life of the stock option.</w:t>
      </w:r>
    </w:p>
    <w:p>
      <w:pPr>
        <w:spacing w:after="0" w:line="202" w:lineRule="exact"/>
        <w:rPr>
          <w:sz w:val="20"/>
          <w:szCs w:val="20"/>
          <w:color w:val="auto"/>
        </w:rPr>
      </w:pPr>
    </w:p>
    <w:p>
      <w:pPr>
        <w:ind w:right="300" w:firstLine="465"/>
        <w:spacing w:after="0" w:line="273"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do not have a trading history for our common stock, the expected volatility was derived from the historical stock volatilities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peer public companies within our industry that are considered to be comparable to our business over a period equivalent to the expected term of the stock-based awards.</w:t>
      </w:r>
    </w:p>
    <w:p>
      <w:pPr>
        <w:spacing w:after="0" w:line="63" w:lineRule="exact"/>
        <w:rPr>
          <w:sz w:val="20"/>
          <w:szCs w:val="20"/>
          <w:color w:val="auto"/>
        </w:rPr>
      </w:pPr>
    </w:p>
    <w:p>
      <w:pPr>
        <w:ind w:right="60" w:firstLine="465"/>
        <w:spacing w:after="0" w:line="289"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yield curve in effect at the date of grant for zero-coupon U.S. Treasury notes with</w:t>
      </w:r>
      <w:r>
        <w:rPr>
          <w:rFonts w:ascii="Arial" w:cs="Arial" w:eastAsia="Arial" w:hAnsi="Arial"/>
          <w:sz w:val="16"/>
          <w:szCs w:val="16"/>
          <w:i w:val="1"/>
          <w:iCs w:val="1"/>
          <w:color w:val="auto"/>
        </w:rPr>
        <w:t xml:space="preserve"> </w:t>
      </w:r>
      <w:r>
        <w:rPr>
          <w:rFonts w:ascii="Arial" w:cs="Arial" w:eastAsia="Arial" w:hAnsi="Arial"/>
          <w:sz w:val="16"/>
          <w:szCs w:val="16"/>
          <w:color w:val="auto"/>
        </w:rPr>
        <w:t>maturities approximately equal to the expected term of the stock-based awards.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Expected Dividend Rate</w:t>
      </w:r>
      <w:r>
        <w:rPr>
          <w:rFonts w:ascii="Arial" w:cs="Arial" w:eastAsia="Arial" w:hAnsi="Arial"/>
          <w:sz w:val="16"/>
          <w:szCs w:val="16"/>
          <w:color w:val="auto"/>
        </w:rPr>
        <w:t>—The expected dividend is zero as we do not anticipate paying any dividends on our common stock in the foreseeable future.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 is recognized over the requisite service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ind w:left="1"/>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 Net Income (Loss) Per Share</w:t>
      </w:r>
    </w:p>
    <w:p>
      <w:pPr>
        <w:spacing w:after="0" w:line="11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The following table summarizes the calculation of basic and diluted net income (loss) per share (in thousands, except per share amounts):</w:t>
      </w:r>
    </w:p>
    <w:p>
      <w:pPr>
        <w:spacing w:after="0" w:line="80"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0"/>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0"/>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4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100,960</w:t>
            </w:r>
          </w:p>
        </w:tc>
        <w:tc>
          <w:tcPr>
            <w:tcW w:w="56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103,217</w:t>
            </w:r>
          </w:p>
        </w:tc>
        <w:tc>
          <w:tcPr>
            <w:tcW w:w="26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187"/>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Weighted-average shares used to compute net income (loss) per share, basic</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93,260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86,256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Effect of dilutive securities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640" w:type="dxa"/>
            <w:vAlign w:val="bottom"/>
          </w:tcPr>
          <w:p>
            <w:pPr>
              <w:spacing w:after="0"/>
              <w:rPr>
                <w:sz w:val="20"/>
                <w:szCs w:val="20"/>
                <w:color w:val="auto"/>
              </w:rPr>
            </w:pPr>
            <w:r>
              <w:rPr>
                <w:rFonts w:ascii="Arial" w:cs="Arial" w:eastAsia="Arial" w:hAnsi="Arial"/>
                <w:sz w:val="16"/>
                <w:szCs w:val="16"/>
                <w:color w:val="auto"/>
              </w:rPr>
              <w:t>Weighted-average shares used to compute net income (loss) per share,</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100,004</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90,577</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share:</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4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87"/>
        </w:trPr>
        <w:tc>
          <w:tcPr>
            <w:tcW w:w="66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 xml:space="preserve">Anti-dilutive potential common shares </w:t>
            </w:r>
            <w:r>
              <w:rPr>
                <w:rFonts w:ascii="Arial" w:cs="Arial" w:eastAsia="Arial" w:hAnsi="Arial"/>
                <w:sz w:val="13"/>
                <w:szCs w:val="13"/>
                <w:color w:val="auto"/>
              </w:rPr>
              <w:t>(1)</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741" w:hanging="371"/>
        <w:spacing w:after="0"/>
        <w:tabs>
          <w:tab w:leader="none" w:pos="741" w:val="left"/>
        </w:tabs>
        <w:numPr>
          <w:ilvl w:val="1"/>
          <w:numId w:val="36"/>
        </w:numPr>
        <w:rPr>
          <w:rFonts w:ascii="Arial" w:cs="Arial" w:eastAsia="Arial" w:hAnsi="Arial"/>
          <w:sz w:val="16"/>
          <w:szCs w:val="16"/>
          <w:color w:val="auto"/>
        </w:rPr>
      </w:pPr>
      <w:r>
        <w:rPr>
          <w:rFonts w:ascii="Arial" w:cs="Arial" w:eastAsia="Arial" w:hAnsi="Arial"/>
          <w:sz w:val="16"/>
          <w:szCs w:val="16"/>
          <w:color w:val="auto"/>
        </w:rPr>
        <w:t>Potential common share equivalents were not included in the calculation of diluted net income per share as the effect would have been anti-dilutive.</w:t>
      </w:r>
    </w:p>
    <w:p>
      <w:pPr>
        <w:spacing w:after="0" w:line="305" w:lineRule="exact"/>
        <w:rPr>
          <w:rFonts w:ascii="Arial" w:cs="Arial" w:eastAsia="Arial" w:hAnsi="Arial"/>
          <w:sz w:val="16"/>
          <w:szCs w:val="16"/>
          <w:color w:val="auto"/>
        </w:rPr>
      </w:pPr>
    </w:p>
    <w:p>
      <w:pPr>
        <w:ind w:left="241" w:hanging="241"/>
        <w:spacing w:after="0"/>
        <w:tabs>
          <w:tab w:leader="none" w:pos="241"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1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Income (loss) before income tax consists of the following (in thousands):</w:t>
      </w:r>
    </w:p>
    <w:p>
      <w:pPr>
        <w:spacing w:after="0" w:line="80"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5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41"/>
              <w:spacing w:after="0" w:line="141" w:lineRule="exact"/>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Domestic</w:t>
            </w:r>
          </w:p>
        </w:tc>
        <w:tc>
          <w:tcPr>
            <w:tcW w:w="160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26,889</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(1,190)</w:t>
            </w:r>
          </w:p>
        </w:tc>
        <w:tc>
          <w:tcPr>
            <w:tcW w:w="40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(18,407)</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w:t>
            </w:r>
          </w:p>
        </w:tc>
        <w:tc>
          <w:tcPr>
            <w:tcW w:w="1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87,671</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123,232</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Income (loss) before income tax</w:t>
            </w:r>
          </w:p>
        </w:tc>
        <w:tc>
          <w:tcPr>
            <w:tcW w:w="1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114,560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122,042</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(13,399)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500"/>
              <w:spacing w:after="0"/>
              <w:rPr>
                <w:sz w:val="20"/>
                <w:szCs w:val="20"/>
                <w:color w:val="auto"/>
              </w:rPr>
            </w:pPr>
            <w:r>
              <w:rPr>
                <w:rFonts w:ascii="Arial" w:cs="Arial" w:eastAsia="Arial" w:hAnsi="Arial"/>
                <w:sz w:val="16"/>
                <w:szCs w:val="16"/>
                <w:color w:val="auto"/>
                <w:w w:val="97"/>
              </w:rPr>
              <w:t>Income tax (expense) benefit consists of the following (in thousands):</w:t>
            </w: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5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41"/>
              <w:spacing w:after="0" w:line="141" w:lineRule="exact"/>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taxes: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Pr>
          <w:p>
            <w:pPr>
              <w:ind w:left="80"/>
              <w:spacing w:after="0"/>
              <w:rPr>
                <w:sz w:val="20"/>
                <w:szCs w:val="20"/>
                <w:color w:val="auto"/>
              </w:rPr>
            </w:pPr>
            <w:r>
              <w:rPr>
                <w:rFonts w:ascii="Arial" w:cs="Arial" w:eastAsia="Arial" w:hAnsi="Arial"/>
                <w:sz w:val="16"/>
                <w:szCs w:val="16"/>
                <w:color w:val="auto"/>
              </w:rPr>
              <w:t>Current</w:t>
            </w:r>
          </w:p>
        </w:tc>
        <w:tc>
          <w:tcPr>
            <w:tcW w:w="160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(3,723)</w:t>
            </w:r>
          </w:p>
        </w:tc>
        <w:tc>
          <w:tcPr>
            <w:tcW w:w="44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(363)</w:t>
            </w:r>
          </w:p>
        </w:tc>
        <w:tc>
          <w:tcPr>
            <w:tcW w:w="40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Deferred</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6"/>
                <w:szCs w:val="16"/>
                <w:color w:val="auto"/>
              </w:rPr>
              <w:t>State taxes: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(968)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9"/>
        </w:trPr>
        <w:tc>
          <w:tcPr>
            <w:tcW w:w="5320" w:type="dxa"/>
            <w:vAlign w:val="bottom"/>
          </w:tcPr>
          <w:p>
            <w:pPr>
              <w:ind w:left="80"/>
              <w:spacing w:after="0"/>
              <w:rPr>
                <w:sz w:val="20"/>
                <w:szCs w:val="20"/>
                <w:color w:val="auto"/>
              </w:rPr>
            </w:pPr>
            <w:r>
              <w:rPr>
                <w:rFonts w:ascii="Arial" w:cs="Arial" w:eastAsia="Arial" w:hAnsi="Arial"/>
                <w:sz w:val="16"/>
                <w:szCs w:val="16"/>
                <w:color w:val="auto"/>
              </w:rPr>
              <w:t>Deferred</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Foreign taxes: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ind w:left="80"/>
              <w:spacing w:after="0"/>
              <w:rPr>
                <w:sz w:val="20"/>
                <w:szCs w:val="20"/>
                <w:color w:val="auto"/>
              </w:rPr>
            </w:pPr>
            <w:r>
              <w:rPr>
                <w:rFonts w:ascii="Arial" w:cs="Arial" w:eastAsia="Arial" w:hAnsi="Arial"/>
                <w:sz w:val="16"/>
                <w:szCs w:val="16"/>
                <w:color w:val="auto"/>
              </w:rPr>
              <w:t>Current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(20,871)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(24,625)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Deferred</w:t>
            </w:r>
          </w:p>
        </w:tc>
        <w:tc>
          <w:tcPr>
            <w:tcW w:w="1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6"/>
                <w:szCs w:val="16"/>
                <w:color w:val="auto"/>
              </w:rPr>
              <w:t>Income tax (expense) benefit</w:t>
            </w:r>
          </w:p>
        </w:tc>
        <w:tc>
          <w:tcPr>
            <w:tcW w:w="13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vMerge w:val="restart"/>
          </w:tcPr>
          <w:p>
            <w:pPr>
              <w:jc w:val="right"/>
              <w:ind w:right="838"/>
              <w:spacing w:after="0"/>
              <w:rPr>
                <w:sz w:val="20"/>
                <w:szCs w:val="20"/>
                <w:color w:val="auto"/>
              </w:rPr>
            </w:pPr>
            <w:r>
              <w:rPr>
                <w:rFonts w:ascii="Arial" w:cs="Arial" w:eastAsia="Arial" w:hAnsi="Arial"/>
                <w:sz w:val="16"/>
                <w:szCs w:val="16"/>
                <w:color w:val="auto"/>
              </w:rPr>
              <w:t>81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3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1"/>
          </w:cols>
          <w:pgMar w:left="319" w:top="123"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right="160" w:firstLine="511"/>
        <w:spacing w:after="0" w:line="289" w:lineRule="auto"/>
        <w:rPr>
          <w:sz w:val="20"/>
          <w:szCs w:val="20"/>
          <w:color w:val="auto"/>
        </w:rPr>
      </w:pPr>
      <w:r>
        <w:rPr>
          <w:rFonts w:ascii="Arial" w:cs="Arial" w:eastAsia="Arial" w:hAnsi="Arial"/>
          <w:sz w:val="16"/>
          <w:szCs w:val="16"/>
          <w:color w:val="auto"/>
        </w:rPr>
        <w:t>The income tax (expense) benefit differs from the amount which would result by applying the applicable statutory deferral rate to income before income taxes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6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227"/>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Provision at federal statutory rate</w:t>
            </w:r>
          </w:p>
        </w:tc>
        <w:tc>
          <w:tcPr>
            <w:tcW w:w="800" w:type="dxa"/>
            <w:vAlign w:val="bottom"/>
            <w:shd w:val="clear" w:color="auto" w:fill="CFF0FC"/>
          </w:tcPr>
          <w:p>
            <w:pPr>
              <w:jc w:val="right"/>
              <w:ind w:right="623"/>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(24,058)</w:t>
            </w:r>
          </w:p>
        </w:tc>
        <w:tc>
          <w:tcPr>
            <w:tcW w:w="44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(25,629)</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2,814</w:t>
            </w:r>
          </w:p>
        </w:tc>
        <w:tc>
          <w:tcPr>
            <w:tcW w:w="100" w:type="dxa"/>
            <w:vAlign w:val="bottom"/>
            <w:shd w:val="clear" w:color="auto" w:fill="CFF0FC"/>
          </w:tcPr>
          <w:p>
            <w:pPr>
              <w:spacing w:after="0"/>
              <w:rPr>
                <w:sz w:val="19"/>
                <w:szCs w:val="19"/>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State taxes</w:t>
            </w:r>
          </w:p>
        </w:tc>
        <w:tc>
          <w:tcPr>
            <w:tcW w:w="8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(3,033)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(5,363)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8"/>
                <w:szCs w:val="18"/>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Foreign rate differential</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Taxes on foreign operations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(1,776)</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(1,520)</w:t>
            </w: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credits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Net operating loss</w:t>
            </w:r>
          </w:p>
        </w:tc>
        <w:tc>
          <w:tcPr>
            <w:tcW w:w="8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2,557</w:t>
            </w:r>
          </w:p>
        </w:tc>
        <w:tc>
          <w:tcPr>
            <w:tcW w:w="100" w:type="dxa"/>
            <w:vAlign w:val="bottom"/>
          </w:tcPr>
          <w:p>
            <w:pPr>
              <w:spacing w:after="0"/>
              <w:rPr>
                <w:sz w:val="18"/>
                <w:szCs w:val="18"/>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Change in valuation allowance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Change in tax rate on deferred tax assets</w:t>
            </w:r>
          </w:p>
        </w:tc>
        <w:tc>
          <w:tcPr>
            <w:tcW w:w="8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(1,507)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(743)</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(469)</w:t>
            </w: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(3,503)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(1,440)</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(307)</w:t>
            </w:r>
          </w:p>
        </w:tc>
      </w:tr>
      <w:tr>
        <w:trPr>
          <w:trHeight w:val="201"/>
        </w:trPr>
        <w:tc>
          <w:tcPr>
            <w:tcW w:w="6640" w:type="dxa"/>
            <w:vAlign w:val="bottom"/>
          </w:tcPr>
          <w:p>
            <w:pPr>
              <w:ind w:left="160"/>
              <w:spacing w:after="0"/>
              <w:rPr>
                <w:sz w:val="20"/>
                <w:szCs w:val="20"/>
                <w:color w:val="auto"/>
              </w:rPr>
            </w:pPr>
            <w:r>
              <w:rPr>
                <w:rFonts w:ascii="Arial" w:cs="Arial" w:eastAsia="Arial" w:hAnsi="Arial"/>
                <w:sz w:val="16"/>
                <w:szCs w:val="16"/>
                <w:color w:val="auto"/>
              </w:rPr>
              <w:t>Income tax (expense) benefit</w:t>
            </w: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3"/>
              </w:rPr>
              <w:t>(13,600)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(18,825)</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firstLine="511"/>
        <w:spacing w:after="0" w:line="268" w:lineRule="auto"/>
        <w:rPr>
          <w:sz w:val="20"/>
          <w:szCs w:val="20"/>
          <w:color w:val="auto"/>
        </w:rPr>
      </w:pPr>
      <w:r>
        <w:rPr>
          <w:rFonts w:ascii="Arial" w:cs="Arial" w:eastAsia="Arial" w:hAnsi="Arial"/>
          <w:sz w:val="16"/>
          <w:szCs w:val="16"/>
          <w:color w:val="auto"/>
        </w:rPr>
        <w:t>The major drivers for the change in tax (expense) benefit in 2021 were the excess tax benefits from stock-based compensation and a decrease in valuation allowance in 2021 as a result of the release of our California valuation allowance due to increased U.S. profitability. The disclosure for foreign rate differential reflects the impact of the effective tax rate benefit from operations in jurisdictions where the applicable foreign tax rate is lower than the U.S. statutory rate. We were not subject to any tax holidays or tax holiday terminations subject to disclosure during these periods that impacted loss per share.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tax assets and liabilities comprise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ind w:right="7"/>
              <w:spacing w:after="0" w:line="141"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9"/>
              <w:spacing w:after="0" w:line="141"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Deferred tax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Accrued expenses and reserves</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17,903</w:t>
            </w:r>
          </w:p>
        </w:tc>
        <w:tc>
          <w:tcPr>
            <w:tcW w:w="280" w:type="dxa"/>
            <w:vAlign w:val="bottom"/>
          </w:tcPr>
          <w:p>
            <w:pPr>
              <w:spacing w:after="0"/>
              <w:rPr>
                <w:sz w:val="18"/>
                <w:szCs w:val="18"/>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14,387</w:t>
            </w:r>
          </w:p>
        </w:tc>
        <w:tc>
          <w:tcPr>
            <w:tcW w:w="120" w:type="dxa"/>
            <w:vAlign w:val="bottom"/>
          </w:tcPr>
          <w:p>
            <w:pPr>
              <w:spacing w:after="0"/>
              <w:rPr>
                <w:sz w:val="18"/>
                <w:szCs w:val="18"/>
                <w:color w:val="auto"/>
              </w:rPr>
            </w:pPr>
          </w:p>
        </w:tc>
      </w:tr>
      <w:tr>
        <w:trPr>
          <w:trHeight w:val="210"/>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NOL and capital losses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10,708</w:t>
            </w:r>
          </w:p>
        </w:tc>
        <w:tc>
          <w:tcPr>
            <w:tcW w:w="120" w:type="dxa"/>
            <w:vAlign w:val="bottom"/>
          </w:tcPr>
          <w:p>
            <w:pPr>
              <w:spacing w:after="0"/>
              <w:rPr>
                <w:sz w:val="18"/>
                <w:szCs w:val="18"/>
                <w:color w:val="auto"/>
              </w:rPr>
            </w:pPr>
          </w:p>
        </w:tc>
      </w:tr>
      <w:tr>
        <w:trPr>
          <w:trHeight w:val="210"/>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Capitalized research expenditures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Tax credits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18"/>
                <w:szCs w:val="18"/>
                <w:color w:val="auto"/>
              </w:rPr>
            </w:pPr>
          </w:p>
        </w:tc>
      </w:tr>
      <w:tr>
        <w:trPr>
          <w:trHeight w:val="210"/>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FF0FC"/>
          </w:tcPr>
          <w:p>
            <w:pPr>
              <w:spacing w:after="0"/>
              <w:rPr>
                <w:sz w:val="18"/>
                <w:szCs w:val="18"/>
                <w:color w:val="auto"/>
              </w:rPr>
            </w:pPr>
          </w:p>
        </w:tc>
      </w:tr>
      <w:tr>
        <w:trPr>
          <w:trHeight w:val="201"/>
        </w:trPr>
        <w:tc>
          <w:tcPr>
            <w:tcW w:w="7720" w:type="dxa"/>
            <w:vAlign w:val="bottom"/>
          </w:tcPr>
          <w:p>
            <w:pPr>
              <w:ind w:left="220"/>
              <w:spacing w:after="0"/>
              <w:rPr>
                <w:sz w:val="20"/>
                <w:szCs w:val="20"/>
                <w:color w:val="auto"/>
              </w:rPr>
            </w:pPr>
            <w:r>
              <w:rPr>
                <w:rFonts w:ascii="Arial" w:cs="Arial" w:eastAsia="Arial" w:hAnsi="Arial"/>
                <w:sz w:val="16"/>
                <w:szCs w:val="16"/>
                <w:color w:val="auto"/>
              </w:rPr>
              <w:t>Total deferred tax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33,813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30,842</w:t>
            </w:r>
          </w:p>
        </w:tc>
        <w:tc>
          <w:tcPr>
            <w:tcW w:w="120" w:type="dxa"/>
            <w:vAlign w:val="bottom"/>
          </w:tcPr>
          <w:p>
            <w:pPr>
              <w:spacing w:after="0"/>
              <w:rPr>
                <w:sz w:val="17"/>
                <w:szCs w:val="17"/>
                <w:color w:val="auto"/>
              </w:rPr>
            </w:pPr>
          </w:p>
        </w:tc>
      </w:tr>
      <w:tr>
        <w:trPr>
          <w:trHeight w:val="211"/>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Less valuation allowance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(4,038)</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(8,209)</w:t>
            </w:r>
          </w:p>
        </w:tc>
      </w:tr>
      <w:tr>
        <w:trPr>
          <w:trHeight w:val="210"/>
        </w:trPr>
        <w:tc>
          <w:tcPr>
            <w:tcW w:w="7720" w:type="dxa"/>
            <w:vAlign w:val="bottom"/>
          </w:tcPr>
          <w:p>
            <w:pPr>
              <w:spacing w:after="0"/>
              <w:rPr>
                <w:sz w:val="20"/>
                <w:szCs w:val="20"/>
                <w:color w:val="auto"/>
              </w:rPr>
            </w:pPr>
            <w:r>
              <w:rPr>
                <w:rFonts w:ascii="Arial" w:cs="Arial" w:eastAsia="Arial" w:hAnsi="Arial"/>
                <w:sz w:val="16"/>
                <w:szCs w:val="16"/>
                <w:b w:val="1"/>
                <w:bCs w:val="1"/>
                <w:color w:val="auto"/>
              </w:rPr>
              <w:t>Deferred tax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(42,738)</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(47,589)</w:t>
            </w:r>
          </w:p>
        </w:tc>
      </w:tr>
      <w:tr>
        <w:trPr>
          <w:trHeight w:val="201"/>
        </w:trPr>
        <w:tc>
          <w:tcPr>
            <w:tcW w:w="7720" w:type="dxa"/>
            <w:vAlign w:val="bottom"/>
          </w:tcPr>
          <w:p>
            <w:pPr>
              <w:ind w:left="280"/>
              <w:spacing w:after="0"/>
              <w:rPr>
                <w:sz w:val="20"/>
                <w:szCs w:val="20"/>
                <w:color w:val="auto"/>
              </w:rPr>
            </w:pPr>
            <w:r>
              <w:rPr>
                <w:rFonts w:ascii="Arial" w:cs="Arial" w:eastAsia="Arial" w:hAnsi="Arial"/>
                <w:sz w:val="16"/>
                <w:szCs w:val="16"/>
                <w:color w:val="auto"/>
              </w:rPr>
              <w:t>Net deferred tax liabilities</w:t>
            </w: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(12,963)</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0" w:firstLine="511"/>
        <w:spacing w:after="0" w:line="287" w:lineRule="auto"/>
        <w:rPr>
          <w:sz w:val="20"/>
          <w:szCs w:val="20"/>
          <w:color w:val="auto"/>
        </w:rPr>
      </w:pPr>
      <w:r>
        <w:rPr>
          <w:rFonts w:ascii="Arial" w:cs="Arial" w:eastAsia="Arial" w:hAnsi="Arial"/>
          <w:sz w:val="15"/>
          <w:szCs w:val="15"/>
          <w:color w:val="auto"/>
        </w:rPr>
        <w:t>We have established a valuation allowance of $4.0 million and $8.2 million as of December 31, 2021 and 2020, respectively, against our net deferred tax assets. We determine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anticipated future taxable income under the GILTI regime, we have released most of our valuation allowance except on $1.2 million of foreign tax credit carryovers for U.S. federal purposes and maintained a valuation allowance on our Luxemburg deferred tax assets.</w:t>
      </w:r>
    </w:p>
    <w:p>
      <w:pPr>
        <w:spacing w:after="0" w:line="54" w:lineRule="exact"/>
        <w:rPr>
          <w:sz w:val="20"/>
          <w:szCs w:val="20"/>
          <w:color w:val="auto"/>
        </w:rPr>
      </w:pPr>
    </w:p>
    <w:p>
      <w:pPr>
        <w:ind w:right="220" w:firstLine="511"/>
        <w:spacing w:after="0" w:line="291" w:lineRule="auto"/>
        <w:rPr>
          <w:sz w:val="20"/>
          <w:szCs w:val="20"/>
          <w:color w:val="auto"/>
        </w:rPr>
      </w:pPr>
      <w:r>
        <w:rPr>
          <w:rFonts w:ascii="Arial" w:cs="Arial" w:eastAsia="Arial" w:hAnsi="Arial"/>
          <w:sz w:val="15"/>
          <w:szCs w:val="15"/>
          <w:color w:val="auto"/>
        </w:rPr>
        <w:t>As of December 31, 2021, we had net operating loss carry forwards for federal, state and foreign tax purposes of $9.6 million, $26.4 million, and $13.6 million, respectively. The federal, state and foreign net operating losses will begin to expire starting in 2037, 2030, and 2034, respectively. As defined under Internal Revenue Code Section 382, certain tax attributes are subject to an annual limitation as a result of our change in ownership in August 2017. In August 2017, we acquired the interests of the operating subsidiaries from Corsair Components (Cayman) Ltd. We do not expect our tax attributes to be materially affected by the annual limitation.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 in gross unrecognized tax benefits, excluding interest and penalties, as a result of uncertain tax positions are as follows (in thousands):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0"/>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227"/>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CFF0FC"/>
          </w:tcPr>
          <w:p>
            <w:pPr>
              <w:jc w:val="right"/>
              <w:ind w:right="6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1,216</w:t>
            </w:r>
          </w:p>
        </w:tc>
        <w:tc>
          <w:tcPr>
            <w:tcW w:w="56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FF0FC"/>
          </w:tcPr>
          <w:p>
            <w:pPr>
              <w:spacing w:after="0"/>
              <w:rPr>
                <w:sz w:val="19"/>
                <w:szCs w:val="19"/>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Tax position related to current year</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Increase</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ind w:left="120"/>
              <w:spacing w:after="0"/>
              <w:rPr>
                <w:sz w:val="20"/>
                <w:szCs w:val="20"/>
                <w:color w:val="auto"/>
              </w:rPr>
            </w:pPr>
            <w:r>
              <w:rPr>
                <w:rFonts w:ascii="Arial" w:cs="Arial" w:eastAsia="Arial" w:hAnsi="Arial"/>
                <w:sz w:val="16"/>
                <w:szCs w:val="16"/>
                <w:color w:val="auto"/>
              </w:rPr>
              <w:t>Decrease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Tax position related to prior year</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ind w:left="120"/>
              <w:spacing w:after="0"/>
              <w:rPr>
                <w:sz w:val="20"/>
                <w:szCs w:val="20"/>
                <w:color w:val="auto"/>
              </w:rPr>
            </w:pPr>
            <w:r>
              <w:rPr>
                <w:rFonts w:ascii="Arial" w:cs="Arial" w:eastAsia="Arial" w:hAnsi="Arial"/>
                <w:sz w:val="16"/>
                <w:szCs w:val="16"/>
                <w:color w:val="auto"/>
              </w:rPr>
              <w:t>Increase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r>
      <w:tr>
        <w:trPr>
          <w:trHeight w:val="222"/>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(269)</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4"/>
        </w:trPr>
        <w:tc>
          <w:tcPr>
            <w:tcW w:w="66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3,757</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1,216</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80" w:firstLine="511"/>
        <w:spacing w:after="0" w:line="324" w:lineRule="auto"/>
        <w:rPr>
          <w:sz w:val="20"/>
          <w:szCs w:val="20"/>
          <w:color w:val="auto"/>
        </w:rPr>
      </w:pPr>
      <w:r>
        <w:rPr>
          <w:rFonts w:ascii="Arial" w:cs="Arial" w:eastAsia="Arial" w:hAnsi="Arial"/>
          <w:sz w:val="15"/>
          <w:szCs w:val="15"/>
          <w:color w:val="auto"/>
        </w:rPr>
        <w:t>All of these unrecognized tax benefits will favorably impact our effective tax rate in future periods to the extent benefits are recognized. There are no provisions for which it is reasonably possible that the total amounts of unrecognized tax benefits will significantly increase or decrease within 12 months of the reporting date.</w:t>
      </w:r>
    </w:p>
    <w:p>
      <w:pPr>
        <w:spacing w:after="0" w:line="28"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We did not recognize significant expense for interest and penalties related to uncertain tax positions for the years ended December 31, 2021, 2020 and 2019. We file income tax returns with the U.S. federal government, various U.S. states and foreign jurisdictions including China, France, Germany, Hong Kong, Luxembourg, Netherlands, Slovenia, Taiwan, United Kingdom and Vietnam. Our tax returns in the U.S., various U.S. states and foreign jurisdictions remain open to examination from 2013 to 2020.</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Accumulated Other Comprehensive Income (Loss)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accumulated other comprehensive income (loss) were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163"/>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82"/>
              <w:spacing w:after="0" w:line="141" w:lineRule="exact"/>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81"/>
              <w:spacing w:after="0" w:line="141"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Accumulated foreign currency translation gain</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Unrealized foreign exchange loss from long-term intercompany loans, net of tax</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Accumulated Other Comprehensive Income (Loss)</w:t>
            </w: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6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1,527</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15. Segment and Geographic Information</w:t>
            </w: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66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7040" w:type="dxa"/>
            <w:vAlign w:val="bottom"/>
            <w:gridSpan w:val="2"/>
          </w:tcPr>
          <w:p>
            <w:pPr>
              <w:jc w:val="right"/>
              <w:ind w:right="18"/>
              <w:spacing w:after="0"/>
              <w:rPr>
                <w:sz w:val="20"/>
                <w:szCs w:val="20"/>
                <w:color w:val="auto"/>
              </w:rPr>
            </w:pPr>
            <w:r>
              <w:rPr>
                <w:rFonts w:ascii="Arial" w:cs="Arial" w:eastAsia="Arial" w:hAnsi="Arial"/>
                <w:sz w:val="16"/>
                <w:szCs w:val="16"/>
                <w:color w:val="auto"/>
              </w:rPr>
              <w:t>The table below summarizes the financial information for each reportable segment (in thousands):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jc w:val="right"/>
              <w:ind w:right="343"/>
              <w:spacing w:after="0"/>
              <w:rPr>
                <w:sz w:val="20"/>
                <w:szCs w:val="20"/>
                <w:color w:val="auto"/>
              </w:rPr>
            </w:pPr>
            <w:r>
              <w:rPr>
                <w:rFonts w:ascii="Arial" w:cs="Arial" w:eastAsia="Arial" w:hAnsi="Arial"/>
                <w:sz w:val="13"/>
                <w:szCs w:val="13"/>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0"/>
              <w:spacing w:after="0" w:line="141"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82"/>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1"/>
              <w:spacing w:after="0" w:line="141" w:lineRule="exact"/>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revenue</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Gamer and Creator Peripherals</w:t>
            </w: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647,202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539,366</w:t>
            </w:r>
          </w:p>
        </w:tc>
        <w:tc>
          <w:tcPr>
            <w:tcW w:w="500" w:type="dxa"/>
            <w:vAlign w:val="bottom"/>
            <w:gridSpan w:val="3"/>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294,141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Gaming Components and Systems</w:t>
            </w: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1,256,858</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1,163,001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803,033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Total net revenue</w:t>
            </w: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1,904,060</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1,702,367</w:t>
            </w:r>
          </w:p>
        </w:tc>
        <w:tc>
          <w:tcPr>
            <w:tcW w:w="26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1,097,174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Gross Profit</w:t>
            </w: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Gamer and Creator Peripherals</w:t>
            </w: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224,920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189,742</w:t>
            </w:r>
          </w:p>
        </w:tc>
        <w:tc>
          <w:tcPr>
            <w:tcW w:w="500" w:type="dxa"/>
            <w:vAlign w:val="bottom"/>
            <w:gridSpan w:val="3"/>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81,363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Gaming Components and Systems</w:t>
            </w: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288,934</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275,687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142,924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Total gross profit</w:t>
            </w: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513,854</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465,429</w:t>
            </w:r>
          </w:p>
        </w:tc>
        <w:tc>
          <w:tcPr>
            <w:tcW w:w="26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224,287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20" w:firstLine="511"/>
        <w:spacing w:after="0" w:line="289" w:lineRule="auto"/>
        <w:rPr>
          <w:sz w:val="20"/>
          <w:szCs w:val="20"/>
          <w:color w:val="auto"/>
        </w:rPr>
      </w:pPr>
      <w:r>
        <w:rPr>
          <w:rFonts w:ascii="Arial" w:cs="Arial" w:eastAsia="Arial" w:hAnsi="Arial"/>
          <w:sz w:val="16"/>
          <w:szCs w:val="16"/>
          <w:color w:val="auto"/>
        </w:rPr>
        <w:t>The CODM manages assets on a total company basis, not by operating segments; therefore, asset information and capital expenditures by operating segments are not presented.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Geographic Information</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net revenue by geographic region based on the location of the customer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line="141"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1"/>
              <w:spacing w:after="0" w:line="141"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227"/>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revenue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Americas</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841,653</w:t>
            </w:r>
          </w:p>
        </w:tc>
        <w:tc>
          <w:tcPr>
            <w:tcW w:w="56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775,423</w:t>
            </w:r>
          </w:p>
        </w:tc>
        <w:tc>
          <w:tcPr>
            <w:tcW w:w="26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460,256</w:t>
            </w:r>
          </w:p>
        </w:tc>
        <w:tc>
          <w:tcPr>
            <w:tcW w:w="100" w:type="dxa"/>
            <w:vAlign w:val="bottom"/>
          </w:tcPr>
          <w:p>
            <w:pPr>
              <w:spacing w:after="0"/>
              <w:rPr>
                <w:sz w:val="18"/>
                <w:szCs w:val="18"/>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Europe and Middle East</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735,151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624,214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406,435</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Asia Pacific</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327,256</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302,730</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230,483</w:t>
            </w:r>
          </w:p>
        </w:tc>
        <w:tc>
          <w:tcPr>
            <w:tcW w:w="100" w:type="dxa"/>
            <w:vAlign w:val="bottom"/>
            <w:tcBorders>
              <w:bottom w:val="single" w:sz="8" w:color="CFF0FC"/>
            </w:tcBorders>
          </w:tcPr>
          <w:p>
            <w:pPr>
              <w:spacing w:after="0"/>
              <w:rPr>
                <w:sz w:val="18"/>
                <w:szCs w:val="18"/>
                <w:color w:val="auto"/>
              </w:rPr>
            </w:pPr>
          </w:p>
        </w:tc>
      </w:tr>
      <w:tr>
        <w:trPr>
          <w:trHeight w:val="202"/>
        </w:trPr>
        <w:tc>
          <w:tcPr>
            <w:tcW w:w="66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net revenue</w:t>
            </w:r>
          </w:p>
        </w:tc>
        <w:tc>
          <w:tcPr>
            <w:tcW w:w="320" w:type="dxa"/>
            <w:vAlign w:val="bottom"/>
            <w:tcBorders>
              <w:bottom w:val="single" w:sz="8" w:color="auto"/>
            </w:tcBorders>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1,904,060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1,702,367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1,097,174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40" w:firstLine="511"/>
        <w:spacing w:after="0" w:line="289" w:lineRule="auto"/>
        <w:rPr>
          <w:sz w:val="20"/>
          <w:szCs w:val="20"/>
          <w:color w:val="auto"/>
        </w:rPr>
      </w:pPr>
      <w:r>
        <w:rPr>
          <w:rFonts w:ascii="Arial" w:cs="Arial" w:eastAsia="Arial" w:hAnsi="Arial"/>
          <w:sz w:val="16"/>
          <w:szCs w:val="16"/>
          <w:color w:val="auto"/>
        </w:rPr>
        <w:t>Revenues from sales to customers in the United States represented 38% , 38% and 35% for the years ended December 31, 2021, 2020 and 2019, respectively. No other single country represented 10% or more of total net revenue during these periods.</w:t>
      </w:r>
    </w:p>
    <w:p>
      <w:pPr>
        <w:spacing w:after="0" w:line="149" w:lineRule="exact"/>
        <w:rPr>
          <w:sz w:val="20"/>
          <w:szCs w:val="20"/>
          <w:color w:val="auto"/>
        </w:rPr>
      </w:pPr>
    </w:p>
    <w:p>
      <w:pPr>
        <w:ind w:right="460" w:firstLine="511"/>
        <w:spacing w:after="0" w:line="289" w:lineRule="auto"/>
        <w:rPr>
          <w:sz w:val="20"/>
          <w:szCs w:val="20"/>
          <w:color w:val="auto"/>
        </w:rPr>
      </w:pPr>
      <w:r>
        <w:rPr>
          <w:rFonts w:ascii="Arial" w:cs="Arial" w:eastAsia="Arial" w:hAnsi="Arial"/>
          <w:sz w:val="16"/>
          <w:szCs w:val="16"/>
          <w:color w:val="auto"/>
        </w:rPr>
        <w:t>Long-lived assets consist primarily of property and equipment, net and right-of-use assets. The following table summarizes long-lived assets by regions that represent 10% of more of our total long-lived assets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7720" w:type="dxa"/>
            <w:vAlign w:val="bottom"/>
          </w:tcPr>
          <w:p>
            <w:pPr>
              <w:spacing w:after="0"/>
              <w:rPr>
                <w:sz w:val="12"/>
                <w:szCs w:val="12"/>
                <w:color w:val="auto"/>
              </w:rPr>
            </w:pPr>
          </w:p>
        </w:tc>
        <w:tc>
          <w:tcPr>
            <w:tcW w:w="1000" w:type="dxa"/>
            <w:vAlign w:val="bottom"/>
            <w:tcBorders>
              <w:bottom w:val="single" w:sz="8" w:color="auto"/>
            </w:tcBorders>
          </w:tcPr>
          <w:p>
            <w:pPr>
              <w:jc w:val="right"/>
              <w:ind w:right="27"/>
              <w:spacing w:after="0" w:line="141" w:lineRule="exact"/>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1"/>
              <w:spacing w:after="0" w:line="141"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44,825</w:t>
            </w:r>
          </w:p>
        </w:tc>
        <w:tc>
          <w:tcPr>
            <w:tcW w:w="720" w:type="dxa"/>
            <w:vAlign w:val="bottom"/>
            <w:gridSpan w:val="2"/>
            <w:shd w:val="clear" w:color="auto" w:fill="CFF0FC"/>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20,854</w:t>
            </w:r>
          </w:p>
        </w:tc>
        <w:tc>
          <w:tcPr>
            <w:tcW w:w="120" w:type="dxa"/>
            <w:vAlign w:val="bottom"/>
            <w:shd w:val="clear" w:color="auto" w:fill="CFF0FC"/>
          </w:tcPr>
          <w:p>
            <w:pPr>
              <w:spacing w:after="0"/>
              <w:rPr>
                <w:sz w:val="19"/>
                <w:szCs w:val="19"/>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6"/>
                <w:szCs w:val="16"/>
                <w:color w:val="auto"/>
              </w:rPr>
              <w:t>China</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8,465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7,567</w:t>
            </w:r>
          </w:p>
        </w:tc>
        <w:tc>
          <w:tcPr>
            <w:tcW w:w="120" w:type="dxa"/>
            <w:vAlign w:val="bottom"/>
          </w:tcPr>
          <w:p>
            <w:pPr>
              <w:spacing w:after="0"/>
              <w:rPr>
                <w:sz w:val="18"/>
                <w:szCs w:val="18"/>
                <w:color w:val="auto"/>
              </w:rPr>
            </w:pPr>
          </w:p>
        </w:tc>
      </w:tr>
      <w:tr>
        <w:trPr>
          <w:trHeight w:val="211"/>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Taiwan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7,742</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6,310</w:t>
            </w:r>
          </w:p>
        </w:tc>
        <w:tc>
          <w:tcPr>
            <w:tcW w:w="120" w:type="dxa"/>
            <w:vAlign w:val="bottom"/>
            <w:tcBorders>
              <w:bottom w:val="single" w:sz="8" w:color="CFF0FC"/>
            </w:tcBorders>
          </w:tcPr>
          <w:p>
            <w:pPr>
              <w:spacing w:after="0"/>
              <w:rPr>
                <w:sz w:val="18"/>
                <w:szCs w:val="18"/>
                <w:color w:val="auto"/>
              </w:rPr>
            </w:pPr>
          </w:p>
        </w:tc>
      </w:tr>
      <w:tr>
        <w:trPr>
          <w:trHeight w:val="202"/>
        </w:trPr>
        <w:tc>
          <w:tcPr>
            <w:tcW w:w="77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long-lived assets</w:t>
            </w: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68,206</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Leases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Our lease portfolio consists primarily of real estate facilities for manufacturing, distribution, warehousing and office use purposes under operating leases.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lease expenses were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8"/>
          </w:tcPr>
          <w:p>
            <w:pPr>
              <w:jc w:val="right"/>
              <w:ind w:right="303"/>
              <w:spacing w:after="0"/>
              <w:rPr>
                <w:sz w:val="20"/>
                <w:szCs w:val="20"/>
                <w:color w:val="auto"/>
              </w:rPr>
            </w:pPr>
            <w:r>
              <w:rPr>
                <w:rFonts w:ascii="Arial" w:cs="Arial" w:eastAsia="Arial" w:hAnsi="Arial"/>
                <w:sz w:val="13"/>
                <w:szCs w:val="13"/>
                <w:b w:val="1"/>
                <w:bCs w:val="1"/>
                <w:color w:val="auto"/>
                <w:w w:val="92"/>
              </w:rPr>
              <w:t>Year Ended December 31,</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3"/>
              <w:spacing w:after="0" w:line="141" w:lineRule="exact"/>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7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expense</w:t>
            </w:r>
          </w:p>
        </w:tc>
        <w:tc>
          <w:tcPr>
            <w:tcW w:w="1380" w:type="dxa"/>
            <w:vAlign w:val="bottom"/>
            <w:gridSpan w:val="4"/>
            <w:shd w:val="clear" w:color="auto" w:fill="CFF0FC"/>
          </w:tcPr>
          <w:p>
            <w:pPr>
              <w:jc w:val="right"/>
              <w:ind w:right="770"/>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13,048</w:t>
            </w:r>
          </w:p>
        </w:tc>
        <w:tc>
          <w:tcPr>
            <w:tcW w:w="12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823"/>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Variable lease expense</w:t>
            </w:r>
          </w:p>
        </w:tc>
        <w:tc>
          <w:tcPr>
            <w:tcW w:w="3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9,636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7,305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lease expense</w:t>
            </w:r>
          </w:p>
        </w:tc>
        <w:tc>
          <w:tcPr>
            <w:tcW w:w="3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22,684</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16,711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80"/>
              <w:spacing w:after="0"/>
              <w:rPr>
                <w:sz w:val="20"/>
                <w:szCs w:val="20"/>
                <w:color w:val="auto"/>
              </w:rPr>
            </w:pPr>
            <w:r>
              <w:rPr>
                <w:rFonts w:ascii="Arial" w:cs="Arial" w:eastAsia="Arial" w:hAnsi="Arial"/>
                <w:sz w:val="16"/>
                <w:szCs w:val="16"/>
                <w:color w:val="auto"/>
              </w:rPr>
              <w:t>Supplemental cash flow information related to operating leases was as follows (in thousands):</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728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8"/>
          </w:tcPr>
          <w:p>
            <w:pPr>
              <w:jc w:val="right"/>
              <w:ind w:right="343"/>
              <w:spacing w:after="0"/>
              <w:rPr>
                <w:sz w:val="20"/>
                <w:szCs w:val="20"/>
                <w:color w:val="auto"/>
              </w:rPr>
            </w:pPr>
            <w:r>
              <w:rPr>
                <w:rFonts w:ascii="Arial" w:cs="Arial" w:eastAsia="Arial" w:hAnsi="Arial"/>
                <w:sz w:val="13"/>
                <w:szCs w:val="13"/>
                <w:b w:val="1"/>
                <w:bCs w:val="1"/>
                <w:color w:val="auto"/>
                <w:w w:val="90"/>
              </w:rPr>
              <w:t>Year Ended December 31,</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3"/>
              <w:spacing w:after="0" w:line="141" w:lineRule="exact"/>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7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1380" w:type="dxa"/>
            <w:vAlign w:val="bottom"/>
            <w:gridSpan w:val="4"/>
            <w:shd w:val="clear" w:color="auto" w:fill="CFF0FC"/>
          </w:tcPr>
          <w:p>
            <w:pPr>
              <w:jc w:val="right"/>
              <w:ind w:right="81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10,466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Right-of-use assets recognized in exchange for operating lease obligations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36,689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15,976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7280" w:type="dxa"/>
            <w:vAlign w:val="bottom"/>
          </w:tcPr>
          <w:p>
            <w:pPr>
              <w:ind w:left="480"/>
              <w:spacing w:after="0"/>
              <w:rPr>
                <w:sz w:val="20"/>
                <w:szCs w:val="20"/>
                <w:color w:val="auto"/>
              </w:rPr>
            </w:pPr>
            <w:r>
              <w:rPr>
                <w:rFonts w:ascii="Arial" w:cs="Arial" w:eastAsia="Arial" w:hAnsi="Arial"/>
                <w:sz w:val="16"/>
                <w:szCs w:val="16"/>
                <w:color w:val="auto"/>
                <w:w w:val="97"/>
              </w:rPr>
              <w:t>Supplemental balance sheet information related to operating leases was as follows (in thousands):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9"/>
          </w:tcPr>
          <w:p>
            <w:pPr>
              <w:jc w:val="right"/>
              <w:ind w:right="383"/>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jc w:val="right"/>
              <w:ind w:right="50"/>
              <w:spacing w:after="0" w:line="141" w:lineRule="exact"/>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43"/>
              <w:spacing w:after="0" w:line="141" w:lineRule="exact"/>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7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(included in other assets)</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51,387</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25,998</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Lease incentive receivable (included in prepaid expenses and other current assets)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(included in other liabilities and accrued expenses)</w:t>
            </w: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9,457</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Operating lease liabilities, noncurrent (included in other liabilities, noncurrent)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51,153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17,571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Weighted-average remaining lease term (in years)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discount rate</w:t>
            </w: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3.8%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maturity of operating lease liabilities as of December 31, 2021 (in thousands):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Amounts</w:t>
            </w:r>
          </w:p>
        </w:tc>
      </w:tr>
      <w:tr>
        <w:trPr>
          <w:trHeight w:val="202"/>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2022</w:t>
            </w:r>
          </w:p>
        </w:tc>
        <w:tc>
          <w:tcPr>
            <w:tcW w:w="320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6"/>
                <w:szCs w:val="16"/>
                <w:color w:val="auto"/>
              </w:rPr>
              <w:t>2023</w:t>
            </w: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11,266</w:t>
            </w:r>
          </w:p>
        </w:tc>
        <w:tc>
          <w:tcPr>
            <w:tcW w:w="100" w:type="dxa"/>
            <w:vAlign w:val="bottom"/>
          </w:tcPr>
          <w:p>
            <w:pPr>
              <w:spacing w:after="0"/>
              <w:rPr>
                <w:sz w:val="18"/>
                <w:szCs w:val="18"/>
                <w:color w:val="auto"/>
              </w:rPr>
            </w:pPr>
          </w:p>
        </w:tc>
      </w:tr>
      <w:tr>
        <w:trPr>
          <w:trHeight w:val="211"/>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9,959</w:t>
            </w:r>
          </w:p>
        </w:tc>
        <w:tc>
          <w:tcPr>
            <w:tcW w:w="100" w:type="dxa"/>
            <w:vAlign w:val="bottom"/>
            <w:shd w:val="clear" w:color="auto" w:fill="CFF0FC"/>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6"/>
                <w:szCs w:val="16"/>
                <w:color w:val="auto"/>
              </w:rPr>
              <w:t>2025</w:t>
            </w: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6,078</w:t>
            </w:r>
          </w:p>
        </w:tc>
        <w:tc>
          <w:tcPr>
            <w:tcW w:w="100" w:type="dxa"/>
            <w:vAlign w:val="bottom"/>
          </w:tcPr>
          <w:p>
            <w:pPr>
              <w:spacing w:after="0"/>
              <w:rPr>
                <w:sz w:val="18"/>
                <w:szCs w:val="18"/>
                <w:color w:val="auto"/>
              </w:rPr>
            </w:pPr>
          </w:p>
        </w:tc>
      </w:tr>
      <w:tr>
        <w:trPr>
          <w:trHeight w:val="211"/>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5,988</w:t>
            </w:r>
          </w:p>
        </w:tc>
        <w:tc>
          <w:tcPr>
            <w:tcW w:w="100" w:type="dxa"/>
            <w:vAlign w:val="bottom"/>
            <w:shd w:val="clear" w:color="auto" w:fill="CFF0FC"/>
          </w:tcPr>
          <w:p>
            <w:pPr>
              <w:spacing w:after="0"/>
              <w:rPr>
                <w:sz w:val="18"/>
                <w:szCs w:val="18"/>
                <w:color w:val="auto"/>
              </w:rPr>
            </w:pPr>
          </w:p>
        </w:tc>
      </w:tr>
      <w:tr>
        <w:trPr>
          <w:trHeight w:val="209"/>
        </w:trPr>
        <w:tc>
          <w:tcPr>
            <w:tcW w:w="6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29,413</w:t>
            </w:r>
          </w:p>
        </w:tc>
        <w:tc>
          <w:tcPr>
            <w:tcW w:w="100" w:type="dxa"/>
            <w:vAlign w:val="bottom"/>
            <w:tcBorders>
              <w:bottom w:val="single" w:sz="8" w:color="CFF0FC"/>
            </w:tcBorders>
          </w:tcPr>
          <w:p>
            <w:pPr>
              <w:spacing w:after="0"/>
              <w:rPr>
                <w:sz w:val="18"/>
                <w:szCs w:val="18"/>
                <w:color w:val="auto"/>
              </w:rPr>
            </w:pPr>
          </w:p>
        </w:tc>
      </w:tr>
      <w:tr>
        <w:trPr>
          <w:trHeight w:val="203"/>
        </w:trPr>
        <w:tc>
          <w:tcPr>
            <w:tcW w:w="6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future lease payments</w:t>
            </w:r>
          </w:p>
        </w:tc>
        <w:tc>
          <w:tcPr>
            <w:tcW w:w="3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72,868</w:t>
            </w:r>
          </w:p>
        </w:tc>
        <w:tc>
          <w:tcPr>
            <w:tcW w:w="100" w:type="dxa"/>
            <w:vAlign w:val="bottom"/>
            <w:shd w:val="clear" w:color="auto" w:fill="CFF0FC"/>
          </w:tcPr>
          <w:p>
            <w:pPr>
              <w:spacing w:after="0"/>
              <w:rPr>
                <w:sz w:val="17"/>
                <w:szCs w:val="17"/>
                <w:color w:val="auto"/>
              </w:rPr>
            </w:pPr>
          </w:p>
        </w:tc>
      </w:tr>
      <w:tr>
        <w:trPr>
          <w:trHeight w:val="209"/>
        </w:trPr>
        <w:tc>
          <w:tcPr>
            <w:tcW w:w="6060" w:type="dxa"/>
            <w:vAlign w:val="bottom"/>
          </w:tcPr>
          <w:p>
            <w:pPr>
              <w:ind w:left="120"/>
              <w:spacing w:after="0"/>
              <w:rPr>
                <w:sz w:val="20"/>
                <w:szCs w:val="20"/>
                <w:color w:val="auto"/>
              </w:rPr>
            </w:pPr>
            <w:r>
              <w:rPr>
                <w:rFonts w:ascii="Arial" w:cs="Arial" w:eastAsia="Arial" w:hAnsi="Arial"/>
                <w:sz w:val="16"/>
                <w:szCs w:val="16"/>
                <w:color w:val="auto"/>
              </w:rPr>
              <w:t>Less: Imputed interest</w:t>
            </w: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(12,258)</w:t>
            </w:r>
          </w:p>
        </w:tc>
      </w:tr>
      <w:tr>
        <w:trPr>
          <w:trHeight w:val="202"/>
        </w:trPr>
        <w:tc>
          <w:tcPr>
            <w:tcW w:w="60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Present value of operating lease liabilities</w:t>
            </w:r>
          </w:p>
        </w:tc>
        <w:tc>
          <w:tcPr>
            <w:tcW w:w="320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w:t>
      </w:r>
    </w:p>
    <w:p>
      <w:pPr>
        <w:spacing w:after="0" w:line="116"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On January 1, 2022, we acquired a 51% stake in iDisplay Technology (“iDisplay”), a leader in electronic development and design specializing in display technology. Pursuant to the Share Purchase Agreement, and in consideration for its 51% interest in iDisplay, the Company paid $25.3 million in cash and issued 690,333 shares of its Common Stock, having an aggregate value of $14.5 million, for total purchase consideration of $39.8 million. The purchase consideration is subject to adjustment for certain working capital adjustments and post-closing indemnities.</w:t>
      </w:r>
    </w:p>
    <w:p>
      <w:pPr>
        <w:spacing w:after="0" w:line="165" w:lineRule="exact"/>
        <w:rPr>
          <w:sz w:val="20"/>
          <w:szCs w:val="20"/>
          <w:color w:val="auto"/>
        </w:rPr>
      </w:pPr>
    </w:p>
    <w:p>
      <w:pPr>
        <w:ind w:right="60" w:firstLine="511"/>
        <w:spacing w:after="0" w:line="265" w:lineRule="auto"/>
        <w:rPr>
          <w:sz w:val="20"/>
          <w:szCs w:val="20"/>
          <w:color w:val="auto"/>
        </w:rPr>
      </w:pPr>
      <w:r>
        <w:rPr>
          <w:rFonts w:ascii="Arial" w:cs="Arial" w:eastAsia="Arial" w:hAnsi="Arial"/>
          <w:sz w:val="16"/>
          <w:szCs w:val="16"/>
          <w:color w:val="auto"/>
        </w:rPr>
        <w:t>Due to the proximity of the acquisition date to the filing of our annual report on Form 10-K for the year ended December 31, 2021, the initial accounting for the iDisplay business combination is incomplete, and therefore we are unable to disclose certain information required by ASC 805, Business Combinations, including the provisional amounts recognized as of the acquisition date for each major class of assets acquired and liabilities assumed and goodwill. We are currently in the process of finalizing the accounting for this transaction and expect to complete our preliminary allocation of the purchase consideration to the assets acquired and liabilities assumed by the end of the first quarter of 2022.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12" w:lineRule="exact"/>
        <w:rPr>
          <w:sz w:val="20"/>
          <w:szCs w:val="20"/>
          <w:color w:val="auto"/>
        </w:rPr>
      </w:pPr>
    </w:p>
    <w:p>
      <w:pPr>
        <w:ind w:right="140" w:firstLine="511"/>
        <w:spacing w:after="0" w:line="26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has evaluated the effectiveness of our disclosure controls and procedures as of, as defined in Rules 13a-15(e) and 15d-15(e) under the Exchange Act, the end of the period covered by this Annual Report on Form 10-K. Based on this evaluation, our chief executive officer and chief financial officer concluded that, as of December 31, 2021, our disclosure controls and procedures were effective at a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12" w:lineRule="exact"/>
        <w:rPr>
          <w:sz w:val="20"/>
          <w:szCs w:val="20"/>
          <w:color w:val="auto"/>
        </w:rPr>
      </w:pPr>
    </w:p>
    <w:p>
      <w:pPr>
        <w:ind w:right="280" w:firstLine="511"/>
        <w:spacing w:after="0" w:line="317"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 13a-15(f) and 15d-15(f)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Based on this assessment, our management concluded that our internal control over financial reporting was effective, at the reasonable assurance level, as of December 31, 2021.</w:t>
      </w:r>
    </w:p>
    <w:p>
      <w:pPr>
        <w:spacing w:after="0" w:line="38" w:lineRule="exact"/>
        <w:rPr>
          <w:sz w:val="20"/>
          <w:szCs w:val="20"/>
          <w:color w:val="auto"/>
        </w:rPr>
      </w:pPr>
    </w:p>
    <w:p>
      <w:pPr>
        <w:ind w:right="380" w:firstLine="511"/>
        <w:spacing w:after="0" w:line="289" w:lineRule="auto"/>
        <w:rPr>
          <w:sz w:val="20"/>
          <w:szCs w:val="20"/>
          <w:color w:val="auto"/>
        </w:rPr>
      </w:pPr>
      <w:r>
        <w:rPr>
          <w:rFonts w:ascii="Arial" w:cs="Arial" w:eastAsia="Arial" w:hAnsi="Arial"/>
          <w:sz w:val="16"/>
          <w:szCs w:val="16"/>
          <w:color w:val="auto"/>
        </w:rPr>
        <w:t>The effectiveness of our internal control over financial reporting as of December 31, 2021 has been audited by KPMG LLP, an independent registered public accounting firm, as stated in their report, which is included in Item 8 of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12" w:lineRule="exact"/>
        <w:rPr>
          <w:sz w:val="20"/>
          <w:szCs w:val="20"/>
          <w:color w:val="auto"/>
        </w:rPr>
      </w:pPr>
    </w:p>
    <w:p>
      <w:pPr>
        <w:ind w:right="160" w:firstLine="511"/>
        <w:spacing w:after="0" w:line="324"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December 31, 2021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112"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16"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The information required by this Item that is found in our Definitive Proxy Statement to be filed with the SEC in connection with the solicitation of proxies for our 2022 Annual Meeting of Stockholders, or the Proxy Statement, is incorporated herein by reference to our Proxy Statement. The Proxy Statement will be filed with the SEC within 120 days after the end of the fiscal year covered by this Annual Report on Form 10-K.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is incorporated herein by reference to our Proxy Statement.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information required by this Item is incorporated herein by reference to our Proxy Statement.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information required by this Item is incorporated herein by reference to our Proxy Statement.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information required by this Item is incorporated herein by reference to our Proxy Statement.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716978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PART IV</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15" w:lineRule="exact"/>
        <w:rPr>
          <w:sz w:val="20"/>
          <w:szCs w:val="20"/>
          <w:color w:val="auto"/>
        </w:rPr>
      </w:pPr>
    </w:p>
    <w:p>
      <w:pPr>
        <w:ind w:left="640" w:hanging="370"/>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1. Financial Statements</w:t>
      </w:r>
    </w:p>
    <w:p>
      <w:pPr>
        <w:spacing w:after="0" w:line="2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See the “Index to Consolidated Financial Statements” under Part II, Item 8 of this report.</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2. Financial Statement Schedules</w:t>
      </w:r>
    </w:p>
    <w:p>
      <w:pPr>
        <w:spacing w:after="0" w:line="25" w:lineRule="exact"/>
        <w:rPr>
          <w:sz w:val="20"/>
          <w:szCs w:val="20"/>
          <w:color w:val="auto"/>
        </w:rPr>
      </w:pPr>
    </w:p>
    <w:p>
      <w:pPr>
        <w:ind w:left="740" w:right="100"/>
        <w:spacing w:after="0" w:line="309" w:lineRule="auto"/>
        <w:rPr>
          <w:sz w:val="20"/>
          <w:szCs w:val="20"/>
          <w:color w:val="auto"/>
        </w:rPr>
      </w:pPr>
      <w:r>
        <w:rPr>
          <w:rFonts w:ascii="Arial" w:cs="Arial" w:eastAsia="Arial" w:hAnsi="Arial"/>
          <w:sz w:val="15"/>
          <w:szCs w:val="15"/>
          <w:color w:val="auto"/>
        </w:rPr>
        <w:t>All financial schedules have been omitted, since the required information is not applicable or is not present in amounts sufficient to require submission of the schedule, or because the information required information is included in the consolidated financial statements and notes thereto included in this report.</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 Exhibits</w:t>
      </w:r>
    </w:p>
    <w:p>
      <w:pPr>
        <w:spacing w:after="0" w:line="207"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340"/>
          </w:cols>
          <w:pgMar w:left="320" w:top="123" w:right="239" w:bottom="1440" w:gutter="0" w:footer="0" w:header="0"/>
        </w:sectPr>
      </w:pP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920" w:type="dxa"/>
            <w:vAlign w:val="bottom"/>
          </w:tcPr>
          <w:p>
            <w:pPr>
              <w:jc w:val="center"/>
              <w:ind w:right="238"/>
              <w:spacing w:after="0"/>
              <w:rPr>
                <w:sz w:val="20"/>
                <w:szCs w:val="20"/>
                <w:color w:val="auto"/>
              </w:rPr>
            </w:pPr>
            <w:r>
              <w:rPr>
                <w:rFonts w:ascii="Arial" w:cs="Arial" w:eastAsia="Arial" w:hAnsi="Arial"/>
                <w:sz w:val="16"/>
                <w:szCs w:val="16"/>
                <w:b w:val="1"/>
                <w:bCs w:val="1"/>
                <w:color w:val="auto"/>
                <w:w w:val="97"/>
              </w:rPr>
              <w:t>Exhibit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920" w:type="dxa"/>
            <w:vAlign w:val="bottom"/>
          </w:tcPr>
          <w:p>
            <w:pPr>
              <w:jc w:val="center"/>
              <w:ind w:right="258"/>
              <w:spacing w:after="0"/>
              <w:rPr>
                <w:sz w:val="20"/>
                <w:szCs w:val="20"/>
                <w:color w:val="auto"/>
              </w:rPr>
            </w:pPr>
            <w:r>
              <w:rPr>
                <w:rFonts w:ascii="Arial" w:cs="Arial" w:eastAsia="Arial" w:hAnsi="Arial"/>
                <w:sz w:val="16"/>
                <w:szCs w:val="16"/>
                <w:b w:val="1"/>
                <w:bCs w:val="1"/>
                <w:color w:val="auto"/>
                <w:w w:val="95"/>
              </w:rPr>
              <w:t>Number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8"/>
          </w:tcPr>
          <w:p>
            <w:pPr>
              <w:ind w:left="880"/>
              <w:spacing w:after="0"/>
              <w:rPr>
                <w:sz w:val="20"/>
                <w:szCs w:val="20"/>
                <w:color w:val="auto"/>
              </w:rPr>
            </w:pPr>
            <w:r>
              <w:rPr>
                <w:rFonts w:ascii="Arial" w:cs="Arial" w:eastAsia="Arial" w:hAnsi="Arial"/>
                <w:sz w:val="16"/>
                <w:szCs w:val="16"/>
                <w:b w:val="1"/>
                <w:bCs w:val="1"/>
                <w:color w:val="auto"/>
              </w:rPr>
              <w:t>Description</w:t>
            </w:r>
          </w:p>
        </w:tc>
      </w:tr>
      <w:tr>
        <w:trPr>
          <w:trHeight w:val="384"/>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3.1</w:t>
            </w:r>
          </w:p>
        </w:tc>
        <w:tc>
          <w:tcPr>
            <w:tcW w:w="6760" w:type="dxa"/>
            <w:vAlign w:val="bottom"/>
            <w:gridSpan w:val="15"/>
          </w:tcPr>
          <w:p>
            <w:pPr>
              <w:spacing w:after="0"/>
              <w:rPr>
                <w:rFonts w:ascii="Arial" w:cs="Arial" w:eastAsia="Arial" w:hAnsi="Arial"/>
                <w:sz w:val="16"/>
                <w:szCs w:val="16"/>
                <w:color w:val="0000EE"/>
              </w:rPr>
            </w:pPr>
            <w:hyperlink r:id="rId110">
              <w:r>
                <w:rPr>
                  <w:rFonts w:ascii="Arial" w:cs="Arial" w:eastAsia="Arial" w:hAnsi="Arial"/>
                  <w:sz w:val="16"/>
                  <w:szCs w:val="16"/>
                  <w:color w:val="0000EE"/>
                </w:rPr>
                <w:t>Second Amended and Restated Certificate of Incorporation.</w:t>
              </w:r>
            </w:hyperlink>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3.2</w:t>
            </w:r>
          </w:p>
        </w:tc>
        <w:tc>
          <w:tcPr>
            <w:tcW w:w="3940" w:type="dxa"/>
            <w:vAlign w:val="bottom"/>
            <w:tcBorders>
              <w:top w:val="single" w:sz="8" w:color="0000EE"/>
            </w:tcBorders>
            <w:gridSpan w:val="9"/>
          </w:tcPr>
          <w:p>
            <w:pPr>
              <w:spacing w:after="0"/>
              <w:rPr>
                <w:rFonts w:ascii="Arial" w:cs="Arial" w:eastAsia="Arial" w:hAnsi="Arial"/>
                <w:sz w:val="16"/>
                <w:szCs w:val="16"/>
                <w:color w:val="0000EE"/>
              </w:rPr>
            </w:pPr>
            <w:hyperlink r:id="rId111">
              <w:r>
                <w:rPr>
                  <w:rFonts w:ascii="Arial" w:cs="Arial" w:eastAsia="Arial" w:hAnsi="Arial"/>
                  <w:sz w:val="16"/>
                  <w:szCs w:val="16"/>
                  <w:color w:val="0000EE"/>
                </w:rPr>
                <w:t>Amended and Restated Bylaws.</w:t>
              </w:r>
            </w:hyperlink>
          </w:p>
        </w:tc>
        <w:tc>
          <w:tcPr>
            <w:tcW w:w="2820" w:type="dxa"/>
            <w:vAlign w:val="bottom"/>
            <w:gridSpan w:val="6"/>
          </w:tcPr>
          <w:p>
            <w:pPr>
              <w:spacing w:after="0"/>
              <w:rPr>
                <w:sz w:val="24"/>
                <w:szCs w:val="24"/>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4.1</w:t>
            </w:r>
          </w:p>
        </w:tc>
        <w:tc>
          <w:tcPr>
            <w:tcW w:w="2100" w:type="dxa"/>
            <w:vAlign w:val="bottom"/>
            <w:tcBorders>
              <w:top w:val="single" w:sz="8" w:color="0000EE"/>
            </w:tcBorders>
            <w:gridSpan w:val="7"/>
          </w:tcPr>
          <w:p>
            <w:pPr>
              <w:spacing w:after="0"/>
              <w:rPr>
                <w:rFonts w:ascii="Arial" w:cs="Arial" w:eastAsia="Arial" w:hAnsi="Arial"/>
                <w:sz w:val="16"/>
                <w:szCs w:val="16"/>
                <w:color w:val="0000EE"/>
              </w:rPr>
            </w:pPr>
            <w:hyperlink r:id="rId112">
              <w:r>
                <w:rPr>
                  <w:rFonts w:ascii="Arial" w:cs="Arial" w:eastAsia="Arial" w:hAnsi="Arial"/>
                  <w:sz w:val="16"/>
                  <w:szCs w:val="16"/>
                  <w:color w:val="0000EE"/>
                </w:rPr>
                <w:t>Form of Stock Certificate.</w:t>
              </w:r>
            </w:hyperlink>
          </w:p>
        </w:tc>
        <w:tc>
          <w:tcPr>
            <w:tcW w:w="4660" w:type="dxa"/>
            <w:vAlign w:val="bottom"/>
            <w:gridSpan w:val="8"/>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4.2</w:t>
            </w:r>
          </w:p>
        </w:tc>
        <w:tc>
          <w:tcPr>
            <w:tcW w:w="6640" w:type="dxa"/>
            <w:vAlign w:val="bottom"/>
            <w:tcBorders>
              <w:bottom w:val="single" w:sz="8" w:color="0000EE"/>
            </w:tcBorders>
            <w:gridSpan w:val="14"/>
          </w:tcPr>
          <w:p>
            <w:pPr>
              <w:spacing w:after="0"/>
              <w:rPr>
                <w:rFonts w:ascii="Arial" w:cs="Arial" w:eastAsia="Arial" w:hAnsi="Arial"/>
                <w:sz w:val="16"/>
                <w:szCs w:val="16"/>
                <w:color w:val="0000EE"/>
                <w:w w:val="93"/>
              </w:rPr>
            </w:pPr>
            <w:hyperlink r:id="rId113">
              <w:r>
                <w:rPr>
                  <w:rFonts w:ascii="Arial" w:cs="Arial" w:eastAsia="Arial" w:hAnsi="Arial"/>
                  <w:sz w:val="16"/>
                  <w:szCs w:val="16"/>
                  <w:color w:val="0000EE"/>
                  <w:w w:val="93"/>
                </w:rPr>
                <w:t>Description of Corsair’s Securities Registered Pursuant to Section 12 of the Securities Exchange Act</w:t>
              </w:r>
            </w:hyperlink>
          </w:p>
        </w:tc>
        <w:tc>
          <w:tcPr>
            <w:tcW w:w="12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560" w:type="dxa"/>
            <w:vAlign w:val="bottom"/>
            <w:tcBorders>
              <w:bottom w:val="single" w:sz="8" w:color="0000EE"/>
            </w:tcBorders>
            <w:gridSpan w:val="3"/>
          </w:tcPr>
          <w:p>
            <w:pPr>
              <w:spacing w:after="0" w:line="178" w:lineRule="exact"/>
              <w:rPr>
                <w:rFonts w:ascii="Arial" w:cs="Arial" w:eastAsia="Arial" w:hAnsi="Arial"/>
                <w:sz w:val="16"/>
                <w:szCs w:val="16"/>
                <w:color w:val="0000EE"/>
                <w:w w:val="93"/>
              </w:rPr>
            </w:pPr>
            <w:hyperlink r:id="rId113">
              <w:r>
                <w:rPr>
                  <w:rFonts w:ascii="Arial" w:cs="Arial" w:eastAsia="Arial" w:hAnsi="Arial"/>
                  <w:sz w:val="16"/>
                  <w:szCs w:val="16"/>
                  <w:color w:val="0000EE"/>
                  <w:w w:val="93"/>
                </w:rPr>
                <w:t>of 1934.</w:t>
              </w:r>
            </w:hyperlink>
          </w:p>
        </w:tc>
        <w:tc>
          <w:tcPr>
            <w:tcW w:w="6200" w:type="dxa"/>
            <w:vAlign w:val="bottom"/>
            <w:gridSpan w:val="12"/>
          </w:tcPr>
          <w:p>
            <w:pPr>
              <w:spacing w:after="0"/>
              <w:rPr>
                <w:sz w:val="15"/>
                <w:szCs w:val="15"/>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4.3</w:t>
            </w:r>
          </w:p>
        </w:tc>
        <w:tc>
          <w:tcPr>
            <w:tcW w:w="6760" w:type="dxa"/>
            <w:vAlign w:val="bottom"/>
            <w:gridSpan w:val="15"/>
          </w:tcPr>
          <w:p>
            <w:pPr>
              <w:spacing w:after="0"/>
              <w:rPr>
                <w:rFonts w:ascii="Arial" w:cs="Arial" w:eastAsia="Arial" w:hAnsi="Arial"/>
                <w:sz w:val="16"/>
                <w:szCs w:val="16"/>
                <w:color w:val="0000EE"/>
                <w:w w:val="95"/>
              </w:rPr>
            </w:pPr>
            <w:hyperlink r:id="rId114">
              <w:r>
                <w:rPr>
                  <w:rFonts w:ascii="Arial" w:cs="Arial" w:eastAsia="Arial" w:hAnsi="Arial"/>
                  <w:sz w:val="16"/>
                  <w:szCs w:val="16"/>
                  <w:color w:val="0000EE"/>
                  <w:w w:val="95"/>
                </w:rPr>
                <w:t>Investor Rights Agreement, by and between Corsair Gaming, Inc. and Corsair Group (Cayman), LP.</w:t>
              </w:r>
            </w:hyperlink>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4.4</w:t>
            </w:r>
          </w:p>
        </w:tc>
        <w:tc>
          <w:tcPr>
            <w:tcW w:w="6600" w:type="dxa"/>
            <w:vAlign w:val="bottom"/>
            <w:tcBorders>
              <w:bottom w:val="single" w:sz="8" w:color="0000EE"/>
            </w:tcBorders>
            <w:gridSpan w:val="12"/>
          </w:tcPr>
          <w:p>
            <w:pPr>
              <w:spacing w:after="0"/>
              <w:rPr>
                <w:rFonts w:ascii="Arial" w:cs="Arial" w:eastAsia="Arial" w:hAnsi="Arial"/>
                <w:sz w:val="16"/>
                <w:szCs w:val="16"/>
                <w:color w:val="0000EE"/>
                <w:w w:val="93"/>
              </w:rPr>
            </w:pPr>
            <w:hyperlink r:id="rId115">
              <w:r>
                <w:rPr>
                  <w:rFonts w:ascii="Arial" w:cs="Arial" w:eastAsia="Arial" w:hAnsi="Arial"/>
                  <w:sz w:val="16"/>
                  <w:szCs w:val="16"/>
                  <w:color w:val="0000EE"/>
                  <w:w w:val="93"/>
                </w:rPr>
                <w:t>Registration Rights Agreement, by and between Corsair Gaming, Inc. and Corsair Group (Cayman),</w:t>
              </w:r>
            </w:hyperlink>
          </w:p>
        </w:tc>
        <w:tc>
          <w:tcPr>
            <w:tcW w:w="160" w:type="dxa"/>
            <w:vAlign w:val="bottom"/>
            <w:gridSpan w:val="3"/>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220" w:type="dxa"/>
            <w:vAlign w:val="bottom"/>
            <w:tcBorders>
              <w:bottom w:val="single" w:sz="8" w:color="0000EE"/>
            </w:tcBorders>
          </w:tcPr>
          <w:p>
            <w:pPr>
              <w:spacing w:after="0" w:line="178" w:lineRule="exact"/>
              <w:rPr>
                <w:rFonts w:ascii="Arial" w:cs="Arial" w:eastAsia="Arial" w:hAnsi="Arial"/>
                <w:sz w:val="16"/>
                <w:szCs w:val="16"/>
                <w:color w:val="0000EE"/>
                <w:w w:val="83"/>
              </w:rPr>
            </w:pPr>
            <w:hyperlink r:id="rId115">
              <w:r>
                <w:rPr>
                  <w:rFonts w:ascii="Arial" w:cs="Arial" w:eastAsia="Arial" w:hAnsi="Arial"/>
                  <w:sz w:val="16"/>
                  <w:szCs w:val="16"/>
                  <w:color w:val="0000EE"/>
                  <w:w w:val="83"/>
                </w:rPr>
                <w:t>LP.</w:t>
              </w:r>
            </w:hyperlink>
          </w:p>
        </w:tc>
        <w:tc>
          <w:tcPr>
            <w:tcW w:w="6540" w:type="dxa"/>
            <w:vAlign w:val="bottom"/>
            <w:gridSpan w:val="14"/>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w:t>
            </w:r>
          </w:p>
        </w:tc>
        <w:tc>
          <w:tcPr>
            <w:tcW w:w="6760" w:type="dxa"/>
            <w:vAlign w:val="bottom"/>
            <w:gridSpan w:val="15"/>
          </w:tcPr>
          <w:p>
            <w:pPr>
              <w:spacing w:after="0"/>
              <w:rPr>
                <w:rFonts w:ascii="Arial" w:cs="Arial" w:eastAsia="Arial" w:hAnsi="Arial"/>
                <w:sz w:val="16"/>
                <w:szCs w:val="16"/>
                <w:color w:val="0000EE"/>
                <w:w w:val="95"/>
              </w:rPr>
            </w:pPr>
            <w:hyperlink r:id="rId116">
              <w:r>
                <w:rPr>
                  <w:rFonts w:ascii="Arial" w:cs="Arial" w:eastAsia="Arial" w:hAnsi="Arial"/>
                  <w:sz w:val="16"/>
                  <w:szCs w:val="16"/>
                  <w:color w:val="0000EE"/>
                  <w:w w:val="95"/>
                </w:rPr>
                <w:t>Form of Indemnification Agreement to be entered into between Corsair Gaming, Inc. and each of its</w:t>
              </w:r>
            </w:hyperlink>
          </w:p>
        </w:tc>
      </w:tr>
      <w:tr>
        <w:trPr>
          <w:trHeight w:val="177"/>
        </w:trPr>
        <w:tc>
          <w:tcPr>
            <w:tcW w:w="920" w:type="dxa"/>
            <w:vAlign w:val="bottom"/>
          </w:tcPr>
          <w:p>
            <w:pPr>
              <w:spacing w:after="0"/>
              <w:rPr>
                <w:sz w:val="15"/>
                <w:szCs w:val="15"/>
                <w:color w:val="auto"/>
              </w:rPr>
            </w:pPr>
          </w:p>
        </w:tc>
        <w:tc>
          <w:tcPr>
            <w:tcW w:w="6600" w:type="dxa"/>
            <w:vAlign w:val="bottom"/>
            <w:tcBorders>
              <w:top w:val="single" w:sz="8" w:color="0000EE"/>
            </w:tcBorders>
            <w:gridSpan w:val="12"/>
          </w:tcPr>
          <w:p>
            <w:pPr>
              <w:spacing w:after="0" w:line="178" w:lineRule="exact"/>
              <w:rPr>
                <w:rFonts w:ascii="Arial" w:cs="Arial" w:eastAsia="Arial" w:hAnsi="Arial"/>
                <w:sz w:val="16"/>
                <w:szCs w:val="16"/>
                <w:color w:val="0000EE"/>
              </w:rPr>
            </w:pPr>
            <w:hyperlink r:id="rId116">
              <w:r>
                <w:rPr>
                  <w:rFonts w:ascii="Arial" w:cs="Arial" w:eastAsia="Arial" w:hAnsi="Arial"/>
                  <w:sz w:val="16"/>
                  <w:szCs w:val="16"/>
                  <w:color w:val="0000EE"/>
                </w:rPr>
                <w:t>directors and executive officers.</w:t>
              </w:r>
            </w:hyperlink>
          </w:p>
        </w:tc>
        <w:tc>
          <w:tcPr>
            <w:tcW w:w="16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10.2#</w:t>
            </w:r>
          </w:p>
        </w:tc>
        <w:tc>
          <w:tcPr>
            <w:tcW w:w="3140" w:type="dxa"/>
            <w:vAlign w:val="bottom"/>
            <w:tcBorders>
              <w:bottom w:val="single" w:sz="8" w:color="0000EE"/>
            </w:tcBorders>
            <w:gridSpan w:val="8"/>
          </w:tcPr>
          <w:p>
            <w:pPr>
              <w:spacing w:after="0"/>
              <w:rPr>
                <w:rFonts w:ascii="Arial" w:cs="Arial" w:eastAsia="Arial" w:hAnsi="Arial"/>
                <w:sz w:val="16"/>
                <w:szCs w:val="16"/>
                <w:color w:val="0000EE"/>
                <w:w w:val="94"/>
              </w:rPr>
            </w:pPr>
            <w:hyperlink r:id="rId117">
              <w:r>
                <w:rPr>
                  <w:rFonts w:ascii="Arial" w:cs="Arial" w:eastAsia="Arial" w:hAnsi="Arial"/>
                  <w:sz w:val="16"/>
                  <w:szCs w:val="16"/>
                  <w:color w:val="0000EE"/>
                  <w:w w:val="94"/>
                </w:rPr>
                <w:t>Corsair Gaming, Inc. Equity Incentive Program</w:t>
              </w:r>
            </w:hyperlink>
          </w:p>
        </w:tc>
        <w:tc>
          <w:tcPr>
            <w:tcW w:w="3620" w:type="dxa"/>
            <w:vAlign w:val="bottom"/>
            <w:gridSpan w:val="7"/>
          </w:tcPr>
          <w:p>
            <w:pPr>
              <w:spacing w:after="0"/>
              <w:rPr>
                <w:sz w:val="24"/>
                <w:szCs w:val="24"/>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93"/>
              </w:rPr>
              <w:t>10.2(a)#</w:t>
            </w:r>
          </w:p>
        </w:tc>
        <w:tc>
          <w:tcPr>
            <w:tcW w:w="6760" w:type="dxa"/>
            <w:vAlign w:val="bottom"/>
            <w:tcBorders>
              <w:bottom w:val="single" w:sz="8" w:color="0000EE"/>
            </w:tcBorders>
            <w:gridSpan w:val="15"/>
          </w:tcPr>
          <w:p>
            <w:pPr>
              <w:spacing w:after="0"/>
              <w:rPr>
                <w:rFonts w:ascii="Arial" w:cs="Arial" w:eastAsia="Arial" w:hAnsi="Arial"/>
                <w:sz w:val="16"/>
                <w:szCs w:val="16"/>
                <w:color w:val="0000EE"/>
                <w:w w:val="94"/>
              </w:rPr>
            </w:pPr>
            <w:hyperlink r:id="rId118">
              <w:r>
                <w:rPr>
                  <w:rFonts w:ascii="Arial" w:cs="Arial" w:eastAsia="Arial" w:hAnsi="Arial"/>
                  <w:sz w:val="16"/>
                  <w:szCs w:val="16"/>
                  <w:color w:val="0000EE"/>
                  <w:w w:val="94"/>
                </w:rPr>
                <w:t>Form of Unit Award Agreement (U.S. Form) under EagleTree-Carbide Holdings (Cayman), LP Equity</w:t>
              </w:r>
            </w:hyperlink>
          </w:p>
        </w:tc>
      </w:tr>
      <w:tr>
        <w:trPr>
          <w:trHeight w:val="177"/>
        </w:trPr>
        <w:tc>
          <w:tcPr>
            <w:tcW w:w="920" w:type="dxa"/>
            <w:vAlign w:val="bottom"/>
          </w:tcPr>
          <w:p>
            <w:pPr>
              <w:spacing w:after="0"/>
              <w:rPr>
                <w:sz w:val="15"/>
                <w:szCs w:val="15"/>
                <w:color w:val="auto"/>
              </w:rPr>
            </w:pPr>
          </w:p>
        </w:tc>
        <w:tc>
          <w:tcPr>
            <w:tcW w:w="6760" w:type="dxa"/>
            <w:vAlign w:val="bottom"/>
            <w:gridSpan w:val="15"/>
          </w:tcPr>
          <w:p>
            <w:pPr>
              <w:spacing w:after="0" w:line="178" w:lineRule="exact"/>
              <w:rPr>
                <w:rFonts w:ascii="Arial" w:cs="Arial" w:eastAsia="Arial" w:hAnsi="Arial"/>
                <w:sz w:val="16"/>
                <w:szCs w:val="16"/>
                <w:color w:val="0000EE"/>
              </w:rPr>
            </w:pPr>
            <w:hyperlink r:id="rId118">
              <w:r>
                <w:rPr>
                  <w:rFonts w:ascii="Arial" w:cs="Arial" w:eastAsia="Arial" w:hAnsi="Arial"/>
                  <w:sz w:val="16"/>
                  <w:szCs w:val="16"/>
                  <w:color w:val="0000EE"/>
                </w:rPr>
                <w:t>Incentive Program</w:t>
              </w:r>
            </w:hyperlink>
          </w:p>
        </w:tc>
      </w:tr>
      <w:tr>
        <w:trPr>
          <w:trHeight w:val="20"/>
        </w:trPr>
        <w:tc>
          <w:tcPr>
            <w:tcW w:w="9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93"/>
              </w:rPr>
              <w:t>10.2(b)#</w:t>
            </w:r>
          </w:p>
        </w:tc>
        <w:tc>
          <w:tcPr>
            <w:tcW w:w="6620" w:type="dxa"/>
            <w:vAlign w:val="bottom"/>
            <w:tcBorders>
              <w:bottom w:val="single" w:sz="8" w:color="0000EE"/>
            </w:tcBorders>
            <w:gridSpan w:val="13"/>
          </w:tcPr>
          <w:p>
            <w:pPr>
              <w:spacing w:after="0"/>
              <w:rPr>
                <w:rFonts w:ascii="Arial" w:cs="Arial" w:eastAsia="Arial" w:hAnsi="Arial"/>
                <w:sz w:val="16"/>
                <w:szCs w:val="16"/>
                <w:color w:val="0000EE"/>
                <w:w w:val="94"/>
              </w:rPr>
            </w:pPr>
            <w:hyperlink r:id="rId119">
              <w:r>
                <w:rPr>
                  <w:rFonts w:ascii="Arial" w:cs="Arial" w:eastAsia="Arial" w:hAnsi="Arial"/>
                  <w:sz w:val="16"/>
                  <w:szCs w:val="16"/>
                  <w:color w:val="0000EE"/>
                  <w:w w:val="94"/>
                </w:rPr>
                <w:t>Form of Unit Award Agreement (Non-U.S. Form) under EagleTree-Carbide Holdings (Cayman), LP</w:t>
              </w:r>
            </w:hyperlink>
          </w:p>
        </w:tc>
        <w:tc>
          <w:tcPr>
            <w:tcW w:w="140" w:type="dxa"/>
            <w:vAlign w:val="bottom"/>
            <w:gridSpan w:val="2"/>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6760" w:type="dxa"/>
            <w:vAlign w:val="bottom"/>
            <w:gridSpan w:val="15"/>
          </w:tcPr>
          <w:p>
            <w:pPr>
              <w:spacing w:after="0" w:line="178" w:lineRule="exact"/>
              <w:rPr>
                <w:rFonts w:ascii="Arial" w:cs="Arial" w:eastAsia="Arial" w:hAnsi="Arial"/>
                <w:sz w:val="16"/>
                <w:szCs w:val="16"/>
                <w:color w:val="0000EE"/>
              </w:rPr>
            </w:pPr>
            <w:hyperlink r:id="rId119">
              <w:r>
                <w:rPr>
                  <w:rFonts w:ascii="Arial" w:cs="Arial" w:eastAsia="Arial" w:hAnsi="Arial"/>
                  <w:sz w:val="16"/>
                  <w:szCs w:val="16"/>
                  <w:color w:val="0000EE"/>
                </w:rPr>
                <w:t>Equity Incentive Program</w:t>
              </w:r>
            </w:hyperlink>
          </w:p>
        </w:tc>
      </w:tr>
      <w:tr>
        <w:trPr>
          <w:trHeight w:val="20"/>
        </w:trPr>
        <w:tc>
          <w:tcPr>
            <w:tcW w:w="9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10.3#</w:t>
            </w:r>
          </w:p>
        </w:tc>
        <w:tc>
          <w:tcPr>
            <w:tcW w:w="1800" w:type="dxa"/>
            <w:vAlign w:val="bottom"/>
            <w:tcBorders>
              <w:bottom w:val="single" w:sz="8" w:color="0000EE"/>
            </w:tcBorders>
            <w:gridSpan w:val="6"/>
          </w:tcPr>
          <w:p>
            <w:pPr>
              <w:spacing w:after="0"/>
              <w:rPr>
                <w:rFonts w:ascii="Arial" w:cs="Arial" w:eastAsia="Arial" w:hAnsi="Arial"/>
                <w:sz w:val="16"/>
                <w:szCs w:val="16"/>
                <w:color w:val="0000EE"/>
                <w:w w:val="93"/>
              </w:rPr>
            </w:pPr>
            <w:hyperlink r:id="rId120">
              <w:r>
                <w:rPr>
                  <w:rFonts w:ascii="Arial" w:cs="Arial" w:eastAsia="Arial" w:hAnsi="Arial"/>
                  <w:sz w:val="16"/>
                  <w:szCs w:val="16"/>
                  <w:color w:val="0000EE"/>
                  <w:w w:val="93"/>
                </w:rPr>
                <w:t>2020 Incentive Award Plan</w:t>
              </w:r>
            </w:hyperlink>
          </w:p>
        </w:tc>
        <w:tc>
          <w:tcPr>
            <w:tcW w:w="4960" w:type="dxa"/>
            <w:vAlign w:val="bottom"/>
            <w:gridSpan w:val="9"/>
          </w:tcPr>
          <w:p>
            <w:pPr>
              <w:spacing w:after="0"/>
              <w:rPr>
                <w:sz w:val="24"/>
                <w:szCs w:val="24"/>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93"/>
              </w:rPr>
              <w:t>10.3(a)#</w:t>
            </w:r>
          </w:p>
        </w:tc>
        <w:tc>
          <w:tcPr>
            <w:tcW w:w="6760" w:type="dxa"/>
            <w:vAlign w:val="bottom"/>
            <w:gridSpan w:val="15"/>
          </w:tcPr>
          <w:p>
            <w:pPr>
              <w:spacing w:after="0"/>
              <w:rPr>
                <w:rFonts w:ascii="Arial" w:cs="Arial" w:eastAsia="Arial" w:hAnsi="Arial"/>
                <w:sz w:val="16"/>
                <w:szCs w:val="16"/>
                <w:color w:val="0000EE"/>
                <w:w w:val="98"/>
              </w:rPr>
            </w:pPr>
            <w:hyperlink r:id="rId121">
              <w:r>
                <w:rPr>
                  <w:rFonts w:ascii="Arial" w:cs="Arial" w:eastAsia="Arial" w:hAnsi="Arial"/>
                  <w:sz w:val="16"/>
                  <w:szCs w:val="16"/>
                  <w:color w:val="0000EE"/>
                  <w:w w:val="98"/>
                </w:rPr>
                <w:t>Form of Stock Option Grant Notice and Stock Option Agreement under the 2020 Incentive Award</w:t>
              </w:r>
            </w:hyperlink>
          </w:p>
        </w:tc>
      </w:tr>
      <w:tr>
        <w:trPr>
          <w:trHeight w:val="177"/>
        </w:trPr>
        <w:tc>
          <w:tcPr>
            <w:tcW w:w="920" w:type="dxa"/>
            <w:vAlign w:val="bottom"/>
          </w:tcPr>
          <w:p>
            <w:pPr>
              <w:spacing w:after="0"/>
              <w:rPr>
                <w:sz w:val="15"/>
                <w:szCs w:val="15"/>
                <w:color w:val="auto"/>
              </w:rPr>
            </w:pPr>
          </w:p>
        </w:tc>
        <w:tc>
          <w:tcPr>
            <w:tcW w:w="340" w:type="dxa"/>
            <w:vAlign w:val="bottom"/>
            <w:tcBorders>
              <w:top w:val="single" w:sz="8" w:color="0000EE"/>
              <w:bottom w:val="single" w:sz="8" w:color="0000EE"/>
            </w:tcBorders>
            <w:gridSpan w:val="2"/>
          </w:tcPr>
          <w:p>
            <w:pPr>
              <w:spacing w:after="0" w:line="178" w:lineRule="exact"/>
              <w:rPr>
                <w:rFonts w:ascii="Arial" w:cs="Arial" w:eastAsia="Arial" w:hAnsi="Arial"/>
                <w:sz w:val="16"/>
                <w:szCs w:val="16"/>
                <w:color w:val="0000EE"/>
                <w:w w:val="87"/>
              </w:rPr>
            </w:pPr>
            <w:hyperlink r:id="rId121">
              <w:r>
                <w:rPr>
                  <w:rFonts w:ascii="Arial" w:cs="Arial" w:eastAsia="Arial" w:hAnsi="Arial"/>
                  <w:sz w:val="16"/>
                  <w:szCs w:val="16"/>
                  <w:color w:val="0000EE"/>
                  <w:w w:val="87"/>
                </w:rPr>
                <w:t>Plan.</w:t>
              </w:r>
            </w:hyperlink>
          </w:p>
        </w:tc>
        <w:tc>
          <w:tcPr>
            <w:tcW w:w="6120" w:type="dxa"/>
            <w:vAlign w:val="bottom"/>
            <w:tcBorders>
              <w:top w:val="single" w:sz="8" w:color="0000EE"/>
            </w:tcBorders>
            <w:gridSpan w:val="8"/>
          </w:tcPr>
          <w:p>
            <w:pPr>
              <w:spacing w:after="0"/>
              <w:rPr>
                <w:sz w:val="15"/>
                <w:szCs w:val="15"/>
                <w:color w:val="auto"/>
              </w:rPr>
            </w:pPr>
          </w:p>
        </w:tc>
        <w:tc>
          <w:tcPr>
            <w:tcW w:w="300" w:type="dxa"/>
            <w:vAlign w:val="bottom"/>
            <w:gridSpan w:val="5"/>
          </w:tcPr>
          <w:p>
            <w:pPr>
              <w:spacing w:after="0"/>
              <w:rPr>
                <w:sz w:val="15"/>
                <w:szCs w:val="15"/>
                <w:color w:val="auto"/>
              </w:rPr>
            </w:pPr>
          </w:p>
        </w:tc>
      </w:tr>
      <w:tr>
        <w:trPr>
          <w:trHeight w:val="410"/>
        </w:trPr>
        <w:tc>
          <w:tcPr>
            <w:tcW w:w="920" w:type="dxa"/>
            <w:vAlign w:val="bottom"/>
          </w:tcPr>
          <w:p>
            <w:pPr>
              <w:spacing w:after="0"/>
              <w:rPr>
                <w:sz w:val="24"/>
                <w:szCs w:val="24"/>
                <w:color w:val="auto"/>
              </w:rPr>
            </w:pPr>
          </w:p>
        </w:tc>
        <w:tc>
          <w:tcPr>
            <w:tcW w:w="6460" w:type="dxa"/>
            <w:vAlign w:val="bottom"/>
            <w:gridSpan w:val="10"/>
          </w:tcPr>
          <w:p>
            <w:pPr>
              <w:ind w:left="43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50800</wp:posOffset>
            </wp:positionV>
            <wp:extent cx="71697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center"/>
              <w:ind w:left="58"/>
              <w:spacing w:after="0"/>
              <w:rPr>
                <w:sz w:val="20"/>
                <w:szCs w:val="20"/>
                <w:color w:val="auto"/>
              </w:rPr>
            </w:pPr>
            <w:r>
              <w:rPr>
                <w:rFonts w:ascii="Arial" w:cs="Arial" w:eastAsia="Arial" w:hAnsi="Arial"/>
                <w:sz w:val="16"/>
                <w:szCs w:val="16"/>
                <w:b w:val="1"/>
                <w:bCs w:val="1"/>
                <w:color w:val="auto"/>
                <w:w w:val="86"/>
              </w:rPr>
              <w:t>File</w:t>
            </w:r>
          </w:p>
        </w:tc>
      </w:tr>
      <w:tr>
        <w:trPr>
          <w:trHeight w:val="197"/>
        </w:trPr>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8"/>
              <w:spacing w:after="0"/>
              <w:rPr>
                <w:sz w:val="20"/>
                <w:szCs w:val="20"/>
                <w:color w:val="auto"/>
              </w:rPr>
            </w:pPr>
            <w:r>
              <w:rPr>
                <w:rFonts w:ascii="Arial" w:cs="Arial" w:eastAsia="Arial" w:hAnsi="Arial"/>
                <w:sz w:val="16"/>
                <w:szCs w:val="16"/>
                <w:b w:val="1"/>
                <w:bCs w:val="1"/>
                <w:color w:val="auto"/>
                <w:w w:val="97"/>
              </w:rPr>
              <w:t>He</w:t>
            </w:r>
          </w:p>
        </w:tc>
      </w:tr>
      <w:tr>
        <w:trPr>
          <w:trHeight w:val="213"/>
        </w:trPr>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800" w:type="dxa"/>
            <w:vAlign w:val="bottom"/>
          </w:tcPr>
          <w:p>
            <w:pPr>
              <w:ind w:left="80"/>
              <w:spacing w:after="0"/>
              <w:rPr>
                <w:sz w:val="20"/>
                <w:szCs w:val="20"/>
                <w:color w:val="auto"/>
              </w:rPr>
            </w:pPr>
            <w:r>
              <w:rPr>
                <w:rFonts w:ascii="Arial" w:cs="Arial" w:eastAsia="Arial" w:hAnsi="Arial"/>
                <w:sz w:val="16"/>
                <w:szCs w:val="16"/>
                <w:b w:val="1"/>
                <w:bCs w:val="1"/>
                <w:color w:val="auto"/>
              </w:rPr>
              <w:t>Number</w:t>
            </w:r>
          </w:p>
        </w:tc>
        <w:tc>
          <w:tcPr>
            <w:tcW w:w="380" w:type="dxa"/>
            <w:vAlign w:val="bottom"/>
          </w:tcPr>
          <w:p>
            <w:pPr>
              <w:jc w:val="center"/>
              <w:ind w:left="78"/>
              <w:spacing w:after="0"/>
              <w:rPr>
                <w:sz w:val="20"/>
                <w:szCs w:val="20"/>
                <w:color w:val="auto"/>
              </w:rPr>
            </w:pPr>
            <w:r>
              <w:rPr>
                <w:rFonts w:ascii="Arial" w:cs="Arial" w:eastAsia="Arial" w:hAnsi="Arial"/>
                <w:sz w:val="16"/>
                <w:szCs w:val="16"/>
                <w:b w:val="1"/>
                <w:bCs w:val="1"/>
                <w:color w:val="auto"/>
                <w:w w:val="98"/>
              </w:rPr>
              <w:t>wit</w:t>
            </w:r>
          </w:p>
        </w:tc>
      </w:tr>
      <w:tr>
        <w:trPr>
          <w:trHeight w:val="407"/>
        </w:trPr>
        <w:tc>
          <w:tcPr>
            <w:tcW w:w="6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25,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380" w:type="dxa"/>
            <w:vAlign w:val="bottom"/>
          </w:tcPr>
          <w:p>
            <w:pPr>
              <w:spacing w:after="0"/>
              <w:rPr>
                <w:sz w:val="24"/>
                <w:szCs w:val="24"/>
                <w:color w:val="auto"/>
              </w:rPr>
            </w:pPr>
          </w:p>
        </w:tc>
      </w:tr>
      <w:tr>
        <w:trPr>
          <w:trHeight w:val="419"/>
        </w:trPr>
        <w:tc>
          <w:tcPr>
            <w:tcW w:w="6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25,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380" w:type="dxa"/>
            <w:vAlign w:val="bottom"/>
          </w:tcPr>
          <w:p>
            <w:pPr>
              <w:spacing w:after="0"/>
              <w:rPr>
                <w:sz w:val="24"/>
                <w:szCs w:val="24"/>
                <w:color w:val="auto"/>
              </w:rPr>
            </w:pPr>
          </w:p>
        </w:tc>
      </w:tr>
      <w:tr>
        <w:trPr>
          <w:trHeight w:val="419"/>
        </w:trPr>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18,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380" w:type="dxa"/>
            <w:vAlign w:val="bottom"/>
          </w:tcPr>
          <w:p>
            <w:pPr>
              <w:spacing w:after="0"/>
              <w:rPr>
                <w:sz w:val="24"/>
                <w:szCs w:val="24"/>
                <w:color w:val="auto"/>
              </w:rPr>
            </w:pPr>
          </w:p>
        </w:tc>
      </w:tr>
      <w:tr>
        <w:trPr>
          <w:trHeight w:val="419"/>
        </w:trPr>
        <w:tc>
          <w:tcPr>
            <w:tcW w:w="6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March 11, 2021</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380" w:type="dxa"/>
            <w:vAlign w:val="bottom"/>
          </w:tcPr>
          <w:p>
            <w:pPr>
              <w:spacing w:after="0"/>
              <w:rPr>
                <w:sz w:val="24"/>
                <w:szCs w:val="24"/>
                <w:color w:val="auto"/>
              </w:rPr>
            </w:pPr>
          </w:p>
        </w:tc>
      </w:tr>
      <w:tr>
        <w:trPr>
          <w:trHeight w:val="617"/>
        </w:trPr>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18,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380" w:type="dxa"/>
            <w:vAlign w:val="bottom"/>
          </w:tcPr>
          <w:p>
            <w:pPr>
              <w:spacing w:after="0"/>
              <w:rPr>
                <w:sz w:val="24"/>
                <w:szCs w:val="24"/>
                <w:color w:val="auto"/>
              </w:rPr>
            </w:pPr>
          </w:p>
        </w:tc>
      </w:tr>
      <w:tr>
        <w:trPr>
          <w:trHeight w:val="419"/>
        </w:trPr>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14,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380" w:type="dxa"/>
            <w:vAlign w:val="bottom"/>
          </w:tcPr>
          <w:p>
            <w:pPr>
              <w:spacing w:after="0"/>
              <w:rPr>
                <w:sz w:val="24"/>
                <w:szCs w:val="24"/>
                <w:color w:val="auto"/>
              </w:rPr>
            </w:pPr>
          </w:p>
        </w:tc>
      </w:tr>
      <w:tr>
        <w:trPr>
          <w:trHeight w:val="617"/>
        </w:trPr>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380" w:type="dxa"/>
            <w:vAlign w:val="bottom"/>
          </w:tcPr>
          <w:p>
            <w:pPr>
              <w:spacing w:after="0"/>
              <w:rPr>
                <w:sz w:val="24"/>
                <w:szCs w:val="24"/>
                <w:color w:val="auto"/>
              </w:rPr>
            </w:pPr>
          </w:p>
        </w:tc>
      </w:tr>
      <w:tr>
        <w:trPr>
          <w:trHeight w:val="617"/>
        </w:trPr>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18,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380" w:type="dxa"/>
            <w:vAlign w:val="bottom"/>
          </w:tcPr>
          <w:p>
            <w:pPr>
              <w:spacing w:after="0"/>
              <w:rPr>
                <w:sz w:val="24"/>
                <w:szCs w:val="24"/>
                <w:color w:val="auto"/>
              </w:rPr>
            </w:pPr>
          </w:p>
        </w:tc>
      </w:tr>
      <w:tr>
        <w:trPr>
          <w:trHeight w:val="419"/>
        </w:trPr>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800" w:type="dxa"/>
            <w:vAlign w:val="bottom"/>
          </w:tcPr>
          <w:p>
            <w:pPr>
              <w:jc w:val="center"/>
              <w:spacing w:after="0"/>
              <w:rPr>
                <w:sz w:val="20"/>
                <w:szCs w:val="20"/>
                <w:color w:val="auto"/>
              </w:rPr>
            </w:pPr>
            <w:r>
              <w:rPr>
                <w:rFonts w:ascii="Arial" w:cs="Arial" w:eastAsia="Arial" w:hAnsi="Arial"/>
                <w:sz w:val="16"/>
                <w:szCs w:val="16"/>
                <w:color w:val="auto"/>
                <w:w w:val="90"/>
              </w:rPr>
              <w:t>10.2(a)</w:t>
            </w:r>
          </w:p>
        </w:tc>
        <w:tc>
          <w:tcPr>
            <w:tcW w:w="380" w:type="dxa"/>
            <w:vAlign w:val="bottom"/>
          </w:tcPr>
          <w:p>
            <w:pPr>
              <w:spacing w:after="0"/>
              <w:rPr>
                <w:sz w:val="24"/>
                <w:szCs w:val="24"/>
                <w:color w:val="auto"/>
              </w:rPr>
            </w:pPr>
          </w:p>
        </w:tc>
      </w:tr>
      <w:tr>
        <w:trPr>
          <w:trHeight w:val="617"/>
        </w:trPr>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10.2(b)</w:t>
            </w:r>
          </w:p>
        </w:tc>
        <w:tc>
          <w:tcPr>
            <w:tcW w:w="380" w:type="dxa"/>
            <w:vAlign w:val="bottom"/>
          </w:tcPr>
          <w:p>
            <w:pPr>
              <w:spacing w:after="0"/>
              <w:rPr>
                <w:sz w:val="24"/>
                <w:szCs w:val="24"/>
                <w:color w:val="auto"/>
              </w:rPr>
            </w:pPr>
          </w:p>
        </w:tc>
      </w:tr>
      <w:tr>
        <w:trPr>
          <w:trHeight w:val="617"/>
        </w:trPr>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14,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380" w:type="dxa"/>
            <w:vAlign w:val="bottom"/>
          </w:tcPr>
          <w:p>
            <w:pPr>
              <w:spacing w:after="0"/>
              <w:rPr>
                <w:sz w:val="24"/>
                <w:szCs w:val="24"/>
                <w:color w:val="auto"/>
              </w:rPr>
            </w:pPr>
          </w:p>
        </w:tc>
      </w:tr>
      <w:tr>
        <w:trPr>
          <w:trHeight w:val="419"/>
        </w:trPr>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14, 2020</w:t>
            </w:r>
          </w:p>
        </w:tc>
        <w:tc>
          <w:tcPr>
            <w:tcW w:w="800" w:type="dxa"/>
            <w:vAlign w:val="bottom"/>
          </w:tcPr>
          <w:p>
            <w:pPr>
              <w:jc w:val="center"/>
              <w:spacing w:after="0"/>
              <w:rPr>
                <w:sz w:val="20"/>
                <w:szCs w:val="20"/>
                <w:color w:val="auto"/>
              </w:rPr>
            </w:pPr>
            <w:r>
              <w:rPr>
                <w:rFonts w:ascii="Arial" w:cs="Arial" w:eastAsia="Arial" w:hAnsi="Arial"/>
                <w:sz w:val="16"/>
                <w:szCs w:val="16"/>
                <w:color w:val="auto"/>
                <w:w w:val="90"/>
              </w:rPr>
              <w:t>10.3(a)</w:t>
            </w:r>
          </w:p>
        </w:tc>
        <w:tc>
          <w:tcPr>
            <w:tcW w:w="380" w:type="dxa"/>
            <w:vAlign w:val="bottom"/>
          </w:tcPr>
          <w:p>
            <w:pPr>
              <w:spacing w:after="0"/>
              <w:rPr>
                <w:sz w:val="24"/>
                <w:szCs w:val="24"/>
                <w:color w:val="auto"/>
              </w:rPr>
            </w:pPr>
          </w:p>
        </w:tc>
      </w:tr>
    </w:tbl>
    <w:p>
      <w:pPr>
        <w:sectPr>
          <w:pgSz w:w="11900" w:h="16838" w:orient="portrait"/>
          <w:cols w:equalWidth="0" w:num="2">
            <w:col w:w="7940" w:space="80"/>
            <w:col w:w="3320"/>
          </w:cols>
          <w:pgMar w:left="320" w:top="123" w:right="239" w:bottom="1440"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780"/>
          </w:cols>
          <w:pgMar w:left="320" w:top="123" w:right="799" w:bottom="1440" w:gutter="0" w:footer="0" w:header="0"/>
        </w:sectPr>
      </w:pPr>
    </w:p>
    <w:p>
      <w:pPr>
        <w:spacing w:after="0" w:line="200" w:lineRule="exact"/>
        <w:rPr>
          <w:sz w:val="20"/>
          <w:szCs w:val="20"/>
          <w:color w:val="auto"/>
        </w:rPr>
      </w:pPr>
    </w:p>
    <w:p>
      <w:pPr>
        <w:spacing w:after="0" w:line="24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900" w:type="dxa"/>
            <w:vAlign w:val="bottom"/>
          </w:tcPr>
          <w:p>
            <w:pPr>
              <w:jc w:val="center"/>
              <w:ind w:right="258"/>
              <w:spacing w:after="0"/>
              <w:rPr>
                <w:sz w:val="20"/>
                <w:szCs w:val="20"/>
                <w:color w:val="auto"/>
              </w:rPr>
            </w:pPr>
            <w:r>
              <w:rPr>
                <w:rFonts w:ascii="Arial" w:cs="Arial" w:eastAsia="Arial" w:hAnsi="Arial"/>
                <w:sz w:val="16"/>
                <w:szCs w:val="16"/>
                <w:color w:val="auto"/>
                <w:w w:val="93"/>
              </w:rPr>
              <w:t>10.3(b)#</w:t>
            </w:r>
          </w:p>
        </w:tc>
        <w:tc>
          <w:tcPr>
            <w:tcW w:w="5560" w:type="dxa"/>
            <w:vAlign w:val="bottom"/>
            <w:tcBorders>
              <w:bottom w:val="single" w:sz="8" w:color="0000EE"/>
            </w:tcBorders>
            <w:gridSpan w:val="3"/>
          </w:tcPr>
          <w:p>
            <w:pPr>
              <w:spacing w:after="0"/>
              <w:rPr>
                <w:rFonts w:ascii="Arial" w:cs="Arial" w:eastAsia="Arial" w:hAnsi="Arial"/>
                <w:sz w:val="16"/>
                <w:szCs w:val="16"/>
                <w:color w:val="0000EE"/>
                <w:w w:val="93"/>
              </w:rPr>
            </w:pPr>
            <w:hyperlink r:id="rId123">
              <w:r>
                <w:rPr>
                  <w:rFonts w:ascii="Arial" w:cs="Arial" w:eastAsia="Arial" w:hAnsi="Arial"/>
                  <w:sz w:val="16"/>
                  <w:szCs w:val="16"/>
                  <w:color w:val="0000EE"/>
                  <w:w w:val="93"/>
                </w:rPr>
                <w:t>Form of Restricted Stock Award Grant Notice under the 2020 Incentive Award Plan.</w:t>
              </w:r>
            </w:hyperlink>
          </w:p>
        </w:tc>
        <w:tc>
          <w:tcPr>
            <w:tcW w:w="1160" w:type="dxa"/>
            <w:vAlign w:val="bottom"/>
            <w:gridSpan w:val="3"/>
          </w:tcPr>
          <w:p>
            <w:pPr>
              <w:spacing w:after="0"/>
              <w:rPr>
                <w:sz w:val="16"/>
                <w:szCs w:val="16"/>
                <w:color w:val="auto"/>
              </w:rPr>
            </w:pPr>
          </w:p>
        </w:tc>
      </w:tr>
      <w:tr>
        <w:trPr>
          <w:trHeight w:val="399"/>
        </w:trPr>
        <w:tc>
          <w:tcPr>
            <w:tcW w:w="900" w:type="dxa"/>
            <w:vAlign w:val="bottom"/>
          </w:tcPr>
          <w:p>
            <w:pPr>
              <w:jc w:val="center"/>
              <w:ind w:right="258"/>
              <w:spacing w:after="0"/>
              <w:rPr>
                <w:sz w:val="20"/>
                <w:szCs w:val="20"/>
                <w:color w:val="auto"/>
              </w:rPr>
            </w:pPr>
            <w:r>
              <w:rPr>
                <w:rFonts w:ascii="Arial" w:cs="Arial" w:eastAsia="Arial" w:hAnsi="Arial"/>
                <w:sz w:val="16"/>
                <w:szCs w:val="16"/>
                <w:color w:val="auto"/>
                <w:w w:val="95"/>
              </w:rPr>
              <w:t>10.3(c)#</w:t>
            </w:r>
          </w:p>
        </w:tc>
        <w:tc>
          <w:tcPr>
            <w:tcW w:w="5900" w:type="dxa"/>
            <w:vAlign w:val="bottom"/>
            <w:tcBorders>
              <w:bottom w:val="single" w:sz="8" w:color="0000EE"/>
            </w:tcBorders>
            <w:gridSpan w:val="4"/>
          </w:tcPr>
          <w:p>
            <w:pPr>
              <w:spacing w:after="0"/>
              <w:rPr>
                <w:rFonts w:ascii="Arial" w:cs="Arial" w:eastAsia="Arial" w:hAnsi="Arial"/>
                <w:sz w:val="16"/>
                <w:szCs w:val="16"/>
                <w:color w:val="0000EE"/>
                <w:w w:val="94"/>
              </w:rPr>
            </w:pPr>
            <w:hyperlink r:id="rId124">
              <w:r>
                <w:rPr>
                  <w:rFonts w:ascii="Arial" w:cs="Arial" w:eastAsia="Arial" w:hAnsi="Arial"/>
                  <w:sz w:val="16"/>
                  <w:szCs w:val="16"/>
                  <w:color w:val="0000EE"/>
                  <w:w w:val="94"/>
                </w:rPr>
                <w:t>Form of Restricted Stock Unit Award Grant Notice under the 2020 Incentive Award Plan.</w:t>
              </w:r>
            </w:hyperlink>
          </w:p>
        </w:tc>
        <w:tc>
          <w:tcPr>
            <w:tcW w:w="820" w:type="dxa"/>
            <w:vAlign w:val="bottom"/>
            <w:gridSpan w:val="2"/>
          </w:tcPr>
          <w:p>
            <w:pPr>
              <w:spacing w:after="0"/>
              <w:rPr>
                <w:sz w:val="24"/>
                <w:szCs w:val="24"/>
                <w:color w:val="auto"/>
              </w:rPr>
            </w:pPr>
          </w:p>
        </w:tc>
      </w:tr>
      <w:tr>
        <w:trPr>
          <w:trHeight w:val="399"/>
        </w:trPr>
        <w:tc>
          <w:tcPr>
            <w:tcW w:w="900" w:type="dxa"/>
            <w:vAlign w:val="bottom"/>
          </w:tcPr>
          <w:p>
            <w:pPr>
              <w:jc w:val="center"/>
              <w:ind w:right="278"/>
              <w:spacing w:after="0"/>
              <w:rPr>
                <w:sz w:val="20"/>
                <w:szCs w:val="20"/>
                <w:color w:val="auto"/>
              </w:rPr>
            </w:pPr>
            <w:r>
              <w:rPr>
                <w:rFonts w:ascii="Arial" w:cs="Arial" w:eastAsia="Arial" w:hAnsi="Arial"/>
                <w:sz w:val="16"/>
                <w:szCs w:val="16"/>
                <w:color w:val="auto"/>
                <w:w w:val="94"/>
              </w:rPr>
              <w:t>10.4#</w:t>
            </w:r>
          </w:p>
        </w:tc>
        <w:tc>
          <w:tcPr>
            <w:tcW w:w="6720" w:type="dxa"/>
            <w:vAlign w:val="bottom"/>
            <w:gridSpan w:val="6"/>
          </w:tcPr>
          <w:p>
            <w:pPr>
              <w:spacing w:after="0"/>
              <w:rPr>
                <w:rFonts w:ascii="Arial" w:cs="Arial" w:eastAsia="Arial" w:hAnsi="Arial"/>
                <w:sz w:val="16"/>
                <w:szCs w:val="16"/>
                <w:color w:val="0000EE"/>
              </w:rPr>
            </w:pPr>
            <w:hyperlink r:id="rId125">
              <w:r>
                <w:rPr>
                  <w:rFonts w:ascii="Arial" w:cs="Arial" w:eastAsia="Arial" w:hAnsi="Arial"/>
                  <w:sz w:val="16"/>
                  <w:szCs w:val="16"/>
                  <w:color w:val="0000EE"/>
                </w:rPr>
                <w:t>2020 Employee Stock Purchase Plan.</w:t>
              </w:r>
            </w:hyperlink>
          </w:p>
        </w:tc>
      </w:tr>
      <w:tr>
        <w:trPr>
          <w:trHeight w:val="20"/>
        </w:trPr>
        <w:tc>
          <w:tcPr>
            <w:tcW w:w="90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9"/>
        </w:trPr>
        <w:tc>
          <w:tcPr>
            <w:tcW w:w="900" w:type="dxa"/>
            <w:vAlign w:val="bottom"/>
          </w:tcPr>
          <w:p>
            <w:pPr>
              <w:jc w:val="center"/>
              <w:ind w:right="278"/>
              <w:spacing w:after="0"/>
              <w:rPr>
                <w:sz w:val="20"/>
                <w:szCs w:val="20"/>
                <w:color w:val="auto"/>
              </w:rPr>
            </w:pPr>
            <w:r>
              <w:rPr>
                <w:rFonts w:ascii="Arial" w:cs="Arial" w:eastAsia="Arial" w:hAnsi="Arial"/>
                <w:sz w:val="16"/>
                <w:szCs w:val="16"/>
                <w:color w:val="auto"/>
                <w:w w:val="90"/>
              </w:rPr>
              <w:t>10.5(a)</w:t>
            </w:r>
          </w:p>
        </w:tc>
        <w:tc>
          <w:tcPr>
            <w:tcW w:w="6720" w:type="dxa"/>
            <w:vAlign w:val="bottom"/>
            <w:tcBorders>
              <w:bottom w:val="single" w:sz="8" w:color="0000EE"/>
            </w:tcBorders>
            <w:gridSpan w:val="6"/>
          </w:tcPr>
          <w:p>
            <w:pPr>
              <w:spacing w:after="0"/>
              <w:rPr>
                <w:rFonts w:ascii="Arial" w:cs="Arial" w:eastAsia="Arial" w:hAnsi="Arial"/>
                <w:sz w:val="16"/>
                <w:szCs w:val="16"/>
                <w:color w:val="0000EE"/>
                <w:w w:val="92"/>
              </w:rPr>
            </w:pPr>
            <w:hyperlink r:id="rId126">
              <w:r>
                <w:rPr>
                  <w:rFonts w:ascii="Arial" w:cs="Arial" w:eastAsia="Arial" w:hAnsi="Arial"/>
                  <w:sz w:val="16"/>
                  <w:szCs w:val="16"/>
                  <w:color w:val="0000EE"/>
                  <w:w w:val="92"/>
                </w:rPr>
                <w:t>First Lien Credit and Guaranty Agreement, dated as of August 28, 2017, by and among Corsair Group</w:t>
              </w:r>
            </w:hyperlink>
          </w:p>
        </w:tc>
      </w:tr>
      <w:tr>
        <w:trPr>
          <w:trHeight w:val="177"/>
        </w:trPr>
        <w:tc>
          <w:tcPr>
            <w:tcW w:w="900" w:type="dxa"/>
            <w:vAlign w:val="bottom"/>
          </w:tcPr>
          <w:p>
            <w:pPr>
              <w:spacing w:after="0"/>
              <w:rPr>
                <w:sz w:val="15"/>
                <w:szCs w:val="15"/>
                <w:color w:val="auto"/>
              </w:rPr>
            </w:pPr>
          </w:p>
        </w:tc>
        <w:tc>
          <w:tcPr>
            <w:tcW w:w="6720" w:type="dxa"/>
            <w:vAlign w:val="bottom"/>
            <w:gridSpan w:val="6"/>
          </w:tcPr>
          <w:p>
            <w:pPr>
              <w:spacing w:after="0" w:line="178" w:lineRule="exact"/>
              <w:rPr>
                <w:rFonts w:ascii="Arial" w:cs="Arial" w:eastAsia="Arial" w:hAnsi="Arial"/>
                <w:sz w:val="16"/>
                <w:szCs w:val="16"/>
                <w:color w:val="0000EE"/>
                <w:w w:val="98"/>
              </w:rPr>
            </w:pPr>
            <w:hyperlink r:id="rId126">
              <w:r>
                <w:rPr>
                  <w:rFonts w:ascii="Arial" w:cs="Arial" w:eastAsia="Arial" w:hAnsi="Arial"/>
                  <w:sz w:val="16"/>
                  <w:szCs w:val="16"/>
                  <w:color w:val="0000EE"/>
                  <w:w w:val="98"/>
                </w:rPr>
                <w:t>(Cayman), LP and certain of its subsidiaries including the Registrant, Macquarie Capital Funding</w:t>
              </w:r>
            </w:hyperlink>
          </w:p>
        </w:tc>
      </w:tr>
      <w:tr>
        <w:trPr>
          <w:trHeight w:val="177"/>
        </w:trPr>
        <w:tc>
          <w:tcPr>
            <w:tcW w:w="900" w:type="dxa"/>
            <w:vAlign w:val="bottom"/>
          </w:tcPr>
          <w:p>
            <w:pPr>
              <w:spacing w:after="0"/>
              <w:rPr>
                <w:sz w:val="15"/>
                <w:szCs w:val="15"/>
                <w:color w:val="auto"/>
              </w:rPr>
            </w:pPr>
          </w:p>
        </w:tc>
        <w:tc>
          <w:tcPr>
            <w:tcW w:w="3880" w:type="dxa"/>
            <w:vAlign w:val="bottom"/>
            <w:tcBorders>
              <w:top w:val="single" w:sz="8" w:color="0000EE"/>
              <w:bottom w:val="single" w:sz="8" w:color="0000EE"/>
            </w:tcBorders>
            <w:gridSpan w:val="2"/>
          </w:tcPr>
          <w:p>
            <w:pPr>
              <w:spacing w:after="0" w:line="178" w:lineRule="exact"/>
              <w:rPr>
                <w:rFonts w:ascii="Arial" w:cs="Arial" w:eastAsia="Arial" w:hAnsi="Arial"/>
                <w:sz w:val="16"/>
                <w:szCs w:val="16"/>
                <w:color w:val="0000EE"/>
                <w:w w:val="92"/>
              </w:rPr>
            </w:pPr>
            <w:hyperlink r:id="rId126">
              <w:r>
                <w:rPr>
                  <w:rFonts w:ascii="Arial" w:cs="Arial" w:eastAsia="Arial" w:hAnsi="Arial"/>
                  <w:sz w:val="16"/>
                  <w:szCs w:val="16"/>
                  <w:color w:val="0000EE"/>
                  <w:w w:val="92"/>
                </w:rPr>
                <w:t>LLC, as administrative agent, and the other parties thereto.</w:t>
              </w:r>
            </w:hyperlink>
          </w:p>
        </w:tc>
        <w:tc>
          <w:tcPr>
            <w:tcW w:w="2520" w:type="dxa"/>
            <w:vAlign w:val="bottom"/>
            <w:tcBorders>
              <w:top w:val="single" w:sz="8" w:color="0000EE"/>
            </w:tcBorders>
            <w:gridSpan w:val="3"/>
          </w:tcPr>
          <w:p>
            <w:pPr>
              <w:spacing w:after="0"/>
              <w:rPr>
                <w:sz w:val="15"/>
                <w:szCs w:val="15"/>
                <w:color w:val="auto"/>
              </w:rPr>
            </w:pPr>
          </w:p>
        </w:tc>
        <w:tc>
          <w:tcPr>
            <w:tcW w:w="3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Arial" w:cs="Arial" w:eastAsia="Arial" w:hAnsi="Arial"/>
                <w:sz w:val="16"/>
                <w:szCs w:val="16"/>
                <w:color w:val="auto"/>
              </w:rPr>
              <w:t>S-1/A</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September 14, 2020</w:t>
            </w:r>
          </w:p>
        </w:tc>
        <w:tc>
          <w:tcPr>
            <w:tcW w:w="600" w:type="dxa"/>
            <w:vAlign w:val="bottom"/>
          </w:tcPr>
          <w:p>
            <w:pPr>
              <w:jc w:val="center"/>
              <w:ind w:left="38"/>
              <w:spacing w:after="0"/>
              <w:rPr>
                <w:sz w:val="20"/>
                <w:szCs w:val="20"/>
                <w:color w:val="auto"/>
              </w:rPr>
            </w:pPr>
            <w:r>
              <w:rPr>
                <w:rFonts w:ascii="Arial" w:cs="Arial" w:eastAsia="Arial" w:hAnsi="Arial"/>
                <w:sz w:val="16"/>
                <w:szCs w:val="16"/>
                <w:color w:val="auto"/>
                <w:w w:val="94"/>
              </w:rPr>
              <w:t>10.3(b)</w:t>
            </w:r>
          </w:p>
        </w:tc>
      </w:tr>
      <w:tr>
        <w:trPr>
          <w:trHeight w:val="419"/>
        </w:trPr>
        <w:tc>
          <w:tcPr>
            <w:tcW w:w="520" w:type="dxa"/>
            <w:vAlign w:val="bottom"/>
          </w:tcPr>
          <w:p>
            <w:pPr>
              <w:spacing w:after="0"/>
              <w:rPr>
                <w:sz w:val="20"/>
                <w:szCs w:val="20"/>
                <w:color w:val="auto"/>
              </w:rPr>
            </w:pPr>
            <w:r>
              <w:rPr>
                <w:rFonts w:ascii="Arial" w:cs="Arial" w:eastAsia="Arial" w:hAnsi="Arial"/>
                <w:sz w:val="16"/>
                <w:szCs w:val="16"/>
                <w:color w:val="auto"/>
              </w:rPr>
              <w:t>S-1/A</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September 14, 2020</w:t>
            </w:r>
          </w:p>
        </w:tc>
        <w:tc>
          <w:tcPr>
            <w:tcW w:w="600" w:type="dxa"/>
            <w:vAlign w:val="bottom"/>
          </w:tcPr>
          <w:p>
            <w:pPr>
              <w:jc w:val="center"/>
              <w:ind w:left="18"/>
              <w:spacing w:after="0"/>
              <w:rPr>
                <w:sz w:val="20"/>
                <w:szCs w:val="20"/>
                <w:color w:val="auto"/>
              </w:rPr>
            </w:pPr>
            <w:r>
              <w:rPr>
                <w:rFonts w:ascii="Arial" w:cs="Arial" w:eastAsia="Arial" w:hAnsi="Arial"/>
                <w:sz w:val="16"/>
                <w:szCs w:val="16"/>
                <w:color w:val="auto"/>
                <w:w w:val="92"/>
              </w:rPr>
              <w:t>10.3(c)</w:t>
            </w:r>
          </w:p>
        </w:tc>
      </w:tr>
      <w:tr>
        <w:trPr>
          <w:trHeight w:val="419"/>
        </w:trPr>
        <w:tc>
          <w:tcPr>
            <w:tcW w:w="520" w:type="dxa"/>
            <w:vAlign w:val="bottom"/>
          </w:tcPr>
          <w:p>
            <w:pPr>
              <w:spacing w:after="0"/>
              <w:rPr>
                <w:sz w:val="20"/>
                <w:szCs w:val="20"/>
                <w:color w:val="auto"/>
              </w:rPr>
            </w:pPr>
            <w:r>
              <w:rPr>
                <w:rFonts w:ascii="Arial" w:cs="Arial" w:eastAsia="Arial" w:hAnsi="Arial"/>
                <w:sz w:val="16"/>
                <w:szCs w:val="16"/>
                <w:color w:val="auto"/>
              </w:rPr>
              <w:t>S-1/A</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September 14, 2020</w:t>
            </w:r>
          </w:p>
        </w:tc>
        <w:tc>
          <w:tcPr>
            <w:tcW w:w="600" w:type="dxa"/>
            <w:vAlign w:val="bottom"/>
          </w:tcPr>
          <w:p>
            <w:pPr>
              <w:jc w:val="center"/>
              <w:ind w:left="38"/>
              <w:spacing w:after="0"/>
              <w:rPr>
                <w:sz w:val="20"/>
                <w:szCs w:val="20"/>
                <w:color w:val="auto"/>
              </w:rPr>
            </w:pPr>
            <w:r>
              <w:rPr>
                <w:rFonts w:ascii="Arial" w:cs="Arial" w:eastAsia="Arial" w:hAnsi="Arial"/>
                <w:sz w:val="16"/>
                <w:szCs w:val="16"/>
                <w:color w:val="auto"/>
                <w:w w:val="89"/>
              </w:rPr>
              <w:t>10.4</w:t>
            </w:r>
          </w:p>
        </w:tc>
      </w:tr>
      <w:tr>
        <w:trPr>
          <w:trHeight w:val="419"/>
        </w:trPr>
        <w:tc>
          <w:tcPr>
            <w:tcW w:w="520" w:type="dxa"/>
            <w:vAlign w:val="bottom"/>
          </w:tcPr>
          <w:p>
            <w:pPr>
              <w:ind w:left="180"/>
              <w:spacing w:after="0"/>
              <w:rPr>
                <w:sz w:val="20"/>
                <w:szCs w:val="20"/>
                <w:color w:val="auto"/>
              </w:rPr>
            </w:pPr>
            <w:r>
              <w:rPr>
                <w:rFonts w:ascii="Arial" w:cs="Arial" w:eastAsia="Arial" w:hAnsi="Arial"/>
                <w:sz w:val="16"/>
                <w:szCs w:val="16"/>
                <w:color w:val="auto"/>
              </w:rPr>
              <w:t>S-1</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18"/>
              <w:spacing w:after="0"/>
              <w:rPr>
                <w:sz w:val="20"/>
                <w:szCs w:val="20"/>
                <w:color w:val="auto"/>
              </w:rPr>
            </w:pPr>
            <w:r>
              <w:rPr>
                <w:rFonts w:ascii="Arial" w:cs="Arial" w:eastAsia="Arial" w:hAnsi="Arial"/>
                <w:sz w:val="16"/>
                <w:szCs w:val="16"/>
                <w:color w:val="auto"/>
                <w:w w:val="90"/>
              </w:rPr>
              <w:t>10.5(a)</w:t>
            </w:r>
          </w:p>
        </w:tc>
      </w:tr>
    </w:tbl>
    <w:p>
      <w:pPr>
        <w:spacing w:after="0" w:line="583" w:lineRule="exact"/>
        <w:rPr>
          <w:sz w:val="20"/>
          <w:szCs w:val="20"/>
          <w:color w:val="auto"/>
        </w:rPr>
      </w:pPr>
    </w:p>
    <w:p>
      <w:pPr>
        <w:sectPr>
          <w:pgSz w:w="11900" w:h="16838" w:orient="portrait"/>
          <w:cols w:equalWidth="0" w:num="2">
            <w:col w:w="7900" w:space="220"/>
            <w:col w:w="2660"/>
          </w:cols>
          <w:pgMar w:left="320" w:top="123" w:right="799" w:bottom="1440" w:gutter="0" w:footer="0" w:header="0"/>
          <w:type w:val="continuous"/>
        </w:sectPr>
      </w:pPr>
    </w:p>
    <w:p>
      <w:pPr>
        <w:spacing w:after="0" w:line="2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860" w:type="dxa"/>
            <w:vAlign w:val="bottom"/>
          </w:tcPr>
          <w:p>
            <w:pPr>
              <w:spacing w:after="0"/>
              <w:rPr>
                <w:sz w:val="20"/>
                <w:szCs w:val="20"/>
                <w:color w:val="auto"/>
              </w:rPr>
            </w:pPr>
            <w:r>
              <w:rPr>
                <w:rFonts w:ascii="Arial" w:cs="Arial" w:eastAsia="Arial" w:hAnsi="Arial"/>
                <w:sz w:val="16"/>
                <w:szCs w:val="16"/>
                <w:color w:val="auto"/>
              </w:rPr>
              <w:t>10.5(b)</w:t>
            </w:r>
          </w:p>
        </w:tc>
        <w:tc>
          <w:tcPr>
            <w:tcW w:w="6660" w:type="dxa"/>
            <w:vAlign w:val="bottom"/>
            <w:tcBorders>
              <w:bottom w:val="single" w:sz="8" w:color="0000EE"/>
            </w:tcBorders>
            <w:gridSpan w:val="9"/>
          </w:tcPr>
          <w:p>
            <w:pPr>
              <w:spacing w:after="0"/>
              <w:rPr>
                <w:rFonts w:ascii="Arial" w:cs="Arial" w:eastAsia="Arial" w:hAnsi="Arial"/>
                <w:sz w:val="16"/>
                <w:szCs w:val="16"/>
                <w:color w:val="0000EE"/>
                <w:w w:val="93"/>
              </w:rPr>
            </w:pPr>
            <w:hyperlink r:id="rId127">
              <w:r>
                <w:rPr>
                  <w:rFonts w:ascii="Arial" w:cs="Arial" w:eastAsia="Arial" w:hAnsi="Arial"/>
                  <w:sz w:val="16"/>
                  <w:szCs w:val="16"/>
                  <w:color w:val="0000EE"/>
                  <w:w w:val="93"/>
                </w:rPr>
                <w:t>Amendment No. 1 to First Lien Credit and Guaranty Agreement, dated as of October 3, 2017, by and</w:t>
              </w:r>
            </w:hyperlink>
          </w:p>
        </w:tc>
        <w:tc>
          <w:tcPr>
            <w:tcW w:w="300" w:type="dxa"/>
            <w:vAlign w:val="bottom"/>
            <w:gridSpan w:val="3"/>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6"/>
                <w:szCs w:val="16"/>
                <w:color w:val="auto"/>
              </w:rPr>
              <w:t>S-1</w:t>
            </w:r>
          </w:p>
        </w:tc>
        <w:tc>
          <w:tcPr>
            <w:tcW w:w="1400" w:type="dxa"/>
            <w:vAlign w:val="bottom"/>
          </w:tcPr>
          <w:p>
            <w:pPr>
              <w:ind w:left="160"/>
              <w:spacing w:after="0"/>
              <w:rPr>
                <w:sz w:val="20"/>
                <w:szCs w:val="20"/>
                <w:color w:val="auto"/>
              </w:rPr>
            </w:pPr>
            <w:r>
              <w:rPr>
                <w:rFonts w:ascii="Arial" w:cs="Arial" w:eastAsia="Arial" w:hAnsi="Arial"/>
                <w:sz w:val="16"/>
                <w:szCs w:val="16"/>
                <w:color w:val="auto"/>
              </w:rPr>
              <w:t>August 21, 2020</w:t>
            </w:r>
          </w:p>
        </w:tc>
        <w:tc>
          <w:tcPr>
            <w:tcW w:w="660" w:type="dxa"/>
            <w:vAlign w:val="bottom"/>
          </w:tcPr>
          <w:p>
            <w:pPr>
              <w:ind w:left="180"/>
              <w:spacing w:after="0"/>
              <w:rPr>
                <w:sz w:val="20"/>
                <w:szCs w:val="20"/>
                <w:color w:val="auto"/>
              </w:rPr>
            </w:pPr>
            <w:r>
              <w:rPr>
                <w:rFonts w:ascii="Arial" w:cs="Arial" w:eastAsia="Arial" w:hAnsi="Arial"/>
                <w:sz w:val="16"/>
                <w:szCs w:val="16"/>
                <w:color w:val="auto"/>
                <w:w w:val="90"/>
              </w:rPr>
              <w:t>10.5(b)</w:t>
            </w:r>
          </w:p>
        </w:tc>
      </w:tr>
      <w:tr>
        <w:trPr>
          <w:trHeight w:val="177"/>
        </w:trPr>
        <w:tc>
          <w:tcPr>
            <w:tcW w:w="860" w:type="dxa"/>
            <w:vAlign w:val="bottom"/>
          </w:tcPr>
          <w:p>
            <w:pPr>
              <w:spacing w:after="0"/>
              <w:rPr>
                <w:sz w:val="15"/>
                <w:szCs w:val="15"/>
                <w:color w:val="auto"/>
              </w:rPr>
            </w:pPr>
          </w:p>
        </w:tc>
        <w:tc>
          <w:tcPr>
            <w:tcW w:w="6780" w:type="dxa"/>
            <w:vAlign w:val="bottom"/>
            <w:tcBorders>
              <w:bottom w:val="single" w:sz="8" w:color="0000EE"/>
            </w:tcBorders>
            <w:gridSpan w:val="11"/>
          </w:tcPr>
          <w:p>
            <w:pPr>
              <w:spacing w:after="0" w:line="178" w:lineRule="exact"/>
              <w:rPr>
                <w:rFonts w:ascii="Arial" w:cs="Arial" w:eastAsia="Arial" w:hAnsi="Arial"/>
                <w:sz w:val="16"/>
                <w:szCs w:val="16"/>
                <w:color w:val="0000EE"/>
                <w:w w:val="93"/>
              </w:rPr>
            </w:pPr>
            <w:hyperlink r:id="rId127">
              <w:r>
                <w:rPr>
                  <w:rFonts w:ascii="Arial" w:cs="Arial" w:eastAsia="Arial" w:hAnsi="Arial"/>
                  <w:sz w:val="16"/>
                  <w:szCs w:val="16"/>
                  <w:color w:val="0000EE"/>
                  <w:w w:val="93"/>
                </w:rPr>
                <w:t>among Corsair Group (Cayman), LP and certain of its subsidiaries including the Registrant, Macquarie</w:t>
              </w:r>
            </w:hyperlink>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5000" w:type="dxa"/>
            <w:vAlign w:val="bottom"/>
            <w:tcBorders>
              <w:bottom w:val="single" w:sz="8" w:color="0000EE"/>
            </w:tcBorders>
            <w:gridSpan w:val="4"/>
          </w:tcPr>
          <w:p>
            <w:pPr>
              <w:spacing w:after="0" w:line="178" w:lineRule="exact"/>
              <w:rPr>
                <w:rFonts w:ascii="Arial" w:cs="Arial" w:eastAsia="Arial" w:hAnsi="Arial"/>
                <w:sz w:val="16"/>
                <w:szCs w:val="16"/>
                <w:color w:val="0000EE"/>
                <w:w w:val="93"/>
              </w:rPr>
            </w:pPr>
            <w:hyperlink r:id="rId127">
              <w:r>
                <w:rPr>
                  <w:rFonts w:ascii="Arial" w:cs="Arial" w:eastAsia="Arial" w:hAnsi="Arial"/>
                  <w:sz w:val="16"/>
                  <w:szCs w:val="16"/>
                  <w:color w:val="0000EE"/>
                  <w:w w:val="93"/>
                </w:rPr>
                <w:t>Capital Funding LLC, as administrative agent, and the other parties thereto.</w:t>
              </w:r>
            </w:hyperlink>
          </w:p>
        </w:tc>
        <w:tc>
          <w:tcPr>
            <w:tcW w:w="196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9"/>
        </w:trPr>
        <w:tc>
          <w:tcPr>
            <w:tcW w:w="860" w:type="dxa"/>
            <w:vAlign w:val="bottom"/>
          </w:tcPr>
          <w:p>
            <w:pPr>
              <w:spacing w:after="0"/>
              <w:rPr>
                <w:sz w:val="20"/>
                <w:szCs w:val="20"/>
                <w:color w:val="auto"/>
              </w:rPr>
            </w:pPr>
            <w:r>
              <w:rPr>
                <w:rFonts w:ascii="Arial" w:cs="Arial" w:eastAsia="Arial" w:hAnsi="Arial"/>
                <w:sz w:val="16"/>
                <w:szCs w:val="16"/>
                <w:color w:val="auto"/>
              </w:rPr>
              <w:t>10.5(c)</w:t>
            </w:r>
          </w:p>
        </w:tc>
        <w:tc>
          <w:tcPr>
            <w:tcW w:w="6640" w:type="dxa"/>
            <w:vAlign w:val="bottom"/>
            <w:tcBorders>
              <w:bottom w:val="single" w:sz="8" w:color="0000EE"/>
            </w:tcBorders>
            <w:gridSpan w:val="8"/>
          </w:tcPr>
          <w:p>
            <w:pPr>
              <w:spacing w:after="0"/>
              <w:rPr>
                <w:rFonts w:ascii="Arial" w:cs="Arial" w:eastAsia="Arial" w:hAnsi="Arial"/>
                <w:sz w:val="16"/>
                <w:szCs w:val="16"/>
                <w:color w:val="0000EE"/>
                <w:w w:val="93"/>
              </w:rPr>
            </w:pPr>
            <w:hyperlink r:id="rId128">
              <w:r>
                <w:rPr>
                  <w:rFonts w:ascii="Arial" w:cs="Arial" w:eastAsia="Arial" w:hAnsi="Arial"/>
                  <w:sz w:val="16"/>
                  <w:szCs w:val="16"/>
                  <w:color w:val="0000EE"/>
                  <w:w w:val="93"/>
                </w:rPr>
                <w:t>Amendment No. 2 to First Lien Credit and Guaranty Agreement, dated as of March 29, 2018, by and</w:t>
              </w:r>
            </w:hyperlink>
          </w:p>
        </w:tc>
        <w:tc>
          <w:tcPr>
            <w:tcW w:w="320" w:type="dxa"/>
            <w:vAlign w:val="bottom"/>
            <w:gridSpan w:val="4"/>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S-1</w:t>
            </w:r>
          </w:p>
        </w:tc>
        <w:tc>
          <w:tcPr>
            <w:tcW w:w="1400" w:type="dxa"/>
            <w:vAlign w:val="bottom"/>
          </w:tcPr>
          <w:p>
            <w:pPr>
              <w:ind w:left="160"/>
              <w:spacing w:after="0"/>
              <w:rPr>
                <w:sz w:val="20"/>
                <w:szCs w:val="20"/>
                <w:color w:val="auto"/>
              </w:rPr>
            </w:pPr>
            <w:r>
              <w:rPr>
                <w:rFonts w:ascii="Arial" w:cs="Arial" w:eastAsia="Arial" w:hAnsi="Arial"/>
                <w:sz w:val="16"/>
                <w:szCs w:val="16"/>
                <w:color w:val="auto"/>
              </w:rPr>
              <w:t>August 21, 2020</w:t>
            </w:r>
          </w:p>
        </w:tc>
        <w:tc>
          <w:tcPr>
            <w:tcW w:w="660" w:type="dxa"/>
            <w:vAlign w:val="bottom"/>
          </w:tcPr>
          <w:p>
            <w:pPr>
              <w:ind w:left="180"/>
              <w:spacing w:after="0"/>
              <w:rPr>
                <w:sz w:val="20"/>
                <w:szCs w:val="20"/>
                <w:color w:val="auto"/>
              </w:rPr>
            </w:pPr>
            <w:r>
              <w:rPr>
                <w:rFonts w:ascii="Arial" w:cs="Arial" w:eastAsia="Arial" w:hAnsi="Arial"/>
                <w:sz w:val="16"/>
                <w:szCs w:val="16"/>
                <w:color w:val="auto"/>
                <w:w w:val="92"/>
              </w:rPr>
              <w:t>10.5(c)</w:t>
            </w:r>
          </w:p>
        </w:tc>
      </w:tr>
      <w:tr>
        <w:trPr>
          <w:trHeight w:val="177"/>
        </w:trPr>
        <w:tc>
          <w:tcPr>
            <w:tcW w:w="860" w:type="dxa"/>
            <w:vAlign w:val="bottom"/>
          </w:tcPr>
          <w:p>
            <w:pPr>
              <w:spacing w:after="0"/>
              <w:rPr>
                <w:sz w:val="15"/>
                <w:szCs w:val="15"/>
                <w:color w:val="auto"/>
              </w:rPr>
            </w:pPr>
          </w:p>
        </w:tc>
        <w:tc>
          <w:tcPr>
            <w:tcW w:w="6780" w:type="dxa"/>
            <w:vAlign w:val="bottom"/>
            <w:tcBorders>
              <w:bottom w:val="single" w:sz="8" w:color="0000EE"/>
            </w:tcBorders>
            <w:gridSpan w:val="11"/>
          </w:tcPr>
          <w:p>
            <w:pPr>
              <w:spacing w:after="0" w:line="178" w:lineRule="exact"/>
              <w:rPr>
                <w:rFonts w:ascii="Arial" w:cs="Arial" w:eastAsia="Arial" w:hAnsi="Arial"/>
                <w:sz w:val="16"/>
                <w:szCs w:val="16"/>
                <w:color w:val="0000EE"/>
                <w:w w:val="93"/>
              </w:rPr>
            </w:pPr>
            <w:hyperlink r:id="rId128">
              <w:r>
                <w:rPr>
                  <w:rFonts w:ascii="Arial" w:cs="Arial" w:eastAsia="Arial" w:hAnsi="Arial"/>
                  <w:sz w:val="16"/>
                  <w:szCs w:val="16"/>
                  <w:color w:val="0000EE"/>
                  <w:w w:val="93"/>
                </w:rPr>
                <w:t>among Corsair Group (Cayman), LP and certain of its subsidiaries including the Registrant, Macquarie</w:t>
              </w:r>
            </w:hyperlink>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4980" w:type="dxa"/>
            <w:vAlign w:val="bottom"/>
            <w:tcBorders>
              <w:bottom w:val="single" w:sz="8" w:color="0000EE"/>
            </w:tcBorders>
            <w:gridSpan w:val="3"/>
          </w:tcPr>
          <w:p>
            <w:pPr>
              <w:spacing w:after="0" w:line="178" w:lineRule="exact"/>
              <w:rPr>
                <w:rFonts w:ascii="Arial" w:cs="Arial" w:eastAsia="Arial" w:hAnsi="Arial"/>
                <w:sz w:val="16"/>
                <w:szCs w:val="16"/>
                <w:color w:val="0000EE"/>
                <w:w w:val="92"/>
              </w:rPr>
            </w:pPr>
            <w:hyperlink r:id="rId128">
              <w:r>
                <w:rPr>
                  <w:rFonts w:ascii="Arial" w:cs="Arial" w:eastAsia="Arial" w:hAnsi="Arial"/>
                  <w:sz w:val="16"/>
                  <w:szCs w:val="16"/>
                  <w:color w:val="0000EE"/>
                  <w:w w:val="92"/>
                </w:rPr>
                <w:t>Capital Funding LLC, as administrative agent, and the other parties thereto.</w:t>
              </w:r>
            </w:hyperlink>
          </w:p>
        </w:tc>
        <w:tc>
          <w:tcPr>
            <w:tcW w:w="198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9"/>
        </w:trPr>
        <w:tc>
          <w:tcPr>
            <w:tcW w:w="860" w:type="dxa"/>
            <w:vAlign w:val="bottom"/>
          </w:tcPr>
          <w:p>
            <w:pPr>
              <w:spacing w:after="0"/>
              <w:rPr>
                <w:sz w:val="20"/>
                <w:szCs w:val="20"/>
                <w:color w:val="auto"/>
              </w:rPr>
            </w:pPr>
            <w:r>
              <w:rPr>
                <w:rFonts w:ascii="Arial" w:cs="Arial" w:eastAsia="Arial" w:hAnsi="Arial"/>
                <w:sz w:val="16"/>
                <w:szCs w:val="16"/>
                <w:color w:val="auto"/>
              </w:rPr>
              <w:t>10.6(a)</w:t>
            </w:r>
          </w:p>
        </w:tc>
        <w:tc>
          <w:tcPr>
            <w:tcW w:w="6460" w:type="dxa"/>
            <w:vAlign w:val="bottom"/>
            <w:tcBorders>
              <w:bottom w:val="single" w:sz="8" w:color="0000EE"/>
            </w:tcBorders>
            <w:gridSpan w:val="6"/>
          </w:tcPr>
          <w:p>
            <w:pPr>
              <w:spacing w:after="0"/>
              <w:rPr>
                <w:rFonts w:ascii="Arial" w:cs="Arial" w:eastAsia="Arial" w:hAnsi="Arial"/>
                <w:sz w:val="16"/>
                <w:szCs w:val="16"/>
                <w:color w:val="0000EE"/>
                <w:w w:val="92"/>
              </w:rPr>
            </w:pPr>
            <w:hyperlink r:id="rId129">
              <w:r>
                <w:rPr>
                  <w:rFonts w:ascii="Arial" w:cs="Arial" w:eastAsia="Arial" w:hAnsi="Arial"/>
                  <w:sz w:val="16"/>
                  <w:szCs w:val="16"/>
                  <w:color w:val="0000EE"/>
                  <w:w w:val="92"/>
                </w:rPr>
                <w:t>Second Lien Credit and Guaranty Agreement, dated as of August 28, 2017, by and among Corsair</w:t>
              </w:r>
            </w:hyperlink>
          </w:p>
        </w:tc>
        <w:tc>
          <w:tcPr>
            <w:tcW w:w="500" w:type="dxa"/>
            <w:vAlign w:val="bottom"/>
            <w:gridSpan w:val="6"/>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S-1</w:t>
            </w:r>
          </w:p>
        </w:tc>
        <w:tc>
          <w:tcPr>
            <w:tcW w:w="1400" w:type="dxa"/>
            <w:vAlign w:val="bottom"/>
          </w:tcPr>
          <w:p>
            <w:pPr>
              <w:ind w:left="160"/>
              <w:spacing w:after="0"/>
              <w:rPr>
                <w:sz w:val="20"/>
                <w:szCs w:val="20"/>
                <w:color w:val="auto"/>
              </w:rPr>
            </w:pPr>
            <w:r>
              <w:rPr>
                <w:rFonts w:ascii="Arial" w:cs="Arial" w:eastAsia="Arial" w:hAnsi="Arial"/>
                <w:sz w:val="16"/>
                <w:szCs w:val="16"/>
                <w:color w:val="auto"/>
              </w:rPr>
              <w:t>August 21, 2020</w:t>
            </w:r>
          </w:p>
        </w:tc>
        <w:tc>
          <w:tcPr>
            <w:tcW w:w="660" w:type="dxa"/>
            <w:vAlign w:val="bottom"/>
          </w:tcPr>
          <w:p>
            <w:pPr>
              <w:ind w:left="180"/>
              <w:spacing w:after="0"/>
              <w:rPr>
                <w:sz w:val="20"/>
                <w:szCs w:val="20"/>
                <w:color w:val="auto"/>
              </w:rPr>
            </w:pPr>
            <w:r>
              <w:rPr>
                <w:rFonts w:ascii="Arial" w:cs="Arial" w:eastAsia="Arial" w:hAnsi="Arial"/>
                <w:sz w:val="16"/>
                <w:szCs w:val="16"/>
                <w:color w:val="auto"/>
                <w:w w:val="90"/>
              </w:rPr>
              <w:t>10.6(a)</w:t>
            </w:r>
          </w:p>
        </w:tc>
      </w:tr>
      <w:tr>
        <w:trPr>
          <w:trHeight w:val="177"/>
        </w:trPr>
        <w:tc>
          <w:tcPr>
            <w:tcW w:w="860" w:type="dxa"/>
            <w:vAlign w:val="bottom"/>
          </w:tcPr>
          <w:p>
            <w:pPr>
              <w:spacing w:after="0"/>
              <w:rPr>
                <w:sz w:val="15"/>
                <w:szCs w:val="15"/>
                <w:color w:val="auto"/>
              </w:rPr>
            </w:pPr>
          </w:p>
        </w:tc>
        <w:tc>
          <w:tcPr>
            <w:tcW w:w="6280" w:type="dxa"/>
            <w:vAlign w:val="bottom"/>
            <w:tcBorders>
              <w:bottom w:val="single" w:sz="8" w:color="0000EE"/>
            </w:tcBorders>
            <w:gridSpan w:val="5"/>
          </w:tcPr>
          <w:p>
            <w:pPr>
              <w:spacing w:after="0" w:line="178" w:lineRule="exact"/>
              <w:rPr>
                <w:rFonts w:ascii="Arial" w:cs="Arial" w:eastAsia="Arial" w:hAnsi="Arial"/>
                <w:sz w:val="16"/>
                <w:szCs w:val="16"/>
                <w:color w:val="0000EE"/>
                <w:w w:val="93"/>
              </w:rPr>
            </w:pPr>
            <w:hyperlink r:id="rId129">
              <w:r>
                <w:rPr>
                  <w:rFonts w:ascii="Arial" w:cs="Arial" w:eastAsia="Arial" w:hAnsi="Arial"/>
                  <w:sz w:val="16"/>
                  <w:szCs w:val="16"/>
                  <w:color w:val="0000EE"/>
                  <w:w w:val="93"/>
                </w:rPr>
                <w:t>Group (Cayman), LP and certain of its subsidiaries including the Registrant, Macquarie Capital</w:t>
              </w:r>
            </w:hyperlink>
          </w:p>
        </w:tc>
        <w:tc>
          <w:tcPr>
            <w:tcW w:w="68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4460" w:type="dxa"/>
            <w:vAlign w:val="bottom"/>
            <w:tcBorders>
              <w:bottom w:val="single" w:sz="8" w:color="0000EE"/>
            </w:tcBorders>
            <w:gridSpan w:val="2"/>
          </w:tcPr>
          <w:p>
            <w:pPr>
              <w:spacing w:after="0" w:line="178" w:lineRule="exact"/>
              <w:rPr>
                <w:rFonts w:ascii="Arial" w:cs="Arial" w:eastAsia="Arial" w:hAnsi="Arial"/>
                <w:sz w:val="16"/>
                <w:szCs w:val="16"/>
                <w:color w:val="0000EE"/>
                <w:w w:val="92"/>
              </w:rPr>
            </w:pPr>
            <w:hyperlink r:id="rId129">
              <w:r>
                <w:rPr>
                  <w:rFonts w:ascii="Arial" w:cs="Arial" w:eastAsia="Arial" w:hAnsi="Arial"/>
                  <w:sz w:val="16"/>
                  <w:szCs w:val="16"/>
                  <w:color w:val="0000EE"/>
                  <w:w w:val="92"/>
                </w:rPr>
                <w:t>Funding LLC, as administrative agent, and the other parties thereto.</w:t>
              </w:r>
            </w:hyperlink>
          </w:p>
        </w:tc>
        <w:tc>
          <w:tcPr>
            <w:tcW w:w="250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9"/>
        </w:trPr>
        <w:tc>
          <w:tcPr>
            <w:tcW w:w="860" w:type="dxa"/>
            <w:vAlign w:val="bottom"/>
          </w:tcPr>
          <w:p>
            <w:pPr>
              <w:spacing w:after="0"/>
              <w:rPr>
                <w:sz w:val="20"/>
                <w:szCs w:val="20"/>
                <w:color w:val="auto"/>
              </w:rPr>
            </w:pPr>
            <w:r>
              <w:rPr>
                <w:rFonts w:ascii="Arial" w:cs="Arial" w:eastAsia="Arial" w:hAnsi="Arial"/>
                <w:sz w:val="16"/>
                <w:szCs w:val="16"/>
                <w:color w:val="auto"/>
              </w:rPr>
              <w:t>10.6(b)</w:t>
            </w:r>
          </w:p>
        </w:tc>
        <w:tc>
          <w:tcPr>
            <w:tcW w:w="6960" w:type="dxa"/>
            <w:vAlign w:val="bottom"/>
            <w:gridSpan w:val="12"/>
          </w:tcPr>
          <w:p>
            <w:pPr>
              <w:spacing w:after="0"/>
              <w:rPr>
                <w:rFonts w:ascii="Arial" w:cs="Arial" w:eastAsia="Arial" w:hAnsi="Arial"/>
                <w:sz w:val="16"/>
                <w:szCs w:val="16"/>
                <w:color w:val="0000EE"/>
                <w:w w:val="98"/>
              </w:rPr>
            </w:pPr>
            <w:hyperlink r:id="rId130">
              <w:r>
                <w:rPr>
                  <w:rFonts w:ascii="Arial" w:cs="Arial" w:eastAsia="Arial" w:hAnsi="Arial"/>
                  <w:sz w:val="16"/>
                  <w:szCs w:val="16"/>
                  <w:color w:val="0000EE"/>
                  <w:w w:val="98"/>
                </w:rPr>
                <w:t>Amendment No. 1 to Second Lien Credit and Guaranty, dated as of October 3, 2017, by and among</w:t>
              </w:r>
            </w:hyperlink>
          </w:p>
        </w:tc>
        <w:tc>
          <w:tcPr>
            <w:tcW w:w="580" w:type="dxa"/>
            <w:vAlign w:val="bottom"/>
          </w:tcPr>
          <w:p>
            <w:pPr>
              <w:ind w:left="200"/>
              <w:spacing w:after="0"/>
              <w:rPr>
                <w:sz w:val="20"/>
                <w:szCs w:val="20"/>
                <w:color w:val="auto"/>
              </w:rPr>
            </w:pPr>
            <w:r>
              <w:rPr>
                <w:rFonts w:ascii="Arial" w:cs="Arial" w:eastAsia="Arial" w:hAnsi="Arial"/>
                <w:sz w:val="16"/>
                <w:szCs w:val="16"/>
                <w:color w:val="auto"/>
              </w:rPr>
              <w:t>S-1</w:t>
            </w:r>
          </w:p>
        </w:tc>
        <w:tc>
          <w:tcPr>
            <w:tcW w:w="1400" w:type="dxa"/>
            <w:vAlign w:val="bottom"/>
          </w:tcPr>
          <w:p>
            <w:pPr>
              <w:ind w:left="160"/>
              <w:spacing w:after="0"/>
              <w:rPr>
                <w:sz w:val="20"/>
                <w:szCs w:val="20"/>
                <w:color w:val="auto"/>
              </w:rPr>
            </w:pPr>
            <w:r>
              <w:rPr>
                <w:rFonts w:ascii="Arial" w:cs="Arial" w:eastAsia="Arial" w:hAnsi="Arial"/>
                <w:sz w:val="16"/>
                <w:szCs w:val="16"/>
                <w:color w:val="auto"/>
              </w:rPr>
              <w:t>August 21, 2020</w:t>
            </w:r>
          </w:p>
        </w:tc>
        <w:tc>
          <w:tcPr>
            <w:tcW w:w="660" w:type="dxa"/>
            <w:vAlign w:val="bottom"/>
          </w:tcPr>
          <w:p>
            <w:pPr>
              <w:ind w:left="180"/>
              <w:spacing w:after="0"/>
              <w:rPr>
                <w:sz w:val="20"/>
                <w:szCs w:val="20"/>
                <w:color w:val="auto"/>
              </w:rPr>
            </w:pPr>
            <w:r>
              <w:rPr>
                <w:rFonts w:ascii="Arial" w:cs="Arial" w:eastAsia="Arial" w:hAnsi="Arial"/>
                <w:sz w:val="16"/>
                <w:szCs w:val="16"/>
                <w:color w:val="auto"/>
                <w:w w:val="90"/>
              </w:rPr>
              <w:t>10.6(b)</w:t>
            </w: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560" w:type="dxa"/>
            <w:vAlign w:val="bottom"/>
            <w:gridSpan w:val="6"/>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7"/>
        </w:trPr>
        <w:tc>
          <w:tcPr>
            <w:tcW w:w="860" w:type="dxa"/>
            <w:vAlign w:val="bottom"/>
          </w:tcPr>
          <w:p>
            <w:pPr>
              <w:spacing w:after="0"/>
              <w:rPr>
                <w:sz w:val="15"/>
                <w:szCs w:val="15"/>
                <w:color w:val="auto"/>
              </w:rPr>
            </w:pPr>
          </w:p>
        </w:tc>
        <w:tc>
          <w:tcPr>
            <w:tcW w:w="6960" w:type="dxa"/>
            <w:vAlign w:val="bottom"/>
            <w:gridSpan w:val="12"/>
          </w:tcPr>
          <w:p>
            <w:pPr>
              <w:spacing w:after="0" w:line="178" w:lineRule="exact"/>
              <w:rPr>
                <w:rFonts w:ascii="Arial" w:cs="Arial" w:eastAsia="Arial" w:hAnsi="Arial"/>
                <w:sz w:val="16"/>
                <w:szCs w:val="16"/>
                <w:color w:val="0000EE"/>
                <w:w w:val="97"/>
              </w:rPr>
            </w:pPr>
            <w:hyperlink r:id="rId130">
              <w:r>
                <w:rPr>
                  <w:rFonts w:ascii="Arial" w:cs="Arial" w:eastAsia="Arial" w:hAnsi="Arial"/>
                  <w:sz w:val="16"/>
                  <w:szCs w:val="16"/>
                  <w:color w:val="0000EE"/>
                  <w:w w:val="97"/>
                </w:rPr>
                <w:t>Corsair Group (Cayman), LP, Macquarie Capital Funding LLC, as administrative agent, and the other</w:t>
              </w:r>
            </w:hyperlink>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980" w:type="dxa"/>
            <w:vAlign w:val="bottom"/>
            <w:tcBorders>
              <w:top w:val="single" w:sz="8" w:color="0000EE"/>
              <w:bottom w:val="single" w:sz="8" w:color="0000EE"/>
            </w:tcBorders>
          </w:tcPr>
          <w:p>
            <w:pPr>
              <w:spacing w:after="0" w:line="178" w:lineRule="exact"/>
              <w:rPr>
                <w:rFonts w:ascii="Arial" w:cs="Arial" w:eastAsia="Arial" w:hAnsi="Arial"/>
                <w:sz w:val="16"/>
                <w:szCs w:val="16"/>
                <w:color w:val="0000EE"/>
                <w:w w:val="89"/>
              </w:rPr>
            </w:pPr>
            <w:hyperlink r:id="rId130">
              <w:r>
                <w:rPr>
                  <w:rFonts w:ascii="Arial" w:cs="Arial" w:eastAsia="Arial" w:hAnsi="Arial"/>
                  <w:sz w:val="16"/>
                  <w:szCs w:val="16"/>
                  <w:color w:val="0000EE"/>
                  <w:w w:val="89"/>
                </w:rPr>
                <w:t>parties thereto.</w:t>
              </w:r>
            </w:hyperlink>
          </w:p>
        </w:tc>
        <w:tc>
          <w:tcPr>
            <w:tcW w:w="5700" w:type="dxa"/>
            <w:vAlign w:val="bottom"/>
            <w:tcBorders>
              <w:top w:val="single" w:sz="8" w:color="0000EE"/>
            </w:tcBorders>
            <w:gridSpan w:val="9"/>
          </w:tcPr>
          <w:p>
            <w:pPr>
              <w:spacing w:after="0"/>
              <w:rPr>
                <w:sz w:val="15"/>
                <w:szCs w:val="15"/>
                <w:color w:val="auto"/>
              </w:rPr>
            </w:pPr>
          </w:p>
        </w:tc>
        <w:tc>
          <w:tcPr>
            <w:tcW w:w="2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780"/>
          </w:cols>
          <w:pgMar w:left="320" w:top="123" w:right="799" w:bottom="1440" w:gutter="0" w:footer="0" w:header="0"/>
          <w:type w:val="continuous"/>
        </w:sectPr>
      </w:pPr>
    </w:p>
    <w:p>
      <w:pPr>
        <w:spacing w:after="0" w:line="23"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900" w:type="dxa"/>
            <w:vAlign w:val="bottom"/>
          </w:tcPr>
          <w:p>
            <w:pPr>
              <w:jc w:val="center"/>
              <w:ind w:right="258"/>
              <w:spacing w:after="0"/>
              <w:rPr>
                <w:sz w:val="20"/>
                <w:szCs w:val="20"/>
                <w:color w:val="auto"/>
              </w:rPr>
            </w:pPr>
            <w:r>
              <w:rPr>
                <w:rFonts w:ascii="Arial" w:cs="Arial" w:eastAsia="Arial" w:hAnsi="Arial"/>
                <w:sz w:val="16"/>
                <w:szCs w:val="16"/>
                <w:color w:val="auto"/>
                <w:w w:val="89"/>
              </w:rPr>
              <w:t>10.7</w:t>
            </w:r>
          </w:p>
        </w:tc>
        <w:tc>
          <w:tcPr>
            <w:tcW w:w="6700" w:type="dxa"/>
            <w:vAlign w:val="bottom"/>
            <w:gridSpan w:val="13"/>
          </w:tcPr>
          <w:p>
            <w:pPr>
              <w:spacing w:after="0"/>
              <w:rPr>
                <w:rFonts w:ascii="Arial" w:cs="Arial" w:eastAsia="Arial" w:hAnsi="Arial"/>
                <w:sz w:val="16"/>
                <w:szCs w:val="16"/>
                <w:color w:val="0000EE"/>
                <w:w w:val="92"/>
              </w:rPr>
            </w:pPr>
            <w:hyperlink r:id="rId131">
              <w:r>
                <w:rPr>
                  <w:rFonts w:ascii="Arial" w:cs="Arial" w:eastAsia="Arial" w:hAnsi="Arial"/>
                  <w:sz w:val="16"/>
                  <w:szCs w:val="16"/>
                  <w:color w:val="0000EE"/>
                  <w:w w:val="92"/>
                </w:rPr>
                <w:t>Industrial Space Lease, dated as of August 18, 2014, by and among Corsair Memory, Inc. and Osprey</w:t>
              </w:r>
            </w:hyperlink>
          </w:p>
        </w:tc>
      </w:tr>
      <w:tr>
        <w:trPr>
          <w:trHeight w:val="177"/>
        </w:trPr>
        <w:tc>
          <w:tcPr>
            <w:tcW w:w="90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5"/>
          </w:tcPr>
          <w:p>
            <w:pPr>
              <w:spacing w:after="0" w:line="178" w:lineRule="exact"/>
              <w:rPr>
                <w:rFonts w:ascii="Arial" w:cs="Arial" w:eastAsia="Arial" w:hAnsi="Arial"/>
                <w:sz w:val="16"/>
                <w:szCs w:val="16"/>
                <w:color w:val="0000EE"/>
                <w:w w:val="97"/>
              </w:rPr>
            </w:pPr>
            <w:hyperlink r:id="rId131">
              <w:r>
                <w:rPr>
                  <w:rFonts w:ascii="Arial" w:cs="Arial" w:eastAsia="Arial" w:hAnsi="Arial"/>
                  <w:sz w:val="16"/>
                  <w:szCs w:val="16"/>
                  <w:color w:val="0000EE"/>
                  <w:w w:val="97"/>
                </w:rPr>
                <w:t>Capital Building 50, LLC.</w:t>
              </w:r>
            </w:hyperlink>
          </w:p>
        </w:tc>
        <w:tc>
          <w:tcPr>
            <w:tcW w:w="494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449"/>
        </w:trPr>
        <w:tc>
          <w:tcPr>
            <w:tcW w:w="900" w:type="dxa"/>
            <w:vAlign w:val="bottom"/>
          </w:tcPr>
          <w:p>
            <w:pPr>
              <w:jc w:val="center"/>
              <w:ind w:right="258"/>
              <w:spacing w:after="0"/>
              <w:rPr>
                <w:sz w:val="20"/>
                <w:szCs w:val="20"/>
                <w:color w:val="auto"/>
              </w:rPr>
            </w:pPr>
            <w:r>
              <w:rPr>
                <w:rFonts w:ascii="Arial" w:cs="Arial" w:eastAsia="Arial" w:hAnsi="Arial"/>
                <w:sz w:val="16"/>
                <w:szCs w:val="16"/>
                <w:color w:val="auto"/>
                <w:w w:val="93"/>
              </w:rPr>
              <w:t>10.8(a)#</w:t>
            </w:r>
          </w:p>
        </w:tc>
        <w:tc>
          <w:tcPr>
            <w:tcW w:w="6700" w:type="dxa"/>
            <w:vAlign w:val="bottom"/>
            <w:gridSpan w:val="13"/>
          </w:tcPr>
          <w:p>
            <w:pPr>
              <w:spacing w:after="0"/>
              <w:rPr>
                <w:rFonts w:ascii="Arial" w:cs="Arial" w:eastAsia="Arial" w:hAnsi="Arial"/>
                <w:sz w:val="16"/>
                <w:szCs w:val="16"/>
                <w:color w:val="0000EE"/>
                <w:w w:val="95"/>
              </w:rPr>
            </w:pPr>
            <w:hyperlink r:id="rId132">
              <w:r>
                <w:rPr>
                  <w:rFonts w:ascii="Arial" w:cs="Arial" w:eastAsia="Arial" w:hAnsi="Arial"/>
                  <w:sz w:val="16"/>
                  <w:szCs w:val="16"/>
                  <w:color w:val="0000EE"/>
                  <w:w w:val="95"/>
                </w:rPr>
                <w:t>Severance Letter Agreement, dated as July 1, 2010, by and among Corsair Memory, Inc. and Andy</w:t>
              </w:r>
            </w:hyperlink>
          </w:p>
        </w:tc>
      </w:tr>
      <w:tr>
        <w:trPr>
          <w:trHeight w:val="177"/>
        </w:trPr>
        <w:tc>
          <w:tcPr>
            <w:tcW w:w="90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78" w:lineRule="exact"/>
              <w:rPr>
                <w:rFonts w:ascii="Arial" w:cs="Arial" w:eastAsia="Arial" w:hAnsi="Arial"/>
                <w:sz w:val="16"/>
                <w:szCs w:val="16"/>
                <w:color w:val="0000EE"/>
                <w:w w:val="87"/>
              </w:rPr>
            </w:pPr>
            <w:hyperlink r:id="rId132">
              <w:r>
                <w:rPr>
                  <w:rFonts w:ascii="Arial" w:cs="Arial" w:eastAsia="Arial" w:hAnsi="Arial"/>
                  <w:sz w:val="16"/>
                  <w:szCs w:val="16"/>
                  <w:color w:val="0000EE"/>
                  <w:w w:val="87"/>
                </w:rPr>
                <w:t>Paul.</w:t>
              </w:r>
            </w:hyperlink>
          </w:p>
        </w:tc>
        <w:tc>
          <w:tcPr>
            <w:tcW w:w="6160" w:type="dxa"/>
            <w:vAlign w:val="bottom"/>
            <w:tcBorders>
              <w:top w:val="single" w:sz="8" w:color="0000EE"/>
            </w:tcBorders>
            <w:gridSpan w:val="9"/>
          </w:tcPr>
          <w:p>
            <w:pPr>
              <w:spacing w:after="0"/>
              <w:rPr>
                <w:sz w:val="15"/>
                <w:szCs w:val="15"/>
                <w:color w:val="auto"/>
              </w:rPr>
            </w:pPr>
          </w:p>
        </w:tc>
        <w:tc>
          <w:tcPr>
            <w:tcW w:w="200" w:type="dxa"/>
            <w:vAlign w:val="bottom"/>
            <w:gridSpan w:val="3"/>
          </w:tcPr>
          <w:p>
            <w:pPr>
              <w:spacing w:after="0"/>
              <w:rPr>
                <w:sz w:val="15"/>
                <w:szCs w:val="15"/>
                <w:color w:val="auto"/>
              </w:rPr>
            </w:pPr>
          </w:p>
        </w:tc>
      </w:tr>
      <w:tr>
        <w:trPr>
          <w:trHeight w:val="399"/>
        </w:trPr>
        <w:tc>
          <w:tcPr>
            <w:tcW w:w="900" w:type="dxa"/>
            <w:vAlign w:val="bottom"/>
          </w:tcPr>
          <w:p>
            <w:pPr>
              <w:jc w:val="center"/>
              <w:ind w:right="258"/>
              <w:spacing w:after="0"/>
              <w:rPr>
                <w:sz w:val="20"/>
                <w:szCs w:val="20"/>
                <w:color w:val="auto"/>
              </w:rPr>
            </w:pPr>
            <w:r>
              <w:rPr>
                <w:rFonts w:ascii="Arial" w:cs="Arial" w:eastAsia="Arial" w:hAnsi="Arial"/>
                <w:sz w:val="16"/>
                <w:szCs w:val="16"/>
                <w:color w:val="auto"/>
                <w:w w:val="93"/>
              </w:rPr>
              <w:t>10.8(b)#</w:t>
            </w:r>
          </w:p>
        </w:tc>
        <w:tc>
          <w:tcPr>
            <w:tcW w:w="6460" w:type="dxa"/>
            <w:vAlign w:val="bottom"/>
            <w:tcBorders>
              <w:bottom w:val="single" w:sz="8" w:color="0000EE"/>
            </w:tcBorders>
            <w:gridSpan w:val="8"/>
          </w:tcPr>
          <w:p>
            <w:pPr>
              <w:spacing w:after="0"/>
              <w:rPr>
                <w:rFonts w:ascii="Arial" w:cs="Arial" w:eastAsia="Arial" w:hAnsi="Arial"/>
                <w:sz w:val="16"/>
                <w:szCs w:val="16"/>
                <w:color w:val="0000EE"/>
                <w:w w:val="92"/>
              </w:rPr>
            </w:pPr>
            <w:hyperlink r:id="rId133">
              <w:r>
                <w:rPr>
                  <w:rFonts w:ascii="Arial" w:cs="Arial" w:eastAsia="Arial" w:hAnsi="Arial"/>
                  <w:sz w:val="16"/>
                  <w:szCs w:val="16"/>
                  <w:color w:val="0000EE"/>
                  <w:w w:val="92"/>
                </w:rPr>
                <w:t>Severance Letter Agreement, dated as July 1, 2010, by and among Corsair Memory, Inc. and Nick</w:t>
              </w:r>
            </w:hyperlink>
          </w:p>
        </w:tc>
        <w:tc>
          <w:tcPr>
            <w:tcW w:w="240" w:type="dxa"/>
            <w:vAlign w:val="bottom"/>
            <w:gridSpan w:val="5"/>
          </w:tcPr>
          <w:p>
            <w:pPr>
              <w:spacing w:after="0"/>
              <w:rPr>
                <w:sz w:val="24"/>
                <w:szCs w:val="24"/>
                <w:color w:val="auto"/>
              </w:rPr>
            </w:pPr>
          </w:p>
        </w:tc>
      </w:tr>
      <w:tr>
        <w:trPr>
          <w:trHeight w:val="177"/>
        </w:trPr>
        <w:tc>
          <w:tcPr>
            <w:tcW w:w="900" w:type="dxa"/>
            <w:vAlign w:val="bottom"/>
          </w:tcPr>
          <w:p>
            <w:pPr>
              <w:spacing w:after="0"/>
              <w:rPr>
                <w:sz w:val="15"/>
                <w:szCs w:val="15"/>
                <w:color w:val="auto"/>
              </w:rPr>
            </w:pPr>
          </w:p>
        </w:tc>
        <w:tc>
          <w:tcPr>
            <w:tcW w:w="6700" w:type="dxa"/>
            <w:vAlign w:val="bottom"/>
            <w:gridSpan w:val="13"/>
          </w:tcPr>
          <w:p>
            <w:pPr>
              <w:spacing w:after="0" w:line="178" w:lineRule="exact"/>
              <w:rPr>
                <w:rFonts w:ascii="Arial" w:cs="Arial" w:eastAsia="Arial" w:hAnsi="Arial"/>
                <w:sz w:val="16"/>
                <w:szCs w:val="16"/>
                <w:color w:val="0000EE"/>
              </w:rPr>
            </w:pPr>
            <w:hyperlink r:id="rId133">
              <w:r>
                <w:rPr>
                  <w:rFonts w:ascii="Arial" w:cs="Arial" w:eastAsia="Arial" w:hAnsi="Arial"/>
                  <w:sz w:val="16"/>
                  <w:szCs w:val="16"/>
                  <w:color w:val="0000EE"/>
                </w:rPr>
                <w:t>Hawkins.</w:t>
              </w:r>
            </w:hyperlink>
          </w:p>
        </w:tc>
      </w:tr>
      <w:tr>
        <w:trPr>
          <w:trHeight w:val="20"/>
        </w:trPr>
        <w:tc>
          <w:tcPr>
            <w:tcW w:w="9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9"/>
        </w:trPr>
        <w:tc>
          <w:tcPr>
            <w:tcW w:w="900" w:type="dxa"/>
            <w:vAlign w:val="bottom"/>
          </w:tcPr>
          <w:p>
            <w:pPr>
              <w:jc w:val="center"/>
              <w:ind w:right="278"/>
              <w:spacing w:after="0"/>
              <w:rPr>
                <w:sz w:val="20"/>
                <w:szCs w:val="20"/>
                <w:color w:val="auto"/>
              </w:rPr>
            </w:pPr>
            <w:r>
              <w:rPr>
                <w:rFonts w:ascii="Arial" w:cs="Arial" w:eastAsia="Arial" w:hAnsi="Arial"/>
                <w:sz w:val="16"/>
                <w:szCs w:val="16"/>
                <w:color w:val="auto"/>
                <w:w w:val="94"/>
              </w:rPr>
              <w:t>10.9#</w:t>
            </w:r>
          </w:p>
        </w:tc>
        <w:tc>
          <w:tcPr>
            <w:tcW w:w="6700" w:type="dxa"/>
            <w:vAlign w:val="bottom"/>
            <w:tcBorders>
              <w:bottom w:val="single" w:sz="8" w:color="0000EE"/>
            </w:tcBorders>
            <w:gridSpan w:val="13"/>
          </w:tcPr>
          <w:p>
            <w:pPr>
              <w:spacing w:after="0"/>
              <w:rPr>
                <w:rFonts w:ascii="Arial" w:cs="Arial" w:eastAsia="Arial" w:hAnsi="Arial"/>
                <w:sz w:val="16"/>
                <w:szCs w:val="16"/>
                <w:color w:val="0000EE"/>
                <w:w w:val="93"/>
              </w:rPr>
            </w:pPr>
            <w:hyperlink r:id="rId134">
              <w:r>
                <w:rPr>
                  <w:rFonts w:ascii="Arial" w:cs="Arial" w:eastAsia="Arial" w:hAnsi="Arial"/>
                  <w:sz w:val="16"/>
                  <w:szCs w:val="16"/>
                  <w:color w:val="0000EE"/>
                  <w:w w:val="93"/>
                </w:rPr>
                <w:t>Separation Agreement, dated April 30, 2019, by and among Corsair Memory, Inc. and Nick Hawkins.</w:t>
              </w:r>
            </w:hyperlink>
          </w:p>
        </w:tc>
      </w:tr>
      <w:tr>
        <w:trPr>
          <w:trHeight w:val="399"/>
        </w:trPr>
        <w:tc>
          <w:tcPr>
            <w:tcW w:w="900" w:type="dxa"/>
            <w:vAlign w:val="bottom"/>
          </w:tcPr>
          <w:p>
            <w:pPr>
              <w:jc w:val="center"/>
              <w:ind w:right="278"/>
              <w:spacing w:after="0"/>
              <w:rPr>
                <w:sz w:val="20"/>
                <w:szCs w:val="20"/>
                <w:color w:val="auto"/>
              </w:rPr>
            </w:pPr>
            <w:r>
              <w:rPr>
                <w:rFonts w:ascii="Arial" w:cs="Arial" w:eastAsia="Arial" w:hAnsi="Arial"/>
                <w:sz w:val="16"/>
                <w:szCs w:val="16"/>
                <w:color w:val="auto"/>
                <w:w w:val="93"/>
              </w:rPr>
              <w:t>10.10#</w:t>
            </w:r>
          </w:p>
        </w:tc>
        <w:tc>
          <w:tcPr>
            <w:tcW w:w="6700" w:type="dxa"/>
            <w:vAlign w:val="bottom"/>
            <w:gridSpan w:val="13"/>
          </w:tcPr>
          <w:p>
            <w:pPr>
              <w:spacing w:after="0"/>
              <w:rPr>
                <w:rFonts w:ascii="Arial" w:cs="Arial" w:eastAsia="Arial" w:hAnsi="Arial"/>
                <w:sz w:val="16"/>
                <w:szCs w:val="16"/>
                <w:color w:val="0000EE"/>
                <w:w w:val="96"/>
              </w:rPr>
            </w:pPr>
            <w:hyperlink r:id="rId135">
              <w:r>
                <w:rPr>
                  <w:rFonts w:ascii="Arial" w:cs="Arial" w:eastAsia="Arial" w:hAnsi="Arial"/>
                  <w:sz w:val="16"/>
                  <w:szCs w:val="16"/>
                  <w:color w:val="0000EE"/>
                  <w:w w:val="96"/>
                </w:rPr>
                <w:t>Offer Letter Agreement, dated October 17, 2019, by and among Corsair Gaming Inc., and Michael</w:t>
              </w:r>
            </w:hyperlink>
          </w:p>
        </w:tc>
      </w:tr>
      <w:tr>
        <w:trPr>
          <w:trHeight w:val="177"/>
        </w:trPr>
        <w:tc>
          <w:tcPr>
            <w:tcW w:w="900" w:type="dxa"/>
            <w:vAlign w:val="bottom"/>
          </w:tcPr>
          <w:p>
            <w:pPr>
              <w:spacing w:after="0"/>
              <w:rPr>
                <w:sz w:val="15"/>
                <w:szCs w:val="15"/>
                <w:color w:val="auto"/>
              </w:rPr>
            </w:pPr>
          </w:p>
        </w:tc>
        <w:tc>
          <w:tcPr>
            <w:tcW w:w="6480" w:type="dxa"/>
            <w:vAlign w:val="bottom"/>
            <w:tcBorders>
              <w:top w:val="single" w:sz="8" w:color="0000EE"/>
            </w:tcBorders>
            <w:gridSpan w:val="9"/>
          </w:tcPr>
          <w:p>
            <w:pPr>
              <w:spacing w:after="0" w:line="178" w:lineRule="exact"/>
              <w:rPr>
                <w:rFonts w:ascii="Arial" w:cs="Arial" w:eastAsia="Arial" w:hAnsi="Arial"/>
                <w:sz w:val="16"/>
                <w:szCs w:val="16"/>
                <w:color w:val="0000EE"/>
              </w:rPr>
            </w:pPr>
            <w:hyperlink r:id="rId135">
              <w:r>
                <w:rPr>
                  <w:rFonts w:ascii="Arial" w:cs="Arial" w:eastAsia="Arial" w:hAnsi="Arial"/>
                  <w:sz w:val="16"/>
                  <w:szCs w:val="16"/>
                  <w:color w:val="0000EE"/>
                </w:rPr>
                <w:t>Potter.</w:t>
              </w:r>
            </w:hyperlink>
          </w:p>
        </w:tc>
        <w:tc>
          <w:tcPr>
            <w:tcW w:w="220" w:type="dxa"/>
            <w:vAlign w:val="bottom"/>
            <w:gridSpan w:val="4"/>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9"/>
        </w:trPr>
        <w:tc>
          <w:tcPr>
            <w:tcW w:w="900" w:type="dxa"/>
            <w:vAlign w:val="bottom"/>
          </w:tcPr>
          <w:p>
            <w:pPr>
              <w:jc w:val="center"/>
              <w:ind w:right="258"/>
              <w:spacing w:after="0"/>
              <w:rPr>
                <w:sz w:val="20"/>
                <w:szCs w:val="20"/>
                <w:color w:val="auto"/>
              </w:rPr>
            </w:pPr>
            <w:r>
              <w:rPr>
                <w:rFonts w:ascii="Arial" w:cs="Arial" w:eastAsia="Arial" w:hAnsi="Arial"/>
                <w:sz w:val="16"/>
                <w:szCs w:val="16"/>
                <w:color w:val="auto"/>
                <w:w w:val="89"/>
              </w:rPr>
              <w:t>10.11#</w:t>
            </w:r>
          </w:p>
        </w:tc>
        <w:tc>
          <w:tcPr>
            <w:tcW w:w="6460" w:type="dxa"/>
            <w:vAlign w:val="bottom"/>
            <w:tcBorders>
              <w:bottom w:val="single" w:sz="8" w:color="0000EE"/>
            </w:tcBorders>
            <w:gridSpan w:val="8"/>
          </w:tcPr>
          <w:p>
            <w:pPr>
              <w:spacing w:after="0"/>
              <w:rPr>
                <w:rFonts w:ascii="Arial" w:cs="Arial" w:eastAsia="Arial" w:hAnsi="Arial"/>
                <w:sz w:val="16"/>
                <w:szCs w:val="16"/>
                <w:color w:val="0000EE"/>
                <w:w w:val="92"/>
              </w:rPr>
            </w:pPr>
            <w:hyperlink r:id="rId136">
              <w:r>
                <w:rPr>
                  <w:rFonts w:ascii="Arial" w:cs="Arial" w:eastAsia="Arial" w:hAnsi="Arial"/>
                  <w:sz w:val="16"/>
                  <w:szCs w:val="16"/>
                  <w:color w:val="0000EE"/>
                  <w:w w:val="92"/>
                </w:rPr>
                <w:t>Second Separation Agreement, dated November 7, 2019, by and among Corsair Memory, Inc. and</w:t>
              </w:r>
            </w:hyperlink>
          </w:p>
        </w:tc>
        <w:tc>
          <w:tcPr>
            <w:tcW w:w="240" w:type="dxa"/>
            <w:vAlign w:val="bottom"/>
            <w:gridSpan w:val="5"/>
          </w:tcPr>
          <w:p>
            <w:pPr>
              <w:spacing w:after="0"/>
              <w:rPr>
                <w:sz w:val="24"/>
                <w:szCs w:val="24"/>
                <w:color w:val="auto"/>
              </w:rPr>
            </w:pPr>
          </w:p>
        </w:tc>
      </w:tr>
      <w:tr>
        <w:trPr>
          <w:trHeight w:val="177"/>
        </w:trPr>
        <w:tc>
          <w:tcPr>
            <w:tcW w:w="900" w:type="dxa"/>
            <w:vAlign w:val="bottom"/>
          </w:tcPr>
          <w:p>
            <w:pPr>
              <w:spacing w:after="0"/>
              <w:rPr>
                <w:sz w:val="15"/>
                <w:szCs w:val="15"/>
                <w:color w:val="auto"/>
              </w:rPr>
            </w:pPr>
          </w:p>
        </w:tc>
        <w:tc>
          <w:tcPr>
            <w:tcW w:w="6700" w:type="dxa"/>
            <w:vAlign w:val="bottom"/>
            <w:gridSpan w:val="13"/>
          </w:tcPr>
          <w:p>
            <w:pPr>
              <w:spacing w:after="0" w:line="178" w:lineRule="exact"/>
              <w:rPr>
                <w:rFonts w:ascii="Arial" w:cs="Arial" w:eastAsia="Arial" w:hAnsi="Arial"/>
                <w:sz w:val="16"/>
                <w:szCs w:val="16"/>
                <w:color w:val="0000EE"/>
              </w:rPr>
            </w:pPr>
            <w:hyperlink r:id="rId136">
              <w:r>
                <w:rPr>
                  <w:rFonts w:ascii="Arial" w:cs="Arial" w:eastAsia="Arial" w:hAnsi="Arial"/>
                  <w:sz w:val="16"/>
                  <w:szCs w:val="16"/>
                  <w:color w:val="0000EE"/>
                </w:rPr>
                <w:t>Nick Hawkins.</w:t>
              </w:r>
            </w:hyperlink>
          </w:p>
        </w:tc>
      </w:tr>
      <w:tr>
        <w:trPr>
          <w:trHeight w:val="20"/>
        </w:trPr>
        <w:tc>
          <w:tcPr>
            <w:tcW w:w="90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9"/>
        </w:trPr>
        <w:tc>
          <w:tcPr>
            <w:tcW w:w="900" w:type="dxa"/>
            <w:vAlign w:val="bottom"/>
          </w:tcPr>
          <w:p>
            <w:pPr>
              <w:jc w:val="center"/>
              <w:ind w:right="278"/>
              <w:spacing w:after="0"/>
              <w:rPr>
                <w:sz w:val="20"/>
                <w:szCs w:val="20"/>
                <w:color w:val="auto"/>
              </w:rPr>
            </w:pPr>
            <w:r>
              <w:rPr>
                <w:rFonts w:ascii="Arial" w:cs="Arial" w:eastAsia="Arial" w:hAnsi="Arial"/>
                <w:sz w:val="16"/>
                <w:szCs w:val="16"/>
                <w:color w:val="auto"/>
                <w:w w:val="94"/>
              </w:rPr>
              <w:t>10.12</w:t>
            </w:r>
          </w:p>
        </w:tc>
        <w:tc>
          <w:tcPr>
            <w:tcW w:w="6620" w:type="dxa"/>
            <w:vAlign w:val="bottom"/>
            <w:tcBorders>
              <w:bottom w:val="single" w:sz="8" w:color="0000EE"/>
            </w:tcBorders>
            <w:gridSpan w:val="11"/>
          </w:tcPr>
          <w:p>
            <w:pPr>
              <w:spacing w:after="0"/>
              <w:rPr>
                <w:rFonts w:ascii="Arial" w:cs="Arial" w:eastAsia="Arial" w:hAnsi="Arial"/>
                <w:sz w:val="16"/>
                <w:szCs w:val="16"/>
                <w:color w:val="0000EE"/>
                <w:w w:val="93"/>
              </w:rPr>
            </w:pPr>
            <w:hyperlink r:id="rId137">
              <w:r>
                <w:rPr>
                  <w:rFonts w:ascii="Arial" w:cs="Arial" w:eastAsia="Arial" w:hAnsi="Arial"/>
                  <w:sz w:val="16"/>
                  <w:szCs w:val="16"/>
                  <w:color w:val="0000EE"/>
                  <w:w w:val="93"/>
                </w:rPr>
                <w:t>Amendment No. 3 to First Lien Credit and Guarantee Agreement, dated as of April 27, 2018, by and</w:t>
              </w:r>
            </w:hyperlink>
          </w:p>
        </w:tc>
        <w:tc>
          <w:tcPr>
            <w:tcW w:w="80" w:type="dxa"/>
            <w:vAlign w:val="bottom"/>
            <w:gridSpan w:val="2"/>
          </w:tcPr>
          <w:p>
            <w:pPr>
              <w:spacing w:after="0"/>
              <w:rPr>
                <w:sz w:val="24"/>
                <w:szCs w:val="24"/>
                <w:color w:val="auto"/>
              </w:rPr>
            </w:pPr>
          </w:p>
        </w:tc>
      </w:tr>
      <w:tr>
        <w:trPr>
          <w:trHeight w:val="177"/>
        </w:trPr>
        <w:tc>
          <w:tcPr>
            <w:tcW w:w="900" w:type="dxa"/>
            <w:vAlign w:val="bottom"/>
          </w:tcPr>
          <w:p>
            <w:pPr>
              <w:spacing w:after="0"/>
              <w:rPr>
                <w:sz w:val="15"/>
                <w:szCs w:val="15"/>
                <w:color w:val="auto"/>
              </w:rPr>
            </w:pPr>
          </w:p>
        </w:tc>
        <w:tc>
          <w:tcPr>
            <w:tcW w:w="6080" w:type="dxa"/>
            <w:vAlign w:val="bottom"/>
            <w:tcBorders>
              <w:bottom w:val="single" w:sz="8" w:color="0000EE"/>
            </w:tcBorders>
            <w:gridSpan w:val="7"/>
          </w:tcPr>
          <w:p>
            <w:pPr>
              <w:spacing w:after="0" w:line="178" w:lineRule="exact"/>
              <w:rPr>
                <w:rFonts w:ascii="Arial" w:cs="Arial" w:eastAsia="Arial" w:hAnsi="Arial"/>
                <w:sz w:val="16"/>
                <w:szCs w:val="16"/>
                <w:color w:val="0000EE"/>
                <w:w w:val="93"/>
              </w:rPr>
            </w:pPr>
            <w:hyperlink r:id="rId137">
              <w:r>
                <w:rPr>
                  <w:rFonts w:ascii="Arial" w:cs="Arial" w:eastAsia="Arial" w:hAnsi="Arial"/>
                  <w:sz w:val="16"/>
                  <w:szCs w:val="16"/>
                  <w:color w:val="0000EE"/>
                  <w:w w:val="93"/>
                </w:rPr>
                <w:t>among Corsair Group (Cayman), LP and certain of its subsidiaries, including the Registrant,</w:t>
              </w:r>
            </w:hyperlink>
          </w:p>
        </w:tc>
        <w:tc>
          <w:tcPr>
            <w:tcW w:w="620" w:type="dxa"/>
            <w:vAlign w:val="bottom"/>
            <w:gridSpan w:val="6"/>
          </w:tcPr>
          <w:p>
            <w:pPr>
              <w:spacing w:after="0"/>
              <w:rPr>
                <w:sz w:val="15"/>
                <w:szCs w:val="15"/>
                <w:color w:val="auto"/>
              </w:rPr>
            </w:pPr>
          </w:p>
        </w:tc>
      </w:tr>
      <w:tr>
        <w:trPr>
          <w:trHeight w:val="177"/>
        </w:trPr>
        <w:tc>
          <w:tcPr>
            <w:tcW w:w="900" w:type="dxa"/>
            <w:vAlign w:val="bottom"/>
          </w:tcPr>
          <w:p>
            <w:pPr>
              <w:spacing w:after="0"/>
              <w:rPr>
                <w:sz w:val="15"/>
                <w:szCs w:val="15"/>
                <w:color w:val="auto"/>
              </w:rPr>
            </w:pPr>
          </w:p>
        </w:tc>
        <w:tc>
          <w:tcPr>
            <w:tcW w:w="6700" w:type="dxa"/>
            <w:vAlign w:val="bottom"/>
            <w:gridSpan w:val="13"/>
          </w:tcPr>
          <w:p>
            <w:pPr>
              <w:spacing w:after="0" w:line="178" w:lineRule="exact"/>
              <w:rPr>
                <w:rFonts w:ascii="Arial" w:cs="Arial" w:eastAsia="Arial" w:hAnsi="Arial"/>
                <w:sz w:val="16"/>
                <w:szCs w:val="16"/>
                <w:color w:val="0000EE"/>
              </w:rPr>
            </w:pPr>
            <w:hyperlink r:id="rId137">
              <w:r>
                <w:rPr>
                  <w:rFonts w:ascii="Arial" w:cs="Arial" w:eastAsia="Arial" w:hAnsi="Arial"/>
                  <w:sz w:val="16"/>
                  <w:szCs w:val="16"/>
                  <w:color w:val="0000EE"/>
                </w:rPr>
                <w:t>Macquarie Capital Funding LLC, as administrative agent, and the other parties thereto.</w:t>
              </w:r>
            </w:hyperlink>
          </w:p>
        </w:tc>
      </w:tr>
      <w:tr>
        <w:trPr>
          <w:trHeight w:val="410"/>
        </w:trPr>
        <w:tc>
          <w:tcPr>
            <w:tcW w:w="900" w:type="dxa"/>
            <w:vAlign w:val="bottom"/>
          </w:tcPr>
          <w:p>
            <w:pPr>
              <w:spacing w:after="0"/>
              <w:rPr>
                <w:sz w:val="24"/>
                <w:szCs w:val="24"/>
                <w:color w:val="auto"/>
              </w:rPr>
            </w:pPr>
          </w:p>
        </w:tc>
        <w:tc>
          <w:tcPr>
            <w:tcW w:w="5720" w:type="dxa"/>
            <w:vAlign w:val="bottom"/>
            <w:tcBorders>
              <w:top w:val="single" w:sz="8" w:color="0000EE"/>
            </w:tcBorders>
            <w:gridSpan w:val="6"/>
          </w:tcPr>
          <w:p>
            <w:pPr>
              <w:ind w:left="4360"/>
              <w:spacing w:after="0"/>
              <w:rPr>
                <w:sz w:val="20"/>
                <w:szCs w:val="20"/>
                <w:color w:val="auto"/>
              </w:rPr>
            </w:pPr>
            <w:r>
              <w:rPr>
                <w:rFonts w:ascii="Arial" w:cs="Arial" w:eastAsia="Arial" w:hAnsi="Arial"/>
                <w:sz w:val="16"/>
                <w:szCs w:val="16"/>
                <w:color w:val="auto"/>
              </w:rPr>
              <w:t>89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50800</wp:posOffset>
            </wp:positionV>
            <wp:extent cx="716978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38"/>
              <w:spacing w:after="0"/>
              <w:rPr>
                <w:sz w:val="20"/>
                <w:szCs w:val="20"/>
                <w:color w:val="auto"/>
              </w:rPr>
            </w:pPr>
            <w:r>
              <w:rPr>
                <w:rFonts w:ascii="Arial" w:cs="Arial" w:eastAsia="Arial" w:hAnsi="Arial"/>
                <w:sz w:val="16"/>
                <w:szCs w:val="16"/>
                <w:color w:val="auto"/>
                <w:w w:val="89"/>
              </w:rPr>
              <w:t>10.7</w:t>
            </w:r>
          </w:p>
        </w:tc>
      </w:tr>
      <w:tr>
        <w:trPr>
          <w:trHeight w:val="666"/>
        </w:trPr>
        <w:tc>
          <w:tcPr>
            <w:tcW w:w="3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18"/>
              <w:spacing w:after="0"/>
              <w:rPr>
                <w:sz w:val="20"/>
                <w:szCs w:val="20"/>
                <w:color w:val="auto"/>
              </w:rPr>
            </w:pPr>
            <w:r>
              <w:rPr>
                <w:rFonts w:ascii="Arial" w:cs="Arial" w:eastAsia="Arial" w:hAnsi="Arial"/>
                <w:sz w:val="16"/>
                <w:szCs w:val="16"/>
                <w:color w:val="auto"/>
                <w:w w:val="90"/>
              </w:rPr>
              <w:t>10.8(a)</w:t>
            </w:r>
          </w:p>
        </w:tc>
      </w:tr>
      <w:tr>
        <w:trPr>
          <w:trHeight w:val="617"/>
        </w:trPr>
        <w:tc>
          <w:tcPr>
            <w:tcW w:w="3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38"/>
              <w:spacing w:after="0"/>
              <w:rPr>
                <w:sz w:val="20"/>
                <w:szCs w:val="20"/>
                <w:color w:val="auto"/>
              </w:rPr>
            </w:pPr>
            <w:r>
              <w:rPr>
                <w:rFonts w:ascii="Arial" w:cs="Arial" w:eastAsia="Arial" w:hAnsi="Arial"/>
                <w:sz w:val="16"/>
                <w:szCs w:val="16"/>
                <w:color w:val="auto"/>
                <w:w w:val="94"/>
              </w:rPr>
              <w:t>10.8(b)</w:t>
            </w:r>
          </w:p>
        </w:tc>
      </w:tr>
      <w:tr>
        <w:trPr>
          <w:trHeight w:val="617"/>
        </w:trPr>
        <w:tc>
          <w:tcPr>
            <w:tcW w:w="3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38"/>
              <w:spacing w:after="0"/>
              <w:rPr>
                <w:sz w:val="20"/>
                <w:szCs w:val="20"/>
                <w:color w:val="auto"/>
              </w:rPr>
            </w:pPr>
            <w:r>
              <w:rPr>
                <w:rFonts w:ascii="Arial" w:cs="Arial" w:eastAsia="Arial" w:hAnsi="Arial"/>
                <w:sz w:val="16"/>
                <w:szCs w:val="16"/>
                <w:color w:val="auto"/>
                <w:w w:val="89"/>
              </w:rPr>
              <w:t>10.9</w:t>
            </w:r>
          </w:p>
        </w:tc>
      </w:tr>
      <w:tr>
        <w:trPr>
          <w:trHeight w:val="419"/>
        </w:trPr>
        <w:tc>
          <w:tcPr>
            <w:tcW w:w="3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18"/>
              <w:spacing w:after="0"/>
              <w:rPr>
                <w:sz w:val="20"/>
                <w:szCs w:val="20"/>
                <w:color w:val="auto"/>
              </w:rPr>
            </w:pPr>
            <w:r>
              <w:rPr>
                <w:rFonts w:ascii="Arial" w:cs="Arial" w:eastAsia="Arial" w:hAnsi="Arial"/>
                <w:sz w:val="16"/>
                <w:szCs w:val="16"/>
                <w:color w:val="auto"/>
                <w:w w:val="94"/>
              </w:rPr>
              <w:t>10.10</w:t>
            </w:r>
          </w:p>
        </w:tc>
      </w:tr>
      <w:tr>
        <w:trPr>
          <w:trHeight w:val="617"/>
        </w:trPr>
        <w:tc>
          <w:tcPr>
            <w:tcW w:w="3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August 21, 2020</w:t>
            </w:r>
          </w:p>
        </w:tc>
        <w:tc>
          <w:tcPr>
            <w:tcW w:w="600" w:type="dxa"/>
            <w:vAlign w:val="bottom"/>
          </w:tcPr>
          <w:p>
            <w:pPr>
              <w:jc w:val="center"/>
              <w:ind w:left="38"/>
              <w:spacing w:after="0"/>
              <w:rPr>
                <w:sz w:val="20"/>
                <w:szCs w:val="20"/>
                <w:color w:val="auto"/>
              </w:rPr>
            </w:pPr>
            <w:r>
              <w:rPr>
                <w:rFonts w:ascii="Arial" w:cs="Arial" w:eastAsia="Arial" w:hAnsi="Arial"/>
                <w:sz w:val="16"/>
                <w:szCs w:val="16"/>
                <w:color w:val="auto"/>
                <w:w w:val="89"/>
              </w:rPr>
              <w:t>10.11</w:t>
            </w:r>
          </w:p>
        </w:tc>
      </w:tr>
      <w:tr>
        <w:trPr>
          <w:trHeight w:val="606"/>
        </w:trPr>
        <w:tc>
          <w:tcPr>
            <w:tcW w:w="340" w:type="dxa"/>
            <w:vAlign w:val="bottom"/>
          </w:tcPr>
          <w:p>
            <w:pPr>
              <w:jc w:val="center"/>
              <w:spacing w:after="0"/>
              <w:rPr>
                <w:sz w:val="20"/>
                <w:szCs w:val="20"/>
                <w:color w:val="auto"/>
              </w:rPr>
            </w:pPr>
            <w:r>
              <w:rPr>
                <w:rFonts w:ascii="Arial" w:cs="Arial" w:eastAsia="Arial" w:hAnsi="Arial"/>
                <w:sz w:val="16"/>
                <w:szCs w:val="16"/>
                <w:color w:val="auto"/>
                <w:w w:val="87"/>
              </w:rPr>
              <w:t>S-</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September 21, 2020</w:t>
            </w:r>
          </w:p>
        </w:tc>
        <w:tc>
          <w:tcPr>
            <w:tcW w:w="600" w:type="dxa"/>
            <w:vAlign w:val="bottom"/>
          </w:tcPr>
          <w:p>
            <w:pPr>
              <w:jc w:val="center"/>
              <w:ind w:left="18"/>
              <w:spacing w:after="0"/>
              <w:rPr>
                <w:sz w:val="20"/>
                <w:szCs w:val="20"/>
                <w:color w:val="auto"/>
              </w:rPr>
            </w:pPr>
            <w:r>
              <w:rPr>
                <w:rFonts w:ascii="Arial" w:cs="Arial" w:eastAsia="Arial" w:hAnsi="Arial"/>
                <w:sz w:val="16"/>
                <w:szCs w:val="16"/>
                <w:color w:val="auto"/>
                <w:w w:val="94"/>
              </w:rPr>
              <w:t>10.12</w:t>
            </w:r>
          </w:p>
        </w:tc>
      </w:tr>
      <w:tr>
        <w:trPr>
          <w:trHeight w:val="209"/>
        </w:trPr>
        <w:tc>
          <w:tcPr>
            <w:tcW w:w="340" w:type="dxa"/>
            <w:vAlign w:val="bottom"/>
          </w:tcPr>
          <w:p>
            <w:pPr>
              <w:jc w:val="center"/>
              <w:spacing w:after="0"/>
              <w:rPr>
                <w:sz w:val="20"/>
                <w:szCs w:val="20"/>
                <w:color w:val="auto"/>
              </w:rPr>
            </w:pPr>
            <w:r>
              <w:rPr>
                <w:rFonts w:ascii="Arial" w:cs="Arial" w:eastAsia="Arial" w:hAnsi="Arial"/>
                <w:sz w:val="16"/>
                <w:szCs w:val="16"/>
                <w:color w:val="auto"/>
              </w:rPr>
              <w:t>1/A</w:t>
            </w:r>
          </w:p>
        </w:tc>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ectPr>
          <w:pgSz w:w="11900" w:h="16838" w:orient="portrait"/>
          <w:cols w:equalWidth="0" w:num="2">
            <w:col w:w="7880" w:space="440"/>
            <w:col w:w="2460"/>
          </w:cols>
          <w:pgMar w:left="320" w:top="123" w:right="799" w:bottom="1440" w:gutter="0" w:footer="0" w:header="0"/>
          <w:type w:val="continuous"/>
        </w:sectPr>
      </w:pPr>
    </w:p>
    <w:bookmarkStart w:id="92" w:name="page93"/>
    <w:bookmarkEnd w:id="9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10.13</w:t>
            </w:r>
          </w:p>
        </w:tc>
        <w:tc>
          <w:tcPr>
            <w:tcW w:w="6800" w:type="dxa"/>
            <w:vAlign w:val="bottom"/>
            <w:tcBorders>
              <w:bottom w:val="single" w:sz="8" w:color="0000EE"/>
            </w:tcBorders>
            <w:gridSpan w:val="25"/>
          </w:tcPr>
          <w:p>
            <w:pPr>
              <w:spacing w:after="0"/>
              <w:rPr>
                <w:rFonts w:ascii="Arial" w:cs="Arial" w:eastAsia="Arial" w:hAnsi="Arial"/>
                <w:sz w:val="16"/>
                <w:szCs w:val="16"/>
                <w:color w:val="0000EE"/>
                <w:w w:val="92"/>
              </w:rPr>
            </w:pPr>
            <w:hyperlink r:id="rId139">
              <w:r>
                <w:rPr>
                  <w:rFonts w:ascii="Arial" w:cs="Arial" w:eastAsia="Arial" w:hAnsi="Arial"/>
                  <w:sz w:val="16"/>
                  <w:szCs w:val="16"/>
                  <w:color w:val="0000EE"/>
                  <w:w w:val="92"/>
                </w:rPr>
                <w:t>Amendment No. 4 to First Lien Credit and Guarantee Agreement, dated as of October 11, 2018, by and</w:t>
              </w:r>
            </w:hyperlink>
          </w:p>
        </w:tc>
      </w:tr>
      <w:tr>
        <w:trPr>
          <w:trHeight w:val="177"/>
        </w:trPr>
        <w:tc>
          <w:tcPr>
            <w:tcW w:w="920" w:type="dxa"/>
            <w:vAlign w:val="bottom"/>
          </w:tcPr>
          <w:p>
            <w:pPr>
              <w:spacing w:after="0"/>
              <w:rPr>
                <w:sz w:val="15"/>
                <w:szCs w:val="15"/>
                <w:color w:val="auto"/>
              </w:rPr>
            </w:pPr>
          </w:p>
        </w:tc>
        <w:tc>
          <w:tcPr>
            <w:tcW w:w="6080" w:type="dxa"/>
            <w:vAlign w:val="bottom"/>
            <w:tcBorders>
              <w:bottom w:val="single" w:sz="8" w:color="0000EE"/>
            </w:tcBorders>
            <w:gridSpan w:val="14"/>
          </w:tcPr>
          <w:p>
            <w:pPr>
              <w:spacing w:after="0" w:line="178" w:lineRule="exact"/>
              <w:rPr>
                <w:rFonts w:ascii="Arial" w:cs="Arial" w:eastAsia="Arial" w:hAnsi="Arial"/>
                <w:sz w:val="16"/>
                <w:szCs w:val="16"/>
                <w:color w:val="0000EE"/>
                <w:w w:val="93"/>
              </w:rPr>
            </w:pPr>
            <w:hyperlink r:id="rId139">
              <w:r>
                <w:rPr>
                  <w:rFonts w:ascii="Arial" w:cs="Arial" w:eastAsia="Arial" w:hAnsi="Arial"/>
                  <w:sz w:val="16"/>
                  <w:szCs w:val="16"/>
                  <w:color w:val="0000EE"/>
                  <w:w w:val="93"/>
                </w:rPr>
                <w:t>among Corsair Group (Cayman), LP and certain of its subsidiaries, including the Registrant,</w:t>
              </w:r>
            </w:hyperlink>
          </w:p>
        </w:tc>
        <w:tc>
          <w:tcPr>
            <w:tcW w:w="720" w:type="dxa"/>
            <w:vAlign w:val="bottom"/>
            <w:gridSpan w:val="11"/>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5740" w:type="dxa"/>
            <w:vAlign w:val="bottom"/>
            <w:tcBorders>
              <w:bottom w:val="single" w:sz="8" w:color="0000EE"/>
            </w:tcBorders>
            <w:gridSpan w:val="13"/>
          </w:tcPr>
          <w:p>
            <w:pPr>
              <w:spacing w:after="0" w:line="178" w:lineRule="exact"/>
              <w:rPr>
                <w:rFonts w:ascii="Arial" w:cs="Arial" w:eastAsia="Arial" w:hAnsi="Arial"/>
                <w:sz w:val="16"/>
                <w:szCs w:val="16"/>
                <w:color w:val="0000EE"/>
                <w:w w:val="93"/>
              </w:rPr>
            </w:pPr>
            <w:hyperlink r:id="rId139">
              <w:r>
                <w:rPr>
                  <w:rFonts w:ascii="Arial" w:cs="Arial" w:eastAsia="Arial" w:hAnsi="Arial"/>
                  <w:sz w:val="16"/>
                  <w:szCs w:val="16"/>
                  <w:color w:val="0000EE"/>
                  <w:w w:val="93"/>
                </w:rPr>
                <w:t>Macquarie Capital Funding LLC, as administrative agent, and the other parties thereto.</w:t>
              </w:r>
            </w:hyperlink>
          </w:p>
        </w:tc>
        <w:tc>
          <w:tcPr>
            <w:tcW w:w="1060" w:type="dxa"/>
            <w:vAlign w:val="bottom"/>
            <w:gridSpan w:val="12"/>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10.14</w:t>
            </w:r>
          </w:p>
        </w:tc>
        <w:tc>
          <w:tcPr>
            <w:tcW w:w="6680" w:type="dxa"/>
            <w:vAlign w:val="bottom"/>
            <w:tcBorders>
              <w:bottom w:val="single" w:sz="8" w:color="0000EE"/>
            </w:tcBorders>
            <w:gridSpan w:val="23"/>
          </w:tcPr>
          <w:p>
            <w:pPr>
              <w:spacing w:after="0"/>
              <w:rPr>
                <w:rFonts w:ascii="Arial" w:cs="Arial" w:eastAsia="Arial" w:hAnsi="Arial"/>
                <w:sz w:val="16"/>
                <w:szCs w:val="16"/>
                <w:color w:val="0000EE"/>
                <w:w w:val="92"/>
              </w:rPr>
            </w:pPr>
            <w:hyperlink r:id="rId140">
              <w:r>
                <w:rPr>
                  <w:rFonts w:ascii="Arial" w:cs="Arial" w:eastAsia="Arial" w:hAnsi="Arial"/>
                  <w:sz w:val="16"/>
                  <w:szCs w:val="16"/>
                  <w:color w:val="0000EE"/>
                  <w:w w:val="92"/>
                </w:rPr>
                <w:t>Amendment No. 5 to First Lien Credit and Guarantee Agreement, dated as of December 19, 2019, by</w:t>
              </w:r>
            </w:hyperlink>
          </w:p>
        </w:tc>
        <w:tc>
          <w:tcPr>
            <w:tcW w:w="120" w:type="dxa"/>
            <w:vAlign w:val="bottom"/>
            <w:gridSpan w:val="2"/>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6800" w:type="dxa"/>
            <w:vAlign w:val="bottom"/>
            <w:gridSpan w:val="25"/>
          </w:tcPr>
          <w:p>
            <w:pPr>
              <w:spacing w:after="0" w:line="178" w:lineRule="exact"/>
              <w:rPr>
                <w:rFonts w:ascii="Arial" w:cs="Arial" w:eastAsia="Arial" w:hAnsi="Arial"/>
                <w:sz w:val="16"/>
                <w:szCs w:val="16"/>
                <w:color w:val="0000EE"/>
                <w:w w:val="99"/>
              </w:rPr>
            </w:pPr>
            <w:hyperlink r:id="rId140">
              <w:r>
                <w:rPr>
                  <w:rFonts w:ascii="Arial" w:cs="Arial" w:eastAsia="Arial" w:hAnsi="Arial"/>
                  <w:sz w:val="16"/>
                  <w:szCs w:val="16"/>
                  <w:color w:val="0000EE"/>
                  <w:w w:val="99"/>
                </w:rPr>
                <w:t>and among Corsair Group (Cayman), LP and certain of its subsidiaries, including the Registrant,</w:t>
              </w:r>
            </w:hyperlink>
          </w:p>
        </w:tc>
      </w:tr>
      <w:tr>
        <w:trPr>
          <w:trHeight w:val="177"/>
        </w:trPr>
        <w:tc>
          <w:tcPr>
            <w:tcW w:w="92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13"/>
          </w:tcPr>
          <w:p>
            <w:pPr>
              <w:spacing w:after="0" w:line="178" w:lineRule="exact"/>
              <w:rPr>
                <w:rFonts w:ascii="Arial" w:cs="Arial" w:eastAsia="Arial" w:hAnsi="Arial"/>
                <w:sz w:val="16"/>
                <w:szCs w:val="16"/>
                <w:color w:val="0000EE"/>
                <w:w w:val="93"/>
              </w:rPr>
            </w:pPr>
            <w:hyperlink r:id="rId140">
              <w:r>
                <w:rPr>
                  <w:rFonts w:ascii="Arial" w:cs="Arial" w:eastAsia="Arial" w:hAnsi="Arial"/>
                  <w:sz w:val="16"/>
                  <w:szCs w:val="16"/>
                  <w:color w:val="0000EE"/>
                  <w:w w:val="93"/>
                </w:rPr>
                <w:t>Macquarie Capital Funding LLC, as administrative agent, and the other parties thereto.</w:t>
              </w:r>
            </w:hyperlink>
          </w:p>
        </w:tc>
        <w:tc>
          <w:tcPr>
            <w:tcW w:w="600" w:type="dxa"/>
            <w:vAlign w:val="bottom"/>
            <w:tcBorders>
              <w:top w:val="single" w:sz="8" w:color="0000EE"/>
            </w:tcBorders>
            <w:gridSpan w:val="3"/>
          </w:tcPr>
          <w:p>
            <w:pPr>
              <w:spacing w:after="0"/>
              <w:rPr>
                <w:sz w:val="15"/>
                <w:szCs w:val="15"/>
                <w:color w:val="auto"/>
              </w:rPr>
            </w:pPr>
          </w:p>
        </w:tc>
        <w:tc>
          <w:tcPr>
            <w:tcW w:w="460" w:type="dxa"/>
            <w:vAlign w:val="bottom"/>
            <w:gridSpan w:val="9"/>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10.15</w:t>
            </w:r>
          </w:p>
        </w:tc>
        <w:tc>
          <w:tcPr>
            <w:tcW w:w="6700" w:type="dxa"/>
            <w:vAlign w:val="bottom"/>
            <w:tcBorders>
              <w:bottom w:val="single" w:sz="8" w:color="0000EE"/>
            </w:tcBorders>
            <w:gridSpan w:val="24"/>
          </w:tcPr>
          <w:p>
            <w:pPr>
              <w:spacing w:after="0"/>
              <w:rPr>
                <w:rFonts w:ascii="Arial" w:cs="Arial" w:eastAsia="Arial" w:hAnsi="Arial"/>
                <w:sz w:val="16"/>
                <w:szCs w:val="16"/>
                <w:color w:val="0000EE"/>
                <w:w w:val="92"/>
              </w:rPr>
            </w:pPr>
            <w:hyperlink r:id="rId141">
              <w:r>
                <w:rPr>
                  <w:rFonts w:ascii="Arial" w:cs="Arial" w:eastAsia="Arial" w:hAnsi="Arial"/>
                  <w:sz w:val="16"/>
                  <w:szCs w:val="16"/>
                  <w:color w:val="0000EE"/>
                  <w:w w:val="92"/>
                </w:rPr>
                <w:t>Amendment No. 6 to First Lien Credit and Guarantee Agreement, dated as of September 25, 2020, by</w:t>
              </w:r>
            </w:hyperlink>
          </w:p>
        </w:tc>
        <w:tc>
          <w:tcPr>
            <w:tcW w:w="10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6800" w:type="dxa"/>
            <w:vAlign w:val="bottom"/>
            <w:gridSpan w:val="25"/>
          </w:tcPr>
          <w:p>
            <w:pPr>
              <w:spacing w:after="0" w:line="178" w:lineRule="exact"/>
              <w:rPr>
                <w:rFonts w:ascii="Arial" w:cs="Arial" w:eastAsia="Arial" w:hAnsi="Arial"/>
                <w:sz w:val="16"/>
                <w:szCs w:val="16"/>
                <w:color w:val="0000EE"/>
                <w:w w:val="99"/>
              </w:rPr>
            </w:pPr>
            <w:hyperlink r:id="rId141">
              <w:r>
                <w:rPr>
                  <w:rFonts w:ascii="Arial" w:cs="Arial" w:eastAsia="Arial" w:hAnsi="Arial"/>
                  <w:sz w:val="16"/>
                  <w:szCs w:val="16"/>
                  <w:color w:val="0000EE"/>
                  <w:w w:val="99"/>
                </w:rPr>
                <w:t>and among Corsair Group (Cayman), LP and certain of its subsidiaries, including the Registrant,</w:t>
              </w:r>
            </w:hyperlink>
          </w:p>
        </w:tc>
      </w:tr>
      <w:tr>
        <w:trPr>
          <w:trHeight w:val="177"/>
        </w:trPr>
        <w:tc>
          <w:tcPr>
            <w:tcW w:w="92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12"/>
          </w:tcPr>
          <w:p>
            <w:pPr>
              <w:spacing w:after="0" w:line="178" w:lineRule="exact"/>
              <w:rPr>
                <w:rFonts w:ascii="Arial" w:cs="Arial" w:eastAsia="Arial" w:hAnsi="Arial"/>
                <w:sz w:val="16"/>
                <w:szCs w:val="16"/>
                <w:color w:val="0000EE"/>
                <w:w w:val="93"/>
              </w:rPr>
            </w:pPr>
            <w:hyperlink r:id="rId141">
              <w:r>
                <w:rPr>
                  <w:rFonts w:ascii="Arial" w:cs="Arial" w:eastAsia="Arial" w:hAnsi="Arial"/>
                  <w:sz w:val="16"/>
                  <w:szCs w:val="16"/>
                  <w:color w:val="0000EE"/>
                  <w:w w:val="93"/>
                </w:rPr>
                <w:t>Macquarie Capital Funding LLC, as administrative agent, and the other parties thereto.</w:t>
              </w:r>
            </w:hyperlink>
          </w:p>
        </w:tc>
        <w:tc>
          <w:tcPr>
            <w:tcW w:w="620" w:type="dxa"/>
            <w:vAlign w:val="bottom"/>
            <w:tcBorders>
              <w:top w:val="single" w:sz="8" w:color="0000EE"/>
            </w:tcBorders>
            <w:gridSpan w:val="4"/>
          </w:tcPr>
          <w:p>
            <w:pPr>
              <w:spacing w:after="0"/>
              <w:rPr>
                <w:sz w:val="15"/>
                <w:szCs w:val="15"/>
                <w:color w:val="auto"/>
              </w:rPr>
            </w:pPr>
          </w:p>
        </w:tc>
        <w:tc>
          <w:tcPr>
            <w:tcW w:w="460" w:type="dxa"/>
            <w:vAlign w:val="bottom"/>
            <w:gridSpan w:val="9"/>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10.16</w:t>
            </w:r>
          </w:p>
        </w:tc>
        <w:tc>
          <w:tcPr>
            <w:tcW w:w="6660" w:type="dxa"/>
            <w:vAlign w:val="bottom"/>
            <w:tcBorders>
              <w:bottom w:val="single" w:sz="8" w:color="0000EE"/>
            </w:tcBorders>
            <w:gridSpan w:val="22"/>
          </w:tcPr>
          <w:p>
            <w:pPr>
              <w:spacing w:after="0"/>
              <w:rPr>
                <w:rFonts w:ascii="Arial" w:cs="Arial" w:eastAsia="Arial" w:hAnsi="Arial"/>
                <w:sz w:val="16"/>
                <w:szCs w:val="16"/>
                <w:color w:val="0000EE"/>
                <w:w w:val="92"/>
              </w:rPr>
            </w:pPr>
            <w:hyperlink r:id="rId142">
              <w:r>
                <w:rPr>
                  <w:rFonts w:ascii="Arial" w:cs="Arial" w:eastAsia="Arial" w:hAnsi="Arial"/>
                  <w:sz w:val="16"/>
                  <w:szCs w:val="16"/>
                  <w:color w:val="0000EE"/>
                  <w:w w:val="92"/>
                </w:rPr>
                <w:t>Credit Agreement, dated as of September 3, 2021, by and among Corsair Gaming, Inc. and certain of</w:t>
              </w:r>
            </w:hyperlink>
          </w:p>
        </w:tc>
        <w:tc>
          <w:tcPr>
            <w:tcW w:w="140" w:type="dxa"/>
            <w:vAlign w:val="bottom"/>
            <w:gridSpan w:val="3"/>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6640" w:type="dxa"/>
            <w:vAlign w:val="bottom"/>
            <w:tcBorders>
              <w:bottom w:val="single" w:sz="8" w:color="0000EE"/>
            </w:tcBorders>
            <w:gridSpan w:val="21"/>
          </w:tcPr>
          <w:p>
            <w:pPr>
              <w:spacing w:after="0" w:line="178" w:lineRule="exact"/>
              <w:rPr>
                <w:rFonts w:ascii="Arial" w:cs="Arial" w:eastAsia="Arial" w:hAnsi="Arial"/>
                <w:sz w:val="16"/>
                <w:szCs w:val="16"/>
                <w:color w:val="0000EE"/>
                <w:w w:val="93"/>
              </w:rPr>
            </w:pPr>
            <w:hyperlink r:id="rId142">
              <w:r>
                <w:rPr>
                  <w:rFonts w:ascii="Arial" w:cs="Arial" w:eastAsia="Arial" w:hAnsi="Arial"/>
                  <w:sz w:val="16"/>
                  <w:szCs w:val="16"/>
                  <w:color w:val="0000EE"/>
                  <w:w w:val="93"/>
                </w:rPr>
                <w:t>its subsidiaries, Bank of America, N.A. as administrative agent, swingline lender and L/C issuer, and</w:t>
              </w:r>
            </w:hyperlink>
          </w:p>
        </w:tc>
        <w:tc>
          <w:tcPr>
            <w:tcW w:w="160" w:type="dxa"/>
            <w:vAlign w:val="bottom"/>
            <w:gridSpan w:val="4"/>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6800" w:type="dxa"/>
            <w:vAlign w:val="bottom"/>
            <w:gridSpan w:val="25"/>
          </w:tcPr>
          <w:p>
            <w:pPr>
              <w:spacing w:after="0" w:line="178" w:lineRule="exact"/>
              <w:rPr>
                <w:rFonts w:ascii="Arial" w:cs="Arial" w:eastAsia="Arial" w:hAnsi="Arial"/>
                <w:sz w:val="16"/>
                <w:szCs w:val="16"/>
                <w:color w:val="0000EE"/>
              </w:rPr>
            </w:pPr>
            <w:hyperlink r:id="rId142">
              <w:r>
                <w:rPr>
                  <w:rFonts w:ascii="Arial" w:cs="Arial" w:eastAsia="Arial" w:hAnsi="Arial"/>
                  <w:sz w:val="16"/>
                  <w:szCs w:val="16"/>
                  <w:color w:val="0000EE"/>
                </w:rPr>
                <w:t>the other parties thereto.</w:t>
              </w:r>
            </w:hyperlink>
          </w:p>
        </w:tc>
      </w:tr>
      <w:tr>
        <w:trPr>
          <w:trHeight w:val="20"/>
        </w:trPr>
        <w:tc>
          <w:tcPr>
            <w:tcW w:w="9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10.17</w:t>
            </w:r>
          </w:p>
        </w:tc>
        <w:tc>
          <w:tcPr>
            <w:tcW w:w="6560" w:type="dxa"/>
            <w:vAlign w:val="bottom"/>
            <w:tcBorders>
              <w:bottom w:val="single" w:sz="8" w:color="0000EE"/>
            </w:tcBorders>
            <w:gridSpan w:val="19"/>
          </w:tcPr>
          <w:p>
            <w:pPr>
              <w:spacing w:after="0"/>
              <w:rPr>
                <w:rFonts w:ascii="Arial" w:cs="Arial" w:eastAsia="Arial" w:hAnsi="Arial"/>
                <w:sz w:val="16"/>
                <w:szCs w:val="16"/>
                <w:color w:val="0000EE"/>
                <w:w w:val="92"/>
              </w:rPr>
            </w:pPr>
            <w:hyperlink w:anchor="page96">
              <w:r>
                <w:rPr>
                  <w:rFonts w:ascii="Arial" w:cs="Arial" w:eastAsia="Arial" w:hAnsi="Arial"/>
                  <w:sz w:val="16"/>
                  <w:szCs w:val="16"/>
                  <w:color w:val="0000EE"/>
                  <w:w w:val="92"/>
                </w:rPr>
                <w:t>Lease Agreement, dated as of April 27, 2021, by and among Corsair Gaming, Inc. and Campus 237</w:t>
              </w:r>
            </w:hyperlink>
          </w:p>
        </w:tc>
        <w:tc>
          <w:tcPr>
            <w:tcW w:w="240" w:type="dxa"/>
            <w:vAlign w:val="bottom"/>
            <w:gridSpan w:val="6"/>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6800" w:type="dxa"/>
            <w:vAlign w:val="bottom"/>
            <w:gridSpan w:val="25"/>
          </w:tcPr>
          <w:p>
            <w:pPr>
              <w:spacing w:after="0" w:line="178" w:lineRule="exact"/>
              <w:rPr>
                <w:rFonts w:ascii="Arial" w:cs="Arial" w:eastAsia="Arial" w:hAnsi="Arial"/>
                <w:sz w:val="16"/>
                <w:szCs w:val="16"/>
                <w:color w:val="0000EE"/>
              </w:rPr>
            </w:pPr>
            <w:hyperlink w:anchor="page96">
              <w:r>
                <w:rPr>
                  <w:rFonts w:ascii="Arial" w:cs="Arial" w:eastAsia="Arial" w:hAnsi="Arial"/>
                  <w:sz w:val="16"/>
                  <w:szCs w:val="16"/>
                  <w:color w:val="0000EE"/>
                </w:rPr>
                <w:t>Owner LLC.</w:t>
              </w:r>
            </w:hyperlink>
          </w:p>
        </w:tc>
      </w:tr>
      <w:tr>
        <w:trPr>
          <w:trHeight w:val="20"/>
        </w:trPr>
        <w:tc>
          <w:tcPr>
            <w:tcW w:w="9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10.18</w:t>
            </w:r>
          </w:p>
        </w:tc>
        <w:tc>
          <w:tcPr>
            <w:tcW w:w="6800" w:type="dxa"/>
            <w:vAlign w:val="bottom"/>
            <w:gridSpan w:val="25"/>
          </w:tcPr>
          <w:p>
            <w:pPr>
              <w:spacing w:after="0"/>
              <w:rPr>
                <w:rFonts w:ascii="Arial" w:cs="Arial" w:eastAsia="Arial" w:hAnsi="Arial"/>
                <w:sz w:val="16"/>
                <w:szCs w:val="16"/>
                <w:color w:val="0000EE"/>
                <w:w w:val="99"/>
              </w:rPr>
            </w:pPr>
            <w:hyperlink w:anchor="page142">
              <w:r>
                <w:rPr>
                  <w:rFonts w:ascii="Arial" w:cs="Arial" w:eastAsia="Arial" w:hAnsi="Arial"/>
                  <w:sz w:val="16"/>
                  <w:szCs w:val="16"/>
                  <w:color w:val="0000EE"/>
                  <w:w w:val="99"/>
                </w:rPr>
                <w:t>First Amendment to Industrial Space Lease, dated as of August 16, 2017, by and among Corsair</w:t>
              </w:r>
            </w:hyperlink>
          </w:p>
        </w:tc>
      </w:tr>
      <w:tr>
        <w:trPr>
          <w:trHeight w:val="177"/>
        </w:trPr>
        <w:tc>
          <w:tcPr>
            <w:tcW w:w="92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6"/>
          </w:tcPr>
          <w:p>
            <w:pPr>
              <w:spacing w:after="0" w:line="178" w:lineRule="exact"/>
              <w:rPr>
                <w:rFonts w:ascii="Arial" w:cs="Arial" w:eastAsia="Arial" w:hAnsi="Arial"/>
                <w:sz w:val="16"/>
                <w:szCs w:val="16"/>
                <w:color w:val="0000EE"/>
                <w:w w:val="95"/>
              </w:rPr>
            </w:pPr>
            <w:hyperlink w:anchor="page142">
              <w:r>
                <w:rPr>
                  <w:rFonts w:ascii="Arial" w:cs="Arial" w:eastAsia="Arial" w:hAnsi="Arial"/>
                  <w:sz w:val="16"/>
                  <w:szCs w:val="16"/>
                  <w:color w:val="0000EE"/>
                  <w:w w:val="95"/>
                </w:rPr>
                <w:t>Memory, Inc. and Osprey Capital Building 50, LLC.</w:t>
              </w:r>
            </w:hyperlink>
          </w:p>
        </w:tc>
        <w:tc>
          <w:tcPr>
            <w:tcW w:w="2860" w:type="dxa"/>
            <w:vAlign w:val="bottom"/>
            <w:tcBorders>
              <w:top w:val="single" w:sz="8" w:color="0000EE"/>
            </w:tcBorders>
            <w:gridSpan w:val="9"/>
          </w:tcPr>
          <w:p>
            <w:pPr>
              <w:spacing w:after="0"/>
              <w:rPr>
                <w:sz w:val="15"/>
                <w:szCs w:val="15"/>
                <w:color w:val="auto"/>
              </w:rPr>
            </w:pPr>
          </w:p>
        </w:tc>
        <w:tc>
          <w:tcPr>
            <w:tcW w:w="480" w:type="dxa"/>
            <w:vAlign w:val="bottom"/>
            <w:gridSpan w:val="10"/>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4"/>
              </w:rPr>
              <w:t>10.19</w:t>
            </w:r>
          </w:p>
        </w:tc>
        <w:tc>
          <w:tcPr>
            <w:tcW w:w="6800" w:type="dxa"/>
            <w:vAlign w:val="bottom"/>
            <w:gridSpan w:val="25"/>
          </w:tcPr>
          <w:p>
            <w:pPr>
              <w:spacing w:after="0"/>
              <w:rPr>
                <w:rFonts w:ascii="Arial" w:cs="Arial" w:eastAsia="Arial" w:hAnsi="Arial"/>
                <w:sz w:val="16"/>
                <w:szCs w:val="16"/>
                <w:color w:val="0000EE"/>
                <w:w w:val="95"/>
              </w:rPr>
            </w:pPr>
            <w:hyperlink w:anchor="page144">
              <w:r>
                <w:rPr>
                  <w:rFonts w:ascii="Arial" w:cs="Arial" w:eastAsia="Arial" w:hAnsi="Arial"/>
                  <w:sz w:val="16"/>
                  <w:szCs w:val="16"/>
                  <w:color w:val="0000EE"/>
                  <w:w w:val="95"/>
                </w:rPr>
                <w:t>Second Amendment to Industrial Space Lease, dated as of February 2, 2022, by and among Corsair</w:t>
              </w:r>
            </w:hyperlink>
          </w:p>
        </w:tc>
      </w:tr>
      <w:tr>
        <w:trPr>
          <w:trHeight w:val="177"/>
        </w:trPr>
        <w:tc>
          <w:tcPr>
            <w:tcW w:w="920" w:type="dxa"/>
            <w:vAlign w:val="bottom"/>
          </w:tcPr>
          <w:p>
            <w:pPr>
              <w:spacing w:after="0"/>
              <w:rPr>
                <w:sz w:val="15"/>
                <w:szCs w:val="15"/>
                <w:color w:val="auto"/>
              </w:rPr>
            </w:pPr>
          </w:p>
        </w:tc>
        <w:tc>
          <w:tcPr>
            <w:tcW w:w="6540" w:type="dxa"/>
            <w:vAlign w:val="bottom"/>
            <w:tcBorders>
              <w:top w:val="single" w:sz="8" w:color="0000EE"/>
            </w:tcBorders>
            <w:gridSpan w:val="18"/>
          </w:tcPr>
          <w:p>
            <w:pPr>
              <w:spacing w:after="0" w:line="178" w:lineRule="exact"/>
              <w:rPr>
                <w:rFonts w:ascii="Arial" w:cs="Arial" w:eastAsia="Arial" w:hAnsi="Arial"/>
                <w:sz w:val="16"/>
                <w:szCs w:val="16"/>
                <w:color w:val="0000EE"/>
              </w:rPr>
            </w:pPr>
            <w:hyperlink w:anchor="page144">
              <w:r>
                <w:rPr>
                  <w:rFonts w:ascii="Arial" w:cs="Arial" w:eastAsia="Arial" w:hAnsi="Arial"/>
                  <w:sz w:val="16"/>
                  <w:szCs w:val="16"/>
                  <w:color w:val="0000EE"/>
                </w:rPr>
                <w:t>Memory, Inc. and 47100 Bayside Parkway Owner, LLC.</w:t>
              </w:r>
            </w:hyperlink>
          </w:p>
        </w:tc>
        <w:tc>
          <w:tcPr>
            <w:tcW w:w="260" w:type="dxa"/>
            <w:vAlign w:val="bottom"/>
            <w:gridSpan w:val="7"/>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3"/>
              </w:rPr>
              <w:t>10.20#</w:t>
            </w:r>
          </w:p>
        </w:tc>
        <w:tc>
          <w:tcPr>
            <w:tcW w:w="3720" w:type="dxa"/>
            <w:vAlign w:val="bottom"/>
            <w:tcBorders>
              <w:top w:val="single" w:sz="8" w:color="0000EE"/>
            </w:tcBorders>
            <w:gridSpan w:val="8"/>
          </w:tcPr>
          <w:p>
            <w:pPr>
              <w:spacing w:after="0"/>
              <w:rPr>
                <w:rFonts w:ascii="Arial" w:cs="Arial" w:eastAsia="Arial" w:hAnsi="Arial"/>
                <w:sz w:val="16"/>
                <w:szCs w:val="16"/>
                <w:color w:val="0000EE"/>
                <w:w w:val="95"/>
              </w:rPr>
            </w:pPr>
            <w:hyperlink w:anchor="page149">
              <w:r>
                <w:rPr>
                  <w:rFonts w:ascii="Arial" w:cs="Arial" w:eastAsia="Arial" w:hAnsi="Arial"/>
                  <w:sz w:val="16"/>
                  <w:szCs w:val="16"/>
                  <w:color w:val="0000EE"/>
                  <w:w w:val="95"/>
                </w:rPr>
                <w:t>Form of Change in Control and Severance Agreement.</w:t>
              </w:r>
            </w:hyperlink>
          </w:p>
        </w:tc>
        <w:tc>
          <w:tcPr>
            <w:tcW w:w="3080" w:type="dxa"/>
            <w:vAlign w:val="bottom"/>
            <w:gridSpan w:val="17"/>
          </w:tcPr>
          <w:p>
            <w:pPr>
              <w:spacing w:after="0"/>
              <w:rPr>
                <w:sz w:val="24"/>
                <w:szCs w:val="24"/>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w w:val="93"/>
              </w:rPr>
              <w:t>10.21#</w:t>
            </w:r>
          </w:p>
        </w:tc>
        <w:tc>
          <w:tcPr>
            <w:tcW w:w="308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4"/>
              </w:rPr>
            </w:pPr>
            <w:hyperlink w:anchor="page159">
              <w:r>
                <w:rPr>
                  <w:rFonts w:ascii="Arial" w:cs="Arial" w:eastAsia="Arial" w:hAnsi="Arial"/>
                  <w:sz w:val="16"/>
                  <w:szCs w:val="16"/>
                  <w:color w:val="0000EE"/>
                  <w:w w:val="94"/>
                </w:rPr>
                <w:t>Non-Employee Director Compensation Policy.</w:t>
              </w:r>
            </w:hyperlink>
          </w:p>
        </w:tc>
        <w:tc>
          <w:tcPr>
            <w:tcW w:w="520" w:type="dxa"/>
            <w:vAlign w:val="bottom"/>
            <w:tcBorders>
              <w:top w:val="single" w:sz="8" w:color="0000EE"/>
            </w:tcBorders>
            <w:gridSpan w:val="3"/>
          </w:tcPr>
          <w:p>
            <w:pPr>
              <w:spacing w:after="0"/>
              <w:rPr>
                <w:sz w:val="24"/>
                <w:szCs w:val="24"/>
                <w:color w:val="auto"/>
              </w:rPr>
            </w:pPr>
          </w:p>
        </w:tc>
        <w:tc>
          <w:tcPr>
            <w:tcW w:w="3200" w:type="dxa"/>
            <w:vAlign w:val="bottom"/>
            <w:gridSpan w:val="18"/>
          </w:tcPr>
          <w:p>
            <w:pPr>
              <w:spacing w:after="0"/>
              <w:rPr>
                <w:sz w:val="24"/>
                <w:szCs w:val="24"/>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21.1</w:t>
            </w:r>
          </w:p>
        </w:tc>
        <w:tc>
          <w:tcPr>
            <w:tcW w:w="3160" w:type="dxa"/>
            <w:vAlign w:val="bottom"/>
            <w:tcBorders>
              <w:bottom w:val="single" w:sz="8" w:color="0000EE"/>
            </w:tcBorders>
            <w:gridSpan w:val="5"/>
          </w:tcPr>
          <w:p>
            <w:pPr>
              <w:spacing w:after="0"/>
              <w:rPr>
                <w:rFonts w:ascii="Arial" w:cs="Arial" w:eastAsia="Arial" w:hAnsi="Arial"/>
                <w:sz w:val="16"/>
                <w:szCs w:val="16"/>
                <w:color w:val="0000EE"/>
                <w:w w:val="94"/>
              </w:rPr>
            </w:pPr>
            <w:hyperlink w:anchor="page163">
              <w:r>
                <w:rPr>
                  <w:rFonts w:ascii="Arial" w:cs="Arial" w:eastAsia="Arial" w:hAnsi="Arial"/>
                  <w:sz w:val="16"/>
                  <w:szCs w:val="16"/>
                  <w:color w:val="0000EE"/>
                  <w:w w:val="94"/>
                </w:rPr>
                <w:t>List of the Registrant’s Significant Subsidiaries.</w:t>
              </w:r>
            </w:hyperlink>
          </w:p>
        </w:tc>
        <w:tc>
          <w:tcPr>
            <w:tcW w:w="3640" w:type="dxa"/>
            <w:vAlign w:val="bottom"/>
            <w:gridSpan w:val="20"/>
          </w:tcPr>
          <w:p>
            <w:pPr>
              <w:spacing w:after="0"/>
              <w:rPr>
                <w:sz w:val="24"/>
                <w:szCs w:val="24"/>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23.1</w:t>
            </w:r>
          </w:p>
        </w:tc>
        <w:tc>
          <w:tcPr>
            <w:tcW w:w="6800" w:type="dxa"/>
            <w:vAlign w:val="bottom"/>
            <w:gridSpan w:val="25"/>
          </w:tcPr>
          <w:p>
            <w:pPr>
              <w:spacing w:after="0"/>
              <w:rPr>
                <w:rFonts w:ascii="Arial" w:cs="Arial" w:eastAsia="Arial" w:hAnsi="Arial"/>
                <w:sz w:val="16"/>
                <w:szCs w:val="16"/>
                <w:color w:val="0000EE"/>
              </w:rPr>
            </w:pPr>
            <w:hyperlink w:anchor="page164">
              <w:r>
                <w:rPr>
                  <w:rFonts w:ascii="Arial" w:cs="Arial" w:eastAsia="Arial" w:hAnsi="Arial"/>
                  <w:sz w:val="16"/>
                  <w:szCs w:val="16"/>
                  <w:color w:val="0000EE"/>
                </w:rPr>
                <w:t>Consent of Independent Registered Public Accounting Firm.</w:t>
              </w:r>
            </w:hyperlink>
          </w:p>
        </w:tc>
      </w:tr>
      <w:tr>
        <w:trPr>
          <w:trHeight w:val="20"/>
        </w:trPr>
        <w:tc>
          <w:tcPr>
            <w:tcW w:w="9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9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24.1</w:t>
            </w:r>
          </w:p>
        </w:tc>
        <w:tc>
          <w:tcPr>
            <w:tcW w:w="6800" w:type="dxa"/>
            <w:vAlign w:val="bottom"/>
            <w:gridSpan w:val="25"/>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Power of Attorney (included on signature page to this Annual Report on Form 10-K).</w:t>
              </w:r>
            </w:hyperlink>
          </w:p>
        </w:tc>
      </w:tr>
      <w:tr>
        <w:trPr>
          <w:trHeight w:val="20"/>
        </w:trPr>
        <w:tc>
          <w:tcPr>
            <w:tcW w:w="9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900" w:type="dxa"/>
            <w:vAlign w:val="bottom"/>
            <w:gridSpan w:val="7"/>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31.1</w:t>
            </w:r>
          </w:p>
        </w:tc>
        <w:tc>
          <w:tcPr>
            <w:tcW w:w="6800" w:type="dxa"/>
            <w:vAlign w:val="bottom"/>
            <w:gridSpan w:val="25"/>
          </w:tcPr>
          <w:p>
            <w:pPr>
              <w:spacing w:after="0"/>
              <w:rPr>
                <w:rFonts w:ascii="Arial" w:cs="Arial" w:eastAsia="Arial" w:hAnsi="Arial"/>
                <w:sz w:val="16"/>
                <w:szCs w:val="16"/>
                <w:color w:val="0000EE"/>
                <w:w w:val="97"/>
              </w:rPr>
            </w:pPr>
            <w:hyperlink w:anchor="page165">
              <w:r>
                <w:rPr>
                  <w:rFonts w:ascii="Arial" w:cs="Arial" w:eastAsia="Arial" w:hAnsi="Arial"/>
                  <w:sz w:val="16"/>
                  <w:szCs w:val="16"/>
                  <w:color w:val="0000EE"/>
                  <w:w w:val="97"/>
                </w:rPr>
                <w:t>Certification of Principal Executive Officer Required under Securities Exchange Act Rule 13a-14(a)</w:t>
              </w:r>
            </w:hyperlink>
          </w:p>
        </w:tc>
      </w:tr>
      <w:tr>
        <w:trPr>
          <w:trHeight w:val="177"/>
        </w:trPr>
        <w:tc>
          <w:tcPr>
            <w:tcW w:w="920" w:type="dxa"/>
            <w:vAlign w:val="bottom"/>
          </w:tcPr>
          <w:p>
            <w:pPr>
              <w:spacing w:after="0"/>
              <w:rPr>
                <w:sz w:val="15"/>
                <w:szCs w:val="15"/>
                <w:color w:val="auto"/>
              </w:rPr>
            </w:pPr>
          </w:p>
        </w:tc>
        <w:tc>
          <w:tcPr>
            <w:tcW w:w="980" w:type="dxa"/>
            <w:vAlign w:val="bottom"/>
            <w:tcBorders>
              <w:top w:val="single" w:sz="8" w:color="0000EE"/>
              <w:bottom w:val="single" w:sz="8" w:color="0000EE"/>
            </w:tcBorders>
            <w:gridSpan w:val="2"/>
          </w:tcPr>
          <w:p>
            <w:pPr>
              <w:spacing w:after="0" w:line="178" w:lineRule="exact"/>
              <w:rPr>
                <w:rFonts w:ascii="Arial" w:cs="Arial" w:eastAsia="Arial" w:hAnsi="Arial"/>
                <w:sz w:val="16"/>
                <w:szCs w:val="16"/>
                <w:color w:val="0000EE"/>
                <w:w w:val="91"/>
              </w:rPr>
            </w:pPr>
            <w:hyperlink w:anchor="page165">
              <w:r>
                <w:rPr>
                  <w:rFonts w:ascii="Arial" w:cs="Arial" w:eastAsia="Arial" w:hAnsi="Arial"/>
                  <w:sz w:val="16"/>
                  <w:szCs w:val="16"/>
                  <w:color w:val="0000EE"/>
                  <w:w w:val="91"/>
                </w:rPr>
                <w:t>and 15d-14(a).</w:t>
              </w:r>
            </w:hyperlink>
          </w:p>
        </w:tc>
        <w:tc>
          <w:tcPr>
            <w:tcW w:w="5620" w:type="dxa"/>
            <w:vAlign w:val="bottom"/>
            <w:tcBorders>
              <w:top w:val="single" w:sz="8" w:color="0000EE"/>
            </w:tcBorders>
            <w:gridSpan w:val="18"/>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399"/>
        </w:trPr>
        <w:tc>
          <w:tcPr>
            <w:tcW w:w="920" w:type="dxa"/>
            <w:vAlign w:val="bottom"/>
          </w:tcPr>
          <w:p>
            <w:pPr>
              <w:jc w:val="center"/>
              <w:ind w:right="238"/>
              <w:spacing w:after="0"/>
              <w:rPr>
                <w:sz w:val="20"/>
                <w:szCs w:val="20"/>
                <w:color w:val="auto"/>
              </w:rPr>
            </w:pPr>
            <w:r>
              <w:rPr>
                <w:rFonts w:ascii="Arial" w:cs="Arial" w:eastAsia="Arial" w:hAnsi="Arial"/>
                <w:sz w:val="16"/>
                <w:szCs w:val="16"/>
                <w:color w:val="auto"/>
                <w:w w:val="89"/>
              </w:rPr>
              <w:t>31.2</w:t>
            </w:r>
          </w:p>
        </w:tc>
        <w:tc>
          <w:tcPr>
            <w:tcW w:w="6800" w:type="dxa"/>
            <w:vAlign w:val="bottom"/>
            <w:gridSpan w:val="25"/>
          </w:tcPr>
          <w:p>
            <w:pPr>
              <w:spacing w:after="0"/>
              <w:rPr>
                <w:rFonts w:ascii="Arial" w:cs="Arial" w:eastAsia="Arial" w:hAnsi="Arial"/>
                <w:sz w:val="16"/>
                <w:szCs w:val="16"/>
                <w:color w:val="0000EE"/>
                <w:w w:val="97"/>
              </w:rPr>
            </w:pPr>
            <w:hyperlink w:anchor="page166">
              <w:r>
                <w:rPr>
                  <w:rFonts w:ascii="Arial" w:cs="Arial" w:eastAsia="Arial" w:hAnsi="Arial"/>
                  <w:sz w:val="16"/>
                  <w:szCs w:val="16"/>
                  <w:color w:val="0000EE"/>
                  <w:w w:val="97"/>
                </w:rPr>
                <w:t>Certification of Principal Financial Officer Required under Securities Exchange Act Rule 13a-14(a)</w:t>
              </w:r>
            </w:hyperlink>
          </w:p>
        </w:tc>
      </w:tr>
      <w:tr>
        <w:trPr>
          <w:trHeight w:val="177"/>
        </w:trPr>
        <w:tc>
          <w:tcPr>
            <w:tcW w:w="920" w:type="dxa"/>
            <w:vAlign w:val="bottom"/>
          </w:tcPr>
          <w:p>
            <w:pPr>
              <w:spacing w:after="0"/>
              <w:rPr>
                <w:sz w:val="15"/>
                <w:szCs w:val="15"/>
                <w:color w:val="auto"/>
              </w:rPr>
            </w:pPr>
          </w:p>
        </w:tc>
        <w:tc>
          <w:tcPr>
            <w:tcW w:w="980" w:type="dxa"/>
            <w:vAlign w:val="bottom"/>
            <w:tcBorders>
              <w:top w:val="single" w:sz="8" w:color="0000EE"/>
              <w:bottom w:val="single" w:sz="8" w:color="0000EE"/>
            </w:tcBorders>
            <w:gridSpan w:val="2"/>
          </w:tcPr>
          <w:p>
            <w:pPr>
              <w:spacing w:after="0" w:line="178" w:lineRule="exact"/>
              <w:rPr>
                <w:rFonts w:ascii="Arial" w:cs="Arial" w:eastAsia="Arial" w:hAnsi="Arial"/>
                <w:sz w:val="16"/>
                <w:szCs w:val="16"/>
                <w:color w:val="0000EE"/>
                <w:w w:val="91"/>
              </w:rPr>
            </w:pPr>
            <w:hyperlink w:anchor="page166">
              <w:r>
                <w:rPr>
                  <w:rFonts w:ascii="Arial" w:cs="Arial" w:eastAsia="Arial" w:hAnsi="Arial"/>
                  <w:sz w:val="16"/>
                  <w:szCs w:val="16"/>
                  <w:color w:val="0000EE"/>
                  <w:w w:val="91"/>
                </w:rPr>
                <w:t>and 15d-14(a).</w:t>
              </w:r>
            </w:hyperlink>
          </w:p>
        </w:tc>
        <w:tc>
          <w:tcPr>
            <w:tcW w:w="5580" w:type="dxa"/>
            <w:vAlign w:val="bottom"/>
            <w:tcBorders>
              <w:top w:val="single" w:sz="8" w:color="0000EE"/>
            </w:tcBorders>
            <w:gridSpan w:val="17"/>
          </w:tcPr>
          <w:p>
            <w:pPr>
              <w:spacing w:after="0"/>
              <w:rPr>
                <w:sz w:val="15"/>
                <w:szCs w:val="15"/>
                <w:color w:val="auto"/>
              </w:rPr>
            </w:pPr>
          </w:p>
        </w:tc>
        <w:tc>
          <w:tcPr>
            <w:tcW w:w="240" w:type="dxa"/>
            <w:vAlign w:val="bottom"/>
            <w:gridSpan w:val="6"/>
          </w:tcPr>
          <w:p>
            <w:pPr>
              <w:spacing w:after="0"/>
              <w:rPr>
                <w:sz w:val="15"/>
                <w:szCs w:val="15"/>
                <w:color w:val="auto"/>
              </w:rPr>
            </w:pPr>
          </w:p>
        </w:tc>
      </w:tr>
      <w:tr>
        <w:trPr>
          <w:trHeight w:val="399"/>
        </w:trPr>
        <w:tc>
          <w:tcPr>
            <w:tcW w:w="920" w:type="dxa"/>
            <w:vAlign w:val="bottom"/>
          </w:tcPr>
          <w:p>
            <w:pPr>
              <w:jc w:val="center"/>
              <w:ind w:right="258"/>
              <w:spacing w:after="0"/>
              <w:rPr>
                <w:sz w:val="20"/>
                <w:szCs w:val="20"/>
                <w:color w:val="auto"/>
              </w:rPr>
            </w:pPr>
            <w:r>
              <w:rPr>
                <w:rFonts w:ascii="Arial" w:cs="Arial" w:eastAsia="Arial" w:hAnsi="Arial"/>
                <w:sz w:val="16"/>
                <w:szCs w:val="16"/>
                <w:color w:val="auto"/>
              </w:rPr>
              <w:t>32.1*</w:t>
            </w:r>
          </w:p>
        </w:tc>
        <w:tc>
          <w:tcPr>
            <w:tcW w:w="6800" w:type="dxa"/>
            <w:vAlign w:val="bottom"/>
            <w:gridSpan w:val="25"/>
          </w:tcPr>
          <w:p>
            <w:pPr>
              <w:spacing w:after="0"/>
              <w:rPr>
                <w:rFonts w:ascii="Arial" w:cs="Arial" w:eastAsia="Arial" w:hAnsi="Arial"/>
                <w:sz w:val="16"/>
                <w:szCs w:val="16"/>
                <w:color w:val="0000EE"/>
              </w:rPr>
            </w:pPr>
            <w:hyperlink w:anchor="page167">
              <w:r>
                <w:rPr>
                  <w:rFonts w:ascii="Arial" w:cs="Arial" w:eastAsia="Arial" w:hAnsi="Arial"/>
                  <w:sz w:val="16"/>
                  <w:szCs w:val="16"/>
                  <w:color w:val="0000EE"/>
                </w:rPr>
                <w:t>Certifications of Principal Executive Officer and Principal Financial Officer pursuant to 18 U.S.C.</w:t>
              </w:r>
            </w:hyperlink>
          </w:p>
        </w:tc>
      </w:tr>
      <w:tr>
        <w:trPr>
          <w:trHeight w:val="177"/>
        </w:trPr>
        <w:tc>
          <w:tcPr>
            <w:tcW w:w="920" w:type="dxa"/>
            <w:vAlign w:val="bottom"/>
          </w:tcPr>
          <w:p>
            <w:pPr>
              <w:spacing w:after="0"/>
              <w:rPr>
                <w:sz w:val="15"/>
                <w:szCs w:val="15"/>
                <w:color w:val="auto"/>
              </w:rPr>
            </w:pPr>
          </w:p>
        </w:tc>
        <w:tc>
          <w:tcPr>
            <w:tcW w:w="6460" w:type="dxa"/>
            <w:vAlign w:val="bottom"/>
            <w:tcBorders>
              <w:top w:val="single" w:sz="8" w:color="0000EE"/>
            </w:tcBorders>
            <w:gridSpan w:val="17"/>
          </w:tcPr>
          <w:p>
            <w:pPr>
              <w:spacing w:after="0" w:line="178" w:lineRule="exact"/>
              <w:rPr>
                <w:rFonts w:ascii="Arial" w:cs="Arial" w:eastAsia="Arial" w:hAnsi="Arial"/>
                <w:sz w:val="16"/>
                <w:szCs w:val="16"/>
                <w:color w:val="0000EE"/>
              </w:rPr>
            </w:pPr>
            <w:hyperlink w:anchor="page167">
              <w:r>
                <w:rPr>
                  <w:rFonts w:ascii="Arial" w:cs="Arial" w:eastAsia="Arial" w:hAnsi="Arial"/>
                  <w:sz w:val="16"/>
                  <w:szCs w:val="16"/>
                  <w:color w:val="0000EE"/>
                </w:rPr>
                <w:t>Section 1350 and Securities Exchange Act Rule 13a-14(b),</w:t>
              </w:r>
            </w:hyperlink>
          </w:p>
        </w:tc>
        <w:tc>
          <w:tcPr>
            <w:tcW w:w="340" w:type="dxa"/>
            <w:vAlign w:val="bottom"/>
            <w:gridSpan w:val="8"/>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880" w:type="dxa"/>
            <w:vAlign w:val="bottom"/>
            <w:gridSpan w:val="9"/>
            <w:shd w:val="clear" w:color="auto" w:fill="0000EE"/>
          </w:tcPr>
          <w:p>
            <w:pPr>
              <w:spacing w:after="0" w:line="20" w:lineRule="exact"/>
              <w:rPr>
                <w:sz w:val="1"/>
                <w:szCs w:val="1"/>
                <w:color w:val="auto"/>
              </w:rPr>
            </w:pPr>
          </w:p>
        </w:tc>
        <w:tc>
          <w:tcPr>
            <w:tcW w:w="2920" w:type="dxa"/>
            <w:vAlign w:val="bottom"/>
            <w:gridSpan w:val="16"/>
          </w:tcPr>
          <w:p>
            <w:pPr>
              <w:spacing w:after="0" w:line="20" w:lineRule="exact"/>
              <w:rPr>
                <w:sz w:val="1"/>
                <w:szCs w:val="1"/>
                <w:color w:val="auto"/>
              </w:rPr>
            </w:pPr>
          </w:p>
        </w:tc>
      </w:tr>
      <w:tr>
        <w:trPr>
          <w:trHeight w:val="424"/>
        </w:trPr>
        <w:tc>
          <w:tcPr>
            <w:tcW w:w="920" w:type="dxa"/>
            <w:vAlign w:val="bottom"/>
          </w:tcPr>
          <w:p>
            <w:pPr>
              <w:ind w:left="20"/>
              <w:spacing w:after="0"/>
              <w:rPr>
                <w:sz w:val="20"/>
                <w:szCs w:val="20"/>
                <w:color w:val="auto"/>
              </w:rPr>
            </w:pPr>
            <w:r>
              <w:rPr>
                <w:rFonts w:ascii="Arial" w:cs="Arial" w:eastAsia="Arial" w:hAnsi="Arial"/>
                <w:sz w:val="16"/>
                <w:szCs w:val="16"/>
                <w:color w:val="auto"/>
              </w:rPr>
              <w:t>101.INS</w:t>
            </w:r>
          </w:p>
        </w:tc>
        <w:tc>
          <w:tcPr>
            <w:tcW w:w="6800" w:type="dxa"/>
            <w:vAlign w:val="bottom"/>
            <w:gridSpan w:val="25"/>
          </w:tcPr>
          <w:p>
            <w:pPr>
              <w:spacing w:after="0"/>
              <w:rPr>
                <w:sz w:val="20"/>
                <w:szCs w:val="20"/>
                <w:color w:val="auto"/>
              </w:rPr>
            </w:pPr>
            <w:r>
              <w:rPr>
                <w:rFonts w:ascii="Arial" w:cs="Arial" w:eastAsia="Arial" w:hAnsi="Arial"/>
                <w:sz w:val="16"/>
                <w:szCs w:val="16"/>
                <w:color w:val="auto"/>
                <w:w w:val="94"/>
              </w:rPr>
              <w:t>Inline XBRL Instance Document – the instance document does not appear in the Interactive Data File</w:t>
            </w:r>
          </w:p>
        </w:tc>
      </w:tr>
      <w:tr>
        <w:trPr>
          <w:trHeight w:val="209"/>
        </w:trPr>
        <w:tc>
          <w:tcPr>
            <w:tcW w:w="920" w:type="dxa"/>
            <w:vAlign w:val="bottom"/>
          </w:tcPr>
          <w:p>
            <w:pPr>
              <w:spacing w:after="0"/>
              <w:rPr>
                <w:sz w:val="18"/>
                <w:szCs w:val="18"/>
                <w:color w:val="auto"/>
              </w:rPr>
            </w:pPr>
          </w:p>
        </w:tc>
        <w:tc>
          <w:tcPr>
            <w:tcW w:w="6800" w:type="dxa"/>
            <w:vAlign w:val="bottom"/>
            <w:gridSpan w:val="25"/>
          </w:tcPr>
          <w:p>
            <w:pPr>
              <w:spacing w:after="0"/>
              <w:rPr>
                <w:sz w:val="20"/>
                <w:szCs w:val="20"/>
                <w:color w:val="auto"/>
              </w:rPr>
            </w:pPr>
            <w:r>
              <w:rPr>
                <w:rFonts w:ascii="Arial" w:cs="Arial" w:eastAsia="Arial" w:hAnsi="Arial"/>
                <w:sz w:val="16"/>
                <w:szCs w:val="16"/>
                <w:color w:val="auto"/>
              </w:rPr>
              <w:t>because XBRL tags are embedded within the Inline XBRL document.</w:t>
            </w:r>
          </w:p>
        </w:tc>
      </w:tr>
      <w:tr>
        <w:trPr>
          <w:trHeight w:val="419"/>
        </w:trPr>
        <w:tc>
          <w:tcPr>
            <w:tcW w:w="920" w:type="dxa"/>
            <w:vAlign w:val="bottom"/>
          </w:tcPr>
          <w:p>
            <w:pPr>
              <w:spacing w:after="0"/>
              <w:rPr>
                <w:sz w:val="20"/>
                <w:szCs w:val="20"/>
                <w:color w:val="auto"/>
              </w:rPr>
            </w:pPr>
            <w:r>
              <w:rPr>
                <w:rFonts w:ascii="Arial" w:cs="Arial" w:eastAsia="Arial" w:hAnsi="Arial"/>
                <w:sz w:val="16"/>
                <w:szCs w:val="16"/>
                <w:color w:val="auto"/>
              </w:rPr>
              <w:t>101.SCH</w:t>
            </w:r>
          </w:p>
        </w:tc>
        <w:tc>
          <w:tcPr>
            <w:tcW w:w="6800" w:type="dxa"/>
            <w:vAlign w:val="bottom"/>
            <w:gridSpan w:val="2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604"/>
        </w:trPr>
        <w:tc>
          <w:tcPr>
            <w:tcW w:w="920" w:type="dxa"/>
            <w:vAlign w:val="bottom"/>
          </w:tcPr>
          <w:p>
            <w:pPr>
              <w:spacing w:after="0"/>
              <w:rPr>
                <w:sz w:val="24"/>
                <w:szCs w:val="24"/>
                <w:color w:val="auto"/>
              </w:rPr>
            </w:pPr>
          </w:p>
        </w:tc>
        <w:tc>
          <w:tcPr>
            <w:tcW w:w="5620" w:type="dxa"/>
            <w:vAlign w:val="bottom"/>
            <w:gridSpan w:val="11"/>
          </w:tcPr>
          <w:p>
            <w:pPr>
              <w:ind w:left="436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50800</wp:posOffset>
            </wp:positionV>
            <wp:extent cx="716978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400" w:type="dxa"/>
            <w:vAlign w:val="bottom"/>
          </w:tcPr>
          <w:p>
            <w:pPr>
              <w:jc w:val="center"/>
              <w:spacing w:after="0"/>
              <w:rPr>
                <w:sz w:val="20"/>
                <w:szCs w:val="20"/>
                <w:color w:val="auto"/>
              </w:rPr>
            </w:pPr>
            <w:r>
              <w:rPr>
                <w:rFonts w:ascii="Arial" w:cs="Arial" w:eastAsia="Arial" w:hAnsi="Arial"/>
                <w:sz w:val="16"/>
                <w:szCs w:val="16"/>
                <w:color w:val="auto"/>
                <w:w w:val="87"/>
              </w:rPr>
              <w:t>S-</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September 21, 2020</w:t>
            </w:r>
          </w:p>
        </w:tc>
        <w:tc>
          <w:tcPr>
            <w:tcW w:w="500" w:type="dxa"/>
            <w:vAlign w:val="bottom"/>
          </w:tcPr>
          <w:p>
            <w:pPr>
              <w:jc w:val="center"/>
              <w:ind w:left="38"/>
              <w:spacing w:after="0"/>
              <w:rPr>
                <w:sz w:val="20"/>
                <w:szCs w:val="20"/>
                <w:color w:val="auto"/>
              </w:rPr>
            </w:pPr>
            <w:r>
              <w:rPr>
                <w:rFonts w:ascii="Arial" w:cs="Arial" w:eastAsia="Arial" w:hAnsi="Arial"/>
                <w:sz w:val="16"/>
                <w:szCs w:val="16"/>
                <w:color w:val="auto"/>
                <w:w w:val="94"/>
              </w:rPr>
              <w:t>10.13</w:t>
            </w:r>
          </w:p>
        </w:tc>
      </w:tr>
      <w:tr>
        <w:trPr>
          <w:trHeight w:val="209"/>
        </w:trPr>
        <w:tc>
          <w:tcPr>
            <w:tcW w:w="400" w:type="dxa"/>
            <w:vAlign w:val="bottom"/>
          </w:tcPr>
          <w:p>
            <w:pPr>
              <w:jc w:val="center"/>
              <w:spacing w:after="0"/>
              <w:rPr>
                <w:sz w:val="20"/>
                <w:szCs w:val="20"/>
                <w:color w:val="auto"/>
              </w:rPr>
            </w:pPr>
            <w:r>
              <w:rPr>
                <w:rFonts w:ascii="Arial" w:cs="Arial" w:eastAsia="Arial" w:hAnsi="Arial"/>
                <w:sz w:val="16"/>
                <w:szCs w:val="16"/>
                <w:color w:val="auto"/>
              </w:rPr>
              <w:t>1/A</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06"/>
        </w:trPr>
        <w:tc>
          <w:tcPr>
            <w:tcW w:w="400" w:type="dxa"/>
            <w:vAlign w:val="bottom"/>
          </w:tcPr>
          <w:p>
            <w:pPr>
              <w:jc w:val="center"/>
              <w:spacing w:after="0"/>
              <w:rPr>
                <w:sz w:val="20"/>
                <w:szCs w:val="20"/>
                <w:color w:val="auto"/>
              </w:rPr>
            </w:pPr>
            <w:r>
              <w:rPr>
                <w:rFonts w:ascii="Arial" w:cs="Arial" w:eastAsia="Arial" w:hAnsi="Arial"/>
                <w:sz w:val="16"/>
                <w:szCs w:val="16"/>
                <w:color w:val="auto"/>
                <w:w w:val="87"/>
              </w:rPr>
              <w:t>S-</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September 21, 2020</w:t>
            </w:r>
          </w:p>
        </w:tc>
        <w:tc>
          <w:tcPr>
            <w:tcW w:w="500" w:type="dxa"/>
            <w:vAlign w:val="bottom"/>
          </w:tcPr>
          <w:p>
            <w:pPr>
              <w:jc w:val="center"/>
              <w:ind w:left="38"/>
              <w:spacing w:after="0"/>
              <w:rPr>
                <w:sz w:val="20"/>
                <w:szCs w:val="20"/>
                <w:color w:val="auto"/>
              </w:rPr>
            </w:pPr>
            <w:r>
              <w:rPr>
                <w:rFonts w:ascii="Arial" w:cs="Arial" w:eastAsia="Arial" w:hAnsi="Arial"/>
                <w:sz w:val="16"/>
                <w:szCs w:val="16"/>
                <w:color w:val="auto"/>
                <w:w w:val="94"/>
              </w:rPr>
              <w:t>10.14</w:t>
            </w:r>
          </w:p>
        </w:tc>
      </w:tr>
      <w:tr>
        <w:trPr>
          <w:trHeight w:val="209"/>
        </w:trPr>
        <w:tc>
          <w:tcPr>
            <w:tcW w:w="400" w:type="dxa"/>
            <w:vAlign w:val="bottom"/>
          </w:tcPr>
          <w:p>
            <w:pPr>
              <w:jc w:val="center"/>
              <w:spacing w:after="0"/>
              <w:rPr>
                <w:sz w:val="20"/>
                <w:szCs w:val="20"/>
                <w:color w:val="auto"/>
              </w:rPr>
            </w:pPr>
            <w:r>
              <w:rPr>
                <w:rFonts w:ascii="Arial" w:cs="Arial" w:eastAsia="Arial" w:hAnsi="Arial"/>
                <w:sz w:val="16"/>
                <w:szCs w:val="16"/>
                <w:color w:val="auto"/>
              </w:rPr>
              <w:t>1/A</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17"/>
        </w:trPr>
        <w:tc>
          <w:tcPr>
            <w:tcW w:w="400" w:type="dxa"/>
            <w:vAlign w:val="bottom"/>
          </w:tcPr>
          <w:p>
            <w:pPr>
              <w:jc w:val="center"/>
              <w:spacing w:after="0"/>
              <w:rPr>
                <w:sz w:val="20"/>
                <w:szCs w:val="20"/>
                <w:color w:val="auto"/>
              </w:rPr>
            </w:pPr>
            <w:r>
              <w:rPr>
                <w:rFonts w:ascii="Arial" w:cs="Arial" w:eastAsia="Arial" w:hAnsi="Arial"/>
                <w:sz w:val="16"/>
                <w:szCs w:val="16"/>
                <w:color w:val="auto"/>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October 1, 2020</w:t>
            </w:r>
          </w:p>
        </w:tc>
        <w:tc>
          <w:tcPr>
            <w:tcW w:w="500" w:type="dxa"/>
            <w:vAlign w:val="bottom"/>
          </w:tcPr>
          <w:p>
            <w:pPr>
              <w:jc w:val="center"/>
              <w:ind w:left="58"/>
              <w:spacing w:after="0"/>
              <w:rPr>
                <w:sz w:val="20"/>
                <w:szCs w:val="20"/>
                <w:color w:val="auto"/>
              </w:rPr>
            </w:pPr>
            <w:r>
              <w:rPr>
                <w:rFonts w:ascii="Arial" w:cs="Arial" w:eastAsia="Arial" w:hAnsi="Arial"/>
                <w:sz w:val="16"/>
                <w:szCs w:val="16"/>
                <w:color w:val="auto"/>
                <w:w w:val="89"/>
              </w:rPr>
              <w:t>10.1</w:t>
            </w:r>
          </w:p>
        </w:tc>
      </w:tr>
      <w:tr>
        <w:trPr>
          <w:trHeight w:val="814"/>
        </w:trPr>
        <w:tc>
          <w:tcPr>
            <w:tcW w:w="4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4"/>
              </w:rPr>
              <w:t>November 2, 2021</w:t>
            </w:r>
          </w:p>
        </w:tc>
        <w:tc>
          <w:tcPr>
            <w:tcW w:w="500" w:type="dxa"/>
            <w:vAlign w:val="bottom"/>
          </w:tcPr>
          <w:p>
            <w:pPr>
              <w:jc w:val="center"/>
              <w:ind w:left="58"/>
              <w:spacing w:after="0"/>
              <w:rPr>
                <w:sz w:val="20"/>
                <w:szCs w:val="20"/>
                <w:color w:val="auto"/>
              </w:rPr>
            </w:pPr>
            <w:r>
              <w:rPr>
                <w:rFonts w:ascii="Arial" w:cs="Arial" w:eastAsia="Arial" w:hAnsi="Arial"/>
                <w:sz w:val="16"/>
                <w:szCs w:val="16"/>
                <w:color w:val="auto"/>
                <w:w w:val="89"/>
              </w:rPr>
              <w:t>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ectPr>
          <w:pgSz w:w="11900" w:h="16838" w:orient="portrait"/>
          <w:cols w:equalWidth="0" w:num="3">
            <w:col w:w="7980" w:space="300"/>
            <w:col w:w="2440" w:space="500"/>
            <w:col w:w="120"/>
          </w:cols>
          <w:pgMar w:left="320" w:top="123" w:right="239" w:bottom="1440" w:gutter="0" w:footer="0" w:header="0"/>
        </w:sectPr>
      </w:pPr>
    </w:p>
    <w:bookmarkStart w:id="93" w:name="page94"/>
    <w:bookmarkEnd w:id="93"/>
    <w:p>
      <w:pPr>
        <w:ind w:left="1"/>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341"/>
          </w:cols>
          <w:pgMar w:left="319" w:top="123" w:right="239" w:bottom="1440" w:gutter="0" w:footer="0" w:header="0"/>
        </w:sectPr>
      </w:pPr>
    </w:p>
    <w:p>
      <w:pPr>
        <w:spacing w:after="0" w:line="250" w:lineRule="exact"/>
        <w:rPr>
          <w:sz w:val="20"/>
          <w:szCs w:val="20"/>
          <w:color w:val="auto"/>
        </w:rPr>
      </w:pPr>
    </w:p>
    <w:tbl>
      <w:tblPr>
        <w:tblLayout w:type="fixed"/>
        <w:tblInd w:w="241" w:type="dxa"/>
        <w:tblCellMar>
          <w:top w:w="0" w:type="dxa"/>
          <w:left w:w="0" w:type="dxa"/>
          <w:bottom w:w="0" w:type="dxa"/>
          <w:right w:w="0" w:type="dxa"/>
        </w:tblCellMar>
      </w:tblPr>
      <w:tr>
        <w:trPr>
          <w:trHeight w:val="209"/>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4700" w:type="dxa"/>
            <w:vAlign w:val="bottom"/>
          </w:tcPr>
          <w:p>
            <w:pPr>
              <w:ind w:left="160"/>
              <w:spacing w:after="0"/>
              <w:rPr>
                <w:sz w:val="20"/>
                <w:szCs w:val="20"/>
                <w:color w:val="auto"/>
              </w:rPr>
            </w:pPr>
            <w:r>
              <w:rPr>
                <w:rFonts w:ascii="Arial" w:cs="Arial" w:eastAsia="Arial" w:hAnsi="Arial"/>
                <w:sz w:val="16"/>
                <w:szCs w:val="16"/>
                <w:color w:val="auto"/>
                <w:w w:val="96"/>
              </w:rPr>
              <w:t>Inline XBRL Taxonomy Extension Calculation Linkbase Document</w:t>
            </w:r>
          </w:p>
        </w:tc>
      </w:tr>
      <w:tr>
        <w:trPr>
          <w:trHeight w:val="419"/>
        </w:trPr>
        <w:tc>
          <w:tcPr>
            <w:tcW w:w="780" w:type="dxa"/>
            <w:vAlign w:val="bottom"/>
          </w:tcPr>
          <w:p>
            <w:pPr>
              <w:ind w:left="20"/>
              <w:spacing w:after="0"/>
              <w:rPr>
                <w:sz w:val="20"/>
                <w:szCs w:val="20"/>
                <w:color w:val="auto"/>
              </w:rPr>
            </w:pPr>
            <w:r>
              <w:rPr>
                <w:rFonts w:ascii="Arial" w:cs="Arial" w:eastAsia="Arial" w:hAnsi="Arial"/>
                <w:sz w:val="16"/>
                <w:szCs w:val="16"/>
                <w:color w:val="auto"/>
              </w:rPr>
              <w:t>101.DEF</w:t>
            </w:r>
          </w:p>
        </w:tc>
        <w:tc>
          <w:tcPr>
            <w:tcW w:w="4700" w:type="dxa"/>
            <w:vAlign w:val="bottom"/>
          </w:tcPr>
          <w:p>
            <w:pPr>
              <w:ind w:left="160"/>
              <w:spacing w:after="0"/>
              <w:rPr>
                <w:sz w:val="20"/>
                <w:szCs w:val="20"/>
                <w:color w:val="auto"/>
              </w:rPr>
            </w:pPr>
            <w:r>
              <w:rPr>
                <w:rFonts w:ascii="Arial" w:cs="Arial" w:eastAsia="Arial" w:hAnsi="Arial"/>
                <w:sz w:val="16"/>
                <w:szCs w:val="16"/>
                <w:color w:val="auto"/>
                <w:w w:val="99"/>
              </w:rPr>
              <w:t>Inline XBRL Taxonomy Extension Definition Linkbase Document</w:t>
            </w:r>
          </w:p>
        </w:tc>
      </w:tr>
      <w:tr>
        <w:trPr>
          <w:trHeight w:val="419"/>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470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19"/>
        </w:trPr>
        <w:tc>
          <w:tcPr>
            <w:tcW w:w="780" w:type="dxa"/>
            <w:vAlign w:val="bottom"/>
          </w:tcPr>
          <w:p>
            <w:pPr>
              <w:ind w:left="20"/>
              <w:spacing w:after="0"/>
              <w:rPr>
                <w:sz w:val="20"/>
                <w:szCs w:val="20"/>
                <w:color w:val="auto"/>
              </w:rPr>
            </w:pPr>
            <w:r>
              <w:rPr>
                <w:rFonts w:ascii="Arial" w:cs="Arial" w:eastAsia="Arial" w:hAnsi="Arial"/>
                <w:sz w:val="16"/>
                <w:szCs w:val="16"/>
                <w:color w:val="auto"/>
              </w:rPr>
              <w:t>101.PRE</w:t>
            </w:r>
          </w:p>
        </w:tc>
        <w:tc>
          <w:tcPr>
            <w:tcW w:w="4700" w:type="dxa"/>
            <w:vAlign w:val="bottom"/>
          </w:tcPr>
          <w:p>
            <w:pPr>
              <w:ind w:left="160"/>
              <w:spacing w:after="0"/>
              <w:rPr>
                <w:sz w:val="20"/>
                <w:szCs w:val="20"/>
                <w:color w:val="auto"/>
              </w:rPr>
            </w:pPr>
            <w:r>
              <w:rPr>
                <w:rFonts w:ascii="Arial" w:cs="Arial" w:eastAsia="Arial" w:hAnsi="Arial"/>
                <w:sz w:val="16"/>
                <w:szCs w:val="16"/>
                <w:color w:val="auto"/>
                <w:w w:val="94"/>
              </w:rPr>
              <w:t>Inline XBRL Taxonomy Extension Presentation Linkbase Document</w:t>
            </w:r>
          </w:p>
        </w:tc>
      </w:tr>
    </w:tbl>
    <w:p>
      <w:pPr>
        <w:spacing w:after="0" w:line="211" w:lineRule="exact"/>
        <w:rPr>
          <w:sz w:val="20"/>
          <w:szCs w:val="20"/>
          <w:color w:val="auto"/>
        </w:rPr>
      </w:pPr>
    </w:p>
    <w:p>
      <w:pPr>
        <w:ind w:left="1181" w:hanging="750"/>
        <w:spacing w:after="0"/>
        <w:tabs>
          <w:tab w:leader="none" w:pos="1181" w:val="left"/>
        </w:tabs>
        <w:numPr>
          <w:ilvl w:val="1"/>
          <w:numId w:val="39"/>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318" w:lineRule="exact"/>
        <w:rPr>
          <w:rFonts w:ascii="Arial" w:cs="Arial" w:eastAsia="Arial" w:hAnsi="Arial"/>
          <w:sz w:val="16"/>
          <w:szCs w:val="16"/>
          <w:color w:val="auto"/>
        </w:rPr>
      </w:pPr>
    </w:p>
    <w:p>
      <w:pPr>
        <w:ind w:left="361" w:hanging="370"/>
        <w:spacing w:after="0" w:line="268" w:lineRule="auto"/>
        <w:rPr>
          <w:rFonts w:ascii="Arial" w:cs="Arial" w:eastAsia="Arial" w:hAnsi="Arial"/>
          <w:sz w:val="16"/>
          <w:szCs w:val="16"/>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The certification attached as Exhibit 32.1 that accompanies this Annual Report on Form 10-K is not deemed filed with the SEC and is not to be incorporated by reference into any filing of Corsair Gaming,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-473710</wp:posOffset>
            </wp:positionV>
            <wp:extent cx="9556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9556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03" w:lineRule="exact"/>
        <w:rPr>
          <w:sz w:val="20"/>
          <w:szCs w:val="20"/>
          <w:color w:val="auto"/>
        </w:rPr>
      </w:pPr>
    </w:p>
    <w:p>
      <w:pPr>
        <w:sectPr>
          <w:pgSz w:w="11900" w:h="16838" w:orient="portrait"/>
          <w:cols w:equalWidth="0" w:num="2">
            <w:col w:w="11221" w:space="0"/>
            <w:col w:w="120"/>
          </w:cols>
          <w:pgMar w:left="319" w:top="123" w:right="239" w:bottom="1440" w:gutter="0" w:footer="0" w:header="0"/>
          <w:type w:val="continuous"/>
        </w:sectPr>
      </w:pPr>
    </w:p>
    <w:p>
      <w:pPr>
        <w:ind w:left="361" w:hanging="361"/>
        <w:spacing w:after="0"/>
        <w:tabs>
          <w:tab w:leader="none" w:pos="361"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30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16. Form 10-K Summary</w:t>
      </w:r>
    </w:p>
    <w:p>
      <w:pPr>
        <w:spacing w:after="0" w:line="153" w:lineRule="exact"/>
        <w:rPr>
          <w:sz w:val="20"/>
          <w:szCs w:val="20"/>
          <w:color w:val="auto"/>
        </w:rPr>
      </w:pPr>
    </w:p>
    <w:p>
      <w:pPr>
        <w:ind w:left="661"/>
        <w:spacing w:after="0"/>
        <w:rPr>
          <w:sz w:val="20"/>
          <w:szCs w:val="20"/>
          <w:color w:val="auto"/>
        </w:rPr>
      </w:pPr>
      <w:r>
        <w:rPr>
          <w:rFonts w:ascii="Arial" w:cs="Arial" w:eastAsia="Arial" w:hAnsi="Arial"/>
          <w:sz w:val="16"/>
          <w:szCs w:val="16"/>
          <w:color w:val="auto"/>
        </w:rPr>
        <w:t>None.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wp:posOffset>
            </wp:positionV>
            <wp:extent cx="716978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1"/>
          </w:cols>
          <w:pgMar w:left="319" w:top="123" w:right="239" w:bottom="1440" w:gutter="0" w:footer="0" w:header="0"/>
          <w:type w:val="continuous"/>
        </w:sectPr>
      </w:pPr>
    </w:p>
    <w:bookmarkStart w:id="94" w:name="page95"/>
    <w:bookmarkEnd w:id="9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29" w:lineRule="exact"/>
        <w:rPr>
          <w:sz w:val="20"/>
          <w:szCs w:val="20"/>
          <w:color w:val="auto"/>
        </w:rPr>
      </w:pPr>
    </w:p>
    <w:p>
      <w:pPr>
        <w:ind w:right="80" w:firstLine="511"/>
        <w:spacing w:after="0" w:line="274"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3780" w:type="dxa"/>
            <w:vAlign w:val="bottom"/>
            <w:gridSpan w:val="2"/>
          </w:tcPr>
          <w:p>
            <w:pPr>
              <w:ind w:left="2260"/>
              <w:spacing w:after="0"/>
              <w:rPr>
                <w:sz w:val="20"/>
                <w:szCs w:val="20"/>
                <w:color w:val="auto"/>
              </w:rPr>
            </w:pPr>
            <w:r>
              <w:rPr>
                <w:rFonts w:ascii="Arial" w:cs="Arial" w:eastAsia="Arial" w:hAnsi="Arial"/>
                <w:sz w:val="16"/>
                <w:szCs w:val="16"/>
                <w:color w:val="auto"/>
              </w:rPr>
              <w:t>Corsair Gaming, Inc.</w:t>
            </w:r>
          </w:p>
        </w:tc>
        <w:tc>
          <w:tcPr>
            <w:tcW w:w="3840" w:type="dxa"/>
            <w:vAlign w:val="bottom"/>
          </w:tcPr>
          <w:p>
            <w:pPr>
              <w:spacing w:after="0"/>
              <w:rPr>
                <w:sz w:val="18"/>
                <w:szCs w:val="18"/>
                <w:color w:val="auto"/>
              </w:rPr>
            </w:pPr>
          </w:p>
        </w:tc>
      </w:tr>
      <w:tr>
        <w:trPr>
          <w:trHeight w:val="420"/>
        </w:trPr>
        <w:tc>
          <w:tcPr>
            <w:tcW w:w="3620" w:type="dxa"/>
            <w:vAlign w:val="bottom"/>
          </w:tcPr>
          <w:p>
            <w:pPr>
              <w:spacing w:after="0"/>
              <w:rPr>
                <w:sz w:val="20"/>
                <w:szCs w:val="20"/>
                <w:color w:val="auto"/>
              </w:rPr>
            </w:pPr>
            <w:r>
              <w:rPr>
                <w:rFonts w:ascii="Arial" w:cs="Arial" w:eastAsia="Arial" w:hAnsi="Arial"/>
                <w:sz w:val="16"/>
                <w:szCs w:val="16"/>
                <w:color w:val="auto"/>
              </w:rPr>
              <w:t>Date: March 1, 2022</w:t>
            </w:r>
          </w:p>
        </w:tc>
        <w:tc>
          <w:tcPr>
            <w:tcW w:w="3780" w:type="dxa"/>
            <w:vAlign w:val="bottom"/>
            <w:gridSpan w:val="2"/>
          </w:tcPr>
          <w:p>
            <w:pPr>
              <w:ind w:left="2260"/>
              <w:spacing w:after="0"/>
              <w:rPr>
                <w:sz w:val="20"/>
                <w:szCs w:val="20"/>
                <w:color w:val="auto"/>
              </w:rPr>
            </w:pPr>
            <w:r>
              <w:rPr>
                <w:rFonts w:ascii="Arial" w:cs="Arial" w:eastAsia="Arial" w:hAnsi="Arial"/>
                <w:sz w:val="16"/>
                <w:szCs w:val="16"/>
                <w:color w:val="auto"/>
              </w:rPr>
              <w:t>By:</w:t>
            </w:r>
          </w:p>
        </w:tc>
        <w:tc>
          <w:tcPr>
            <w:tcW w:w="3840" w:type="dxa"/>
            <w:vAlign w:val="bottom"/>
          </w:tcPr>
          <w:p>
            <w:pPr>
              <w:jc w:val="center"/>
              <w:ind w:right="1078"/>
              <w:spacing w:after="0"/>
              <w:rPr>
                <w:sz w:val="20"/>
                <w:szCs w:val="20"/>
                <w:color w:val="auto"/>
              </w:rPr>
            </w:pPr>
            <w:r>
              <w:rPr>
                <w:rFonts w:ascii="Arial" w:cs="Arial" w:eastAsia="Arial" w:hAnsi="Arial"/>
                <w:sz w:val="16"/>
                <w:szCs w:val="16"/>
                <w:color w:val="auto"/>
                <w:w w:val="93"/>
              </w:rPr>
              <w:t>/s/ Andrew J. Paul</w:t>
            </w:r>
          </w:p>
        </w:tc>
      </w:tr>
      <w:tr>
        <w:trPr>
          <w:trHeight w:val="202"/>
        </w:trPr>
        <w:tc>
          <w:tcPr>
            <w:tcW w:w="3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tcPr>
          <w:p>
            <w:pPr>
              <w:jc w:val="center"/>
              <w:ind w:right="1078"/>
              <w:spacing w:after="0"/>
              <w:rPr>
                <w:sz w:val="20"/>
                <w:szCs w:val="20"/>
                <w:color w:val="auto"/>
              </w:rPr>
            </w:pPr>
            <w:r>
              <w:rPr>
                <w:rFonts w:ascii="Arial" w:cs="Arial" w:eastAsia="Arial" w:hAnsi="Arial"/>
                <w:sz w:val="16"/>
                <w:szCs w:val="16"/>
                <w:color w:val="auto"/>
                <w:w w:val="92"/>
              </w:rPr>
              <w:t>Andrew J. Paul</w:t>
            </w:r>
          </w:p>
        </w:tc>
      </w:tr>
      <w:tr>
        <w:trPr>
          <w:trHeight w:val="210"/>
        </w:trPr>
        <w:tc>
          <w:tcPr>
            <w:tcW w:w="3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center"/>
              <w:ind w:right="1078"/>
              <w:spacing w:after="0"/>
              <w:rPr>
                <w:sz w:val="20"/>
                <w:szCs w:val="20"/>
                <w:color w:val="auto"/>
              </w:rPr>
            </w:pPr>
            <w:r>
              <w:rPr>
                <w:rFonts w:ascii="Arial" w:cs="Arial" w:eastAsia="Arial" w:hAnsi="Arial"/>
                <w:sz w:val="16"/>
                <w:szCs w:val="16"/>
                <w:color w:val="auto"/>
                <w:w w:val="95"/>
              </w:rPr>
              <w:t>Chief Executive Officer and Director</w:t>
            </w:r>
          </w:p>
        </w:tc>
      </w:tr>
      <w:tr>
        <w:trPr>
          <w:trHeight w:val="210"/>
        </w:trPr>
        <w:tc>
          <w:tcPr>
            <w:tcW w:w="3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center"/>
              <w:ind w:right="1078"/>
              <w:spacing w:after="0"/>
              <w:rPr>
                <w:sz w:val="20"/>
                <w:szCs w:val="20"/>
                <w:color w:val="auto"/>
              </w:rPr>
            </w:pPr>
            <w:r>
              <w:rPr>
                <w:rFonts w:ascii="Arial" w:cs="Arial" w:eastAsia="Arial" w:hAnsi="Arial"/>
                <w:sz w:val="16"/>
                <w:szCs w:val="16"/>
                <w:i w:val="1"/>
                <w:iCs w:val="1"/>
                <w:color w:val="auto"/>
                <w:w w:val="97"/>
              </w:rPr>
              <w:t>(Principal Executive Officer)</w:t>
            </w:r>
          </w:p>
        </w:tc>
      </w:tr>
      <w:tr>
        <w:trPr>
          <w:trHeight w:val="297"/>
        </w:trPr>
        <w:tc>
          <w:tcPr>
            <w:tcW w:w="3620" w:type="dxa"/>
            <w:vAlign w:val="bottom"/>
          </w:tcPr>
          <w:p>
            <w:pPr>
              <w:spacing w:after="0"/>
              <w:rPr>
                <w:sz w:val="20"/>
                <w:szCs w:val="20"/>
                <w:color w:val="auto"/>
              </w:rPr>
            </w:pPr>
            <w:r>
              <w:rPr>
                <w:rFonts w:ascii="Arial" w:cs="Arial" w:eastAsia="Arial" w:hAnsi="Arial"/>
                <w:sz w:val="16"/>
                <w:szCs w:val="16"/>
                <w:color w:val="auto"/>
              </w:rPr>
              <w:t>Date: March 1, 2022</w:t>
            </w:r>
          </w:p>
        </w:tc>
        <w:tc>
          <w:tcPr>
            <w:tcW w:w="3780" w:type="dxa"/>
            <w:vAlign w:val="bottom"/>
            <w:gridSpan w:val="2"/>
          </w:tcPr>
          <w:p>
            <w:pPr>
              <w:ind w:left="2260"/>
              <w:spacing w:after="0"/>
              <w:rPr>
                <w:sz w:val="20"/>
                <w:szCs w:val="20"/>
                <w:color w:val="auto"/>
              </w:rPr>
            </w:pPr>
            <w:r>
              <w:rPr>
                <w:rFonts w:ascii="Arial" w:cs="Arial" w:eastAsia="Arial" w:hAnsi="Arial"/>
                <w:sz w:val="16"/>
                <w:szCs w:val="16"/>
                <w:color w:val="auto"/>
              </w:rPr>
              <w:t>By:</w:t>
            </w:r>
          </w:p>
        </w:tc>
        <w:tc>
          <w:tcPr>
            <w:tcW w:w="3840" w:type="dxa"/>
            <w:vAlign w:val="bottom"/>
          </w:tcPr>
          <w:p>
            <w:pPr>
              <w:jc w:val="center"/>
              <w:ind w:right="1058"/>
              <w:spacing w:after="0"/>
              <w:rPr>
                <w:sz w:val="20"/>
                <w:szCs w:val="20"/>
                <w:color w:val="auto"/>
              </w:rPr>
            </w:pPr>
            <w:r>
              <w:rPr>
                <w:rFonts w:ascii="Arial" w:cs="Arial" w:eastAsia="Arial" w:hAnsi="Arial"/>
                <w:sz w:val="16"/>
                <w:szCs w:val="16"/>
                <w:color w:val="auto"/>
                <w:w w:val="95"/>
              </w:rPr>
              <w:t>/s/ Michael G. Potter</w:t>
            </w:r>
          </w:p>
        </w:tc>
      </w:tr>
      <w:tr>
        <w:trPr>
          <w:trHeight w:val="202"/>
        </w:trPr>
        <w:tc>
          <w:tcPr>
            <w:tcW w:w="3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tcPr>
          <w:p>
            <w:pPr>
              <w:jc w:val="center"/>
              <w:ind w:right="1058"/>
              <w:spacing w:after="0"/>
              <w:rPr>
                <w:sz w:val="20"/>
                <w:szCs w:val="20"/>
                <w:color w:val="auto"/>
              </w:rPr>
            </w:pPr>
            <w:r>
              <w:rPr>
                <w:rFonts w:ascii="Arial" w:cs="Arial" w:eastAsia="Arial" w:hAnsi="Arial"/>
                <w:sz w:val="16"/>
                <w:szCs w:val="16"/>
                <w:color w:val="auto"/>
                <w:w w:val="95"/>
              </w:rPr>
              <w:t>Michael G. Potter</w:t>
            </w:r>
          </w:p>
        </w:tc>
      </w:tr>
      <w:tr>
        <w:trPr>
          <w:trHeight w:val="210"/>
        </w:trPr>
        <w:tc>
          <w:tcPr>
            <w:tcW w:w="3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center"/>
              <w:ind w:right="1058"/>
              <w:spacing w:after="0"/>
              <w:rPr>
                <w:sz w:val="20"/>
                <w:szCs w:val="20"/>
                <w:color w:val="auto"/>
              </w:rPr>
            </w:pPr>
            <w:r>
              <w:rPr>
                <w:rFonts w:ascii="Arial" w:cs="Arial" w:eastAsia="Arial" w:hAnsi="Arial"/>
                <w:sz w:val="16"/>
                <w:szCs w:val="16"/>
                <w:color w:val="auto"/>
                <w:w w:val="97"/>
              </w:rPr>
              <w:t>Chief Financial Officer</w:t>
            </w:r>
          </w:p>
        </w:tc>
      </w:tr>
      <w:tr>
        <w:trPr>
          <w:trHeight w:val="210"/>
        </w:trPr>
        <w:tc>
          <w:tcPr>
            <w:tcW w:w="3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center"/>
              <w:ind w:right="1078"/>
              <w:spacing w:after="0"/>
              <w:rPr>
                <w:sz w:val="20"/>
                <w:szCs w:val="20"/>
                <w:color w:val="auto"/>
              </w:rPr>
            </w:pPr>
            <w:r>
              <w:rPr>
                <w:rFonts w:ascii="Arial" w:cs="Arial" w:eastAsia="Arial" w:hAnsi="Arial"/>
                <w:sz w:val="16"/>
                <w:szCs w:val="16"/>
                <w:i w:val="1"/>
                <w:iCs w:val="1"/>
                <w:color w:val="auto"/>
                <w:w w:val="99"/>
              </w:rPr>
              <w:t>(Principal Financial Officer)</w:t>
            </w:r>
          </w:p>
        </w:tc>
      </w:tr>
    </w:tbl>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POWER OF ATTORNEY</w:t>
      </w:r>
    </w:p>
    <w:p>
      <w:pPr>
        <w:spacing w:after="0" w:line="54" w:lineRule="exact"/>
        <w:rPr>
          <w:sz w:val="20"/>
          <w:szCs w:val="20"/>
          <w:color w:val="auto"/>
        </w:rPr>
      </w:pPr>
    </w:p>
    <w:p>
      <w:pPr>
        <w:ind w:right="160" w:firstLine="511"/>
        <w:spacing w:after="0" w:line="291"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Andrew J. Paul and Michael G. Potter, and each or any one of them,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either of said attorneys-in-fact and agent, or substitute or substitutes, may do or cause to be done by virtue hereof.</w:t>
      </w:r>
    </w:p>
    <w:p>
      <w:pPr>
        <w:spacing w:after="0" w:line="101" w:lineRule="exact"/>
        <w:rPr>
          <w:sz w:val="20"/>
          <w:szCs w:val="20"/>
          <w:color w:val="auto"/>
        </w:rPr>
      </w:pPr>
    </w:p>
    <w:p>
      <w:pPr>
        <w:ind w:right="380" w:firstLine="511"/>
        <w:spacing w:after="0" w:line="289"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100" w:type="dxa"/>
            <w:vAlign w:val="bottom"/>
          </w:tcPr>
          <w:p>
            <w:pPr>
              <w:spacing w:after="0"/>
              <w:rPr>
                <w:sz w:val="13"/>
                <w:szCs w:val="13"/>
                <w:color w:val="auto"/>
              </w:rPr>
            </w:pP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6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29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Andrew J. Paul</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Chief Executive Officer and 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4"/>
              </w:rPr>
              <w:t>Andrew J. Paul</w:t>
            </w:r>
          </w:p>
        </w:tc>
        <w:tc>
          <w:tcPr>
            <w:tcW w:w="100" w:type="dxa"/>
            <w:vAlign w:val="bottom"/>
          </w:tcPr>
          <w:p>
            <w:pPr>
              <w:spacing w:after="0"/>
              <w:rPr>
                <w:sz w:val="17"/>
                <w:szCs w:val="17"/>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(Principal Executive Officer)</w:t>
            </w: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Thi L. La</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President and Chief Operating Officer and 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Thi L. La</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Michael G. Potter</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Chief Financial Officer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4"/>
              </w:rPr>
              <w:t>Michael G. Potter</w:t>
            </w:r>
          </w:p>
        </w:tc>
        <w:tc>
          <w:tcPr>
            <w:tcW w:w="100" w:type="dxa"/>
            <w:vAlign w:val="bottom"/>
          </w:tcPr>
          <w:p>
            <w:pPr>
              <w:spacing w:after="0"/>
              <w:rPr>
                <w:sz w:val="17"/>
                <w:szCs w:val="17"/>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(Principal Financial Officer)</w:t>
            </w: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Gregg A. Lakritz</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Vice President, Corporate Controller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7"/>
              </w:rPr>
              <w:t>Gregg A. Lakritz</w:t>
            </w:r>
          </w:p>
        </w:tc>
        <w:tc>
          <w:tcPr>
            <w:tcW w:w="100" w:type="dxa"/>
            <w:vAlign w:val="bottom"/>
          </w:tcPr>
          <w:p>
            <w:pPr>
              <w:spacing w:after="0"/>
              <w:rPr>
                <w:sz w:val="17"/>
                <w:szCs w:val="17"/>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(Principal Accounting Officer)</w:t>
            </w: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Anup Bagaria</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6"/>
              </w:rPr>
              <w:t>Anup Bagaria</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Diana Bell</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3"/>
              </w:rPr>
              <w:t>Diana Bell</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Jason Cahilly</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3"/>
              </w:rPr>
              <w:t>Jason Cahilly</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George L. Majoros, Jr.</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4"/>
              </w:rPr>
              <w:t>George L. Majoros, Jr.</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Sarah M. Kim</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8"/>
              </w:rPr>
              <w:t>Sarah M. Kim</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Stuart A. Martin</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Stuart A. Martin</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Samuel R. Szteinbaum</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3"/>
              </w:rPr>
              <w:t>Samuel R. Szteinbaum</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Randall J. Weisenburger</w:t>
            </w:r>
          </w:p>
        </w:tc>
        <w:tc>
          <w:tcPr>
            <w:tcW w:w="100" w:type="dxa"/>
            <w:vAlign w:val="bottom"/>
          </w:tcPr>
          <w:p>
            <w:pPr>
              <w:spacing w:after="0"/>
              <w:rPr>
                <w:sz w:val="24"/>
                <w:szCs w:val="24"/>
                <w:color w:val="auto"/>
              </w:rPr>
            </w:pPr>
          </w:p>
        </w:tc>
        <w:tc>
          <w:tcPr>
            <w:tcW w:w="60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Director</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March 1, 2022</w:t>
            </w:r>
          </w:p>
        </w:tc>
      </w:tr>
      <w:tr>
        <w:trPr>
          <w:trHeight w:val="206"/>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94"/>
              </w:rPr>
              <w:t>Randall J. Weisenburger</w:t>
            </w:r>
          </w:p>
        </w:tc>
        <w:tc>
          <w:tcPr>
            <w:tcW w:w="1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77"/>
        </w:trPr>
        <w:tc>
          <w:tcPr>
            <w:tcW w:w="3460" w:type="dxa"/>
            <w:vAlign w:val="bottom"/>
          </w:tcPr>
          <w:p>
            <w:pPr>
              <w:spacing w:after="0"/>
              <w:rPr>
                <w:sz w:val="24"/>
                <w:szCs w:val="24"/>
                <w:color w:val="auto"/>
              </w:rPr>
            </w:pPr>
          </w:p>
        </w:tc>
        <w:tc>
          <w:tcPr>
            <w:tcW w:w="6060" w:type="dxa"/>
            <w:vAlign w:val="bottom"/>
            <w:gridSpan w:val="2"/>
          </w:tcPr>
          <w:p>
            <w:pPr>
              <w:jc w:val="right"/>
              <w:ind w:right="3739"/>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80"/>
          </w:cols>
          <w:pgMar w:left="320" w:top="123" w:right="299" w:bottom="1440" w:gutter="0" w:footer="0" w:header="0"/>
        </w:sectPr>
      </w:pPr>
    </w:p>
    <w:bookmarkStart w:id="95" w:name="page96"/>
    <w:bookmarkEnd w:id="95"/>
    <w:p>
      <w:pPr>
        <w:ind w:left="9060"/>
        <w:spacing w:after="0"/>
        <w:rPr>
          <w:sz w:val="20"/>
          <w:szCs w:val="20"/>
          <w:color w:val="auto"/>
        </w:rPr>
      </w:pPr>
      <w:r>
        <w:rPr>
          <w:rFonts w:ascii="Arial" w:cs="Arial" w:eastAsia="Arial" w:hAnsi="Arial"/>
          <w:sz w:val="18"/>
          <w:szCs w:val="18"/>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LEASE AGREEMENT</w:t>
      </w:r>
    </w:p>
    <w:p>
      <w:pPr>
        <w:spacing w:after="0" w:line="38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between</w:t>
      </w:r>
    </w:p>
    <w:p>
      <w:pPr>
        <w:spacing w:after="0" w:line="38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CAMPUS 237 OWNER LLC,</w:t>
      </w:r>
    </w:p>
    <w:p>
      <w:pPr>
        <w:spacing w:after="0" w:line="3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w:t>
      </w:r>
      <w:r>
        <w:rPr>
          <w:rFonts w:ascii="Arial" w:cs="Arial" w:eastAsia="Arial" w:hAnsi="Arial"/>
          <w:sz w:val="20"/>
          <w:szCs w:val="20"/>
          <w:b w:val="1"/>
          <w:bCs w:val="1"/>
          <w:color w:val="auto"/>
        </w:rPr>
        <w:t>Landlord</w:t>
      </w:r>
      <w:r>
        <w:rPr>
          <w:rFonts w:ascii="Arial" w:cs="Arial" w:eastAsia="Arial" w:hAnsi="Arial"/>
          <w:sz w:val="20"/>
          <w:szCs w:val="20"/>
          <w:color w:val="auto"/>
        </w:rPr>
        <w:t>”</w:t>
      </w:r>
    </w:p>
    <w:p>
      <w:pPr>
        <w:spacing w:after="0" w:line="37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38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CORSAIR GAMING, INC.,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Park Point Lease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152400</wp:posOffset>
            </wp:positionV>
            <wp:extent cx="718502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0"/>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80" w:type="dxa"/>
            <w:vAlign w:val="bottom"/>
          </w:tcPr>
          <w:p>
            <w:pPr>
              <w:ind w:left="3780"/>
              <w:spacing w:after="0"/>
              <w:rPr>
                <w:sz w:val="20"/>
                <w:szCs w:val="20"/>
                <w:color w:val="auto"/>
              </w:rPr>
            </w:pPr>
            <w:r>
              <w:rPr>
                <w:rFonts w:ascii="Arial" w:cs="Arial" w:eastAsia="Arial" w:hAnsi="Arial"/>
                <w:sz w:val="20"/>
                <w:szCs w:val="20"/>
                <w:color w:val="auto"/>
              </w:rPr>
              <w:t>TABLE OF CONTENTS</w:t>
            </w:r>
          </w:p>
        </w:tc>
        <w:tc>
          <w:tcPr>
            <w:tcW w:w="500" w:type="dxa"/>
            <w:vAlign w:val="bottom"/>
          </w:tcPr>
          <w:p>
            <w:pPr>
              <w:spacing w:after="0"/>
              <w:rPr>
                <w:sz w:val="21"/>
                <w:szCs w:val="21"/>
                <w:color w:val="auto"/>
              </w:rPr>
            </w:pPr>
          </w:p>
        </w:tc>
      </w:tr>
      <w:tr>
        <w:trPr>
          <w:trHeight w:val="571"/>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2"/>
              </w:rPr>
              <w:t>SECTION</w:t>
            </w:r>
          </w:p>
        </w:tc>
        <w:tc>
          <w:tcPr>
            <w:tcW w:w="98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PAGE</w:t>
            </w:r>
          </w:p>
        </w:tc>
      </w:tr>
      <w:tr>
        <w:trPr>
          <w:trHeight w:val="220"/>
        </w:trPr>
        <w:tc>
          <w:tcPr>
            <w:tcW w:w="200" w:type="dxa"/>
            <w:vAlign w:val="bottom"/>
          </w:tcPr>
          <w:p>
            <w:pPr>
              <w:spacing w:after="0" w:line="220" w:lineRule="exact"/>
              <w:rPr>
                <w:sz w:val="20"/>
                <w:szCs w:val="20"/>
                <w:color w:val="auto"/>
              </w:rPr>
            </w:pPr>
            <w:r>
              <w:rPr>
                <w:rFonts w:ascii="Arial" w:cs="Arial" w:eastAsia="Arial" w:hAnsi="Arial"/>
                <w:sz w:val="20"/>
                <w:szCs w:val="20"/>
                <w:color w:val="auto"/>
              </w:rPr>
              <w:t>1.</w:t>
            </w:r>
          </w:p>
        </w:tc>
        <w:tc>
          <w:tcPr>
            <w:tcW w:w="10520" w:type="dxa"/>
            <w:vAlign w:val="bottom"/>
            <w:gridSpan w:val="3"/>
          </w:tcPr>
          <w:p>
            <w:pPr>
              <w:ind w:left="40"/>
              <w:spacing w:after="0" w:line="220" w:lineRule="exact"/>
              <w:rPr>
                <w:sz w:val="20"/>
                <w:szCs w:val="20"/>
                <w:color w:val="auto"/>
              </w:rPr>
            </w:pPr>
            <w:r>
              <w:rPr>
                <w:rFonts w:ascii="Arial" w:cs="Arial" w:eastAsia="Arial" w:hAnsi="Arial"/>
                <w:sz w:val="20"/>
                <w:szCs w:val="20"/>
                <w:color w:val="auto"/>
              </w:rPr>
              <w:t>PREMISES</w:t>
            </w:r>
          </w:p>
        </w:tc>
        <w:tc>
          <w:tcPr>
            <w:tcW w:w="500" w:type="dxa"/>
            <w:vAlign w:val="bottom"/>
          </w:tcPr>
          <w:p>
            <w:pPr>
              <w:jc w:val="right"/>
              <w:spacing w:after="0" w:line="220" w:lineRule="exact"/>
              <w:rPr>
                <w:sz w:val="20"/>
                <w:szCs w:val="20"/>
                <w:color w:val="auto"/>
              </w:rPr>
            </w:pPr>
            <w:r>
              <w:rPr>
                <w:rFonts w:ascii="Arial" w:cs="Arial" w:eastAsia="Arial" w:hAnsi="Arial"/>
                <w:sz w:val="20"/>
                <w:szCs w:val="20"/>
                <w:color w:val="auto"/>
              </w:rPr>
              <w:t>4</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2.</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TERM; POSSESSION</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5</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3.</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RENT</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5</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4.</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SECURITY DEPOSIT</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11</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5.</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USE AND COMPLIANCE WITH LAWS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11</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6.</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TENANT IMPROVEMENTS &amp; ALTERATIONS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15</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7.</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MAINTENANCE AND REPAIRS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18</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8.</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TENANT’S TAXES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20</w:t>
            </w:r>
          </w:p>
        </w:tc>
      </w:tr>
      <w:tr>
        <w:trPr>
          <w:trHeight w:val="222"/>
        </w:trPr>
        <w:tc>
          <w:tcPr>
            <w:tcW w:w="200" w:type="dxa"/>
            <w:vAlign w:val="bottom"/>
          </w:tcPr>
          <w:p>
            <w:pPr>
              <w:spacing w:after="0" w:line="222" w:lineRule="exact"/>
              <w:rPr>
                <w:sz w:val="20"/>
                <w:szCs w:val="20"/>
                <w:color w:val="auto"/>
              </w:rPr>
            </w:pPr>
            <w:r>
              <w:rPr>
                <w:rFonts w:ascii="Arial" w:cs="Arial" w:eastAsia="Arial" w:hAnsi="Arial"/>
                <w:sz w:val="20"/>
                <w:szCs w:val="20"/>
                <w:color w:val="auto"/>
              </w:rPr>
              <w:t>9.</w:t>
            </w:r>
          </w:p>
        </w:tc>
        <w:tc>
          <w:tcPr>
            <w:tcW w:w="10520" w:type="dxa"/>
            <w:vAlign w:val="bottom"/>
            <w:gridSpan w:val="3"/>
          </w:tcPr>
          <w:p>
            <w:pPr>
              <w:ind w:left="40"/>
              <w:spacing w:after="0" w:line="222" w:lineRule="exact"/>
              <w:rPr>
                <w:sz w:val="20"/>
                <w:szCs w:val="20"/>
                <w:color w:val="auto"/>
              </w:rPr>
            </w:pPr>
            <w:r>
              <w:rPr>
                <w:rFonts w:ascii="Arial" w:cs="Arial" w:eastAsia="Arial" w:hAnsi="Arial"/>
                <w:sz w:val="20"/>
                <w:szCs w:val="20"/>
                <w:color w:val="auto"/>
              </w:rPr>
              <w:t>UTILITIES AND SERVICES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20</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10.</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EXCULPATION AND INDEMNIFICATION</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22</w:t>
            </w:r>
          </w:p>
        </w:tc>
      </w:tr>
      <w:tr>
        <w:trPr>
          <w:trHeight w:val="222"/>
        </w:trPr>
        <w:tc>
          <w:tcPr>
            <w:tcW w:w="10720" w:type="dxa"/>
            <w:vAlign w:val="bottom"/>
            <w:gridSpan w:val="4"/>
          </w:tcPr>
          <w:p>
            <w:pPr>
              <w:spacing w:after="0" w:line="222" w:lineRule="exact"/>
              <w:rPr>
                <w:sz w:val="20"/>
                <w:szCs w:val="20"/>
                <w:color w:val="auto"/>
              </w:rPr>
            </w:pPr>
            <w:r>
              <w:rPr>
                <w:rFonts w:ascii="Arial" w:cs="Arial" w:eastAsia="Arial" w:hAnsi="Arial"/>
                <w:sz w:val="20"/>
                <w:szCs w:val="20"/>
                <w:color w:val="auto"/>
              </w:rPr>
              <w:t>11. INSURANCE</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23</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12.</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DAMAGE OR DESTRUCTION</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25</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13.</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CONDEMNATION</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26</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14.</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ASSIGNMENT AND SUBLETTING</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28</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15.</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DEFAULT AND REMEDIES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32</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16.</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LATE CHARGE AND INTEREST</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33</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17.</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WAIVER</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34</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18.</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ENTRY, INSPECTION AND CLOSURE</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34</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19.</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SURRENDER AND HOLDING OVER</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34</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20.</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ENCUMBRANCES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35</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21.</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ESTOPPEL CERTIFICATES AND FINANCIAL STATEMENTS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37</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22.</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NOTICES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37</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23.</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ATTORNEYS’ FEES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38</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24.</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QUIET POSSESSION</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38</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25.</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SECURITY MEASURES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38</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26.</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FORCE MAJEURE</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39</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27.</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RULES AND REGULATIONS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39</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28.</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LANDLORD’S LIABILITY</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39</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29.</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CONSENTS AND APPROVALS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40</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30.</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WAIVERS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40</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31.</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BROKERS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40</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32.</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[RESERVED]</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40</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33.</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OFAC</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40</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34.</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ENTIRE AGREEMENT</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41</w:t>
            </w:r>
          </w:p>
        </w:tc>
      </w:tr>
      <w:tr>
        <w:trPr>
          <w:trHeight w:val="222"/>
        </w:trPr>
        <w:tc>
          <w:tcPr>
            <w:tcW w:w="280" w:type="dxa"/>
            <w:vAlign w:val="bottom"/>
            <w:gridSpan w:val="2"/>
          </w:tcPr>
          <w:p>
            <w:pPr>
              <w:spacing w:after="0" w:line="222" w:lineRule="exact"/>
              <w:rPr>
                <w:sz w:val="20"/>
                <w:szCs w:val="20"/>
                <w:color w:val="auto"/>
              </w:rPr>
            </w:pPr>
            <w:r>
              <w:rPr>
                <w:rFonts w:ascii="Arial" w:cs="Arial" w:eastAsia="Arial" w:hAnsi="Arial"/>
                <w:sz w:val="20"/>
                <w:szCs w:val="20"/>
                <w:color w:val="auto"/>
                <w:w w:val="93"/>
              </w:rPr>
              <w:t>35.</w:t>
            </w:r>
          </w:p>
        </w:tc>
        <w:tc>
          <w:tcPr>
            <w:tcW w:w="10440" w:type="dxa"/>
            <w:vAlign w:val="bottom"/>
            <w:gridSpan w:val="2"/>
          </w:tcPr>
          <w:p>
            <w:pPr>
              <w:ind w:left="60"/>
              <w:spacing w:after="0" w:line="222" w:lineRule="exact"/>
              <w:rPr>
                <w:sz w:val="20"/>
                <w:szCs w:val="20"/>
                <w:color w:val="auto"/>
              </w:rPr>
            </w:pPr>
            <w:r>
              <w:rPr>
                <w:rFonts w:ascii="Arial" w:cs="Arial" w:eastAsia="Arial" w:hAnsi="Arial"/>
                <w:sz w:val="20"/>
                <w:szCs w:val="20"/>
                <w:color w:val="auto"/>
              </w:rPr>
              <w:t>MISCELLANEOUS</w:t>
            </w:r>
          </w:p>
        </w:tc>
        <w:tc>
          <w:tcPr>
            <w:tcW w:w="500" w:type="dxa"/>
            <w:vAlign w:val="bottom"/>
          </w:tcPr>
          <w:p>
            <w:pPr>
              <w:jc w:val="right"/>
              <w:spacing w:after="0" w:line="222" w:lineRule="exact"/>
              <w:rPr>
                <w:sz w:val="20"/>
                <w:szCs w:val="20"/>
                <w:color w:val="auto"/>
              </w:rPr>
            </w:pPr>
            <w:r>
              <w:rPr>
                <w:rFonts w:ascii="Arial" w:cs="Arial" w:eastAsia="Arial" w:hAnsi="Arial"/>
                <w:sz w:val="20"/>
                <w:szCs w:val="20"/>
                <w:color w:val="auto"/>
              </w:rPr>
              <w:t>41</w:t>
            </w:r>
          </w:p>
        </w:tc>
      </w:tr>
      <w:tr>
        <w:trPr>
          <w:trHeight w:val="250"/>
        </w:trPr>
        <w:tc>
          <w:tcPr>
            <w:tcW w:w="280" w:type="dxa"/>
            <w:vAlign w:val="bottom"/>
            <w:gridSpan w:val="2"/>
          </w:tcPr>
          <w:p>
            <w:pPr>
              <w:spacing w:after="0"/>
              <w:rPr>
                <w:sz w:val="20"/>
                <w:szCs w:val="20"/>
                <w:color w:val="auto"/>
              </w:rPr>
            </w:pPr>
            <w:r>
              <w:rPr>
                <w:rFonts w:ascii="Arial" w:cs="Arial" w:eastAsia="Arial" w:hAnsi="Arial"/>
                <w:sz w:val="20"/>
                <w:szCs w:val="20"/>
                <w:color w:val="auto"/>
                <w:w w:val="93"/>
              </w:rPr>
              <w:t>36.</w:t>
            </w:r>
          </w:p>
        </w:tc>
        <w:tc>
          <w:tcPr>
            <w:tcW w:w="10440" w:type="dxa"/>
            <w:vAlign w:val="bottom"/>
            <w:gridSpan w:val="2"/>
          </w:tcPr>
          <w:p>
            <w:pPr>
              <w:ind w:left="60"/>
              <w:spacing w:after="0"/>
              <w:rPr>
                <w:sz w:val="20"/>
                <w:szCs w:val="20"/>
                <w:color w:val="auto"/>
              </w:rPr>
            </w:pPr>
            <w:r>
              <w:rPr>
                <w:rFonts w:ascii="Arial" w:cs="Arial" w:eastAsia="Arial" w:hAnsi="Arial"/>
                <w:sz w:val="20"/>
                <w:szCs w:val="20"/>
                <w:color w:val="auto"/>
              </w:rPr>
              <w:t>AUTHORITY</w:t>
            </w:r>
          </w:p>
        </w:tc>
        <w:tc>
          <w:tcPr>
            <w:tcW w:w="500" w:type="dxa"/>
            <w:vAlign w:val="bottom"/>
          </w:tcPr>
          <w:p>
            <w:pPr>
              <w:jc w:val="right"/>
              <w:spacing w:after="0"/>
              <w:rPr>
                <w:sz w:val="20"/>
                <w:szCs w:val="20"/>
                <w:color w:val="auto"/>
              </w:rPr>
            </w:pPr>
            <w:r>
              <w:rPr>
                <w:rFonts w:ascii="Arial" w:cs="Arial" w:eastAsia="Arial" w:hAnsi="Arial"/>
                <w:sz w:val="20"/>
                <w:szCs w:val="20"/>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229235</wp:posOffset>
            </wp:positionV>
            <wp:extent cx="718502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20"/>
          </w:cols>
          <w:pgMar w:left="320" w:top="712" w:right="3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INDEX OF DEFINED TERMS</w:t>
      </w:r>
    </w:p>
    <w:p>
      <w:pPr>
        <w:sectPr>
          <w:pgSz w:w="11900" w:h="16838" w:orient="portrait"/>
          <w:cols w:equalWidth="0" w:num="1">
            <w:col w:w="11240"/>
          </w:cols>
          <w:pgMar w:left="320" w:top="515" w:right="33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40" w:type="dxa"/>
            <w:vAlign w:val="bottom"/>
          </w:tcPr>
          <w:p>
            <w:pPr>
              <w:spacing w:after="0"/>
              <w:rPr>
                <w:sz w:val="20"/>
                <w:szCs w:val="20"/>
                <w:color w:val="auto"/>
              </w:rPr>
            </w:pPr>
            <w:r>
              <w:rPr>
                <w:rFonts w:ascii="Arial" w:cs="Arial" w:eastAsia="Arial" w:hAnsi="Arial"/>
                <w:sz w:val="18"/>
                <w:szCs w:val="18"/>
                <w:color w:val="auto"/>
              </w:rPr>
              <w:t>Abated Rent</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Additional Rent</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Aesthetic Screening</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Affiliate</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Alterations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Amenity Area</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Amenity Area Users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Approved Space Plan</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Audit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Award</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Broker</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Building</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Building Signs</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Building Systems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Business Days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Business Hours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CASp</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CGL</w:t>
            </w:r>
          </w:p>
        </w:tc>
        <w:tc>
          <w:tcPr>
            <w:tcW w:w="2420" w:type="dxa"/>
            <w:vAlign w:val="bottom"/>
          </w:tcPr>
          <w:p>
            <w:pPr>
              <w:jc w:val="right"/>
              <w:spacing w:after="0"/>
              <w:rPr>
                <w:sz w:val="20"/>
                <w:szCs w:val="20"/>
                <w:color w:val="auto"/>
              </w:rPr>
            </w:pPr>
            <w:r>
              <w:rPr>
                <w:rFonts w:ascii="Arial" w:cs="Arial" w:eastAsia="Arial" w:hAnsi="Arial"/>
                <w:sz w:val="18"/>
                <w:szCs w:val="18"/>
                <w:color w:val="auto"/>
              </w:rPr>
              <w:t>Schedule 1 to Exhibit B</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Claims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Commencement Date</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Common Areas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Communication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Communication Services</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Condemnation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Condemnor</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Construction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Contractor</w:t>
            </w:r>
          </w:p>
        </w:tc>
        <w:tc>
          <w:tcPr>
            <w:tcW w:w="242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Control</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Controllable Operating Costs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Controls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Cosmetic 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Cost Pools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Date of Condemnation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Delivery Date</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Encumbrance</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Environmental Losses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Environmental Requirements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9"/>
        </w:trPr>
        <w:tc>
          <w:tcPr>
            <w:tcW w:w="2840" w:type="dxa"/>
            <w:vAlign w:val="bottom"/>
          </w:tcPr>
          <w:p>
            <w:pPr>
              <w:spacing w:after="0"/>
              <w:rPr>
                <w:sz w:val="20"/>
                <w:szCs w:val="20"/>
                <w:color w:val="auto"/>
              </w:rPr>
            </w:pPr>
            <w:r>
              <w:rPr>
                <w:rFonts w:ascii="Arial" w:cs="Arial" w:eastAsia="Arial" w:hAnsi="Arial"/>
                <w:sz w:val="18"/>
                <w:szCs w:val="18"/>
                <w:color w:val="auto"/>
              </w:rPr>
              <w:t>Event of Default</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600" w:type="dxa"/>
            <w:vAlign w:val="bottom"/>
          </w:tcPr>
          <w:p>
            <w:pPr>
              <w:spacing w:after="0"/>
              <w:rPr>
                <w:sz w:val="20"/>
                <w:szCs w:val="20"/>
                <w:color w:val="auto"/>
              </w:rPr>
            </w:pPr>
            <w:r>
              <w:rPr>
                <w:rFonts w:ascii="Arial" w:cs="Arial" w:eastAsia="Arial" w:hAnsi="Arial"/>
                <w:sz w:val="18"/>
                <w:szCs w:val="18"/>
                <w:color w:val="auto"/>
              </w:rPr>
              <w:t>Expiration Date</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Extension Option</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Extension Period</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FAA</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Fair Market Base Rental</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84"/>
        </w:trPr>
        <w:tc>
          <w:tcPr>
            <w:tcW w:w="3600" w:type="dxa"/>
            <w:vAlign w:val="bottom"/>
          </w:tcPr>
          <w:p>
            <w:pPr>
              <w:spacing w:after="0"/>
              <w:rPr>
                <w:sz w:val="20"/>
                <w:szCs w:val="20"/>
                <w:color w:val="auto"/>
              </w:rPr>
            </w:pPr>
            <w:r>
              <w:rPr>
                <w:rFonts w:ascii="Arial" w:cs="Arial" w:eastAsia="Arial" w:hAnsi="Arial"/>
                <w:sz w:val="18"/>
                <w:szCs w:val="18"/>
                <w:color w:val="auto"/>
              </w:rPr>
              <w:t>FCC</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Fees</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FF&amp;E</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Final Completion Items</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Final Construction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Fitness Center</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Fitness Center Users</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Generator</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Generator Plans</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Generator Test Times</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Handled by Tenant</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Handling by Tenant</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Hazardous Materials</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HVAC System</w:t>
            </w: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Improvement Allowance</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Interest Rate</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Land</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Landlord</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Landlord Charging Stations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Landlord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Landlord’s Response Period</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Laws</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Lease</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License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Licensed Area</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Monument</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Mortgagee</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Non-Structural Component</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OFAC</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Operating Costs</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Outdoor Area</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Parking Facility</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Permits</w:t>
            </w:r>
          </w:p>
        </w:tc>
        <w:tc>
          <w:tcPr>
            <w:tcW w:w="206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600" w:type="dxa"/>
            <w:vAlign w:val="bottom"/>
          </w:tcPr>
          <w:p>
            <w:pPr>
              <w:spacing w:after="0"/>
              <w:rPr>
                <w:sz w:val="20"/>
                <w:szCs w:val="20"/>
                <w:color w:val="auto"/>
              </w:rPr>
            </w:pPr>
            <w:r>
              <w:rPr>
                <w:rFonts w:ascii="Arial" w:cs="Arial" w:eastAsia="Arial" w:hAnsi="Arial"/>
                <w:sz w:val="18"/>
                <w:szCs w:val="18"/>
                <w:color w:val="auto"/>
              </w:rPr>
              <w:t>Permitted Hazardous Materials</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152400</wp:posOffset>
            </wp:positionV>
            <wp:extent cx="718502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2">
            <w:col w:w="5260" w:space="320"/>
            <w:col w:w="5660"/>
          </w:cols>
          <w:pgMar w:left="320" w:top="515"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1"/>
        </w:trPr>
        <w:tc>
          <w:tcPr>
            <w:tcW w:w="3280" w:type="dxa"/>
            <w:vAlign w:val="bottom"/>
          </w:tcPr>
          <w:p>
            <w:pPr>
              <w:spacing w:after="0"/>
              <w:rPr>
                <w:sz w:val="20"/>
                <w:szCs w:val="20"/>
                <w:color w:val="auto"/>
              </w:rPr>
            </w:pPr>
            <w:r>
              <w:rPr>
                <w:rFonts w:ascii="Arial" w:cs="Arial" w:eastAsia="Arial" w:hAnsi="Arial"/>
                <w:sz w:val="18"/>
                <w:szCs w:val="18"/>
                <w:color w:val="auto"/>
              </w:rPr>
              <w:t>Permitted Transfer</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4440" w:type="dxa"/>
            <w:vAlign w:val="bottom"/>
          </w:tcPr>
          <w:p>
            <w:pPr>
              <w:ind w:left="160"/>
              <w:spacing w:after="0"/>
              <w:rPr>
                <w:sz w:val="20"/>
                <w:szCs w:val="20"/>
                <w:color w:val="auto"/>
              </w:rPr>
            </w:pPr>
            <w:r>
              <w:rPr>
                <w:rFonts w:ascii="Arial" w:cs="Arial" w:eastAsia="Arial" w:hAnsi="Arial"/>
                <w:sz w:val="18"/>
                <w:szCs w:val="18"/>
                <w:color w:val="auto"/>
              </w:rPr>
              <w:t>Space Planner</w:t>
            </w:r>
          </w:p>
        </w:tc>
        <w:tc>
          <w:tcPr>
            <w:tcW w:w="138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Permitted Transferee</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4440" w:type="dxa"/>
            <w:vAlign w:val="bottom"/>
          </w:tcPr>
          <w:p>
            <w:pPr>
              <w:ind w:left="160"/>
              <w:spacing w:after="0"/>
              <w:rPr>
                <w:sz w:val="20"/>
                <w:szCs w:val="20"/>
                <w:color w:val="auto"/>
              </w:rPr>
            </w:pPr>
            <w:r>
              <w:rPr>
                <w:rFonts w:ascii="Arial" w:cs="Arial" w:eastAsia="Arial" w:hAnsi="Arial"/>
                <w:sz w:val="18"/>
                <w:szCs w:val="18"/>
                <w:color w:val="auto"/>
              </w:rPr>
              <w:t>Structural Elements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Permitted User</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4440" w:type="dxa"/>
            <w:vAlign w:val="bottom"/>
          </w:tcPr>
          <w:p>
            <w:pPr>
              <w:ind w:left="16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Plans and Specifications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Exhibit D</w:t>
            </w:r>
          </w:p>
        </w:tc>
        <w:tc>
          <w:tcPr>
            <w:tcW w:w="4440" w:type="dxa"/>
            <w:vAlign w:val="bottom"/>
          </w:tcPr>
          <w:p>
            <w:pPr>
              <w:ind w:left="160"/>
              <w:spacing w:after="0"/>
              <w:rPr>
                <w:sz w:val="20"/>
                <w:szCs w:val="20"/>
                <w:color w:val="auto"/>
              </w:rPr>
            </w:pPr>
            <w:r>
              <w:rPr>
                <w:rFonts w:ascii="Arial" w:cs="Arial" w:eastAsia="Arial" w:hAnsi="Arial"/>
                <w:sz w:val="18"/>
                <w:szCs w:val="18"/>
                <w:color w:val="auto"/>
              </w:rPr>
              <w:t>Telecommunications Provider</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Premises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Premises Utilities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 Improvements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Project</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Audit Notice</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Project Rules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Minimum Use and Maintenance Standard</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Property Manager</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Monument Sign</w:t>
            </w:r>
          </w:p>
        </w:tc>
        <w:tc>
          <w:tcPr>
            <w:tcW w:w="138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Proposed Transferee</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Parking Spaces</w:t>
            </w:r>
          </w:p>
        </w:tc>
        <w:tc>
          <w:tcPr>
            <w:tcW w:w="138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Released Parties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Removal Obligations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Exhibit D</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Rent</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Share</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Rental Tax</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4440" w:type="dxa"/>
            <w:vAlign w:val="bottom"/>
          </w:tcPr>
          <w:p>
            <w:pPr>
              <w:ind w:left="160"/>
              <w:spacing w:after="0"/>
              <w:rPr>
                <w:sz w:val="20"/>
                <w:szCs w:val="20"/>
                <w:color w:val="auto"/>
              </w:rPr>
            </w:pPr>
            <w:r>
              <w:rPr>
                <w:rFonts w:ascii="Arial" w:cs="Arial" w:eastAsia="Arial" w:hAnsi="Arial"/>
                <w:sz w:val="18"/>
                <w:szCs w:val="18"/>
                <w:color w:val="auto"/>
              </w:rPr>
              <w:t>Tenant’s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Representatives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4440" w:type="dxa"/>
            <w:vAlign w:val="bottom"/>
          </w:tcPr>
          <w:p>
            <w:pPr>
              <w:ind w:left="160"/>
              <w:spacing w:after="0"/>
              <w:rPr>
                <w:sz w:val="20"/>
                <w:szCs w:val="20"/>
                <w:color w:val="auto"/>
              </w:rPr>
            </w:pPr>
            <w:r>
              <w:rPr>
                <w:rFonts w:ascii="Arial" w:cs="Arial" w:eastAsia="Arial" w:hAnsi="Arial"/>
                <w:sz w:val="18"/>
                <w:szCs w:val="18"/>
                <w:color w:val="auto"/>
              </w:rPr>
              <w:t>Term</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Roof Space</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Exhibit D</w:t>
            </w:r>
          </w:p>
        </w:tc>
        <w:tc>
          <w:tcPr>
            <w:tcW w:w="4440" w:type="dxa"/>
            <w:vAlign w:val="bottom"/>
          </w:tcPr>
          <w:p>
            <w:pPr>
              <w:ind w:left="160"/>
              <w:spacing w:after="0"/>
              <w:rPr>
                <w:sz w:val="20"/>
                <w:szCs w:val="20"/>
                <w:color w:val="auto"/>
              </w:rPr>
            </w:pPr>
            <w:r>
              <w:rPr>
                <w:rFonts w:ascii="Arial" w:cs="Arial" w:eastAsia="Arial" w:hAnsi="Arial"/>
                <w:sz w:val="18"/>
                <w:szCs w:val="18"/>
                <w:color w:val="auto"/>
              </w:rPr>
              <w:t>Test Fit Allowance</w:t>
            </w:r>
          </w:p>
        </w:tc>
        <w:tc>
          <w:tcPr>
            <w:tcW w:w="138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Security Deposit</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4440" w:type="dxa"/>
            <w:vAlign w:val="bottom"/>
          </w:tcPr>
          <w:p>
            <w:pPr>
              <w:ind w:left="160"/>
              <w:spacing w:after="0"/>
              <w:rPr>
                <w:sz w:val="20"/>
                <w:szCs w:val="20"/>
                <w:color w:val="auto"/>
              </w:rPr>
            </w:pPr>
            <w:r>
              <w:rPr>
                <w:rFonts w:ascii="Arial" w:cs="Arial" w:eastAsia="Arial" w:hAnsi="Arial"/>
                <w:sz w:val="18"/>
                <w:szCs w:val="18"/>
                <w:color w:val="auto"/>
              </w:rPr>
              <w:t>Trade Fixtures</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Security System</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4440" w:type="dxa"/>
            <w:vAlign w:val="bottom"/>
          </w:tcPr>
          <w:p>
            <w:pPr>
              <w:ind w:left="160"/>
              <w:spacing w:after="0"/>
              <w:rPr>
                <w:sz w:val="20"/>
                <w:szCs w:val="20"/>
                <w:color w:val="auto"/>
              </w:rPr>
            </w:pPr>
            <w:r>
              <w:rPr>
                <w:rFonts w:ascii="Arial" w:cs="Arial" w:eastAsia="Arial" w:hAnsi="Arial"/>
                <w:sz w:val="18"/>
                <w:szCs w:val="18"/>
                <w:color w:val="auto"/>
              </w:rPr>
              <w:t>Transfer</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Security System Installation</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4440" w:type="dxa"/>
            <w:vAlign w:val="bottom"/>
          </w:tcPr>
          <w:p>
            <w:pPr>
              <w:ind w:left="160"/>
              <w:spacing w:after="0"/>
              <w:rPr>
                <w:sz w:val="20"/>
                <w:szCs w:val="20"/>
                <w:color w:val="auto"/>
              </w:rPr>
            </w:pPr>
            <w:r>
              <w:rPr>
                <w:rFonts w:ascii="Arial" w:cs="Arial" w:eastAsia="Arial" w:hAnsi="Arial"/>
                <w:sz w:val="18"/>
                <w:szCs w:val="18"/>
                <w:color w:val="auto"/>
              </w:rPr>
              <w:t>Transfer Consideration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Service Failure</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4440" w:type="dxa"/>
            <w:vAlign w:val="bottom"/>
          </w:tcPr>
          <w:p>
            <w:pPr>
              <w:ind w:left="160"/>
              <w:spacing w:after="0"/>
              <w:rPr>
                <w:sz w:val="20"/>
                <w:szCs w:val="20"/>
                <w:color w:val="auto"/>
              </w:rPr>
            </w:pPr>
            <w:r>
              <w:rPr>
                <w:rFonts w:ascii="Arial" w:cs="Arial" w:eastAsia="Arial" w:hAnsi="Arial"/>
                <w:sz w:val="18"/>
                <w:szCs w:val="18"/>
                <w:color w:val="auto"/>
              </w:rPr>
              <w:t>Transferee</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SNDA</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4440" w:type="dxa"/>
            <w:vAlign w:val="bottom"/>
          </w:tcPr>
          <w:p>
            <w:pPr>
              <w:ind w:left="160"/>
              <w:spacing w:after="0"/>
              <w:rPr>
                <w:sz w:val="20"/>
                <w:szCs w:val="20"/>
                <w:color w:val="auto"/>
              </w:rPr>
            </w:pPr>
            <w:r>
              <w:rPr>
                <w:rFonts w:ascii="Arial" w:cs="Arial" w:eastAsia="Arial" w:hAnsi="Arial"/>
                <w:sz w:val="18"/>
                <w:szCs w:val="18"/>
                <w:color w:val="auto"/>
              </w:rPr>
              <w:t>Unused Improvement Allowance</w:t>
            </w:r>
          </w:p>
        </w:tc>
        <w:tc>
          <w:tcPr>
            <w:tcW w:w="138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Soft Costs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Exhibit B</w:t>
            </w:r>
          </w:p>
        </w:tc>
        <w:tc>
          <w:tcPr>
            <w:tcW w:w="4440" w:type="dxa"/>
            <w:vAlign w:val="bottom"/>
          </w:tcPr>
          <w:p>
            <w:pPr>
              <w:ind w:left="160"/>
              <w:spacing w:after="0"/>
              <w:rPr>
                <w:sz w:val="20"/>
                <w:szCs w:val="20"/>
                <w:color w:val="auto"/>
              </w:rPr>
            </w:pPr>
            <w:r>
              <w:rPr>
                <w:rFonts w:ascii="Arial" w:cs="Arial" w:eastAsia="Arial" w:hAnsi="Arial"/>
                <w:sz w:val="18"/>
                <w:szCs w:val="18"/>
                <w:color w:val="auto"/>
              </w:rPr>
              <w:t>Visitors</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9"/>
        </w:trPr>
        <w:tc>
          <w:tcPr>
            <w:tcW w:w="3280" w:type="dxa"/>
            <w:vAlign w:val="bottom"/>
          </w:tcPr>
          <w:p>
            <w:pPr>
              <w:spacing w:after="0"/>
              <w:rPr>
                <w:sz w:val="20"/>
                <w:szCs w:val="20"/>
                <w:color w:val="auto"/>
              </w:rPr>
            </w:pPr>
            <w:r>
              <w:rPr>
                <w:rFonts w:ascii="Arial" w:cs="Arial" w:eastAsia="Arial" w:hAnsi="Arial"/>
                <w:sz w:val="18"/>
                <w:szCs w:val="18"/>
                <w:color w:val="auto"/>
              </w:rPr>
              <w:t>Space Plan</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Exhibit B</w:t>
            </w:r>
          </w:p>
        </w:tc>
        <w:tc>
          <w:tcPr>
            <w:tcW w:w="4440" w:type="dxa"/>
            <w:vAlign w:val="bottom"/>
          </w:tcPr>
          <w:p>
            <w:pPr>
              <w:spacing w:after="0"/>
              <w:rPr>
                <w:sz w:val="22"/>
                <w:szCs w:val="22"/>
                <w:color w:val="auto"/>
              </w:rPr>
            </w:pPr>
          </w:p>
        </w:tc>
        <w:tc>
          <w:tcPr>
            <w:tcW w:w="1380" w:type="dxa"/>
            <w:vAlign w:val="bottom"/>
          </w:tcPr>
          <w:p>
            <w:pPr>
              <w:spacing w:after="0"/>
              <w:rPr>
                <w:sz w:val="22"/>
                <w:szCs w:val="22"/>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99" w:name="page100"/>
    <w:bookmarkEnd w:id="99"/>
    <w:p>
      <w:pPr>
        <w:ind w:left="4220"/>
        <w:spacing w:after="0"/>
        <w:rPr>
          <w:sz w:val="20"/>
          <w:szCs w:val="20"/>
          <w:color w:val="auto"/>
        </w:rPr>
      </w:pPr>
      <w:r>
        <w:rPr>
          <w:rFonts w:ascii="Arial" w:cs="Arial" w:eastAsia="Arial" w:hAnsi="Arial"/>
          <w:sz w:val="19"/>
          <w:szCs w:val="19"/>
          <w:b w:val="1"/>
          <w:bCs w:val="1"/>
          <w:color w:val="auto"/>
        </w:rPr>
        <w:t>BASIC LEASE INFORMATION</w:t>
      </w:r>
    </w:p>
    <w:p>
      <w:pPr>
        <w:sectPr>
          <w:pgSz w:w="11900" w:h="16838" w:orient="portrait"/>
          <w:cols w:equalWidth="0" w:num="1">
            <w:col w:w="10139"/>
          </w:cols>
          <w:pgMar w:left="320" w:top="509" w:right="1440"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CAMPUS 237 OWNER LLC, a Delaware limited liability company</w:t>
      </w:r>
    </w:p>
    <w:p>
      <w:pPr>
        <w:spacing w:after="0" w:line="200"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CORSAIR GAMING, INC., a Delaware corporation</w:t>
      </w:r>
    </w:p>
    <w:p>
      <w:pPr>
        <w:spacing w:after="0" w:line="200"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Park Point</w:t>
      </w:r>
    </w:p>
    <w:p>
      <w:pPr>
        <w:spacing w:after="0" w:line="216"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Building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115 N McCarthy Boulevard, Milpitas CA 95035</w:t>
      </w:r>
    </w:p>
    <w:p>
      <w:pPr>
        <w:spacing w:after="0" w:line="200"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line="204" w:lineRule="exact"/>
        <w:rPr>
          <w:sz w:val="20"/>
          <w:szCs w:val="20"/>
          <w:color w:val="auto"/>
        </w:rPr>
      </w:pPr>
    </w:p>
    <w:p>
      <w:pPr>
        <w:spacing w:after="0"/>
        <w:tabs>
          <w:tab w:leader="none" w:pos="2380" w:val="left"/>
        </w:tabs>
        <w:rPr>
          <w:sz w:val="20"/>
          <w:szCs w:val="20"/>
          <w:color w:val="auto"/>
        </w:rPr>
      </w:pPr>
      <w:r>
        <w:rPr>
          <w:rFonts w:ascii="Arial" w:cs="Arial" w:eastAsia="Arial" w:hAnsi="Arial"/>
          <w:sz w:val="20"/>
          <w:szCs w:val="20"/>
          <w:b w:val="1"/>
          <w:bCs w:val="1"/>
          <w:color w:val="auto"/>
        </w:rPr>
        <w:t>Rentable Area of Project:</w:t>
      </w:r>
      <w:r>
        <w:rPr>
          <w:sz w:val="20"/>
          <w:szCs w:val="20"/>
          <w:color w:val="auto"/>
        </w:rPr>
        <w:tab/>
      </w:r>
      <w:r>
        <w:rPr>
          <w:rFonts w:ascii="Arial" w:cs="Arial" w:eastAsia="Arial" w:hAnsi="Arial"/>
          <w:sz w:val="16"/>
          <w:szCs w:val="16"/>
          <w:color w:val="auto"/>
        </w:rPr>
        <w:t>Approximately 471,877 rentable square feet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115 N McCarthy Boulevard – 118,127 SF</w:t>
      </w:r>
    </w:p>
    <w:p>
      <w:pPr>
        <w:sectPr>
          <w:pgSz w:w="11900" w:h="16838" w:orient="portrait"/>
          <w:cols w:equalWidth="0" w:num="1">
            <w:col w:w="10139"/>
          </w:cols>
          <w:pgMar w:left="320" w:top="509"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Premises: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Floor:Entire Building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Rentable Area: Approximately 118,127 rentable square feet</w:t>
      </w:r>
    </w:p>
    <w:p>
      <w:pPr>
        <w:spacing w:after="0" w:line="200"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20" w:lineRule="exact"/>
        <w:rPr>
          <w:sz w:val="20"/>
          <w:szCs w:val="20"/>
          <w:color w:val="auto"/>
        </w:rPr>
      </w:pPr>
      <w:r>
        <w:rPr>
          <w:sz w:val="20"/>
          <w:szCs w:val="20"/>
          <w:color w:val="auto"/>
        </w:rPr>
        <w:br w:type="column"/>
      </w:r>
    </w:p>
    <w:p>
      <w:pPr>
        <w:ind w:right="1959"/>
        <w:spacing w:after="0" w:line="252" w:lineRule="auto"/>
        <w:rPr>
          <w:sz w:val="20"/>
          <w:szCs w:val="20"/>
          <w:color w:val="auto"/>
        </w:rPr>
      </w:pPr>
      <w:r>
        <w:rPr>
          <w:rFonts w:ascii="Arial" w:cs="Arial" w:eastAsia="Arial" w:hAnsi="Arial"/>
          <w:sz w:val="20"/>
          <w:szCs w:val="20"/>
          <w:color w:val="auto"/>
        </w:rPr>
        <w:t>One hundred twenty-six (126) full calendar months (plus any partial month at the beginning of the Term)</w:t>
      </w:r>
    </w:p>
    <w:p>
      <w:pPr>
        <w:spacing w:after="0" w:line="153"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ectPr>
          <w:pgSz w:w="11900" w:h="16838" w:orient="portrait"/>
          <w:cols w:equalWidth="0" w:num="2">
            <w:col w:w="1880" w:space="520"/>
            <w:col w:w="7739"/>
          </w:cols>
          <w:pgMar w:left="320" w:top="509"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979"/>
        <w:spacing w:after="0" w:line="252" w:lineRule="auto"/>
        <w:rPr>
          <w:sz w:val="20"/>
          <w:szCs w:val="20"/>
          <w:color w:val="auto"/>
        </w:rPr>
      </w:pPr>
      <w:r>
        <w:rPr>
          <w:rFonts w:ascii="Arial" w:cs="Arial" w:eastAsia="Arial" w:hAnsi="Arial"/>
          <w:sz w:val="20"/>
          <w:szCs w:val="20"/>
          <w:color w:val="auto"/>
        </w:rPr>
        <w:t>The last day of the one hundred twenty-sixth (126</w:t>
      </w:r>
      <w:r>
        <w:rPr>
          <w:rFonts w:ascii="Arial" w:cs="Arial" w:eastAsia="Arial" w:hAnsi="Arial"/>
          <w:sz w:val="16"/>
          <w:szCs w:val="16"/>
          <w:color w:val="auto"/>
        </w:rPr>
        <w:t>th</w:t>
      </w:r>
      <w:r>
        <w:rPr>
          <w:rFonts w:ascii="Arial" w:cs="Arial" w:eastAsia="Arial" w:hAnsi="Arial"/>
          <w:sz w:val="20"/>
          <w:szCs w:val="20"/>
          <w:color w:val="auto"/>
        </w:rPr>
        <w:t>) full calendar month in the Term</w:t>
      </w:r>
    </w:p>
    <w:p>
      <w:pPr>
        <w:spacing w:after="0" w:line="153" w:lineRule="exact"/>
        <w:rPr>
          <w:sz w:val="20"/>
          <w:szCs w:val="20"/>
          <w:color w:val="auto"/>
        </w:rPr>
      </w:pPr>
    </w:p>
    <w:p>
      <w:pPr>
        <w:sectPr>
          <w:pgSz w:w="11900" w:h="16838" w:orient="portrait"/>
          <w:cols w:equalWidth="0" w:num="2">
            <w:col w:w="1680" w:space="720"/>
            <w:col w:w="7739"/>
          </w:cols>
          <w:pgMar w:left="320" w:top="509"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-100330</wp:posOffset>
            </wp:positionV>
            <wp:extent cx="2671445" cy="1793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2671445" cy="179387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0" w:right="2539"/>
        <w:spacing w:after="0" w:line="375" w:lineRule="auto"/>
        <w:rPr>
          <w:sz w:val="20"/>
          <w:szCs w:val="20"/>
          <w:color w:val="auto"/>
        </w:rPr>
      </w:pPr>
      <w:r>
        <w:rPr>
          <w:rFonts w:ascii="Arial" w:cs="Arial" w:eastAsia="Arial" w:hAnsi="Arial"/>
          <w:sz w:val="16"/>
          <w:szCs w:val="16"/>
          <w:color w:val="auto"/>
        </w:rPr>
        <w:t>*Base Rent for the first twelve (12) full calendar months of the Term is subject to abatement pursuant to Section 3.1 of the Lease.</w:t>
      </w: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Maintenance,</w:t>
      </w:r>
      <w:r>
        <w:rPr>
          <w:rFonts w:ascii="Arial" w:cs="Arial" w:eastAsia="Arial" w:hAnsi="Arial"/>
          <w:sz w:val="20"/>
          <w:szCs w:val="20"/>
          <w:color w:val="auto"/>
        </w:rPr>
        <w:t>This is a “triple net lease” where Tenant is responsible (a) for maintenance and for</w:t>
      </w:r>
    </w:p>
    <w:p>
      <w:pPr>
        <w:spacing w:after="0" w:line="6"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Operating</w:t>
      </w:r>
      <w:r>
        <w:rPr>
          <w:sz w:val="20"/>
          <w:szCs w:val="20"/>
          <w:color w:val="auto"/>
        </w:rPr>
        <w:tab/>
      </w:r>
      <w:r>
        <w:rPr>
          <w:rFonts w:ascii="Arial" w:cs="Arial" w:eastAsia="Arial" w:hAnsi="Arial"/>
          <w:sz w:val="20"/>
          <w:szCs w:val="20"/>
          <w:color w:val="auto"/>
        </w:rPr>
        <w:t>payment of certain expenses directly to providers, and (b) to reimburse Landlord for</w:t>
      </w:r>
    </w:p>
    <w:p>
      <w:pPr>
        <w:spacing w:after="0" w:line="231" w:lineRule="auto"/>
        <w:tabs>
          <w:tab w:leader="none" w:pos="800" w:val="left"/>
        </w:tabs>
        <w:rPr>
          <w:sz w:val="20"/>
          <w:szCs w:val="20"/>
          <w:color w:val="auto"/>
        </w:rPr>
      </w:pPr>
      <w:r>
        <w:rPr>
          <w:rFonts w:ascii="Arial" w:cs="Arial" w:eastAsia="Arial" w:hAnsi="Arial"/>
          <w:sz w:val="20"/>
          <w:szCs w:val="20"/>
          <w:b w:val="1"/>
          <w:bCs w:val="1"/>
          <w:color w:val="auto"/>
        </w:rPr>
        <w:t>Costs</w:t>
      </w:r>
      <w:r>
        <w:rPr>
          <w:sz w:val="20"/>
          <w:szCs w:val="20"/>
          <w:color w:val="auto"/>
        </w:rPr>
        <w:tab/>
      </w:r>
      <w:r>
        <w:rPr>
          <w:rFonts w:ascii="Arial" w:cs="Arial" w:eastAsia="Arial" w:hAnsi="Arial"/>
          <w:sz w:val="20"/>
          <w:szCs w:val="20"/>
          <w:b w:val="1"/>
          <w:bCs w:val="1"/>
          <w:color w:val="auto"/>
        </w:rPr>
        <w:t>and</w:t>
      </w:r>
      <w:r>
        <w:rPr>
          <w:rFonts w:ascii="Arial" w:cs="Arial" w:eastAsia="Arial" w:hAnsi="Arial"/>
          <w:sz w:val="20"/>
          <w:szCs w:val="20"/>
          <w:color w:val="auto"/>
        </w:rPr>
        <w:t>Tenant’s Share of “Operating Costs” and “Taxes”, all in accordance with the applicable</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Taxes:</w:t>
      </w:r>
      <w:r>
        <w:rPr>
          <w:sz w:val="20"/>
          <w:szCs w:val="20"/>
          <w:color w:val="auto"/>
        </w:rPr>
        <w:tab/>
      </w:r>
      <w:r>
        <w:rPr>
          <w:rFonts w:ascii="Arial" w:cs="Arial" w:eastAsia="Arial" w:hAnsi="Arial"/>
          <w:sz w:val="20"/>
          <w:szCs w:val="20"/>
          <w:color w:val="auto"/>
        </w:rPr>
        <w:t>provisions of the Lease.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b w:val="1"/>
                <w:bCs w:val="1"/>
                <w:color w:val="auto"/>
              </w:rPr>
              <w:t>Tenant’s Share:</w:t>
            </w:r>
          </w:p>
        </w:tc>
        <w:tc>
          <w:tcPr>
            <w:tcW w:w="9280" w:type="dxa"/>
            <w:vAlign w:val="bottom"/>
          </w:tcPr>
          <w:p>
            <w:pPr>
              <w:ind w:left="400"/>
              <w:spacing w:after="0"/>
              <w:rPr>
                <w:sz w:val="20"/>
                <w:szCs w:val="20"/>
                <w:color w:val="auto"/>
              </w:rPr>
            </w:pPr>
            <w:r>
              <w:rPr>
                <w:rFonts w:ascii="Arial" w:cs="Arial" w:eastAsia="Arial" w:hAnsi="Arial"/>
                <w:sz w:val="20"/>
                <w:szCs w:val="20"/>
                <w:color w:val="auto"/>
              </w:rPr>
              <w:t>Of Building: 100%</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Of Project: 25.03%</w:t>
            </w:r>
          </w:p>
        </w:tc>
      </w:tr>
      <w:tr>
        <w:trPr>
          <w:trHeight w:val="419"/>
        </w:trPr>
        <w:tc>
          <w:tcPr>
            <w:tcW w:w="2000" w:type="dxa"/>
            <w:vAlign w:val="bottom"/>
          </w:tcPr>
          <w:p>
            <w:pPr>
              <w:spacing w:after="0"/>
              <w:rPr>
                <w:sz w:val="20"/>
                <w:szCs w:val="20"/>
                <w:color w:val="auto"/>
              </w:rPr>
            </w:pPr>
            <w:r>
              <w:rPr>
                <w:rFonts w:ascii="Arial" w:cs="Arial" w:eastAsia="Arial" w:hAnsi="Arial"/>
                <w:sz w:val="20"/>
                <w:szCs w:val="20"/>
                <w:b w:val="1"/>
                <w:bCs w:val="1"/>
                <w:color w:val="auto"/>
              </w:rPr>
              <w:t>Security Deposit:</w:t>
            </w:r>
          </w:p>
        </w:tc>
        <w:tc>
          <w:tcPr>
            <w:tcW w:w="9280" w:type="dxa"/>
            <w:vAlign w:val="bottom"/>
          </w:tcPr>
          <w:p>
            <w:pPr>
              <w:ind w:left="400"/>
              <w:spacing w:after="0"/>
              <w:rPr>
                <w:sz w:val="20"/>
                <w:szCs w:val="20"/>
                <w:color w:val="auto"/>
              </w:rPr>
            </w:pPr>
            <w:r>
              <w:rPr>
                <w:rFonts w:ascii="Arial" w:cs="Arial" w:eastAsia="Arial" w:hAnsi="Arial"/>
                <w:sz w:val="20"/>
                <w:szCs w:val="20"/>
                <w:color w:val="auto"/>
              </w:rPr>
              <w:t>$472,669.50</w:t>
            </w:r>
          </w:p>
        </w:tc>
      </w:tr>
      <w:tr>
        <w:trPr>
          <w:trHeight w:val="386"/>
        </w:trPr>
        <w:tc>
          <w:tcPr>
            <w:tcW w:w="2000" w:type="dxa"/>
            <w:vAlign w:val="bottom"/>
          </w:tcPr>
          <w:p>
            <w:pPr>
              <w:spacing w:after="0"/>
              <w:rPr>
                <w:sz w:val="20"/>
                <w:szCs w:val="20"/>
                <w:color w:val="auto"/>
              </w:rPr>
            </w:pPr>
            <w:r>
              <w:rPr>
                <w:rFonts w:ascii="Arial" w:cs="Arial" w:eastAsia="Arial" w:hAnsi="Arial"/>
                <w:sz w:val="20"/>
                <w:szCs w:val="20"/>
                <w:b w:val="1"/>
                <w:bCs w:val="1"/>
                <w:color w:val="auto"/>
                <w:w w:val="99"/>
              </w:rPr>
              <w:t>Landlord’s   Address</w:t>
            </w:r>
          </w:p>
        </w:tc>
        <w:tc>
          <w:tcPr>
            <w:tcW w:w="9280" w:type="dxa"/>
            <w:vAlign w:val="bottom"/>
          </w:tcPr>
          <w:p>
            <w:pPr>
              <w:ind w:left="120"/>
              <w:spacing w:after="0"/>
              <w:rPr>
                <w:sz w:val="20"/>
                <w:szCs w:val="20"/>
                <w:color w:val="auto"/>
              </w:rPr>
            </w:pPr>
            <w:r>
              <w:rPr>
                <w:rFonts w:ascii="Arial" w:cs="Arial" w:eastAsia="Arial" w:hAnsi="Arial"/>
                <w:sz w:val="20"/>
                <w:szCs w:val="20"/>
                <w:b w:val="1"/>
                <w:bCs w:val="1"/>
                <w:color w:val="auto"/>
              </w:rPr>
              <w:t>for</w:t>
            </w:r>
            <w:r>
              <w:rPr>
                <w:rFonts w:ascii="Arial" w:cs="Arial" w:eastAsia="Arial" w:hAnsi="Arial"/>
                <w:sz w:val="20"/>
                <w:szCs w:val="20"/>
                <w:color w:val="auto"/>
              </w:rPr>
              <w:t>Campus 237 Owner LLC</w:t>
            </w:r>
          </w:p>
        </w:tc>
      </w:tr>
      <w:tr>
        <w:trPr>
          <w:trHeight w:val="228"/>
        </w:trPr>
        <w:tc>
          <w:tcPr>
            <w:tcW w:w="2000" w:type="dxa"/>
            <w:vAlign w:val="bottom"/>
          </w:tcPr>
          <w:p>
            <w:pPr>
              <w:spacing w:after="0" w:line="228" w:lineRule="exact"/>
              <w:rPr>
                <w:sz w:val="20"/>
                <w:szCs w:val="20"/>
                <w:color w:val="auto"/>
              </w:rPr>
            </w:pPr>
            <w:r>
              <w:rPr>
                <w:rFonts w:ascii="Arial" w:cs="Arial" w:eastAsia="Arial" w:hAnsi="Arial"/>
                <w:sz w:val="20"/>
                <w:szCs w:val="20"/>
                <w:b w:val="1"/>
                <w:bCs w:val="1"/>
                <w:color w:val="auto"/>
              </w:rPr>
              <w:t>Payment of Rent:</w:t>
            </w:r>
          </w:p>
        </w:tc>
        <w:tc>
          <w:tcPr>
            <w:tcW w:w="9280" w:type="dxa"/>
            <w:vAlign w:val="bottom"/>
          </w:tcPr>
          <w:p>
            <w:pPr>
              <w:ind w:left="400"/>
              <w:spacing w:after="0" w:line="228" w:lineRule="exact"/>
              <w:rPr>
                <w:sz w:val="20"/>
                <w:szCs w:val="20"/>
                <w:color w:val="auto"/>
              </w:rPr>
            </w:pPr>
            <w:r>
              <w:rPr>
                <w:rFonts w:ascii="Arial" w:cs="Arial" w:eastAsia="Arial" w:hAnsi="Arial"/>
                <w:sz w:val="20"/>
                <w:szCs w:val="20"/>
                <w:color w:val="auto"/>
              </w:rPr>
              <w:t>c/o Embarcadero Realty Services LP</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1301 Shoreway Road, Suite 250</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Belmont, CA 94002</w:t>
            </w:r>
          </w:p>
        </w:tc>
      </w:tr>
      <w:tr>
        <w:trPr>
          <w:trHeight w:val="392"/>
        </w:trPr>
        <w:tc>
          <w:tcPr>
            <w:tcW w:w="2000" w:type="dxa"/>
            <w:vAlign w:val="bottom"/>
          </w:tcPr>
          <w:p>
            <w:pPr>
              <w:spacing w:after="0"/>
              <w:rPr>
                <w:sz w:val="20"/>
                <w:szCs w:val="20"/>
                <w:color w:val="auto"/>
              </w:rPr>
            </w:pPr>
            <w:r>
              <w:rPr>
                <w:rFonts w:ascii="Arial" w:cs="Arial" w:eastAsia="Arial" w:hAnsi="Arial"/>
                <w:sz w:val="20"/>
                <w:szCs w:val="20"/>
                <w:b w:val="1"/>
                <w:bCs w:val="1"/>
                <w:color w:val="auto"/>
              </w:rPr>
              <w:t>Business Hours:</w:t>
            </w:r>
          </w:p>
        </w:tc>
        <w:tc>
          <w:tcPr>
            <w:tcW w:w="9280" w:type="dxa"/>
            <w:vAlign w:val="bottom"/>
          </w:tcPr>
          <w:p>
            <w:pPr>
              <w:ind w:left="400"/>
              <w:spacing w:after="0"/>
              <w:rPr>
                <w:sz w:val="20"/>
                <w:szCs w:val="20"/>
                <w:color w:val="auto"/>
              </w:rPr>
            </w:pPr>
            <w:r>
              <w:rPr>
                <w:rFonts w:ascii="Arial" w:cs="Arial" w:eastAsia="Arial" w:hAnsi="Arial"/>
                <w:sz w:val="20"/>
                <w:szCs w:val="20"/>
                <w:color w:val="auto"/>
              </w:rPr>
              <w:t>8:00 a.m. – 6:00 p.m., Monday through Friday,</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excluding holidays</w:t>
            </w:r>
          </w:p>
        </w:tc>
      </w:tr>
      <w:tr>
        <w:trPr>
          <w:trHeight w:val="386"/>
        </w:trPr>
        <w:tc>
          <w:tcPr>
            <w:tcW w:w="2000" w:type="dxa"/>
            <w:vAlign w:val="bottom"/>
          </w:tcPr>
          <w:p>
            <w:pPr>
              <w:spacing w:after="0"/>
              <w:rPr>
                <w:sz w:val="20"/>
                <w:szCs w:val="20"/>
                <w:color w:val="auto"/>
              </w:rPr>
            </w:pPr>
            <w:r>
              <w:rPr>
                <w:rFonts w:ascii="Arial" w:cs="Arial" w:eastAsia="Arial" w:hAnsi="Arial"/>
                <w:sz w:val="20"/>
                <w:szCs w:val="20"/>
                <w:b w:val="1"/>
                <w:bCs w:val="1"/>
                <w:color w:val="auto"/>
              </w:rPr>
              <w:t>Landlord’s Address</w:t>
            </w:r>
          </w:p>
        </w:tc>
        <w:tc>
          <w:tcPr>
            <w:tcW w:w="9280" w:type="dxa"/>
            <w:vAlign w:val="bottom"/>
          </w:tcPr>
          <w:p>
            <w:pPr>
              <w:ind w:left="400"/>
              <w:spacing w:after="0"/>
              <w:rPr>
                <w:sz w:val="20"/>
                <w:szCs w:val="20"/>
                <w:color w:val="auto"/>
              </w:rPr>
            </w:pPr>
            <w:r>
              <w:rPr>
                <w:rFonts w:ascii="Arial" w:cs="Arial" w:eastAsia="Arial" w:hAnsi="Arial"/>
                <w:sz w:val="20"/>
                <w:szCs w:val="20"/>
                <w:color w:val="auto"/>
              </w:rPr>
              <w:t>Campus 237 Owner LLC</w:t>
            </w:r>
          </w:p>
        </w:tc>
      </w:tr>
      <w:tr>
        <w:trPr>
          <w:trHeight w:val="228"/>
        </w:trPr>
        <w:tc>
          <w:tcPr>
            <w:tcW w:w="2000" w:type="dxa"/>
            <w:vAlign w:val="bottom"/>
          </w:tcPr>
          <w:p>
            <w:pPr>
              <w:spacing w:after="0" w:line="228" w:lineRule="exact"/>
              <w:rPr>
                <w:sz w:val="20"/>
                <w:szCs w:val="20"/>
                <w:color w:val="auto"/>
              </w:rPr>
            </w:pPr>
            <w:r>
              <w:rPr>
                <w:rFonts w:ascii="Arial" w:cs="Arial" w:eastAsia="Arial" w:hAnsi="Arial"/>
                <w:sz w:val="20"/>
                <w:szCs w:val="20"/>
                <w:b w:val="1"/>
                <w:bCs w:val="1"/>
                <w:color w:val="auto"/>
              </w:rPr>
              <w:t>for Notices:</w:t>
            </w:r>
          </w:p>
        </w:tc>
        <w:tc>
          <w:tcPr>
            <w:tcW w:w="9280" w:type="dxa"/>
            <w:vAlign w:val="bottom"/>
          </w:tcPr>
          <w:p>
            <w:pPr>
              <w:ind w:left="400"/>
              <w:spacing w:after="0" w:line="228" w:lineRule="exact"/>
              <w:rPr>
                <w:sz w:val="20"/>
                <w:szCs w:val="20"/>
                <w:color w:val="auto"/>
              </w:rPr>
            </w:pPr>
            <w:r>
              <w:rPr>
                <w:rFonts w:ascii="Arial" w:cs="Arial" w:eastAsia="Arial" w:hAnsi="Arial"/>
                <w:sz w:val="20"/>
                <w:szCs w:val="20"/>
                <w:color w:val="auto"/>
              </w:rPr>
              <w:t>c/o Embarcadero Realty Services LP</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1301 Shoreway Road, #250</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Belmont, California 94002</w:t>
            </w:r>
          </w:p>
        </w:tc>
      </w:tr>
      <w:tr>
        <w:trPr>
          <w:trHeight w:val="284"/>
        </w:trPr>
        <w:tc>
          <w:tcPr>
            <w:tcW w:w="20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with a copy to:</w:t>
            </w:r>
          </w:p>
        </w:tc>
      </w:tr>
      <w:tr>
        <w:trPr>
          <w:trHeight w:val="268"/>
        </w:trPr>
        <w:tc>
          <w:tcPr>
            <w:tcW w:w="2000" w:type="dxa"/>
            <w:vAlign w:val="bottom"/>
          </w:tcPr>
          <w:p>
            <w:pPr>
              <w:spacing w:after="0"/>
              <w:rPr>
                <w:sz w:val="23"/>
                <w:szCs w:val="23"/>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Campus 237 Owner LLC</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c/o Embarcadero Realty Services LP</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1290 Oakmead Parkway, Suite 310</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Sunnyvale, California 94085</w:t>
            </w:r>
          </w:p>
        </w:tc>
      </w:tr>
      <w:tr>
        <w:trPr>
          <w:trHeight w:val="284"/>
        </w:trPr>
        <w:tc>
          <w:tcPr>
            <w:tcW w:w="20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and</w:t>
            </w:r>
          </w:p>
        </w:tc>
      </w:tr>
      <w:tr>
        <w:trPr>
          <w:trHeight w:val="256"/>
        </w:trPr>
        <w:tc>
          <w:tcPr>
            <w:tcW w:w="2000" w:type="dxa"/>
            <w:vAlign w:val="bottom"/>
          </w:tcPr>
          <w:p>
            <w:pPr>
              <w:spacing w:after="0"/>
              <w:rPr>
                <w:sz w:val="22"/>
                <w:szCs w:val="22"/>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Mr. Gregory B. Shean</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Farella Braun + Martel LLP</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The Russ Building, 30</w:t>
            </w:r>
            <w:r>
              <w:rPr>
                <w:rFonts w:ascii="Arial" w:cs="Arial" w:eastAsia="Arial" w:hAnsi="Arial"/>
                <w:sz w:val="16"/>
                <w:szCs w:val="16"/>
                <w:color w:val="auto"/>
              </w:rPr>
              <w:t>th</w:t>
            </w:r>
            <w:r>
              <w:rPr>
                <w:rFonts w:ascii="Arial" w:cs="Arial" w:eastAsia="Arial" w:hAnsi="Arial"/>
                <w:sz w:val="20"/>
                <w:szCs w:val="20"/>
                <w:color w:val="auto"/>
              </w:rPr>
              <w:t xml:space="preserve"> Floor</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235 Montgomery Street</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San Francisco, CA 94104</w:t>
            </w:r>
          </w:p>
        </w:tc>
      </w:tr>
      <w:tr>
        <w:trPr>
          <w:trHeight w:val="296"/>
        </w:trPr>
        <w:tc>
          <w:tcPr>
            <w:tcW w:w="20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and</w:t>
            </w:r>
          </w:p>
        </w:tc>
      </w:tr>
      <w:tr>
        <w:trPr>
          <w:trHeight w:val="256"/>
        </w:trPr>
        <w:tc>
          <w:tcPr>
            <w:tcW w:w="2000" w:type="dxa"/>
            <w:vAlign w:val="bottom"/>
          </w:tcPr>
          <w:p>
            <w:pPr>
              <w:spacing w:after="0"/>
              <w:rPr>
                <w:sz w:val="22"/>
                <w:szCs w:val="22"/>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Campus 237 Owner LLC</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c/o PCCP LLC</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10100 Santa Monica Boulevard, Suite 1000</w:t>
            </w:r>
          </w:p>
        </w:tc>
      </w:tr>
      <w:tr>
        <w:trPr>
          <w:trHeight w:val="222"/>
        </w:trPr>
        <w:tc>
          <w:tcPr>
            <w:tcW w:w="2000" w:type="dxa"/>
            <w:vAlign w:val="bottom"/>
          </w:tcPr>
          <w:p>
            <w:pPr>
              <w:spacing w:after="0"/>
              <w:rPr>
                <w:sz w:val="19"/>
                <w:szCs w:val="19"/>
                <w:color w:val="auto"/>
              </w:rPr>
            </w:pPr>
          </w:p>
        </w:tc>
        <w:tc>
          <w:tcPr>
            <w:tcW w:w="9280" w:type="dxa"/>
            <w:vAlign w:val="bottom"/>
          </w:tcPr>
          <w:p>
            <w:pPr>
              <w:ind w:left="400"/>
              <w:spacing w:after="0" w:line="222" w:lineRule="exact"/>
              <w:rPr>
                <w:sz w:val="20"/>
                <w:szCs w:val="20"/>
                <w:color w:val="auto"/>
              </w:rPr>
            </w:pPr>
            <w:r>
              <w:rPr>
                <w:rFonts w:ascii="Arial" w:cs="Arial" w:eastAsia="Arial" w:hAnsi="Arial"/>
                <w:sz w:val="20"/>
                <w:szCs w:val="20"/>
                <w:color w:val="auto"/>
              </w:rPr>
              <w:t>Los Angeles, California 90067</w:t>
            </w:r>
          </w:p>
        </w:tc>
      </w:tr>
      <w:tr>
        <w:trPr>
          <w:trHeight w:val="250"/>
        </w:trPr>
        <w:tc>
          <w:tcPr>
            <w:tcW w:w="2000" w:type="dxa"/>
            <w:vAlign w:val="bottom"/>
          </w:tcPr>
          <w:p>
            <w:pPr>
              <w:spacing w:after="0"/>
              <w:rPr>
                <w:sz w:val="21"/>
                <w:szCs w:val="21"/>
                <w:color w:val="auto"/>
              </w:rPr>
            </w:pPr>
          </w:p>
        </w:tc>
        <w:tc>
          <w:tcPr>
            <w:tcW w:w="9280" w:type="dxa"/>
            <w:vAlign w:val="bottom"/>
          </w:tcPr>
          <w:p>
            <w:pPr>
              <w:ind w:left="400"/>
              <w:spacing w:after="0"/>
              <w:rPr>
                <w:sz w:val="20"/>
                <w:szCs w:val="20"/>
                <w:color w:val="auto"/>
              </w:rPr>
            </w:pPr>
            <w:r>
              <w:rPr>
                <w:rFonts w:ascii="Arial" w:cs="Arial" w:eastAsia="Arial" w:hAnsi="Arial"/>
                <w:sz w:val="20"/>
                <w:szCs w:val="20"/>
                <w:color w:val="auto"/>
              </w:rPr>
              <w:t>Attn: Legal Notices</w:t>
            </w:r>
          </w:p>
        </w:tc>
      </w:tr>
      <w:tr>
        <w:trPr>
          <w:trHeight w:val="582"/>
        </w:trPr>
        <w:tc>
          <w:tcPr>
            <w:tcW w:w="2000" w:type="dxa"/>
            <w:vAlign w:val="bottom"/>
          </w:tcPr>
          <w:p>
            <w:pPr>
              <w:spacing w:after="0"/>
              <w:rPr>
                <w:sz w:val="24"/>
                <w:szCs w:val="24"/>
                <w:color w:val="auto"/>
              </w:rPr>
            </w:pPr>
          </w:p>
        </w:tc>
        <w:tc>
          <w:tcPr>
            <w:tcW w:w="9280" w:type="dxa"/>
            <w:vAlign w:val="bottom"/>
          </w:tcPr>
          <w:p>
            <w:pPr>
              <w:ind w:left="3580"/>
              <w:spacing w:after="0"/>
              <w:rPr>
                <w:sz w:val="20"/>
                <w:szCs w:val="20"/>
                <w:color w:val="auto"/>
              </w:rPr>
            </w:pPr>
            <w:r>
              <w:rPr>
                <w:rFonts w:ascii="Arial" w:cs="Arial" w:eastAsia="Arial" w:hAnsi="Arial"/>
                <w:sz w:val="16"/>
                <w:szCs w:val="16"/>
                <w:color w:val="auto"/>
              </w:rPr>
              <w:t>2</w:t>
            </w:r>
          </w:p>
        </w:tc>
      </w:tr>
      <w:tr>
        <w:trPr>
          <w:trHeight w:val="240"/>
        </w:trPr>
        <w:tc>
          <w:tcPr>
            <w:tcW w:w="2000" w:type="dxa"/>
            <w:vAlign w:val="bottom"/>
            <w:tcBorders>
              <w:bottom w:val="single" w:sz="8" w:color="9A9A9A"/>
            </w:tcBorders>
          </w:tcPr>
          <w:p>
            <w:pPr>
              <w:spacing w:after="0"/>
              <w:rPr>
                <w:sz w:val="20"/>
                <w:szCs w:val="20"/>
                <w:color w:val="auto"/>
              </w:rPr>
            </w:pPr>
          </w:p>
        </w:tc>
        <w:tc>
          <w:tcPr>
            <w:tcW w:w="92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09" w:right="2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2140" w:type="dxa"/>
            <w:vAlign w:val="bottom"/>
            <w:gridSpan w:val="3"/>
          </w:tcPr>
          <w:p>
            <w:pPr>
              <w:spacing w:after="0"/>
              <w:rPr>
                <w:sz w:val="20"/>
                <w:szCs w:val="20"/>
                <w:color w:val="auto"/>
              </w:rPr>
            </w:pPr>
            <w:r>
              <w:rPr>
                <w:rFonts w:ascii="Arial" w:cs="Arial" w:eastAsia="Arial" w:hAnsi="Arial"/>
                <w:sz w:val="20"/>
                <w:szCs w:val="20"/>
                <w:b w:val="1"/>
                <w:bCs w:val="1"/>
                <w:color w:val="auto"/>
              </w:rPr>
              <w:t>Tenant’s Address</w:t>
            </w:r>
          </w:p>
        </w:tc>
        <w:tc>
          <w:tcPr>
            <w:tcW w:w="6020" w:type="dxa"/>
            <w:vAlign w:val="bottom"/>
          </w:tcPr>
          <w:p>
            <w:pPr>
              <w:ind w:left="260"/>
              <w:spacing w:after="0"/>
              <w:rPr>
                <w:sz w:val="20"/>
                <w:szCs w:val="20"/>
                <w:color w:val="auto"/>
              </w:rPr>
            </w:pPr>
            <w:r>
              <w:rPr>
                <w:rFonts w:ascii="Arial" w:cs="Arial" w:eastAsia="Arial" w:hAnsi="Arial"/>
                <w:sz w:val="20"/>
                <w:szCs w:val="20"/>
                <w:color w:val="auto"/>
              </w:rPr>
              <w:t>Prior to the Commencement Date:</w:t>
            </w:r>
          </w:p>
        </w:tc>
        <w:tc>
          <w:tcPr>
            <w:tcW w:w="0" w:type="dxa"/>
            <w:vAlign w:val="bottom"/>
          </w:tcPr>
          <w:p>
            <w:pPr>
              <w:spacing w:after="0"/>
              <w:rPr>
                <w:sz w:val="1"/>
                <w:szCs w:val="1"/>
                <w:color w:val="auto"/>
              </w:rPr>
            </w:pPr>
          </w:p>
        </w:tc>
      </w:tr>
      <w:tr>
        <w:trPr>
          <w:trHeight w:val="256"/>
        </w:trPr>
        <w:tc>
          <w:tcPr>
            <w:tcW w:w="1280" w:type="dxa"/>
            <w:vAlign w:val="bottom"/>
            <w:gridSpan w:val="2"/>
          </w:tcPr>
          <w:p>
            <w:pPr>
              <w:spacing w:after="0"/>
              <w:rPr>
                <w:sz w:val="20"/>
                <w:szCs w:val="20"/>
                <w:color w:val="auto"/>
              </w:rPr>
            </w:pPr>
            <w:r>
              <w:rPr>
                <w:rFonts w:ascii="Arial" w:cs="Arial" w:eastAsia="Arial" w:hAnsi="Arial"/>
                <w:sz w:val="20"/>
                <w:szCs w:val="20"/>
                <w:b w:val="1"/>
                <w:bCs w:val="1"/>
                <w:color w:val="auto"/>
              </w:rPr>
              <w:t>for Notices:</w:t>
            </w:r>
          </w:p>
        </w:tc>
        <w:tc>
          <w:tcPr>
            <w:tcW w:w="860" w:type="dxa"/>
            <w:vAlign w:val="bottom"/>
          </w:tcPr>
          <w:p>
            <w:pPr>
              <w:spacing w:after="0"/>
              <w:rPr>
                <w:sz w:val="22"/>
                <w:szCs w:val="22"/>
                <w:color w:val="auto"/>
              </w:rPr>
            </w:pPr>
          </w:p>
        </w:tc>
        <w:tc>
          <w:tcPr>
            <w:tcW w:w="6020" w:type="dxa"/>
            <w:vAlign w:val="bottom"/>
            <w:vMerge w:val="restart"/>
          </w:tcPr>
          <w:p>
            <w:pPr>
              <w:ind w:left="260"/>
              <w:spacing w:after="0"/>
              <w:rPr>
                <w:sz w:val="20"/>
                <w:szCs w:val="20"/>
                <w:color w:val="auto"/>
              </w:rPr>
            </w:pPr>
            <w:r>
              <w:rPr>
                <w:rFonts w:ascii="Arial" w:cs="Arial" w:eastAsia="Arial" w:hAnsi="Arial"/>
                <w:sz w:val="20"/>
                <w:szCs w:val="20"/>
                <w:color w:val="auto"/>
              </w:rPr>
              <w:t>47100 Bayside Parkway</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Fremont, CA 94538</w:t>
            </w: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After the Commencement Date:</w:t>
            </w:r>
          </w:p>
        </w:tc>
        <w:tc>
          <w:tcPr>
            <w:tcW w:w="0" w:type="dxa"/>
            <w:vAlign w:val="bottom"/>
          </w:tcPr>
          <w:p>
            <w:pPr>
              <w:spacing w:after="0"/>
              <w:rPr>
                <w:sz w:val="1"/>
                <w:szCs w:val="1"/>
                <w:color w:val="auto"/>
              </w:rPr>
            </w:pPr>
          </w:p>
        </w:tc>
      </w:tr>
      <w:tr>
        <w:trPr>
          <w:trHeight w:val="416"/>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115 N McCarthy Boulevard</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Milpitas, California 95035</w:t>
            </w:r>
          </w:p>
        </w:tc>
        <w:tc>
          <w:tcPr>
            <w:tcW w:w="0" w:type="dxa"/>
            <w:vAlign w:val="bottom"/>
          </w:tcPr>
          <w:p>
            <w:pPr>
              <w:spacing w:after="0"/>
              <w:rPr>
                <w:sz w:val="1"/>
                <w:szCs w:val="1"/>
                <w:color w:val="auto"/>
              </w:rPr>
            </w:pPr>
          </w:p>
        </w:tc>
      </w:tr>
      <w:tr>
        <w:trPr>
          <w:trHeight w:val="392"/>
        </w:trPr>
        <w:tc>
          <w:tcPr>
            <w:tcW w:w="1280" w:type="dxa"/>
            <w:vAlign w:val="bottom"/>
            <w:gridSpan w:val="2"/>
          </w:tcPr>
          <w:p>
            <w:pPr>
              <w:spacing w:after="0"/>
              <w:rPr>
                <w:sz w:val="20"/>
                <w:szCs w:val="20"/>
                <w:color w:val="auto"/>
              </w:rPr>
            </w:pPr>
            <w:r>
              <w:rPr>
                <w:rFonts w:ascii="Arial" w:cs="Arial" w:eastAsia="Arial" w:hAnsi="Arial"/>
                <w:sz w:val="20"/>
                <w:szCs w:val="20"/>
                <w:b w:val="1"/>
                <w:bCs w:val="1"/>
                <w:color w:val="auto"/>
              </w:rPr>
              <w:t>Broker(s):</w:t>
            </w:r>
          </w:p>
        </w:tc>
        <w:tc>
          <w:tcPr>
            <w:tcW w:w="860" w:type="dxa"/>
            <w:vAlign w:val="bottom"/>
          </w:tcPr>
          <w:p>
            <w:pPr>
              <w:spacing w:after="0"/>
              <w:rPr>
                <w:sz w:val="24"/>
                <w:szCs w:val="24"/>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w w:val="94"/>
              </w:rPr>
              <w:t>Newmark, Knight Frank representing Landlord and Newmark, Knight</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Frank and CBRE representing Tenant</w:t>
            </w:r>
          </w:p>
        </w:tc>
        <w:tc>
          <w:tcPr>
            <w:tcW w:w="0" w:type="dxa"/>
            <w:vAlign w:val="bottom"/>
          </w:tcPr>
          <w:p>
            <w:pPr>
              <w:spacing w:after="0"/>
              <w:rPr>
                <w:sz w:val="1"/>
                <w:szCs w:val="1"/>
                <w:color w:val="auto"/>
              </w:rPr>
            </w:pPr>
          </w:p>
        </w:tc>
      </w:tr>
      <w:tr>
        <w:trPr>
          <w:trHeight w:val="419"/>
        </w:trPr>
        <w:tc>
          <w:tcPr>
            <w:tcW w:w="1280" w:type="dxa"/>
            <w:vAlign w:val="bottom"/>
            <w:gridSpan w:val="2"/>
          </w:tcPr>
          <w:p>
            <w:pPr>
              <w:spacing w:after="0"/>
              <w:rPr>
                <w:sz w:val="20"/>
                <w:szCs w:val="20"/>
                <w:color w:val="auto"/>
              </w:rPr>
            </w:pPr>
            <w:r>
              <w:rPr>
                <w:rFonts w:ascii="Arial" w:cs="Arial" w:eastAsia="Arial" w:hAnsi="Arial"/>
                <w:sz w:val="20"/>
                <w:szCs w:val="20"/>
                <w:b w:val="1"/>
                <w:bCs w:val="1"/>
                <w:color w:val="auto"/>
                <w:w w:val="98"/>
              </w:rPr>
              <w:t>Guarantor(s):</w:t>
            </w:r>
          </w:p>
        </w:tc>
        <w:tc>
          <w:tcPr>
            <w:tcW w:w="860" w:type="dxa"/>
            <w:vAlign w:val="bottom"/>
          </w:tcPr>
          <w:p>
            <w:pPr>
              <w:spacing w:after="0"/>
              <w:rPr>
                <w:sz w:val="24"/>
                <w:szCs w:val="24"/>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419"/>
        </w:trPr>
        <w:tc>
          <w:tcPr>
            <w:tcW w:w="2140" w:type="dxa"/>
            <w:vAlign w:val="bottom"/>
            <w:gridSpan w:val="3"/>
          </w:tcPr>
          <w:p>
            <w:pPr>
              <w:spacing w:after="0"/>
              <w:rPr>
                <w:sz w:val="20"/>
                <w:szCs w:val="20"/>
                <w:color w:val="auto"/>
              </w:rPr>
            </w:pPr>
            <w:r>
              <w:rPr>
                <w:rFonts w:ascii="Arial" w:cs="Arial" w:eastAsia="Arial" w:hAnsi="Arial"/>
                <w:sz w:val="20"/>
                <w:szCs w:val="20"/>
                <w:b w:val="1"/>
                <w:bCs w:val="1"/>
                <w:color w:val="auto"/>
              </w:rPr>
              <w:t>Property Manager:</w:t>
            </w:r>
          </w:p>
        </w:tc>
        <w:tc>
          <w:tcPr>
            <w:tcW w:w="6020" w:type="dxa"/>
            <w:vAlign w:val="bottom"/>
          </w:tcPr>
          <w:p>
            <w:pPr>
              <w:ind w:left="260"/>
              <w:spacing w:after="0"/>
              <w:rPr>
                <w:sz w:val="20"/>
                <w:szCs w:val="20"/>
                <w:color w:val="auto"/>
              </w:rPr>
            </w:pPr>
            <w:r>
              <w:rPr>
                <w:rFonts w:ascii="Arial" w:cs="Arial" w:eastAsia="Arial" w:hAnsi="Arial"/>
                <w:sz w:val="20"/>
                <w:szCs w:val="20"/>
                <w:color w:val="auto"/>
              </w:rPr>
              <w:t>Embarcadero Realty Services LP</w:t>
            </w:r>
          </w:p>
        </w:tc>
        <w:tc>
          <w:tcPr>
            <w:tcW w:w="0" w:type="dxa"/>
            <w:vAlign w:val="bottom"/>
          </w:tcPr>
          <w:p>
            <w:pPr>
              <w:spacing w:after="0"/>
              <w:rPr>
                <w:sz w:val="1"/>
                <w:szCs w:val="1"/>
                <w:color w:val="auto"/>
              </w:rPr>
            </w:pPr>
          </w:p>
        </w:tc>
      </w:tr>
      <w:tr>
        <w:trPr>
          <w:trHeight w:val="392"/>
        </w:trPr>
        <w:tc>
          <w:tcPr>
            <w:tcW w:w="2140" w:type="dxa"/>
            <w:vAlign w:val="bottom"/>
            <w:gridSpan w:val="3"/>
          </w:tcPr>
          <w:p>
            <w:pPr>
              <w:spacing w:after="0"/>
              <w:rPr>
                <w:sz w:val="20"/>
                <w:szCs w:val="20"/>
                <w:color w:val="auto"/>
              </w:rPr>
            </w:pPr>
            <w:r>
              <w:rPr>
                <w:rFonts w:ascii="Arial" w:cs="Arial" w:eastAsia="Arial" w:hAnsi="Arial"/>
                <w:sz w:val="20"/>
                <w:szCs w:val="20"/>
                <w:b w:val="1"/>
                <w:bCs w:val="1"/>
                <w:color w:val="auto"/>
                <w:w w:val="99"/>
              </w:rPr>
              <w:t>Additional Provisions:</w:t>
            </w:r>
          </w:p>
        </w:tc>
        <w:tc>
          <w:tcPr>
            <w:tcW w:w="6020" w:type="dxa"/>
            <w:vAlign w:val="bottom"/>
          </w:tcPr>
          <w:p>
            <w:pPr>
              <w:ind w:left="260"/>
              <w:spacing w:after="0"/>
              <w:rPr>
                <w:sz w:val="20"/>
                <w:szCs w:val="20"/>
                <w:color w:val="auto"/>
              </w:rPr>
            </w:pPr>
            <w:r>
              <w:rPr>
                <w:rFonts w:ascii="Arial" w:cs="Arial" w:eastAsia="Arial" w:hAnsi="Arial"/>
                <w:sz w:val="20"/>
                <w:szCs w:val="20"/>
                <w:color w:val="auto"/>
              </w:rPr>
              <w:t>37.Parking</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20" w:type="dxa"/>
            <w:vAlign w:val="bottom"/>
          </w:tcPr>
          <w:p>
            <w:pPr>
              <w:ind w:left="260"/>
              <w:spacing w:after="0" w:line="222" w:lineRule="exact"/>
              <w:rPr>
                <w:sz w:val="20"/>
                <w:szCs w:val="20"/>
                <w:color w:val="auto"/>
              </w:rPr>
            </w:pPr>
            <w:r>
              <w:rPr>
                <w:rFonts w:ascii="Arial" w:cs="Arial" w:eastAsia="Arial" w:hAnsi="Arial"/>
                <w:sz w:val="20"/>
                <w:szCs w:val="20"/>
                <w:color w:val="auto"/>
              </w:rPr>
              <w:t>38.Electric Vehicle Charging Stations</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20" w:type="dxa"/>
            <w:vAlign w:val="bottom"/>
          </w:tcPr>
          <w:p>
            <w:pPr>
              <w:ind w:left="260"/>
              <w:spacing w:after="0" w:line="222" w:lineRule="exact"/>
              <w:rPr>
                <w:sz w:val="20"/>
                <w:szCs w:val="20"/>
                <w:color w:val="auto"/>
              </w:rPr>
            </w:pPr>
            <w:r>
              <w:rPr>
                <w:rFonts w:ascii="Arial" w:cs="Arial" w:eastAsia="Arial" w:hAnsi="Arial"/>
                <w:sz w:val="20"/>
                <w:szCs w:val="20"/>
                <w:color w:val="auto"/>
              </w:rPr>
              <w:t>39.Rooftop Communication Equipment</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20" w:type="dxa"/>
            <w:vAlign w:val="bottom"/>
          </w:tcPr>
          <w:p>
            <w:pPr>
              <w:ind w:left="260"/>
              <w:spacing w:after="0" w:line="222" w:lineRule="exact"/>
              <w:rPr>
                <w:sz w:val="20"/>
                <w:szCs w:val="20"/>
                <w:color w:val="auto"/>
              </w:rPr>
            </w:pPr>
            <w:r>
              <w:rPr>
                <w:rFonts w:ascii="Arial" w:cs="Arial" w:eastAsia="Arial" w:hAnsi="Arial"/>
                <w:sz w:val="20"/>
                <w:szCs w:val="20"/>
                <w:color w:val="auto"/>
              </w:rPr>
              <w:t>40.Generator</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20" w:type="dxa"/>
            <w:vAlign w:val="bottom"/>
          </w:tcPr>
          <w:p>
            <w:pPr>
              <w:ind w:left="260"/>
              <w:spacing w:after="0" w:line="222" w:lineRule="exact"/>
              <w:rPr>
                <w:sz w:val="20"/>
                <w:szCs w:val="20"/>
                <w:color w:val="auto"/>
              </w:rPr>
            </w:pPr>
            <w:r>
              <w:rPr>
                <w:rFonts w:ascii="Arial" w:cs="Arial" w:eastAsia="Arial" w:hAnsi="Arial"/>
                <w:sz w:val="20"/>
                <w:szCs w:val="20"/>
                <w:color w:val="auto"/>
              </w:rPr>
              <w:t>41.Extension Options</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20" w:type="dxa"/>
            <w:vAlign w:val="bottom"/>
          </w:tcPr>
          <w:p>
            <w:pPr>
              <w:ind w:left="260"/>
              <w:spacing w:after="0" w:line="222" w:lineRule="exact"/>
              <w:rPr>
                <w:sz w:val="20"/>
                <w:szCs w:val="20"/>
                <w:color w:val="auto"/>
              </w:rPr>
            </w:pPr>
            <w:r>
              <w:rPr>
                <w:rFonts w:ascii="Arial" w:cs="Arial" w:eastAsia="Arial" w:hAnsi="Arial"/>
                <w:sz w:val="20"/>
                <w:szCs w:val="20"/>
                <w:color w:val="auto"/>
              </w:rPr>
              <w:t>42.Monument Sign</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20" w:type="dxa"/>
            <w:vAlign w:val="bottom"/>
          </w:tcPr>
          <w:p>
            <w:pPr>
              <w:ind w:left="260"/>
              <w:spacing w:after="0" w:line="222" w:lineRule="exact"/>
              <w:rPr>
                <w:sz w:val="20"/>
                <w:szCs w:val="20"/>
                <w:color w:val="auto"/>
              </w:rPr>
            </w:pPr>
            <w:r>
              <w:rPr>
                <w:rFonts w:ascii="Arial" w:cs="Arial" w:eastAsia="Arial" w:hAnsi="Arial"/>
                <w:sz w:val="20"/>
                <w:szCs w:val="20"/>
                <w:color w:val="auto"/>
              </w:rPr>
              <w:t>43.Building Signs</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20" w:type="dxa"/>
            <w:vAlign w:val="bottom"/>
          </w:tcPr>
          <w:p>
            <w:pPr>
              <w:ind w:left="260"/>
              <w:spacing w:after="0"/>
              <w:rPr>
                <w:sz w:val="20"/>
                <w:szCs w:val="20"/>
                <w:color w:val="auto"/>
              </w:rPr>
            </w:pPr>
            <w:r>
              <w:rPr>
                <w:rFonts w:ascii="Arial" w:cs="Arial" w:eastAsia="Arial" w:hAnsi="Arial"/>
                <w:sz w:val="20"/>
                <w:szCs w:val="20"/>
                <w:color w:val="auto"/>
              </w:rPr>
              <w:t>44.Outdoor Area</w:t>
            </w:r>
          </w:p>
        </w:tc>
        <w:tc>
          <w:tcPr>
            <w:tcW w:w="0" w:type="dxa"/>
            <w:vAlign w:val="bottom"/>
          </w:tcPr>
          <w:p>
            <w:pPr>
              <w:spacing w:after="0"/>
              <w:rPr>
                <w:sz w:val="1"/>
                <w:szCs w:val="1"/>
                <w:color w:val="auto"/>
              </w:rPr>
            </w:pPr>
          </w:p>
        </w:tc>
      </w:tr>
      <w:tr>
        <w:trPr>
          <w:trHeight w:val="374"/>
        </w:trPr>
        <w:tc>
          <w:tcPr>
            <w:tcW w:w="128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6880" w:type="dxa"/>
            <w:vAlign w:val="bottom"/>
            <w:gridSpan w:val="2"/>
            <w:vMerge w:val="restart"/>
          </w:tcPr>
          <w:p>
            <w:pPr>
              <w:ind w:left="140"/>
              <w:spacing w:after="0"/>
              <w:rPr>
                <w:sz w:val="20"/>
                <w:szCs w:val="20"/>
                <w:color w:val="auto"/>
              </w:rPr>
            </w:pPr>
            <w:r>
              <w:rPr>
                <w:rFonts w:ascii="Arial" w:cs="Arial" w:eastAsia="Arial" w:hAnsi="Arial"/>
                <w:sz w:val="20"/>
                <w:szCs w:val="20"/>
                <w:color w:val="auto"/>
              </w:rPr>
              <w:t>The Premises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gridSpan w:val="2"/>
          </w:tcPr>
          <w:p>
            <w:pPr>
              <w:spacing w:after="0" w:line="220" w:lineRule="exact"/>
              <w:rPr>
                <w:sz w:val="20"/>
                <w:szCs w:val="20"/>
                <w:color w:val="auto"/>
              </w:rPr>
            </w:pPr>
            <w:r>
              <w:rPr>
                <w:rFonts w:ascii="Arial" w:cs="Arial" w:eastAsia="Arial" w:hAnsi="Arial"/>
                <w:sz w:val="20"/>
                <w:szCs w:val="20"/>
                <w:color w:val="auto"/>
              </w:rPr>
              <w:t>Exhibit A:</w:t>
            </w:r>
          </w:p>
        </w:tc>
        <w:tc>
          <w:tcPr>
            <w:tcW w:w="6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80" w:type="dxa"/>
            <w:vAlign w:val="bottom"/>
            <w:gridSpan w:val="2"/>
          </w:tcPr>
          <w:p>
            <w:pPr>
              <w:spacing w:after="0" w:line="222" w:lineRule="exact"/>
              <w:rPr>
                <w:sz w:val="20"/>
                <w:szCs w:val="20"/>
                <w:color w:val="auto"/>
              </w:rPr>
            </w:pPr>
            <w:r>
              <w:rPr>
                <w:rFonts w:ascii="Arial" w:cs="Arial" w:eastAsia="Arial" w:hAnsi="Arial"/>
                <w:sz w:val="20"/>
                <w:szCs w:val="20"/>
                <w:color w:val="auto"/>
              </w:rPr>
              <w:t>Exhibit B:</w:t>
            </w:r>
          </w:p>
        </w:tc>
        <w:tc>
          <w:tcPr>
            <w:tcW w:w="6880" w:type="dxa"/>
            <w:vAlign w:val="bottom"/>
            <w:gridSpan w:val="2"/>
          </w:tcPr>
          <w:p>
            <w:pPr>
              <w:ind w:left="120"/>
              <w:spacing w:after="0" w:line="222" w:lineRule="exact"/>
              <w:rPr>
                <w:sz w:val="20"/>
                <w:szCs w:val="20"/>
                <w:color w:val="auto"/>
              </w:rPr>
            </w:pPr>
            <w:r>
              <w:rPr>
                <w:rFonts w:ascii="Arial" w:cs="Arial" w:eastAsia="Arial" w:hAnsi="Arial"/>
                <w:sz w:val="20"/>
                <w:szCs w:val="20"/>
                <w:color w:val="auto"/>
              </w:rPr>
              <w:t>Construction Rider</w:t>
            </w:r>
          </w:p>
        </w:tc>
        <w:tc>
          <w:tcPr>
            <w:tcW w:w="0" w:type="dxa"/>
            <w:vAlign w:val="bottom"/>
          </w:tcPr>
          <w:p>
            <w:pPr>
              <w:spacing w:after="0"/>
              <w:rPr>
                <w:sz w:val="1"/>
                <w:szCs w:val="1"/>
                <w:color w:val="auto"/>
              </w:rPr>
            </w:pPr>
          </w:p>
        </w:tc>
      </w:tr>
      <w:tr>
        <w:trPr>
          <w:trHeight w:val="222"/>
        </w:trPr>
        <w:tc>
          <w:tcPr>
            <w:tcW w:w="1280" w:type="dxa"/>
            <w:vAlign w:val="bottom"/>
            <w:gridSpan w:val="2"/>
          </w:tcPr>
          <w:p>
            <w:pPr>
              <w:spacing w:after="0" w:line="222" w:lineRule="exact"/>
              <w:rPr>
                <w:sz w:val="20"/>
                <w:szCs w:val="20"/>
                <w:color w:val="auto"/>
              </w:rPr>
            </w:pPr>
            <w:r>
              <w:rPr>
                <w:rFonts w:ascii="Arial" w:cs="Arial" w:eastAsia="Arial" w:hAnsi="Arial"/>
                <w:sz w:val="20"/>
                <w:szCs w:val="20"/>
                <w:color w:val="auto"/>
              </w:rPr>
              <w:t>Exhibit C:</w:t>
            </w:r>
          </w:p>
        </w:tc>
        <w:tc>
          <w:tcPr>
            <w:tcW w:w="6880" w:type="dxa"/>
            <w:vAlign w:val="bottom"/>
            <w:gridSpan w:val="2"/>
          </w:tcPr>
          <w:p>
            <w:pPr>
              <w:ind w:left="120"/>
              <w:spacing w:after="0" w:line="222" w:lineRule="exact"/>
              <w:rPr>
                <w:sz w:val="20"/>
                <w:szCs w:val="20"/>
                <w:color w:val="auto"/>
              </w:rPr>
            </w:pPr>
            <w:r>
              <w:rPr>
                <w:rFonts w:ascii="Arial" w:cs="Arial" w:eastAsia="Arial" w:hAnsi="Arial"/>
                <w:sz w:val="20"/>
                <w:szCs w:val="20"/>
                <w:color w:val="auto"/>
              </w:rPr>
              <w:t>Project Rules</w:t>
            </w:r>
          </w:p>
        </w:tc>
        <w:tc>
          <w:tcPr>
            <w:tcW w:w="0" w:type="dxa"/>
            <w:vAlign w:val="bottom"/>
          </w:tcPr>
          <w:p>
            <w:pPr>
              <w:spacing w:after="0"/>
              <w:rPr>
                <w:sz w:val="1"/>
                <w:szCs w:val="1"/>
                <w:color w:val="auto"/>
              </w:rPr>
            </w:pPr>
          </w:p>
        </w:tc>
      </w:tr>
      <w:tr>
        <w:trPr>
          <w:trHeight w:val="222"/>
        </w:trPr>
        <w:tc>
          <w:tcPr>
            <w:tcW w:w="1280" w:type="dxa"/>
            <w:vAlign w:val="bottom"/>
            <w:gridSpan w:val="2"/>
          </w:tcPr>
          <w:p>
            <w:pPr>
              <w:spacing w:after="0" w:line="222" w:lineRule="exact"/>
              <w:rPr>
                <w:sz w:val="20"/>
                <w:szCs w:val="20"/>
                <w:color w:val="auto"/>
              </w:rPr>
            </w:pPr>
            <w:r>
              <w:rPr>
                <w:rFonts w:ascii="Arial" w:cs="Arial" w:eastAsia="Arial" w:hAnsi="Arial"/>
                <w:sz w:val="20"/>
                <w:szCs w:val="20"/>
                <w:color w:val="auto"/>
              </w:rPr>
              <w:t>Exhibit D:</w:t>
            </w:r>
          </w:p>
        </w:tc>
        <w:tc>
          <w:tcPr>
            <w:tcW w:w="688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Additional Provisions</w:t>
            </w:r>
          </w:p>
        </w:tc>
        <w:tc>
          <w:tcPr>
            <w:tcW w:w="0" w:type="dxa"/>
            <w:vAlign w:val="bottom"/>
          </w:tcPr>
          <w:p>
            <w:pPr>
              <w:spacing w:after="0"/>
              <w:rPr>
                <w:sz w:val="1"/>
                <w:szCs w:val="1"/>
                <w:color w:val="auto"/>
              </w:rPr>
            </w:pPr>
          </w:p>
        </w:tc>
      </w:tr>
      <w:tr>
        <w:trPr>
          <w:trHeight w:val="222"/>
        </w:trPr>
        <w:tc>
          <w:tcPr>
            <w:tcW w:w="1280" w:type="dxa"/>
            <w:vAlign w:val="bottom"/>
            <w:gridSpan w:val="2"/>
          </w:tcPr>
          <w:p>
            <w:pPr>
              <w:spacing w:after="0" w:line="222" w:lineRule="exact"/>
              <w:rPr>
                <w:sz w:val="20"/>
                <w:szCs w:val="20"/>
                <w:color w:val="auto"/>
              </w:rPr>
            </w:pPr>
            <w:r>
              <w:rPr>
                <w:rFonts w:ascii="Arial" w:cs="Arial" w:eastAsia="Arial" w:hAnsi="Arial"/>
                <w:sz w:val="20"/>
                <w:szCs w:val="20"/>
                <w:color w:val="auto"/>
              </w:rPr>
              <w:t>Exhibit E:</w:t>
            </w:r>
          </w:p>
        </w:tc>
        <w:tc>
          <w:tcPr>
            <w:tcW w:w="6880" w:type="dxa"/>
            <w:vAlign w:val="bottom"/>
            <w:gridSpan w:val="2"/>
          </w:tcPr>
          <w:p>
            <w:pPr>
              <w:ind w:left="120"/>
              <w:spacing w:after="0" w:line="222" w:lineRule="exact"/>
              <w:rPr>
                <w:sz w:val="20"/>
                <w:szCs w:val="20"/>
                <w:color w:val="auto"/>
              </w:rPr>
            </w:pPr>
            <w:r>
              <w:rPr>
                <w:rFonts w:ascii="Arial" w:cs="Arial" w:eastAsia="Arial" w:hAnsi="Arial"/>
                <w:sz w:val="20"/>
                <w:szCs w:val="20"/>
                <w:color w:val="auto"/>
              </w:rPr>
              <w:t>Location of Monument Sign</w:t>
            </w:r>
          </w:p>
        </w:tc>
        <w:tc>
          <w:tcPr>
            <w:tcW w:w="0" w:type="dxa"/>
            <w:vAlign w:val="bottom"/>
          </w:tcPr>
          <w:p>
            <w:pPr>
              <w:spacing w:after="0"/>
              <w:rPr>
                <w:sz w:val="1"/>
                <w:szCs w:val="1"/>
                <w:color w:val="auto"/>
              </w:rPr>
            </w:pPr>
          </w:p>
        </w:tc>
      </w:tr>
      <w:tr>
        <w:trPr>
          <w:trHeight w:val="250"/>
        </w:trPr>
        <w:tc>
          <w:tcPr>
            <w:tcW w:w="1280" w:type="dxa"/>
            <w:vAlign w:val="bottom"/>
            <w:gridSpan w:val="2"/>
          </w:tcPr>
          <w:p>
            <w:pPr>
              <w:spacing w:after="0"/>
              <w:rPr>
                <w:sz w:val="20"/>
                <w:szCs w:val="20"/>
                <w:color w:val="auto"/>
              </w:rPr>
            </w:pPr>
            <w:r>
              <w:rPr>
                <w:rFonts w:ascii="Arial" w:cs="Arial" w:eastAsia="Arial" w:hAnsi="Arial"/>
                <w:sz w:val="20"/>
                <w:szCs w:val="20"/>
                <w:color w:val="auto"/>
              </w:rPr>
              <w:t>Exhibit F:</w:t>
            </w:r>
          </w:p>
        </w:tc>
        <w:tc>
          <w:tcPr>
            <w:tcW w:w="6880" w:type="dxa"/>
            <w:vAlign w:val="bottom"/>
            <w:gridSpan w:val="2"/>
          </w:tcPr>
          <w:p>
            <w:pPr>
              <w:ind w:left="100"/>
              <w:spacing w:after="0"/>
              <w:rPr>
                <w:sz w:val="20"/>
                <w:szCs w:val="20"/>
                <w:color w:val="auto"/>
              </w:rPr>
            </w:pPr>
            <w:r>
              <w:rPr>
                <w:rFonts w:ascii="Arial" w:cs="Arial" w:eastAsia="Arial" w:hAnsi="Arial"/>
                <w:sz w:val="20"/>
                <w:szCs w:val="20"/>
                <w:color w:val="auto"/>
              </w:rPr>
              <w:t>Form of Subordination, Non Disturbance and Attornment Agreement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firstLine="865"/>
        <w:spacing w:after="0" w:line="252" w:lineRule="auto"/>
        <w:rPr>
          <w:sz w:val="20"/>
          <w:szCs w:val="20"/>
          <w:color w:val="auto"/>
        </w:rPr>
      </w:pPr>
      <w:r>
        <w:rPr>
          <w:rFonts w:ascii="Arial" w:cs="Arial" w:eastAsia="Arial" w:hAnsi="Arial"/>
          <w:sz w:val="20"/>
          <w:szCs w:val="20"/>
          <w:color w:val="auto"/>
        </w:rPr>
        <w:t>The Basic Lease Information set forth above is part of the Lease. In the event of any conflict between any provision in the Basic Lease Information and the Lease, the Lease shall control.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102" w:name="page103"/>
    <w:bookmarkEnd w:id="102"/>
    <w:p>
      <w:pPr>
        <w:jc w:val="both"/>
        <w:ind w:left="1" w:right="20"/>
        <w:spacing w:after="0" w:line="245" w:lineRule="auto"/>
        <w:rPr>
          <w:sz w:val="20"/>
          <w:szCs w:val="20"/>
          <w:color w:val="auto"/>
        </w:rPr>
      </w:pPr>
      <w:r>
        <w:rPr>
          <w:rFonts w:ascii="Arial" w:cs="Arial" w:eastAsia="Arial" w:hAnsi="Arial"/>
          <w:sz w:val="20"/>
          <w:szCs w:val="20"/>
          <w:color w:val="auto"/>
        </w:rPr>
        <w:t>THIS LEASE (the “</w:t>
      </w:r>
      <w:r>
        <w:rPr>
          <w:rFonts w:ascii="Arial" w:cs="Arial" w:eastAsia="Arial" w:hAnsi="Arial"/>
          <w:sz w:val="20"/>
          <w:szCs w:val="20"/>
          <w:b w:val="1"/>
          <w:bCs w:val="1"/>
          <w:color w:val="auto"/>
        </w:rPr>
        <w:t>Lease</w:t>
      </w:r>
      <w:r>
        <w:rPr>
          <w:rFonts w:ascii="Arial" w:cs="Arial" w:eastAsia="Arial" w:hAnsi="Arial"/>
          <w:sz w:val="20"/>
          <w:szCs w:val="20"/>
          <w:color w:val="auto"/>
        </w:rPr>
        <w:t>”) is made as of the Lease Date set forth in the Basic Lease Information, by and between the Landlord identified in the Basic Lease Information (“</w:t>
      </w:r>
      <w:r>
        <w:rPr>
          <w:rFonts w:ascii="Arial" w:cs="Arial" w:eastAsia="Arial" w:hAnsi="Arial"/>
          <w:sz w:val="20"/>
          <w:szCs w:val="20"/>
          <w:b w:val="1"/>
          <w:bCs w:val="1"/>
          <w:color w:val="auto"/>
        </w:rPr>
        <w:t>Landlord</w:t>
      </w:r>
      <w:r>
        <w:rPr>
          <w:rFonts w:ascii="Arial" w:cs="Arial" w:eastAsia="Arial" w:hAnsi="Arial"/>
          <w:sz w:val="20"/>
          <w:szCs w:val="20"/>
          <w:color w:val="auto"/>
        </w:rPr>
        <w:t>”), and the Tenant identified in the Basic Lease Information (“</w:t>
      </w:r>
      <w:r>
        <w:rPr>
          <w:rFonts w:ascii="Arial" w:cs="Arial" w:eastAsia="Arial" w:hAnsi="Arial"/>
          <w:sz w:val="20"/>
          <w:szCs w:val="20"/>
          <w:b w:val="1"/>
          <w:bCs w:val="1"/>
          <w:color w:val="auto"/>
        </w:rPr>
        <w:t>Tenant</w:t>
      </w:r>
      <w:r>
        <w:rPr>
          <w:rFonts w:ascii="Arial" w:cs="Arial" w:eastAsia="Arial" w:hAnsi="Arial"/>
          <w:sz w:val="20"/>
          <w:szCs w:val="20"/>
          <w:color w:val="auto"/>
        </w:rPr>
        <w:t>”). Landlord and Tenant hereby agree as follows:</w:t>
      </w:r>
    </w:p>
    <w:p>
      <w:pPr>
        <w:spacing w:after="0" w:line="165" w:lineRule="exact"/>
        <w:rPr>
          <w:sz w:val="20"/>
          <w:szCs w:val="20"/>
          <w:color w:val="auto"/>
        </w:rPr>
      </w:pPr>
    </w:p>
    <w:p>
      <w:pPr>
        <w:ind w:left="741" w:hanging="741"/>
        <w:spacing w:after="0"/>
        <w:tabs>
          <w:tab w:leader="none" w:pos="741"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PREMISES.</w:t>
      </w:r>
    </w:p>
    <w:p>
      <w:pPr>
        <w:spacing w:after="0" w:line="189" w:lineRule="exact"/>
        <w:rPr>
          <w:sz w:val="20"/>
          <w:szCs w:val="20"/>
          <w:color w:val="auto"/>
        </w:rPr>
      </w:pPr>
    </w:p>
    <w:p>
      <w:pPr>
        <w:jc w:val="both"/>
        <w:ind w:left="1" w:firstLine="865"/>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Leasing of the Premises.</w:t>
      </w:r>
      <w:r>
        <w:rPr>
          <w:rFonts w:ascii="Arial" w:cs="Arial" w:eastAsia="Arial" w:hAnsi="Arial"/>
          <w:sz w:val="16"/>
          <w:szCs w:val="16"/>
          <w:color w:val="auto"/>
        </w:rPr>
        <w:t xml:space="preserve"> Landlord hereby leases to Tenant, and Tenant hereby leases from Landlord, upon the terms and subject to the conditions of this Lease, the space identified in the Basic Lease Information as the Premises (the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located at the address specified in the Basic Lease Information (the “</w:t>
      </w:r>
      <w:r>
        <w:rPr>
          <w:rFonts w:ascii="Arial" w:cs="Arial" w:eastAsia="Arial" w:hAnsi="Arial"/>
          <w:sz w:val="16"/>
          <w:szCs w:val="16"/>
          <w:b w:val="1"/>
          <w:bCs w:val="1"/>
          <w:color w:val="auto"/>
        </w:rPr>
        <w:t>Building</w:t>
      </w:r>
      <w:r>
        <w:rPr>
          <w:rFonts w:ascii="Arial" w:cs="Arial" w:eastAsia="Arial" w:hAnsi="Arial"/>
          <w:sz w:val="16"/>
          <w:szCs w:val="16"/>
          <w:color w:val="auto"/>
        </w:rPr>
        <w:t>”), in the Project as described in the Basic Lease Information (the “</w:t>
      </w:r>
      <w:r>
        <w:rPr>
          <w:rFonts w:ascii="Arial" w:cs="Arial" w:eastAsia="Arial" w:hAnsi="Arial"/>
          <w:sz w:val="16"/>
          <w:szCs w:val="16"/>
          <w:b w:val="1"/>
          <w:bCs w:val="1"/>
          <w:color w:val="auto"/>
        </w:rPr>
        <w:t>Project</w:t>
      </w:r>
      <w:r>
        <w:rPr>
          <w:rFonts w:ascii="Arial" w:cs="Arial" w:eastAsia="Arial" w:hAnsi="Arial"/>
          <w:sz w:val="16"/>
          <w:szCs w:val="16"/>
          <w:color w:val="auto"/>
        </w:rPr>
        <w:t xml:space="preserve">”). The approximate configuration and location of the Premises is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Landlord and Tenant agree that the rentable area of the Premises, the Building and the Project for all purposes under this Lease shall be the Rentable Areas specified in the Basic Lease Information. Pursuant to Civil Code section 1938, Landlord states that, as of April 27, 2021, the Premises has not undergone inspection by a “Certified Access Specialist” (“</w:t>
      </w:r>
      <w:r>
        <w:rPr>
          <w:rFonts w:ascii="Arial" w:cs="Arial" w:eastAsia="Arial" w:hAnsi="Arial"/>
          <w:sz w:val="16"/>
          <w:szCs w:val="16"/>
          <w:b w:val="1"/>
          <w:bCs w:val="1"/>
          <w:color w:val="auto"/>
        </w:rPr>
        <w:t>CASp</w:t>
      </w:r>
      <w:r>
        <w:rPr>
          <w:rFonts w:ascii="Arial" w:cs="Arial" w:eastAsia="Arial" w:hAnsi="Arial"/>
          <w:sz w:val="16"/>
          <w:szCs w:val="16"/>
          <w:color w:val="auto"/>
        </w:rPr>
        <w:t>”) to determine whether the Premises meet all applicable construction-related accessibility standards under California Civil Code section 55.53. Landlord hereby discloses pursuant to California Civil Code Section 1938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acknowledge and agree that in the event that Tenant elects to perform a CASp inspection of the Premises hereunder, such CASp inspection shall be performed at Tenant's sole cost and expense and Tenant shall be solely responsible for the cost of any repairs, upgrades, alterations and/or modifications to the Premises or the Building necessary to correct any such violations of construction-related accessibility standards identified by such CASp inspection as required by Laws, which repairs, upgrades, alterations and/or modifications may, at Landlord's option, be performed by Landlord at Tenant's expense, payable as Additional Rent within thirty (30) days following Landlord's demand.</w:t>
      </w:r>
    </w:p>
    <w:p>
      <w:pPr>
        <w:spacing w:after="0" w:line="200" w:lineRule="exact"/>
        <w:rPr>
          <w:sz w:val="20"/>
          <w:szCs w:val="20"/>
          <w:color w:val="auto"/>
        </w:rPr>
      </w:pPr>
    </w:p>
    <w:p>
      <w:pPr>
        <w:spacing w:after="0" w:line="379" w:lineRule="exact"/>
        <w:rPr>
          <w:sz w:val="20"/>
          <w:szCs w:val="20"/>
          <w:color w:val="auto"/>
        </w:rPr>
      </w:pPr>
    </w:p>
    <w:p>
      <w:pPr>
        <w:jc w:val="both"/>
        <w:ind w:left="1" w:right="20" w:firstLine="865"/>
        <w:spacing w:after="0" w:line="24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The Land and Common Areas.</w:t>
      </w:r>
      <w:r>
        <w:rPr>
          <w:rFonts w:ascii="Arial" w:cs="Arial" w:eastAsia="Arial" w:hAnsi="Arial"/>
          <w:sz w:val="19"/>
          <w:szCs w:val="19"/>
          <w:color w:val="auto"/>
        </w:rPr>
        <w:t xml:space="preserve"> The land (the “</w:t>
      </w:r>
      <w:r>
        <w:rPr>
          <w:rFonts w:ascii="Arial" w:cs="Arial" w:eastAsia="Arial" w:hAnsi="Arial"/>
          <w:sz w:val="19"/>
          <w:szCs w:val="19"/>
          <w:b w:val="1"/>
          <w:bCs w:val="1"/>
          <w:color w:val="auto"/>
        </w:rPr>
        <w:t>Land</w:t>
      </w:r>
      <w:r>
        <w:rPr>
          <w:rFonts w:ascii="Arial" w:cs="Arial" w:eastAsia="Arial" w:hAnsi="Arial"/>
          <w:sz w:val="19"/>
          <w:szCs w:val="19"/>
          <w:color w:val="auto"/>
        </w:rPr>
        <w:t>”) includes the parcel(s) of land on which the Project is situated. This Lease is or shall be subject and subordinate in all respects to the Second Amended and Restated Declaration of Covenants, Conditions and Restrictions and Grant of Easements for the Campus Property, recorded on April 24, 2020, as Document No. 24463180 in the Official Records of Santa Clara County, California. Tenant shall have the non-exclusive right to use in common with other tenants in the Project, subject to this Lease, those portions of the Project, including one loading dock and the parking facilities serving the Project (the “</w:t>
      </w:r>
      <w:r>
        <w:rPr>
          <w:rFonts w:ascii="Arial" w:cs="Arial" w:eastAsia="Arial" w:hAnsi="Arial"/>
          <w:sz w:val="19"/>
          <w:szCs w:val="19"/>
          <w:b w:val="1"/>
          <w:bCs w:val="1"/>
          <w:color w:val="auto"/>
        </w:rPr>
        <w:t>Parking Facility</w:t>
      </w:r>
      <w:r>
        <w:rPr>
          <w:rFonts w:ascii="Arial" w:cs="Arial" w:eastAsia="Arial" w:hAnsi="Arial"/>
          <w:sz w:val="19"/>
          <w:szCs w:val="19"/>
          <w:color w:val="auto"/>
        </w:rPr>
        <w:t>”), which are provided, from time-to-time, for use in common by Landlord, Tenant and any other tenants in the Project (such areas are referred to herein as the “</w:t>
      </w:r>
      <w:r>
        <w:rPr>
          <w:rFonts w:ascii="Arial" w:cs="Arial" w:eastAsia="Arial" w:hAnsi="Arial"/>
          <w:sz w:val="19"/>
          <w:szCs w:val="19"/>
          <w:b w:val="1"/>
          <w:bCs w:val="1"/>
          <w:color w:val="auto"/>
        </w:rPr>
        <w:t>Common Areas</w:t>
      </w:r>
      <w:r>
        <w:rPr>
          <w:rFonts w:ascii="Arial" w:cs="Arial" w:eastAsia="Arial" w:hAnsi="Arial"/>
          <w:sz w:val="19"/>
          <w:szCs w:val="19"/>
          <w:color w:val="auto"/>
        </w:rPr>
        <w:t>”). The Project includes the Amenity Area and the Fitness Center, subject to and as defined in Sections 5.3 and 5.4 below. The manner in which the Common Areas, Amenity Area and the Fitness Center are maintained and operated shall be at the sole discretion of Landlord and the use thereof shall be subject to such rules, regulations and restrictions as Landlord may make from time to time. Landlord reserves the right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2" w:right="319" w:bottom="1440" w:gutter="0" w:footer="0" w:header="0"/>
        </w:sectPr>
      </w:pPr>
    </w:p>
    <w:bookmarkStart w:id="103" w:name="page104"/>
    <w:bookmarkEnd w:id="103"/>
    <w:p>
      <w:pPr>
        <w:ind w:left="1"/>
        <w:spacing w:after="0"/>
        <w:rPr>
          <w:sz w:val="20"/>
          <w:szCs w:val="20"/>
          <w:color w:val="auto"/>
        </w:rPr>
      </w:pPr>
      <w:r>
        <w:rPr>
          <w:rFonts w:ascii="Arial" w:cs="Arial" w:eastAsia="Arial" w:hAnsi="Arial"/>
          <w:sz w:val="18"/>
          <w:szCs w:val="18"/>
          <w:color w:val="auto"/>
        </w:rPr>
        <w:t>close temporarily, make alterations or additions to, eliminate or change the location of elements of the Project and the Common Areas.</w:t>
      </w:r>
    </w:p>
    <w:p>
      <w:pPr>
        <w:spacing w:after="0" w:line="206" w:lineRule="exact"/>
        <w:rPr>
          <w:sz w:val="20"/>
          <w:szCs w:val="20"/>
          <w:color w:val="auto"/>
        </w:rPr>
      </w:pPr>
    </w:p>
    <w:p>
      <w:pPr>
        <w:jc w:val="both"/>
        <w:ind w:left="1" w:hanging="1"/>
        <w:spacing w:after="0" w:line="295" w:lineRule="auto"/>
        <w:tabs>
          <w:tab w:leader="none" w:pos="73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TERM; POSSESSION. The term of this Lease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Commencement Date set forth in the Basic Lease Information (the “</w:t>
      </w:r>
      <w:r>
        <w:rPr>
          <w:rFonts w:ascii="Arial" w:cs="Arial" w:eastAsia="Arial" w:hAnsi="Arial"/>
          <w:sz w:val="16"/>
          <w:szCs w:val="16"/>
          <w:b w:val="1"/>
          <w:bCs w:val="1"/>
          <w:color w:val="auto"/>
        </w:rPr>
        <w:t>Commencement Date</w:t>
      </w:r>
      <w:r>
        <w:rPr>
          <w:rFonts w:ascii="Arial" w:cs="Arial" w:eastAsia="Arial" w:hAnsi="Arial"/>
          <w:sz w:val="16"/>
          <w:szCs w:val="16"/>
          <w:color w:val="auto"/>
        </w:rPr>
        <w:t>”) and, unless sooner terminated, shall expire on the Expiration Date set forth in the Basic Lease Information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unless extended as set forth herein. Landlord shall not be liable for any claims, damages or liabilities if the Premises are not ready for occupancy by the Commencement Date. Provided that Tenant has delivered the insurance certificates called for in Section 11.1(e) – </w:t>
      </w:r>
      <w:r>
        <w:rPr>
          <w:rFonts w:ascii="Arial" w:cs="Arial" w:eastAsia="Arial" w:hAnsi="Arial"/>
          <w:sz w:val="16"/>
          <w:szCs w:val="16"/>
          <w:i w:val="1"/>
          <w:iCs w:val="1"/>
          <w:color w:val="auto"/>
        </w:rPr>
        <w:t>Certificates of Insurance</w:t>
      </w:r>
      <w:r>
        <w:rPr>
          <w:rFonts w:ascii="Arial" w:cs="Arial" w:eastAsia="Arial" w:hAnsi="Arial"/>
          <w:sz w:val="16"/>
          <w:szCs w:val="16"/>
          <w:color w:val="auto"/>
        </w:rPr>
        <w:t xml:space="preserve">, the Security Deposit, and the prepaid Base Rent required under Section 3.1 – </w:t>
      </w:r>
      <w:r>
        <w:rPr>
          <w:rFonts w:ascii="Arial" w:cs="Arial" w:eastAsia="Arial" w:hAnsi="Arial"/>
          <w:sz w:val="16"/>
          <w:szCs w:val="16"/>
          <w:i w:val="1"/>
          <w:iCs w:val="1"/>
          <w:color w:val="auto"/>
        </w:rPr>
        <w:t>Base Rent</w:t>
      </w:r>
      <w:r>
        <w:rPr>
          <w:rFonts w:ascii="Arial" w:cs="Arial" w:eastAsia="Arial" w:hAnsi="Arial"/>
          <w:sz w:val="16"/>
          <w:szCs w:val="16"/>
          <w:color w:val="auto"/>
        </w:rPr>
        <w:t>, Landlord shall deliver possession of the Premises to Tenant as of the date of mutual execution and delivery of this Lease (the “</w:t>
      </w:r>
      <w:r>
        <w:rPr>
          <w:rFonts w:ascii="Arial" w:cs="Arial" w:eastAsia="Arial" w:hAnsi="Arial"/>
          <w:sz w:val="16"/>
          <w:szCs w:val="16"/>
          <w:b w:val="1"/>
          <w:bCs w:val="1"/>
          <w:color w:val="auto"/>
        </w:rPr>
        <w:t>Delivery Date</w:t>
      </w:r>
      <w:r>
        <w:rPr>
          <w:rFonts w:ascii="Arial" w:cs="Arial" w:eastAsia="Arial" w:hAnsi="Arial"/>
          <w:sz w:val="16"/>
          <w:szCs w:val="16"/>
          <w:color w:val="auto"/>
        </w:rPr>
        <w:t xml:space="preserve">”). Landlord shall install an exclusive Outdoor Area (defined in Section 44 below) demarcated by a vegetation hedge (as depicted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Commencing as of the Delivery Date, Tenant shall have access to the Premises during normal Business Hours to perform the Tenant Improvements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 </w:t>
      </w:r>
      <w:r>
        <w:rPr>
          <w:rFonts w:ascii="Arial" w:cs="Arial" w:eastAsia="Arial" w:hAnsi="Arial"/>
          <w:sz w:val="16"/>
          <w:szCs w:val="16"/>
          <w:i w:val="1"/>
          <w:iCs w:val="1"/>
          <w:color w:val="auto"/>
        </w:rPr>
        <w:t>Construction Rider</w:t>
      </w:r>
      <w:r>
        <w:rPr>
          <w:rFonts w:ascii="Arial" w:cs="Arial" w:eastAsia="Arial" w:hAnsi="Arial"/>
          <w:sz w:val="16"/>
          <w:szCs w:val="16"/>
          <w:color w:val="auto"/>
        </w:rPr>
        <w:t>, to install Tenant’s furniture, fixtures and equipment, data information systems, security systems, computer and telephone cabling, computers and related office equipment, but only if during such period, Tenant and Tenant’s employees, contractors and vendors do not materially or adversely interfere with Landlord’s contractor completing work and renovations at the Project. Tenant shall not be obligated to pay Base Rent or Additional Rent prior to the Commencement Date, provided, however, commencing as of the Delivery Date, Tenant shall establish direct accounts with the all utility providers such that effective as of the Delivery Date, Tenant shall pay for and be liable for the cost of any utilities, trash disposal or services provided to Tenant at the Premises. Notwithstanding the foregoing, if Tenant takes possession of the Premises before the Commencement Date for any purpose other than as expressly provided in this Section, such possession shall be subject to the terms and conditions of this Lease and Tenant shall pay Base Rent and Additional Rent, and any other charges payable hereunder to Landlord for each day of possession before the Commencement Date.</w:t>
      </w:r>
    </w:p>
    <w:p>
      <w:pPr>
        <w:spacing w:after="0" w:line="359" w:lineRule="exact"/>
        <w:rPr>
          <w:rFonts w:ascii="Arial" w:cs="Arial" w:eastAsia="Arial" w:hAnsi="Arial"/>
          <w:sz w:val="16"/>
          <w:szCs w:val="16"/>
          <w:color w:val="auto"/>
        </w:rPr>
      </w:pPr>
    </w:p>
    <w:p>
      <w:pPr>
        <w:ind w:left="741" w:hanging="741"/>
        <w:spacing w:after="0"/>
        <w:tabs>
          <w:tab w:leader="none" w:pos="741"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RENT.</w:t>
      </w:r>
    </w:p>
    <w:p>
      <w:pPr>
        <w:spacing w:after="0" w:line="189" w:lineRule="exact"/>
        <w:rPr>
          <w:sz w:val="20"/>
          <w:szCs w:val="20"/>
          <w:color w:val="auto"/>
        </w:rPr>
      </w:pPr>
    </w:p>
    <w:p>
      <w:pPr>
        <w:jc w:val="both"/>
        <w:ind w:left="1" w:right="20" w:firstLine="865"/>
        <w:spacing w:after="0" w:line="23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Base Rent</w:t>
      </w:r>
      <w:r>
        <w:rPr>
          <w:rFonts w:ascii="Arial" w:cs="Arial" w:eastAsia="Arial" w:hAnsi="Arial"/>
          <w:sz w:val="20"/>
          <w:szCs w:val="20"/>
          <w:color w:val="auto"/>
        </w:rPr>
        <w:t>. Tenant agrees to pay to Landlord the Base Rent set forth in the Basic Lease Information, without prior notice or demand, on the first day of each and every calendar month during the Term, except that Base Rent for the first full calendar month in which Base Rent is payable shall be paid upon Tenant’s execution of this Lease and Base Rent for any partial month at the beginning of the Term shall be paid on the Commencement Date. Base Rent for any partial month at the beginning or end of the Term shall be prorated based on the actual number of days in the month.</w:t>
      </w:r>
    </w:p>
    <w:p>
      <w:pPr>
        <w:spacing w:after="0" w:line="172" w:lineRule="exact"/>
        <w:rPr>
          <w:sz w:val="20"/>
          <w:szCs w:val="20"/>
          <w:color w:val="auto"/>
        </w:rPr>
      </w:pPr>
    </w:p>
    <w:p>
      <w:pPr>
        <w:jc w:val="both"/>
        <w:ind w:left="1" w:right="20" w:firstLine="865"/>
        <w:spacing w:after="0" w:line="242" w:lineRule="auto"/>
        <w:rPr>
          <w:sz w:val="20"/>
          <w:szCs w:val="20"/>
          <w:color w:val="auto"/>
        </w:rPr>
      </w:pPr>
      <w:r>
        <w:rPr>
          <w:rFonts w:ascii="Arial" w:cs="Arial" w:eastAsia="Arial" w:hAnsi="Arial"/>
          <w:sz w:val="20"/>
          <w:szCs w:val="20"/>
          <w:color w:val="auto"/>
        </w:rPr>
        <w:t>If the Basic Lease Information provides for any change in Base Rent by reference to years or months (without specifying particular dates), the change will take effect on the applicable annual or monthly anniversary of the Commencement Date (which might not be the first day of a calendar month).</w:t>
      </w:r>
    </w:p>
    <w:p>
      <w:pPr>
        <w:spacing w:after="0" w:line="168" w:lineRule="exact"/>
        <w:rPr>
          <w:sz w:val="20"/>
          <w:szCs w:val="20"/>
          <w:color w:val="auto"/>
        </w:rPr>
      </w:pPr>
    </w:p>
    <w:p>
      <w:pPr>
        <w:jc w:val="both"/>
        <w:ind w:left="1" w:right="20" w:firstLine="865"/>
        <w:spacing w:after="0" w:line="242" w:lineRule="auto"/>
        <w:rPr>
          <w:sz w:val="20"/>
          <w:szCs w:val="20"/>
          <w:color w:val="auto"/>
        </w:rPr>
      </w:pPr>
      <w:r>
        <w:rPr>
          <w:rFonts w:ascii="Arial" w:cs="Arial" w:eastAsia="Arial" w:hAnsi="Arial"/>
          <w:sz w:val="20"/>
          <w:szCs w:val="20"/>
          <w:color w:val="auto"/>
        </w:rPr>
        <w:t>Notwithstanding anything in this Lease to the contrary, so long as Tenant is not in default beyond applicable cure periods under this Lease, (a) during the first (1st) through sixth (6th) full months of the initial Term, Tenant shall be entitled to an abatement of (i) Base Rent with respect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04" w:name="page105"/>
    <w:bookmarkEnd w:id="104"/>
    <w:p>
      <w:pPr>
        <w:jc w:val="both"/>
        <w:ind w:left="1" w:right="20"/>
        <w:spacing w:after="0" w:line="264" w:lineRule="auto"/>
        <w:rPr>
          <w:sz w:val="20"/>
          <w:szCs w:val="20"/>
          <w:color w:val="auto"/>
        </w:rPr>
      </w:pPr>
      <w:r>
        <w:rPr>
          <w:rFonts w:ascii="Arial" w:cs="Arial" w:eastAsia="Arial" w:hAnsi="Arial"/>
          <w:sz w:val="18"/>
          <w:szCs w:val="18"/>
          <w:color w:val="auto"/>
        </w:rPr>
        <w:t>the Premises in the amount of $313,036.55 per month, and (ii) Tenant’s Share of Operating Costs and Taxes, and (b) during the seventh (7th) through twelfth (12th) full months of the initial Term, an abatement of (i) Base Rent with respect to the Premises in the amount of $156,518.30 per month, and (ii) fifty percent (50%) of Tenant’s Share of Operating Costs and Taxes ((a) and (b) above, collectively, the “</w:t>
      </w:r>
      <w:r>
        <w:rPr>
          <w:rFonts w:ascii="Arial" w:cs="Arial" w:eastAsia="Arial" w:hAnsi="Arial"/>
          <w:sz w:val="18"/>
          <w:szCs w:val="18"/>
          <w:b w:val="1"/>
          <w:bCs w:val="1"/>
          <w:color w:val="auto"/>
        </w:rPr>
        <w:t>Abated Rent</w:t>
      </w:r>
      <w:r>
        <w:rPr>
          <w:rFonts w:ascii="Arial" w:cs="Arial" w:eastAsia="Arial" w:hAnsi="Arial"/>
          <w:sz w:val="18"/>
          <w:szCs w:val="18"/>
          <w:color w:val="auto"/>
        </w:rPr>
        <w:t>”). If Tenant defaults under this Lease at any time during the Term and fails to cure such default within any applicable cure period under this Lease, then all Abated Rent shall immediately become due and payable. The payment by Tenant of the Abated Rent in the event of a default shall not limit or affect any of Landlord's other rights, pursuant to this Lease or at law or in equity. Only Base Rent and Tenant’s Share of Operating Costs and Taxes shall be abated pursuant to this Section, as more particularly described herein, and all other Rent and other costs and charges specified in this Lease shall remain as due and payable pursuant to the provisions of this Lease.</w:t>
      </w:r>
    </w:p>
    <w:p>
      <w:pPr>
        <w:spacing w:after="0" w:line="152" w:lineRule="exact"/>
        <w:rPr>
          <w:sz w:val="20"/>
          <w:szCs w:val="20"/>
          <w:color w:val="auto"/>
        </w:rPr>
      </w:pPr>
    </w:p>
    <w:p>
      <w:pPr>
        <w:ind w:left="861"/>
        <w:spacing w:after="0"/>
        <w:tabs>
          <w:tab w:leader="none" w:pos="1681"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Additional Rent: Operating Costs and Taxes</w:t>
      </w:r>
      <w:r>
        <w:rPr>
          <w:rFonts w:ascii="Arial" w:cs="Arial" w:eastAsia="Arial" w:hAnsi="Arial"/>
          <w:sz w:val="16"/>
          <w:szCs w:val="16"/>
          <w:color w:val="auto"/>
        </w:rPr>
        <w:t>.</w:t>
      </w:r>
    </w:p>
    <w:p>
      <w:pPr>
        <w:spacing w:after="0" w:line="189" w:lineRule="exact"/>
        <w:rPr>
          <w:sz w:val="20"/>
          <w:szCs w:val="20"/>
          <w:color w:val="auto"/>
        </w:rPr>
      </w:pPr>
    </w:p>
    <w:p>
      <w:pPr>
        <w:ind w:left="2541" w:hanging="811"/>
        <w:spacing w:after="0"/>
        <w:tabs>
          <w:tab w:leader="none" w:pos="2541"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left="1" w:firstLine="2595"/>
        <w:spacing w:after="0" w:line="292" w:lineRule="auto"/>
        <w:tabs>
          <w:tab w:leader="none" w:pos="3415" w:val="left"/>
        </w:tabs>
        <w:numPr>
          <w:ilvl w:val="2"/>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Costs</w:t>
      </w:r>
      <w:r>
        <w:rPr>
          <w:rFonts w:ascii="Arial" w:cs="Arial" w:eastAsia="Arial" w:hAnsi="Arial"/>
          <w:sz w:val="16"/>
          <w:szCs w:val="16"/>
          <w:color w:val="auto"/>
        </w:rPr>
        <w:t>” means all costs of managing, operating, maintaining and repairing the Building, including all costs, expenditures, fees and charges for: (A) operation, maintenance and repair of the Building (including maintenance, repair and replacement of glass, washing of exterior glass, the roof covering or membrane, and landscaping); (B) Common Area repairs and maintenance, utilities, pest control, landscaping and services (including non-dedicated telecommunications facilities and equipment, irrigation, recycling programs and trash removal), and associated supplies and materials; (C) compensation (including employment taxes and fringe benefits) for persons (up to the level of senior property manager or equivalent) who perform duties in connection with the operation, management, maintenance and repair of the Building, such compensation to be appropriately allocated for persons who also perform duties unrelated to the Building; (D) property (including coverage for earthquake and flood if carried by Landlord), liability, rental income and other insurance relating to the Building, and expenditures for commercially reasonable deductible amounts under such insurance; (E) licenses, permits and inspections;</w:t>
      </w:r>
    </w:p>
    <w:p>
      <w:pPr>
        <w:spacing w:after="0" w:line="5" w:lineRule="exact"/>
        <w:rPr>
          <w:rFonts w:ascii="Arial" w:cs="Arial" w:eastAsia="Arial" w:hAnsi="Arial"/>
          <w:sz w:val="16"/>
          <w:szCs w:val="16"/>
          <w:color w:val="auto"/>
        </w:rPr>
      </w:pPr>
    </w:p>
    <w:p>
      <w:pPr>
        <w:jc w:val="both"/>
        <w:ind w:left="1" w:hanging="1"/>
        <w:spacing w:after="0" w:line="260" w:lineRule="auto"/>
        <w:tabs>
          <w:tab w:leader="none" w:pos="2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complying with the requirements of any law, statute, ordinance or governmental rule or regulation or any orders pursuant thereto (collectively “</w:t>
      </w:r>
      <w:r>
        <w:rPr>
          <w:rFonts w:ascii="Arial" w:cs="Arial" w:eastAsia="Arial" w:hAnsi="Arial"/>
          <w:sz w:val="18"/>
          <w:szCs w:val="18"/>
          <w:b w:val="1"/>
          <w:bCs w:val="1"/>
          <w:color w:val="auto"/>
        </w:rPr>
        <w:t>Laws</w:t>
      </w:r>
      <w:r>
        <w:rPr>
          <w:rFonts w:ascii="Arial" w:cs="Arial" w:eastAsia="Arial" w:hAnsi="Arial"/>
          <w:sz w:val="18"/>
          <w:szCs w:val="18"/>
          <w:color w:val="auto"/>
        </w:rPr>
        <w:t>”); (G) amortization of the cost of “</w:t>
      </w:r>
      <w:r>
        <w:rPr>
          <w:rFonts w:ascii="Arial" w:cs="Arial" w:eastAsia="Arial" w:hAnsi="Arial"/>
          <w:sz w:val="18"/>
          <w:szCs w:val="18"/>
          <w:b w:val="1"/>
          <w:bCs w:val="1"/>
          <w:color w:val="auto"/>
        </w:rPr>
        <w:t>Non-Structural Components</w:t>
      </w:r>
      <w:r>
        <w:rPr>
          <w:rFonts w:ascii="Arial" w:cs="Arial" w:eastAsia="Arial" w:hAnsi="Arial"/>
          <w:sz w:val="18"/>
          <w:szCs w:val="18"/>
          <w:color w:val="auto"/>
        </w:rPr>
        <w:t>” (as defined below) and amortization of the cost of capital improvements which are required to comply with Laws, or which are intended to reduce Operating Costs or improve the utility, efficiency or capacity of any Building System, or otherwise for the safety or comfort of tenants, with interest on the unamortized balance at the rate paid by Landlord on funds borrowed to finance such capital improvements (or, if Landlord finances such improvements out of Landlord’s funds without borrowing, the rate that Landlord would have paid to borrow such funds, as reasonably determined by Landlord), over such useful life as Landlord shall reasonably determine substantially in accordance with generally accepted accounting principles consistently applied; (H) property management fees (provided that such fees shall not exceed three percent (3%) of the aggregate amount of Base Rent at the Building); (I) any other cost, expenditure, fee or charge, whether or not hereinbefore described, which in accordance with generally accepted property management practices would be considered an expense of managing, operating, maintaining and repairing the Building; (J) accounting, legal and other professional fees incurred in connection with the operation of the Project; (K) intentionally deleted; (L) the costs to contest the validity or applicability of any Laws that may affect the Project; (M) any reasonable costs incurred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05" w:name="page106"/>
    <w:bookmarkEnd w:id="105"/>
    <w:p>
      <w:pPr>
        <w:jc w:val="both"/>
        <w:spacing w:after="0" w:line="294" w:lineRule="auto"/>
        <w:rPr>
          <w:sz w:val="20"/>
          <w:szCs w:val="20"/>
          <w:color w:val="auto"/>
        </w:rPr>
      </w:pPr>
      <w:r>
        <w:rPr>
          <w:rFonts w:ascii="Arial" w:cs="Arial" w:eastAsia="Arial" w:hAnsi="Arial"/>
          <w:sz w:val="16"/>
          <w:szCs w:val="16"/>
          <w:color w:val="auto"/>
        </w:rPr>
        <w:t xml:space="preserve">for any voluntary certification as “green” or sustainable, or other similar certifications, but excluding the cost to make any alterations or improvements to the Building or Project necessary to achieve such certification; (N) </w:t>
      </w:r>
      <w:r>
        <w:rPr>
          <w:rFonts w:ascii="Arial" w:cs="Arial" w:eastAsia="Arial" w:hAnsi="Arial"/>
          <w:sz w:val="16"/>
          <w:szCs w:val="16"/>
          <w:color w:val="101010"/>
        </w:rPr>
        <w:t>any fee, cost, charge, assessment or imposition now or</w:t>
      </w:r>
      <w:r>
        <w:rPr>
          <w:rFonts w:ascii="Arial" w:cs="Arial" w:eastAsia="Arial" w:hAnsi="Arial"/>
          <w:sz w:val="16"/>
          <w:szCs w:val="16"/>
          <w:color w:val="auto"/>
        </w:rPr>
        <w:t xml:space="preserve"> </w:t>
      </w:r>
      <w:r>
        <w:rPr>
          <w:rFonts w:ascii="Arial" w:cs="Arial" w:eastAsia="Arial" w:hAnsi="Arial"/>
          <w:sz w:val="16"/>
          <w:szCs w:val="16"/>
          <w:color w:val="101010"/>
        </w:rPr>
        <w:t xml:space="preserve">hereinafter assessed or imposed on Landlord or the Project by any federal, state, or local authority, including without limitation, by any Air-Quality Management District having jurisdiction or any quasi-governmental entity regulating pollution, air quality, emissions or other environment issues, for any carbon tax, fee, carbon credit, or other so-called carbon offset, or for any emission of nitrogen oxide, carbon dioxide, methane, and other greenhouse gases; (O) costs incurred by Landlord in connection with any environmental initiative and/or operations and maintenance plan implemented by Landlord at the Project whether or not such initiatives are mandated by Laws, including, without limitation, costs to reduce chemical emissions, optimize energy performance and increase efficiencies, and implement sustainable purchasing and waste management policies; </w:t>
      </w:r>
      <w:r>
        <w:rPr>
          <w:rFonts w:ascii="Arial" w:cs="Arial" w:eastAsia="Arial" w:hAnsi="Arial"/>
          <w:sz w:val="16"/>
          <w:szCs w:val="16"/>
          <w:color w:val="000000"/>
        </w:rPr>
        <w:t>and (P) any equitably shared Project costs or Common Area maintenance costs and expenses (including costs and</w:t>
      </w:r>
      <w:r>
        <w:rPr>
          <w:rFonts w:ascii="Arial" w:cs="Arial" w:eastAsia="Arial" w:hAnsi="Arial"/>
          <w:sz w:val="16"/>
          <w:szCs w:val="16"/>
          <w:color w:val="101010"/>
        </w:rPr>
        <w:t xml:space="preserve"> </w:t>
      </w:r>
      <w:r>
        <w:rPr>
          <w:rFonts w:ascii="Arial" w:cs="Arial" w:eastAsia="Arial" w:hAnsi="Arial"/>
          <w:sz w:val="16"/>
          <w:szCs w:val="16"/>
          <w:color w:val="000000"/>
        </w:rPr>
        <w:t>expenses of operating, managing, owning and maintaining the Common Areas, the Amenity Area and the Fitness Center (defined in Sections 5.3 and 5.4 below) including any rental value thereon, and non-building specific costs). Landlord agrees to act in a commercially reasonable manner in incurring Operating Costs, taking into consideration the class and the quality of the Building. Tenant acknowledges that the Premises is a part of a multi-building project and that those costs and expenses that are incurred in connection with the Project (i.e., the Operating Costs and Taxes (defined below)) should be shared between the Premises and the tenants of the other buildings in the Project. Accordingly, as set forth in this Section 3.2(a), Operating Costs and Taxes are determined annually for the Project as a whole and shall include all Operating Costs and Taxes attributable solely to the Building and an equitable portion of the Operating Costs and Taxes which are attributable to the Project as a whole which are allocable to the Building as reasonably determined by Landlord in good faith. Furthermore, Landlord shall have the right, from time to time, to equitably allocate some or all of the costs for the Building and the Project among different portions or occupants of the Building and the Project (the “</w:t>
      </w:r>
      <w:r>
        <w:rPr>
          <w:rFonts w:ascii="Arial" w:cs="Arial" w:eastAsia="Arial" w:hAnsi="Arial"/>
          <w:sz w:val="16"/>
          <w:szCs w:val="16"/>
          <w:b w:val="1"/>
          <w:bCs w:val="1"/>
          <w:color w:val="000000"/>
        </w:rPr>
        <w:t>Cost Pools</w:t>
      </w:r>
      <w:r>
        <w:rPr>
          <w:rFonts w:ascii="Arial" w:cs="Arial" w:eastAsia="Arial" w:hAnsi="Arial"/>
          <w:sz w:val="16"/>
          <w:szCs w:val="16"/>
          <w:color w:val="000000"/>
        </w:rPr>
        <w:t>”), in Landlord’s discretion. The Cost Pools may include, but shall not be limited to, the tenants and storage space of the Building and the Project. The costs within each Cost Pool shall be allocated and charged to the tenants in the Cost Pool in an equitable manner.</w:t>
      </w:r>
    </w:p>
    <w:p>
      <w:pPr>
        <w:spacing w:after="0" w:line="356" w:lineRule="exact"/>
        <w:rPr>
          <w:sz w:val="20"/>
          <w:szCs w:val="20"/>
          <w:color w:val="auto"/>
        </w:rPr>
      </w:pPr>
    </w:p>
    <w:p>
      <w:pPr>
        <w:jc w:val="both"/>
        <w:ind w:firstLine="865"/>
        <w:spacing w:after="0" w:line="269" w:lineRule="auto"/>
        <w:rPr>
          <w:sz w:val="20"/>
          <w:szCs w:val="20"/>
          <w:color w:val="auto"/>
        </w:rPr>
      </w:pPr>
      <w:r>
        <w:rPr>
          <w:rFonts w:ascii="Arial" w:cs="Arial" w:eastAsia="Arial" w:hAnsi="Arial"/>
          <w:sz w:val="18"/>
          <w:szCs w:val="18"/>
          <w:color w:val="auto"/>
        </w:rPr>
        <w:t>Operating Costs for any calendar year during which average occupancy of the Project is less than one hundred percent (100%) shall be calculated based upon the Operating Costs that would have been incurred if the Project had an occupancy of one hundred percent (100%) during the entire calendar year. Notwithstanding anything to the contrary contained herein, in the event Tenant has received any free or abated rent during the Term of this Lease, or other such concession, the amount of such free or abated rent or any other such concession shall be included in the calculation to determine the amount of any property management fee or other such fee included in Operating Costs.</w:t>
      </w:r>
    </w:p>
    <w:p>
      <w:pPr>
        <w:spacing w:after="0" w:line="148" w:lineRule="exact"/>
        <w:rPr>
          <w:sz w:val="20"/>
          <w:szCs w:val="20"/>
          <w:color w:val="auto"/>
        </w:rPr>
      </w:pPr>
    </w:p>
    <w:p>
      <w:pPr>
        <w:jc w:val="both"/>
        <w:ind w:right="20" w:firstLine="865"/>
        <w:spacing w:after="0" w:line="250" w:lineRule="auto"/>
        <w:rPr>
          <w:sz w:val="20"/>
          <w:szCs w:val="20"/>
          <w:color w:val="auto"/>
        </w:rPr>
      </w:pPr>
      <w:r>
        <w:rPr>
          <w:rFonts w:ascii="Arial" w:cs="Arial" w:eastAsia="Arial" w:hAnsi="Arial"/>
          <w:sz w:val="19"/>
          <w:szCs w:val="19"/>
          <w:color w:val="auto"/>
        </w:rPr>
        <w:t>Operating Costs shall not include (i) capital improvements (except as specifically enumerated above); (ii) costs of special services rendered to individual tenants (including Tenant) for which a separate reimbursement is received; (iii) ground rent, and interest and principal payments on loans or indebtedness secured by the Building; (iv) costs of tenant improvements for Tenant or other tenants of the Building; (v) costs of services or other benefits of a type which are not available to Tenant but which are available to other tenants or occupants, and costs for which Landlord is reimbursed by other tenants of the Building other than through payment of tenants’ shares of Operating Costs and Taxes; (vi) leasing commissions, attorneys’ fees and other expenses incurred in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6" w:name="page107"/>
    <w:bookmarkEnd w:id="106"/>
    <w:p>
      <w:pPr>
        <w:jc w:val="both"/>
        <w:ind w:right="20"/>
        <w:spacing w:after="0" w:line="332" w:lineRule="auto"/>
        <w:rPr>
          <w:sz w:val="20"/>
          <w:szCs w:val="20"/>
          <w:color w:val="auto"/>
        </w:rPr>
      </w:pPr>
      <w:r>
        <w:rPr>
          <w:rFonts w:ascii="Arial" w:cs="Arial" w:eastAsia="Arial" w:hAnsi="Arial"/>
          <w:sz w:val="16"/>
          <w:szCs w:val="16"/>
          <w:color w:val="auto"/>
        </w:rPr>
        <w:t>connection with leasing space in the Building or enforcing such leases; (vii) depreciation or amortization, except in connection with capital improvements as set forth above; (viii) costs, fines or penalties incurred due to Landlord’s violation of any Law; and (ix) the costs and expenses for which Tenant pays directly with respect Premises to the extent of the applicable leasable area of the Premises, and (x) reserves of any kind.</w:t>
      </w:r>
    </w:p>
    <w:p>
      <w:pPr>
        <w:spacing w:after="0" w:line="94" w:lineRule="exact"/>
        <w:rPr>
          <w:sz w:val="20"/>
          <w:szCs w:val="20"/>
          <w:color w:val="auto"/>
        </w:rPr>
      </w:pPr>
    </w:p>
    <w:p>
      <w:pPr>
        <w:jc w:val="both"/>
        <w:ind w:right="20" w:firstLine="2595"/>
        <w:spacing w:after="0" w:line="262" w:lineRule="auto"/>
        <w:tabs>
          <w:tab w:leader="none" w:pos="34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that portion of the following taxes on the Project which are allocable to the Building in Landlord’s reasonable judgment: all real property taxes and general, special or district assessments or other governmental impositions, of whatever kind, nature or origin, imposed on or by reason of the ownership or use of the Project; leasehold taxes or taxes based upon the receipt of rent, including gross receipts or sales taxes applicable to the receipt of rent, unless required to be paid by Tenant; regulatory environmental taxes, governmental charges, fees or assessments for transit or traffic mitigation (including area-wide traffic improvement assessments and transportation system management fees), housing, police, fire or other governmental service or purported benefits to the Project; personal property taxes assessed on the personal property of Landlord used in the operation of the Project; service payments in lieu of taxes and taxes and assessments of every kind and nature whatsoever levied or assessed in addition to, in lieu of or in substitution for existing or additional real or personal property taxes on the Project or the personal property described above; any increases in the foregoing caused by changes in assessed valuation, tax rate or other factors or circumstances; and the reasonable cost of contesting by appropriate proceedings the amount or validity of any taxes, assessments or charges described above. To the extent paid by Tenant or other tenants as “</w:t>
      </w:r>
      <w:r>
        <w:rPr>
          <w:rFonts w:ascii="Arial" w:cs="Arial" w:eastAsia="Arial" w:hAnsi="Arial"/>
          <w:sz w:val="18"/>
          <w:szCs w:val="18"/>
          <w:b w:val="1"/>
          <w:bCs w:val="1"/>
          <w:color w:val="auto"/>
        </w:rPr>
        <w:t>Tenant’s Taxes</w:t>
      </w:r>
      <w:r>
        <w:rPr>
          <w:rFonts w:ascii="Arial" w:cs="Arial" w:eastAsia="Arial" w:hAnsi="Arial"/>
          <w:sz w:val="18"/>
          <w:szCs w:val="18"/>
          <w:color w:val="auto"/>
        </w:rPr>
        <w:t xml:space="preserve">” (as defined in Section 8 - </w:t>
      </w:r>
      <w:r>
        <w:rPr>
          <w:rFonts w:ascii="Arial" w:cs="Arial" w:eastAsia="Arial" w:hAnsi="Arial"/>
          <w:sz w:val="18"/>
          <w:szCs w:val="18"/>
          <w:i w:val="1"/>
          <w:iCs w:val="1"/>
          <w:color w:val="auto"/>
        </w:rPr>
        <w:t>Tenant’s Taxes</w:t>
      </w:r>
      <w:r>
        <w:rPr>
          <w:rFonts w:ascii="Arial" w:cs="Arial" w:eastAsia="Arial" w:hAnsi="Arial"/>
          <w:sz w:val="18"/>
          <w:szCs w:val="18"/>
          <w:color w:val="auto"/>
        </w:rPr>
        <w:t>), “</w:t>
      </w:r>
      <w:r>
        <w:rPr>
          <w:rFonts w:ascii="Arial" w:cs="Arial" w:eastAsia="Arial" w:hAnsi="Arial"/>
          <w:sz w:val="18"/>
          <w:szCs w:val="18"/>
          <w:b w:val="1"/>
          <w:bCs w:val="1"/>
          <w:color w:val="auto"/>
        </w:rPr>
        <w:t>Tenant’s Taxes</w:t>
      </w:r>
      <w:r>
        <w:rPr>
          <w:rFonts w:ascii="Arial" w:cs="Arial" w:eastAsia="Arial" w:hAnsi="Arial"/>
          <w:sz w:val="18"/>
          <w:szCs w:val="18"/>
          <w:color w:val="auto"/>
        </w:rPr>
        <w:t>” shall be excluded from Taxes.</w:t>
      </w:r>
    </w:p>
    <w:p>
      <w:pPr>
        <w:spacing w:after="0" w:line="150" w:lineRule="exact"/>
        <w:rPr>
          <w:rFonts w:ascii="Arial" w:cs="Arial" w:eastAsia="Arial" w:hAnsi="Arial"/>
          <w:sz w:val="18"/>
          <w:szCs w:val="18"/>
          <w:color w:val="auto"/>
        </w:rPr>
      </w:pPr>
    </w:p>
    <w:p>
      <w:pPr>
        <w:jc w:val="both"/>
        <w:ind w:right="20" w:firstLine="2595"/>
        <w:spacing w:after="0" w:line="285" w:lineRule="auto"/>
        <w:tabs>
          <w:tab w:leader="none" w:pos="34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means the Rentable Area of the Premises divided by the total Rentable Area of the Building or the Project, as the case may be, as set forth in the Basic Lease Information. If the Rentable Area of the Premises is changed by Tenant’s leasing of additional space hereunder or for any other reason, Tenant’s Share shall be adjusted accordingly.</w:t>
      </w:r>
    </w:p>
    <w:p>
      <w:pPr>
        <w:spacing w:after="0" w:line="132" w:lineRule="exact"/>
        <w:rPr>
          <w:rFonts w:ascii="Arial" w:cs="Arial" w:eastAsia="Arial" w:hAnsi="Arial"/>
          <w:sz w:val="18"/>
          <w:szCs w:val="18"/>
          <w:color w:val="auto"/>
        </w:rPr>
      </w:pPr>
    </w:p>
    <w:p>
      <w:pPr>
        <w:ind w:left="2540" w:hanging="811"/>
        <w:spacing w:after="0"/>
        <w:tabs>
          <w:tab w:leader="none" w:pos="254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Additional Rent</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firstLine="2595"/>
        <w:spacing w:after="0" w:line="258" w:lineRule="auto"/>
        <w:tabs>
          <w:tab w:leader="none" w:pos="3414" w:val="left"/>
        </w:tabs>
        <w:numPr>
          <w:ilvl w:val="1"/>
          <w:numId w:val="46"/>
        </w:numPr>
        <w:rPr>
          <w:rFonts w:ascii="Arial" w:cs="Arial" w:eastAsia="Arial" w:hAnsi="Arial"/>
          <w:sz w:val="20"/>
          <w:szCs w:val="20"/>
          <w:color w:val="auto"/>
        </w:rPr>
      </w:pPr>
      <w:r>
        <w:rPr>
          <w:rFonts w:ascii="Arial" w:cs="Arial" w:eastAsia="Arial" w:hAnsi="Arial"/>
          <w:sz w:val="20"/>
          <w:szCs w:val="20"/>
          <w:color w:val="auto"/>
        </w:rPr>
        <w:t>Tenant shall pay Landlord as “</w:t>
      </w:r>
      <w:r>
        <w:rPr>
          <w:rFonts w:ascii="Arial" w:cs="Arial" w:eastAsia="Arial" w:hAnsi="Arial"/>
          <w:sz w:val="20"/>
          <w:szCs w:val="20"/>
          <w:b w:val="1"/>
          <w:bCs w:val="1"/>
          <w:color w:val="auto"/>
        </w:rPr>
        <w:t>Additional Rent</w:t>
      </w:r>
      <w:r>
        <w:rPr>
          <w:rFonts w:ascii="Arial" w:cs="Arial" w:eastAsia="Arial" w:hAnsi="Arial"/>
          <w:sz w:val="20"/>
          <w:szCs w:val="20"/>
          <w:color w:val="auto"/>
        </w:rPr>
        <w:t>” for each calendar year or portion thereof during the Term Tenant’s Share of the sum of (x) the amount of Operating Costs, and (y) the amount of Taxes.</w:t>
      </w:r>
    </w:p>
    <w:p>
      <w:pPr>
        <w:spacing w:after="0" w:line="153" w:lineRule="exact"/>
        <w:rPr>
          <w:rFonts w:ascii="Arial" w:cs="Arial" w:eastAsia="Arial" w:hAnsi="Arial"/>
          <w:sz w:val="20"/>
          <w:szCs w:val="20"/>
          <w:color w:val="auto"/>
        </w:rPr>
      </w:pPr>
    </w:p>
    <w:p>
      <w:pPr>
        <w:jc w:val="both"/>
        <w:ind w:firstLine="2595"/>
        <w:spacing w:after="0" w:line="249" w:lineRule="auto"/>
        <w:tabs>
          <w:tab w:leader="none" w:pos="3414" w:val="left"/>
        </w:tabs>
        <w:numPr>
          <w:ilvl w:val="1"/>
          <w:numId w:val="46"/>
        </w:numPr>
        <w:rPr>
          <w:rFonts w:ascii="Arial" w:cs="Arial" w:eastAsia="Arial" w:hAnsi="Arial"/>
          <w:sz w:val="19"/>
          <w:szCs w:val="19"/>
          <w:color w:val="auto"/>
        </w:rPr>
      </w:pPr>
      <w:r>
        <w:rPr>
          <w:rFonts w:ascii="Arial" w:cs="Arial" w:eastAsia="Arial" w:hAnsi="Arial"/>
          <w:sz w:val="19"/>
          <w:szCs w:val="19"/>
          <w:color w:val="auto"/>
        </w:rPr>
        <w:t>Prior to the Commencement Date and each calendar year thereafter, Landlord shall notify Tenant of Landlord’s estimate of Operating Costs, Taxes and Tenant’s Additional Rent for the following calendar year (or first partial year following the Commencement Date). Commencing on the Commencement Date, and in subsequent calendar years, on the first day of January of each calendar year and continuing on the first day of every month thereafter in such year, Tenant shall pay to Landlord one-twelfth (1/12th) of the Additional Rent, as reasonably estimated by Landlord for such full calendar year. If Landlord thereafter estimates that Operating Costs or Taxes for such year will vary from Landlord’s prior estimate, Landlord may, by notice to Tenant, revise the estimate for such year (and Additional Rent shall thereafter be payable based on the revised estimate).</w:t>
      </w:r>
    </w:p>
    <w:p>
      <w:pPr>
        <w:spacing w:after="0" w:line="164" w:lineRule="exact"/>
        <w:rPr>
          <w:rFonts w:ascii="Arial" w:cs="Arial" w:eastAsia="Arial" w:hAnsi="Arial"/>
          <w:sz w:val="19"/>
          <w:szCs w:val="19"/>
          <w:color w:val="auto"/>
        </w:rPr>
      </w:pPr>
    </w:p>
    <w:p>
      <w:pPr>
        <w:ind w:right="20" w:firstLine="2595"/>
        <w:spacing w:after="0" w:line="252" w:lineRule="auto"/>
        <w:tabs>
          <w:tab w:leader="none" w:pos="3414" w:val="left"/>
        </w:tabs>
        <w:numPr>
          <w:ilvl w:val="1"/>
          <w:numId w:val="46"/>
        </w:numPr>
        <w:rPr>
          <w:rFonts w:ascii="Arial" w:cs="Arial" w:eastAsia="Arial" w:hAnsi="Arial"/>
          <w:sz w:val="20"/>
          <w:szCs w:val="20"/>
          <w:color w:val="auto"/>
        </w:rPr>
      </w:pPr>
      <w:r>
        <w:rPr>
          <w:rFonts w:ascii="Arial" w:cs="Arial" w:eastAsia="Arial" w:hAnsi="Arial"/>
          <w:sz w:val="20"/>
          <w:szCs w:val="20"/>
          <w:color w:val="auto"/>
        </w:rPr>
        <w:t>As soon as reasonably practicable after the end of each calendar year, Landlord shall furnish Tenant a statement with respect to such year, showing Operating Costs, Taxes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7" w:name="page108"/>
    <w:bookmarkEnd w:id="107"/>
    <w:p>
      <w:pPr>
        <w:jc w:val="both"/>
        <w:ind w:right="20"/>
        <w:spacing w:after="0" w:line="303" w:lineRule="auto"/>
        <w:rPr>
          <w:sz w:val="20"/>
          <w:szCs w:val="20"/>
          <w:color w:val="auto"/>
        </w:rPr>
      </w:pPr>
      <w:r>
        <w:rPr>
          <w:rFonts w:ascii="Arial" w:cs="Arial" w:eastAsia="Arial" w:hAnsi="Arial"/>
          <w:sz w:val="16"/>
          <w:szCs w:val="16"/>
          <w:color w:val="auto"/>
        </w:rPr>
        <w:t>and Additional Rent for the year, and the total payments made by Tenant with respect thereto. Unless Tenant raises any objections to Landlord’s statement within one hundred twenty (120) days after receipt of the same, such statement shall conclusively be deemed correct and Tenant shall have no right thereafter to dispute such statement or any item therein or the computation of Additional Rent based thereon. If Tenant does object to such statement, then Landlord shall provide Tenant with reasonable verification of the figures shown on the statement and the parties shall negotiate in good faith to resolve any disputes. Any objection of Tenant to Landlord’s statement and resolution of any dispute shall not postpone the time for payment of any amounts due Tenant or Landlord based on Landlord’s statement, nor shall any failure of Landlord to deliver Landlord’s statement in a timely manner relieve Tenant of Tenant’s obligation to pay any amounts due Landlord based on Landlord’s statement.</w:t>
      </w:r>
    </w:p>
    <w:p>
      <w:pPr>
        <w:spacing w:after="0" w:line="126" w:lineRule="exact"/>
        <w:rPr>
          <w:sz w:val="20"/>
          <w:szCs w:val="20"/>
          <w:color w:val="auto"/>
        </w:rPr>
      </w:pPr>
    </w:p>
    <w:p>
      <w:pPr>
        <w:jc w:val="both"/>
        <w:ind w:firstLine="2595"/>
        <w:spacing w:after="0" w:line="260" w:lineRule="auto"/>
        <w:tabs>
          <w:tab w:leader="none" w:pos="34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Tenant’s Additional Rent as finally determined for any calendar year exceeds the total payments made by Tenant on account thereof, Tenant shall pay Landlord the deficiency within thirty (30) days of Tenant’s receipt of Landlord’s statement. If the total payments made by Tenant on account thereof exceed Tenant’s Additional Rent as finally determined for such year, Tenant’s excess payment shall be credited toward the rent next due from Tenant under this Lease or, if the Term has expired or this Lease is terminated earlier, then as set forth below. For any partial calendar year at the beginning or end of the Term, Additional Rent shall be prorated on the basis of a 360-day year by computing Tenant’s Share of the Operating Costs and Taxes for the entire year and then prorating such amount for the number of days during such year included in the Term. The obligations of Landlord to refund any overpayment of Additional Rent and of Tenant to pay any Additional Rent not previously paid shall survive the expiration or termination of this Lease. Landlord shall pay to Tenant or Tenant shall pay to Landlord, as the case may be, within thirty (30) days after Tenant’s receipt of Landlord’s final statement for the calendar year in which this Lease terminates, the difference between Tenant’s Additional Rent for that year, as finally determined by Landlord, and the total amount previously paid by Tenant on account thereof. However, if Landlord fails to furnish Tenant a statement of the actual Operating Costs for a given calendar year within twenty-four (24) months after expiration of the calendar year during which the Term expires (as the same may be extended) and such failure continues for an additional thirty (30) days after Landlord’s receipt of a written request from Tenant that such statement of the actual Operating Costs is furnished, Landlord shall be deemed to have waived any rights to recover any underpayment of Operating Costs from Tenant (except to the extent such underpayment is attributable to a default by Tenant in its obligation to make estimated payments of Operating Costs); provided that such twenty-four (24) month time limit shall in no event apply to Taxes. Further, in no event shall the foregoing provision describing the time period during which Landlord is to deliver the statement of actual costs in any manner limit or otherwise prejudice Landlord’s right to modify such statement of actual costs after such time period if new, additional or different information relating to such statement of actual costs is discovered or otherwise determined.</w:t>
      </w:r>
    </w:p>
    <w:p>
      <w:pPr>
        <w:spacing w:after="0" w:line="156"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9"/>
          <w:szCs w:val="19"/>
          <w:color w:val="auto"/>
        </w:rPr>
        <w:t>If for any reason Taxes for any year during the Term are reduced, refunded or otherwise changed, Tenant’s Additional Rent shall be adjusted accordingly. If Taxes are temporarily reduced as a result of space in the Project being leased to a tenant that is entitled to an exemption from property taxes or other taxes, then for purposes of determining Additional Rent for each year in which Taxes are reduced by any such exemption, Taxes for such year shall be calculated on the basis of the amount the Taxes for the year would have been in the absence of the exemption. As of the date of this Lease, no such exemption is applicable to the Project.</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8" w:name="page109"/>
    <w:bookmarkEnd w:id="108"/>
    <w:p>
      <w:pPr>
        <w:jc w:val="both"/>
        <w:ind w:left="1" w:right="20" w:firstLine="1729"/>
        <w:spacing w:after="0" w:line="262" w:lineRule="auto"/>
        <w:tabs>
          <w:tab w:leader="none" w:pos="253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Limitation on Increases in Controllable Costs</w:t>
      </w:r>
      <w:r>
        <w:rPr>
          <w:rFonts w:ascii="Arial" w:cs="Arial" w:eastAsia="Arial" w:hAnsi="Arial"/>
          <w:sz w:val="18"/>
          <w:szCs w:val="18"/>
          <w:color w:val="auto"/>
        </w:rPr>
        <w:t>. For purposes of computing Tenant's Share of Operating Costs, the Controllable Operating Costs (hereinafter defined) shall not increase by more than five percent (5%) per calendar year on a compounding and cumulative basis over the course of the Term. In other words, Controllable Operating Costs for the second Lease year of the Term shall not exceed one hundred five percent (105%) of the Controllable Operating Costs for the first Lease year of the Term. Controllable Operating Costs for the third Lease year of the Term shall not exceed one hundred five percent (105%) of the limit on Controllable Operating Costs for the second Lease year of the Term, etc. By way of illustration, if Controllable Operating Costs were $10.00 per rentable square foot for the first Lease year of the Term, then Controllable Operating Costs for the second Lease year shall not exceed $10.50 per rentable square foot, and Controllable Operating Costs for the third Lease year of the term shall not exceed $11.03 per rentable square foot (whether or not actual Controllable Operating Costs were less than, equaled or exceeded the limit on Controllable Operating Costs the prior year). “</w:t>
      </w:r>
      <w:r>
        <w:rPr>
          <w:rFonts w:ascii="Arial" w:cs="Arial" w:eastAsia="Arial" w:hAnsi="Arial"/>
          <w:sz w:val="18"/>
          <w:szCs w:val="18"/>
          <w:b w:val="1"/>
          <w:bCs w:val="1"/>
          <w:color w:val="auto"/>
        </w:rPr>
        <w:t>Controllable</w:t>
      </w:r>
      <w:r>
        <w:rPr>
          <w:rFonts w:ascii="Arial" w:cs="Arial" w:eastAsia="Arial" w:hAnsi="Arial"/>
          <w:sz w:val="18"/>
          <w:szCs w:val="18"/>
          <w:color w:val="auto"/>
        </w:rPr>
        <w:t xml:space="preserve"> </w:t>
      </w:r>
      <w:r>
        <w:rPr>
          <w:rFonts w:ascii="Arial" w:cs="Arial" w:eastAsia="Arial" w:hAnsi="Arial"/>
          <w:sz w:val="18"/>
          <w:szCs w:val="18"/>
          <w:b w:val="1"/>
          <w:bCs w:val="1"/>
          <w:color w:val="auto"/>
        </w:rPr>
        <w:t>Operating Costs</w:t>
      </w:r>
      <w:r>
        <w:rPr>
          <w:rFonts w:ascii="Arial" w:cs="Arial" w:eastAsia="Arial" w:hAnsi="Arial"/>
          <w:sz w:val="18"/>
          <w:szCs w:val="18"/>
          <w:color w:val="auto"/>
        </w:rPr>
        <w:t>” shall mean all Operating Costs exclusive of the cost of insurance, utilities, taxes, capital improvements, refuse removal, lawn</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nonrecurring maintenance, repairs and clean up, and janitorial services.</w:t>
      </w:r>
    </w:p>
    <w:p>
      <w:pPr>
        <w:spacing w:after="0" w:line="154" w:lineRule="exact"/>
        <w:rPr>
          <w:rFonts w:ascii="Arial" w:cs="Arial" w:eastAsia="Arial" w:hAnsi="Arial"/>
          <w:sz w:val="18"/>
          <w:szCs w:val="18"/>
          <w:color w:val="auto"/>
        </w:rPr>
      </w:pPr>
    </w:p>
    <w:p>
      <w:pPr>
        <w:jc w:val="both"/>
        <w:ind w:left="1" w:firstLine="1729"/>
        <w:spacing w:after="0" w:line="294" w:lineRule="auto"/>
        <w:tabs>
          <w:tab w:leader="none" w:pos="254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Tenant’s Audit Rights</w:t>
      </w:r>
      <w:r>
        <w:rPr>
          <w:rFonts w:ascii="Arial" w:cs="Arial" w:eastAsia="Arial" w:hAnsi="Arial"/>
          <w:sz w:val="16"/>
          <w:szCs w:val="16"/>
          <w:color w:val="auto"/>
        </w:rPr>
        <w:t>. If Tenant raises objections to Landlord’s statement and Landlord and Tenant are unable to resolve any dispute, then Tenant, at its expense, shall have the right upon thirty (30) days prior written notice to Landlord (“</w:t>
      </w:r>
      <w:r>
        <w:rPr>
          <w:rFonts w:ascii="Arial" w:cs="Arial" w:eastAsia="Arial" w:hAnsi="Arial"/>
          <w:sz w:val="16"/>
          <w:szCs w:val="16"/>
          <w:b w:val="1"/>
          <w:bCs w:val="1"/>
          <w:color w:val="auto"/>
        </w:rPr>
        <w:t>Tenant’s Audit</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 to be given only within one hundred fifty (150) days after Tenant receives the annual statement of Additional Rent to audit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books and records relating to such statement for such immediately preceding calendar year, subject to the following terms and conditions: (a) any audit shall be conducted only by certified public accountants practicing for an independent accounting firm, employed by Tenant on an hourly or fixed fee basis, and not on a contingency fee basis; and (b) Tenant shall not audit Landlord’s books and records more than one (1) time for any calendar year. In no event shall Tenant be permitted to examine Landlord’s records or to dispute any statement of Operating Costs, Taxes and Additional Rent unless Tenant has paid and continues to pay all Rent in accordance with the terms of this Lease. Tenant acknowledges that Tenant’s right to inspect Landlord’s books and records with respect to Operating Costs and Taxes for the preceding calendar year is for the exclusive purpose of determining whether Landlord has complied with the terms of the Lease with respect to Operating Costs and Taxes. Tenant shall have sixty (60) days after Tenant’s Audit Notice to complete Tenant’s inspection of Landlord’s books and records concerning Operating Costs and Taxes at Landlord’s accounting office. During its inspection Tenant agrees to request, in writing, all pertinent documents relating to the inspection (the “</w:t>
      </w:r>
      <w:r>
        <w:rPr>
          <w:rFonts w:ascii="Arial" w:cs="Arial" w:eastAsia="Arial" w:hAnsi="Arial"/>
          <w:sz w:val="16"/>
          <w:szCs w:val="16"/>
          <w:b w:val="1"/>
          <w:bCs w:val="1"/>
          <w:color w:val="auto"/>
        </w:rPr>
        <w:t>Audit Documents</w:t>
      </w:r>
      <w:r>
        <w:rPr>
          <w:rFonts w:ascii="Arial" w:cs="Arial" w:eastAsia="Arial" w:hAnsi="Arial"/>
          <w:sz w:val="16"/>
          <w:szCs w:val="16"/>
          <w:color w:val="auto"/>
        </w:rPr>
        <w:t>”). Landlord will provide such Audit Documents to Tenant within ten (10) days from Landlord’s receipt of the request, and no later than ten (10) days after the date Tenant tenders to Landlord Tenant’s Audit Notice (“</w:t>
      </w:r>
      <w:r>
        <w:rPr>
          <w:rFonts w:ascii="Arial" w:cs="Arial" w:eastAsia="Arial" w:hAnsi="Arial"/>
          <w:sz w:val="16"/>
          <w:szCs w:val="16"/>
          <w:b w:val="1"/>
          <w:bCs w:val="1"/>
          <w:color w:val="auto"/>
        </w:rPr>
        <w:t>Landlord’s Response Period</w:t>
      </w:r>
      <w:r>
        <w:rPr>
          <w:rFonts w:ascii="Arial" w:cs="Arial" w:eastAsia="Arial" w:hAnsi="Arial"/>
          <w:sz w:val="16"/>
          <w:szCs w:val="16"/>
          <w:color w:val="auto"/>
        </w:rPr>
        <w:t>”). The sixty (60) day period shall be extended on a day for day basis for each day after the expiration of Landlord’s Response Period for Landlord to deliver the Audit Documents and Tenant shall not remove such records from Landlord’s accounting office, but Tenant shall have the right to make copies of the relevant documents at Tenant’s expense. Tenant shall deliver to Landlord a copy of the results of such audit within fifteen</w:t>
      </w:r>
    </w:p>
    <w:p>
      <w:pPr>
        <w:spacing w:after="0" w:line="184" w:lineRule="exact"/>
        <w:rPr>
          <w:rFonts w:ascii="Arial" w:cs="Arial" w:eastAsia="Arial" w:hAnsi="Arial"/>
          <w:sz w:val="16"/>
          <w:szCs w:val="16"/>
          <w:color w:val="auto"/>
        </w:rPr>
      </w:pPr>
    </w:p>
    <w:p>
      <w:pPr>
        <w:jc w:val="both"/>
        <w:ind w:left="1" w:hanging="1"/>
        <w:spacing w:after="0" w:line="234" w:lineRule="auto"/>
        <w:tabs>
          <w:tab w:leader="none" w:pos="3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days of its receipt by Tenant. The nature and content of any audit are strictly confidential. Tenant, on behalf of its accountant, employees and agents shall not disclose the information obtained from the audit to any other person or entity, including, without limitation, any other tenant in the Project, or any agent, employee, officer, shareholder, partner, accountant or attorney of such tenant in the Project. No assignee shall conduct an audit for 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09" w:name="page110"/>
    <w:bookmarkEnd w:id="109"/>
    <w:p>
      <w:pPr>
        <w:jc w:val="both"/>
        <w:ind w:left="1"/>
        <w:spacing w:after="0" w:line="242" w:lineRule="auto"/>
        <w:rPr>
          <w:sz w:val="20"/>
          <w:szCs w:val="20"/>
          <w:color w:val="auto"/>
        </w:rPr>
      </w:pPr>
      <w:r>
        <w:rPr>
          <w:rFonts w:ascii="Arial" w:cs="Arial" w:eastAsia="Arial" w:hAnsi="Arial"/>
          <w:sz w:val="20"/>
          <w:szCs w:val="20"/>
          <w:color w:val="auto"/>
        </w:rPr>
        <w:t>period during which such assignee was not in possession of the Premises. If Tenant’s audit shows that Operating Costs and Taxes are overstated by more than five percent (5%), then Landlord agrees to pay the reasonable costs of such audit, not to exceed Ten Thousand and 00/100 Dollars ($10,000.00) per audit.</w:t>
      </w:r>
    </w:p>
    <w:p>
      <w:pPr>
        <w:spacing w:after="0" w:line="168" w:lineRule="exact"/>
        <w:rPr>
          <w:sz w:val="20"/>
          <w:szCs w:val="20"/>
          <w:color w:val="auto"/>
        </w:rPr>
      </w:pPr>
    </w:p>
    <w:p>
      <w:pPr>
        <w:jc w:val="both"/>
        <w:ind w:left="1" w:firstLine="865"/>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of Rent</w:t>
      </w:r>
      <w:r>
        <w:rPr>
          <w:rFonts w:ascii="Arial" w:cs="Arial" w:eastAsia="Arial" w:hAnsi="Arial"/>
          <w:sz w:val="18"/>
          <w:szCs w:val="18"/>
          <w:color w:val="auto"/>
        </w:rPr>
        <w:t>. All amounts payable or reimbursable by Tenant to Landlord under this Lease, including late charges and interest (collectively, “</w:t>
      </w:r>
      <w:r>
        <w:rPr>
          <w:rFonts w:ascii="Arial" w:cs="Arial" w:eastAsia="Arial" w:hAnsi="Arial"/>
          <w:sz w:val="18"/>
          <w:szCs w:val="18"/>
          <w:b w:val="1"/>
          <w:bCs w:val="1"/>
          <w:color w:val="auto"/>
        </w:rPr>
        <w:t>Rent</w:t>
      </w:r>
      <w:r>
        <w:rPr>
          <w:rFonts w:ascii="Arial" w:cs="Arial" w:eastAsia="Arial" w:hAnsi="Arial"/>
          <w:sz w:val="18"/>
          <w:szCs w:val="18"/>
          <w:color w:val="auto"/>
        </w:rPr>
        <w:t>”), shall constitute rent and shall be payable and recoverable as rent in the manner provided in this Lease. All sums payable to Landlord on demand under the terms of this Lease shall be payable within thirty (30) days after Landlord invoices Tenant therefor or otherwise makes written demand of the amounts due. All Rent shall be paid without offset or deduction (except as expressly permitted under this Lease) in lawful money of the United States of America by ACH or EFT transfer of immediately available federal funds to Landlord at Landlord’s Address/Instructions for Payment of Rent as set forth in the Basic Lease Information, or to such other person or at such other place as Landlord may from time to time designate. Notwithstanding anything to the contrary, Landlord may, in its sole discretion, allocate any rent or monies Tenant pays to Landlord to any sums then due and payable hereunder.</w:t>
      </w:r>
    </w:p>
    <w:p>
      <w:pPr>
        <w:spacing w:after="0" w:line="152" w:lineRule="exact"/>
        <w:rPr>
          <w:sz w:val="20"/>
          <w:szCs w:val="20"/>
          <w:color w:val="auto"/>
        </w:rPr>
      </w:pPr>
    </w:p>
    <w:p>
      <w:pPr>
        <w:jc w:val="both"/>
        <w:ind w:left="1" w:hanging="1"/>
        <w:spacing w:after="0" w:line="261" w:lineRule="auto"/>
        <w:tabs>
          <w:tab w:leader="none" w:pos="7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SECURITY DEPOSIT. On execution of this Lease, Tenant shall deposit with Landlord the amount specified in the Basic Lease Information as the Security Deposit, if any (the “</w:t>
      </w:r>
      <w:r>
        <w:rPr>
          <w:rFonts w:ascii="Arial" w:cs="Arial" w:eastAsia="Arial" w:hAnsi="Arial"/>
          <w:sz w:val="18"/>
          <w:szCs w:val="18"/>
          <w:b w:val="1"/>
          <w:bCs w:val="1"/>
          <w:color w:val="auto"/>
        </w:rPr>
        <w:t>Security Deposit</w:t>
      </w:r>
      <w:r>
        <w:rPr>
          <w:rFonts w:ascii="Arial" w:cs="Arial" w:eastAsia="Arial" w:hAnsi="Arial"/>
          <w:sz w:val="18"/>
          <w:szCs w:val="18"/>
          <w:color w:val="auto"/>
        </w:rPr>
        <w:t>”), as security for the performance of Tenant’s obligations under this Lease. Landlord may (but shall have no obligation to) use the Security Deposit or any portion thereof to cure any breach or default by Tenant under this Lease, to fulfill any of Tenant’s obligations under this Lease, or to compensate Landlord for any damage Landlord incurs as a result of Tenant’s failure to perform any of Tenant’s obligations hereunder. In such event Tenant shall pay to Landlord on demand an amount sufficient to replenish the Security Deposit. If Tenant is not in default at the expiration or termination of this Lease, Landlord shall return to Tenant the Security Deposit or the balance thereof then held by Landlord and not applied as provided above. Landlord may commingle the Security Deposit with Landlord’s general and other funds. Landlord shall not be required to pay interest on the Security Deposit to Tenant. Tenant waives the provisions of Section 1950.7 of the California Civil Code, and all other provisions of Law now in force or that become in force after the date of this Lease, which provide that Landlord may claim from a security deposit only those sums reasonably necessary to remedy defaults in the payment of Rent, to repair damage caused by Tenant, or to clean the Premises. Landlord and Tenant agree that Landlord may, in addition, claim and use those sums necessary to compensate Landlord for any foreseeable or unforeseeable loss or damage caused by the act or omission by Tenant, including, without limitation, any post default damages and such remedies to which Landlord is entitled under the provisions of Section 15.2 of this Lease.</w:t>
      </w:r>
    </w:p>
    <w:p>
      <w:pPr>
        <w:spacing w:after="0" w:line="154" w:lineRule="exact"/>
        <w:rPr>
          <w:rFonts w:ascii="Arial" w:cs="Arial" w:eastAsia="Arial" w:hAnsi="Arial"/>
          <w:sz w:val="18"/>
          <w:szCs w:val="18"/>
          <w:color w:val="auto"/>
        </w:rPr>
      </w:pPr>
    </w:p>
    <w:p>
      <w:pPr>
        <w:ind w:left="741" w:hanging="741"/>
        <w:spacing w:after="0"/>
        <w:tabs>
          <w:tab w:leader="none" w:pos="741" w:val="left"/>
        </w:tabs>
        <w:numPr>
          <w:ilvl w:val="0"/>
          <w:numId w:val="50"/>
        </w:numPr>
        <w:rPr>
          <w:rFonts w:ascii="Arial" w:cs="Arial" w:eastAsia="Arial" w:hAnsi="Arial"/>
          <w:sz w:val="20"/>
          <w:szCs w:val="20"/>
          <w:color w:val="auto"/>
        </w:rPr>
      </w:pPr>
      <w:r>
        <w:rPr>
          <w:rFonts w:ascii="Arial" w:cs="Arial" w:eastAsia="Arial" w:hAnsi="Arial"/>
          <w:sz w:val="20"/>
          <w:szCs w:val="20"/>
          <w:color w:val="auto"/>
        </w:rPr>
        <w:t>USE AND COMPLIANCE WITH LAWS.</w:t>
      </w:r>
    </w:p>
    <w:p>
      <w:pPr>
        <w:spacing w:after="0" w:line="189" w:lineRule="exact"/>
        <w:rPr>
          <w:sz w:val="20"/>
          <w:szCs w:val="20"/>
          <w:color w:val="auto"/>
        </w:rPr>
      </w:pPr>
    </w:p>
    <w:p>
      <w:pPr>
        <w:jc w:val="both"/>
        <w:ind w:left="1" w:firstLine="865"/>
        <w:spacing w:after="0" w:line="26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Use</w:t>
      </w:r>
      <w:r>
        <w:rPr>
          <w:rFonts w:ascii="Arial" w:cs="Arial" w:eastAsia="Arial" w:hAnsi="Arial"/>
          <w:sz w:val="18"/>
          <w:szCs w:val="18"/>
          <w:color w:val="auto"/>
        </w:rPr>
        <w:t xml:space="preserve">. The Premises shall be used and occupied for general business office, laboratory, research and development purposes related to the computer gaming peripherals and hardware industry, and incidental related uses including light manufacturing, assembly, storage and warehousing and for no other use or purpose. Tenant shall comply with all present and future Laws relating to Tenant’s use or occupancy of the Premises (and make any repairs, alterations or improvements as required to comply with all such Laws to the extent that such Laws are triggered by (a) Tenant’s particular use of the Premises (other than general office use in the Premises) or (b) any Alterations and Tenant Improvements (as defined in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and shall observe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318" w:right="3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Project Rules</w:t>
      </w:r>
      <w:r>
        <w:rPr>
          <w:rFonts w:ascii="Arial" w:cs="Arial" w:eastAsia="Arial" w:hAnsi="Arial"/>
          <w:sz w:val="18"/>
          <w:szCs w:val="18"/>
          <w:color w:val="auto"/>
        </w:rPr>
        <w:t xml:space="preserve">” (as defined in Section 27 - </w:t>
      </w:r>
      <w:r>
        <w:rPr>
          <w:rFonts w:ascii="Arial" w:cs="Arial" w:eastAsia="Arial" w:hAnsi="Arial"/>
          <w:sz w:val="18"/>
          <w:szCs w:val="18"/>
          <w:i w:val="1"/>
          <w:iCs w:val="1"/>
          <w:color w:val="auto"/>
        </w:rPr>
        <w:t>Rules and Regulations</w:t>
      </w:r>
      <w:r>
        <w:rPr>
          <w:rFonts w:ascii="Arial" w:cs="Arial" w:eastAsia="Arial" w:hAnsi="Arial"/>
          <w:sz w:val="18"/>
          <w:szCs w:val="18"/>
          <w:color w:val="auto"/>
        </w:rPr>
        <w:t>). Tenant shall not do, bring, keep or sell anything in or about the Premises that is prohibited by, or that will cause a cancellation of or an increase in the existing premium for, any insurance policy covering the Project or any part thereof. Tenant shall not permit the Premises to be occupied or used in any manner that will constitute waste or a nuisance, or disturb the quiet enjoyment of or otherwise annoy other tenants in the Project. Without limiting the foregoing, the Premises shall not be used for educational activities, practice of medicine or any of the healing arts, providing social services, for any governmental use (including embassy or consulate use), or for personnel agency, customer service office, studios for radio, television or other media, travel agency or reservation center operations or uses. Tenant shall not bring upon the Premises or any portion of the Project or use the Premises or permit the Premises or any portion thereof to be used for the growing, manufacturing, administration, distribution (including without limitation, any retail sales), possession, use or consumption of any cannabis, marijuana or cannabinoid product or compound, regardless of the legality or illegality of the same. Tenant shall not, without the prior consent of Landlord, (i) bring into the Building or the Premises anything that may cause vibration or may cause substantial noise, odor that emanates outside the Building, or overload the floors in the Premises or the Building or would have a material or adverse effect on any of the heating, ventilating and air-conditioning system (“</w:t>
      </w:r>
      <w:r>
        <w:rPr>
          <w:rFonts w:ascii="Arial" w:cs="Arial" w:eastAsia="Arial" w:hAnsi="Arial"/>
          <w:sz w:val="18"/>
          <w:szCs w:val="18"/>
          <w:b w:val="1"/>
          <w:bCs w:val="1"/>
          <w:color w:val="auto"/>
        </w:rPr>
        <w:t>HVAC System</w:t>
      </w:r>
      <w:r>
        <w:rPr>
          <w:rFonts w:ascii="Arial" w:cs="Arial" w:eastAsia="Arial" w:hAnsi="Arial"/>
          <w:sz w:val="18"/>
          <w:szCs w:val="18"/>
          <w:color w:val="auto"/>
        </w:rPr>
        <w:t>”), mechanical, elevator, plumbing, electrical, fire protection, life safety, security or other systems in the Building (“</w:t>
      </w:r>
      <w:r>
        <w:rPr>
          <w:rFonts w:ascii="Arial" w:cs="Arial" w:eastAsia="Arial" w:hAnsi="Arial"/>
          <w:sz w:val="18"/>
          <w:szCs w:val="18"/>
          <w:b w:val="1"/>
          <w:bCs w:val="1"/>
          <w:color w:val="auto"/>
        </w:rPr>
        <w:t>Building Systems</w:t>
      </w:r>
      <w:r>
        <w:rPr>
          <w:rFonts w:ascii="Arial" w:cs="Arial" w:eastAsia="Arial" w:hAnsi="Arial"/>
          <w:sz w:val="18"/>
          <w:szCs w:val="18"/>
          <w:color w:val="auto"/>
        </w:rPr>
        <w:t>”), or jeopardize the structural integrity of the Building or any part thereof; (ii) connect to the utility systems of the Building any apparatus, machinery or other equipment other than typical low power task lighting or office equipment; or (iii) connect to any electrical circuit in the Premises any equipment or other load with aggregate electrical power requirements in excess of 80% of the connected load rated capacity of the circuit. Tenant’s use of electricity shall never exceed the safe capacity of the power feeders to the Building or the transformers, switchgear, panels, subpanels, risers, wiring and other electrical infrastructure of the Building. Tenant agrees to reasonably cooperate with Landlord with respect to any voluntary “green” or sustainable programs with respect to the Premises; provided, however, that notwithstanding anything to the contrary, Tenant shall not be responsible to make any improvements or alterations to the Premises or to replace any equipment or property of Tenant in connection therewith unless Landlord agrees to pay for all costs for such improvements, alterations or replacements. The foregoing sentence shall not apply to Tenant’s construction of the initial Tenant Improvements in the Premises. However, notwithstanding the foregoing, Landlord agrees that the base Building electrical, heating, ventilation and air conditioning, mechanical, sprinklers and plumbing systems located in the Premises shall be in working order as of the Delivery Date. Except to the extent caused by the acts or omissions of Tenant or any of Tenant’s Representatives or Visitors or by any alterations or improvements performed by or on behalf of Tenant, if such systems are not in working order and Tenant provides Landlord with notice of the same within one hundred eighty (180) days following the Commencement Date, Landlord shall be responsible for repairing or restoring the same.</w:t>
      </w:r>
    </w:p>
    <w:p>
      <w:pPr>
        <w:spacing w:after="0" w:line="168"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189" w:lineRule="exact"/>
        <w:rPr>
          <w:sz w:val="20"/>
          <w:szCs w:val="20"/>
          <w:color w:val="auto"/>
        </w:rPr>
      </w:pPr>
    </w:p>
    <w:p>
      <w:pPr>
        <w:ind w:left="2540" w:hanging="811"/>
        <w:spacing w:after="0"/>
        <w:tabs>
          <w:tab w:leader="none" w:pos="254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right="20" w:firstLine="2595"/>
        <w:spacing w:after="0" w:line="285" w:lineRule="auto"/>
        <w:tabs>
          <w:tab w:leader="none" w:pos="34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any substance: (A) that now or in the future is regulated or governed by, requires investigation or remediation under, or is defined as a hazardous waste, hazardous substance, pollutant or contaminant under any governmental statute, code, ordinance, regulation, rule or order, and any amendment thereto, including the Comprehensive</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11" w:name="page112"/>
    <w:bookmarkEnd w:id="111"/>
    <w:p>
      <w:pPr>
        <w:jc w:val="both"/>
        <w:spacing w:after="0" w:line="332" w:lineRule="auto"/>
        <w:rPr>
          <w:sz w:val="20"/>
          <w:szCs w:val="20"/>
          <w:color w:val="auto"/>
        </w:rPr>
      </w:pPr>
      <w:r>
        <w:rPr>
          <w:rFonts w:ascii="Arial" w:cs="Arial" w:eastAsia="Arial" w:hAnsi="Arial"/>
          <w:sz w:val="16"/>
          <w:szCs w:val="16"/>
          <w:color w:val="auto"/>
        </w:rPr>
        <w:t xml:space="preserve">Environmental Response Compensation and Liability Act, 42 U.S.C. §9601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Resource Conservation and Recovery Act, 42 U.S.C. §6901 </w:t>
      </w:r>
      <w:r>
        <w:rPr>
          <w:rFonts w:ascii="Arial" w:cs="Arial" w:eastAsia="Arial" w:hAnsi="Arial"/>
          <w:sz w:val="16"/>
          <w:szCs w:val="16"/>
          <w:u w:val="single" w:color="auto"/>
          <w:color w:val="auto"/>
        </w:rPr>
        <w:t>et seq</w:t>
      </w:r>
      <w:r>
        <w:rPr>
          <w:rFonts w:ascii="Arial" w:cs="Arial" w:eastAsia="Arial" w:hAnsi="Arial"/>
          <w:sz w:val="16"/>
          <w:szCs w:val="16"/>
          <w:color w:val="auto"/>
        </w:rPr>
        <w:t>., or (B) that is toxic, explosive, corrosive, flammable, radioactive, carcinogenic, dangerous or otherwise hazardous, including gasoline, diesel fuel, petroleum hydrocarbons, polychlorinated biphenyls (PCBs), asbestos, radon and urea formaldehyde foam insulation.</w:t>
      </w:r>
    </w:p>
    <w:p>
      <w:pPr>
        <w:spacing w:after="0" w:line="94" w:lineRule="exact"/>
        <w:rPr>
          <w:sz w:val="20"/>
          <w:szCs w:val="20"/>
          <w:color w:val="auto"/>
        </w:rPr>
      </w:pPr>
    </w:p>
    <w:p>
      <w:pPr>
        <w:ind w:right="20" w:firstLine="2595"/>
        <w:spacing w:after="0" w:line="258" w:lineRule="auto"/>
        <w:tabs>
          <w:tab w:leader="none" w:pos="34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Requirements</w:t>
      </w:r>
      <w:r>
        <w:rPr>
          <w:rFonts w:ascii="Arial" w:cs="Arial" w:eastAsia="Arial" w:hAnsi="Arial"/>
          <w:sz w:val="20"/>
          <w:szCs w:val="20"/>
          <w:color w:val="auto"/>
        </w:rPr>
        <w:t>” shall mean all present and future Laws, orders, permits, licenses, approvals, authorizations and other requirements of any kind applicable to Hazardous Materials.</w:t>
      </w:r>
    </w:p>
    <w:p>
      <w:pPr>
        <w:spacing w:after="0" w:line="147" w:lineRule="exact"/>
        <w:rPr>
          <w:rFonts w:ascii="Arial" w:cs="Arial" w:eastAsia="Arial" w:hAnsi="Arial"/>
          <w:sz w:val="20"/>
          <w:szCs w:val="20"/>
          <w:color w:val="auto"/>
        </w:rPr>
      </w:pPr>
    </w:p>
    <w:p>
      <w:pPr>
        <w:jc w:val="both"/>
        <w:ind w:right="20" w:firstLine="2595"/>
        <w:spacing w:after="0" w:line="320" w:lineRule="auto"/>
        <w:tabs>
          <w:tab w:leader="none" w:pos="3414"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Handled by Tenant</w:t>
      </w:r>
      <w:r>
        <w:rPr>
          <w:rFonts w:ascii="Arial" w:cs="Arial" w:eastAsia="Arial" w:hAnsi="Arial"/>
          <w:sz w:val="16"/>
          <w:szCs w:val="16"/>
          <w:color w:val="auto"/>
        </w:rPr>
        <w:t>” and “</w:t>
      </w:r>
      <w:r>
        <w:rPr>
          <w:rFonts w:ascii="Arial" w:cs="Arial" w:eastAsia="Arial" w:hAnsi="Arial"/>
          <w:sz w:val="16"/>
          <w:szCs w:val="16"/>
          <w:b w:val="1"/>
          <w:bCs w:val="1"/>
          <w:color w:val="auto"/>
        </w:rPr>
        <w:t>Handling by Tenant</w:t>
      </w:r>
      <w:r>
        <w:rPr>
          <w:rFonts w:ascii="Arial" w:cs="Arial" w:eastAsia="Arial" w:hAnsi="Arial"/>
          <w:sz w:val="16"/>
          <w:szCs w:val="16"/>
          <w:color w:val="auto"/>
        </w:rPr>
        <w:t>” shall mean and refer to any installation, handling, generation, storage, use, disposal, discharge, release, abatement, removal, transportation, or any other activity of any type by Tenant or its agents, employees, contractors, licensees, assignees, sublessees, transferees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or its guests, customers, invitees, or visitors (collectively, “</w:t>
      </w:r>
      <w:r>
        <w:rPr>
          <w:rFonts w:ascii="Arial" w:cs="Arial" w:eastAsia="Arial" w:hAnsi="Arial"/>
          <w:sz w:val="16"/>
          <w:szCs w:val="16"/>
          <w:b w:val="1"/>
          <w:bCs w:val="1"/>
          <w:color w:val="auto"/>
        </w:rPr>
        <w:t>Visitors</w:t>
      </w:r>
      <w:r>
        <w:rPr>
          <w:rFonts w:ascii="Arial" w:cs="Arial" w:eastAsia="Arial" w:hAnsi="Arial"/>
          <w:sz w:val="16"/>
          <w:szCs w:val="16"/>
          <w:color w:val="auto"/>
        </w:rPr>
        <w:t>”), at or about the Premises in connection with or involving Hazardous Materials.</w:t>
      </w:r>
    </w:p>
    <w:p>
      <w:pPr>
        <w:spacing w:after="0" w:line="104" w:lineRule="exact"/>
        <w:rPr>
          <w:rFonts w:ascii="Arial" w:cs="Arial" w:eastAsia="Arial" w:hAnsi="Arial"/>
          <w:sz w:val="16"/>
          <w:szCs w:val="16"/>
          <w:color w:val="auto"/>
        </w:rPr>
      </w:pPr>
    </w:p>
    <w:p>
      <w:pPr>
        <w:jc w:val="both"/>
        <w:ind w:right="20" w:firstLine="2595"/>
        <w:spacing w:after="0"/>
        <w:tabs>
          <w:tab w:leader="none" w:pos="3414"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Losses</w:t>
      </w:r>
      <w:r>
        <w:rPr>
          <w:rFonts w:ascii="Arial" w:cs="Arial" w:eastAsia="Arial" w:hAnsi="Arial"/>
          <w:sz w:val="20"/>
          <w:szCs w:val="20"/>
          <w:color w:val="auto"/>
        </w:rPr>
        <w:t>” shall mean all costs and expenses of any kind, damages, including foreseeable and unforeseeable consequential damages, fines and penalties incurred in connection with any violation of and compliance with Environmental Requirements and all losses of any kind attributable to the diminution of value, loss of use or adverse effects on marketability or use of any portion of the Premises or Project.</w:t>
      </w:r>
    </w:p>
    <w:p>
      <w:pPr>
        <w:spacing w:after="0" w:line="171" w:lineRule="exact"/>
        <w:rPr>
          <w:rFonts w:ascii="Arial" w:cs="Arial" w:eastAsia="Arial" w:hAnsi="Arial"/>
          <w:sz w:val="20"/>
          <w:szCs w:val="20"/>
          <w:color w:val="auto"/>
        </w:rPr>
      </w:pPr>
    </w:p>
    <w:p>
      <w:pPr>
        <w:jc w:val="both"/>
        <w:ind w:firstLine="1729"/>
        <w:spacing w:after="0" w:line="262" w:lineRule="auto"/>
        <w:tabs>
          <w:tab w:leader="none" w:pos="254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Tenant’s Covenants</w:t>
      </w:r>
      <w:r>
        <w:rPr>
          <w:rFonts w:ascii="Arial" w:cs="Arial" w:eastAsia="Arial" w:hAnsi="Arial"/>
          <w:sz w:val="18"/>
          <w:szCs w:val="18"/>
          <w:color w:val="auto"/>
        </w:rPr>
        <w:t>. No Hazardous Materials shall be Handled by Tenant at or about the Premises or Project without Landlord’s prior written consent, which consent may be granted, denied, or conditioned upon compliance with Landlord’s requirements, all in Landlord’s absolute discretion. Notwithstanding the foregoing, normal quantities and use of those Hazardous Materials customarily used in the conduct of general office activities, such as copier fluids and cleaning supplies (“</w:t>
      </w:r>
      <w:r>
        <w:rPr>
          <w:rFonts w:ascii="Arial" w:cs="Arial" w:eastAsia="Arial" w:hAnsi="Arial"/>
          <w:sz w:val="18"/>
          <w:szCs w:val="18"/>
          <w:b w:val="1"/>
          <w:bCs w:val="1"/>
          <w:color w:val="auto"/>
        </w:rPr>
        <w:t>Permitted Hazardous Materials</w:t>
      </w:r>
      <w:r>
        <w:rPr>
          <w:rFonts w:ascii="Arial" w:cs="Arial" w:eastAsia="Arial" w:hAnsi="Arial"/>
          <w:sz w:val="18"/>
          <w:szCs w:val="18"/>
          <w:color w:val="auto"/>
        </w:rPr>
        <w:t>”), may be used and stored at the Premises without Landlord’s prior written consent, provided that Tenant’s activities at or about the Premises and Project and the Handling by Tenant of all Hazardous Materials shall comply at all times with all Environmental Requirements. At the expiration or termination of the Lease, Tenant shall promptly remove from the Premises and Project all Hazardous Materials Handled by Tenant at the Premises or the Project. Tenant shall keep Landlord promptly informed of all Handling by Tenant of Hazardous Materials other than Permitted Hazardous Materials. Tenant shall be responsible and liable for the compliance with all of the provisions of this Section by all of Tenant’s Representatives and Visitors, and all of Tenant’s obligations under this Section (including its indemnification obligations under paragraph (e) below) shall survive the expiration or termination of this Lease.</w:t>
      </w:r>
    </w:p>
    <w:p>
      <w:pPr>
        <w:spacing w:after="0" w:line="154" w:lineRule="exact"/>
        <w:rPr>
          <w:rFonts w:ascii="Arial" w:cs="Arial" w:eastAsia="Arial" w:hAnsi="Arial"/>
          <w:sz w:val="18"/>
          <w:szCs w:val="18"/>
          <w:color w:val="auto"/>
        </w:rPr>
      </w:pPr>
    </w:p>
    <w:p>
      <w:pPr>
        <w:jc w:val="both"/>
        <w:ind w:right="20" w:firstLine="1729"/>
        <w:spacing w:after="0" w:line="267" w:lineRule="auto"/>
        <w:tabs>
          <w:tab w:leader="none" w:pos="253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Tenant shall at Tenant’s expense promptly take all actions required by any governmental agency or entity in connection with or as a result of the Handling by Tenant of Hazardous Materials at or about the Premises or Project, including inspection and testing, performing all cleanup, removal and remediation work required with respect to those Hazardous Materials, complying with all closure requirements and post-closure monitoring, and filing all required reports or plans. All of the foregoing work and all Handling by Tenant of all Hazardous Materials shall be performed in a good, safe and workmanlike manner by consultants qualified and licensed to undertake such work and in a manner that will not interfere with any other tenant’s quiet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2" w:name="page113"/>
    <w:bookmarkEnd w:id="112"/>
    <w:p>
      <w:pPr>
        <w:jc w:val="both"/>
        <w:spacing w:after="0" w:line="261" w:lineRule="auto"/>
        <w:rPr>
          <w:sz w:val="20"/>
          <w:szCs w:val="20"/>
          <w:color w:val="auto"/>
        </w:rPr>
      </w:pPr>
      <w:r>
        <w:rPr>
          <w:rFonts w:ascii="Arial" w:cs="Arial" w:eastAsia="Arial" w:hAnsi="Arial"/>
          <w:sz w:val="18"/>
          <w:szCs w:val="18"/>
          <w:color w:val="auto"/>
        </w:rPr>
        <w:t>enjoyment of the Project or Landlord’s use, operation, leasing and sale of the Project. Tenant shall deliver to Landlord prior to delivery to any governmental agency, or promptly after receipt from any such agency, copies of all permits, manifests, closure or remedial action plans, notices, and all other documents relating to the Handling by Tenant of Hazardous Materials (other than Permitted Hazardous Materials) at or about the Premises or Project. If any lien attaches to the Premises or the Project in connection with or as a result of the Handling by Tenant of Hazardous Materials, and Tenant does not cause the same to be released, by payment, bonding or otherwise, within ten (10) days after the attachment thereof, Landlord shall have the right but not the obligation to cause the same to be released and any sums expended by Landlord (plus Landlord’s administrative costs) in connection therewith shall be payable by Tenant on demand. To Landlord’s actual knowledge, there are no Hazardous Materials at the Building in violation of Environmental Requirements. For purposes of this Section, “Landlord’s actual knowledge” shall be deemed to mean and limited to the current actual knowledge of the property manager for the Building, at the time of execution of this Lease and not any implied, imputed, or constructive knowledge of said individual or of Landlord or any parties related to or comprising Landlord and without any independent investigation or inquiry having been made or any implied duty to investigate or make any inquiries; it being understood and agreed that such individual shall have no personal liability in any manner whatsoever hereunder or otherwise related to the transactions contemplated hereby.</w:t>
      </w:r>
    </w:p>
    <w:p>
      <w:pPr>
        <w:spacing w:after="0" w:line="158" w:lineRule="exact"/>
        <w:rPr>
          <w:sz w:val="20"/>
          <w:szCs w:val="20"/>
          <w:color w:val="auto"/>
        </w:rPr>
      </w:pPr>
    </w:p>
    <w:p>
      <w:pPr>
        <w:jc w:val="both"/>
        <w:ind w:right="20" w:firstLine="1729"/>
        <w:spacing w:after="0" w:line="248" w:lineRule="auto"/>
        <w:tabs>
          <w:tab w:leader="none" w:pos="254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Landlord’s Rights</w:t>
      </w:r>
      <w:r>
        <w:rPr>
          <w:rFonts w:ascii="Arial" w:cs="Arial" w:eastAsia="Arial" w:hAnsi="Arial"/>
          <w:sz w:val="19"/>
          <w:szCs w:val="19"/>
          <w:color w:val="auto"/>
        </w:rPr>
        <w:t>. Landlord shall have the right, but not the obligation, to enter the Premises at any reasonable time (i) to confirm Tenant’s compliance with the provisions of this Section 5.2, and (ii) to perform Tenant’s obligations under this Section if Tenant is in default beyond applicable cure periods in connection with this Section, except in the case of an emergency. Landlord shall also have the right to engage qualified Hazardous Materials consultants to inspect the Premises and review the Handling by Tenant of Hazardous Materials, including review of all permits, reports, plans, and other documents regarding same. Tenant shall pay to Landlord on demand the costs of Landlord’s consultants’ fees and all costs incurred by Landlord in performing Tenant’s obligations under this Section. Landlord shall use reasonable efforts to minimize any interference with Tenant’s business caused by Landlord’s entry into the Premises, but Landlord shall not be responsible for any interference caused thereby.</w:t>
      </w:r>
    </w:p>
    <w:p>
      <w:pPr>
        <w:spacing w:after="0" w:line="161" w:lineRule="exact"/>
        <w:rPr>
          <w:rFonts w:ascii="Arial" w:cs="Arial" w:eastAsia="Arial" w:hAnsi="Arial"/>
          <w:sz w:val="19"/>
          <w:szCs w:val="19"/>
          <w:color w:val="auto"/>
        </w:rPr>
      </w:pPr>
    </w:p>
    <w:p>
      <w:pPr>
        <w:jc w:val="both"/>
        <w:ind w:firstLine="1729"/>
        <w:spacing w:after="0" w:line="249" w:lineRule="auto"/>
        <w:tabs>
          <w:tab w:leader="none" w:pos="253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Tenant’s Indemnification</w:t>
      </w:r>
      <w:r>
        <w:rPr>
          <w:rFonts w:ascii="Arial" w:cs="Arial" w:eastAsia="Arial" w:hAnsi="Arial"/>
          <w:sz w:val="19"/>
          <w:szCs w:val="19"/>
          <w:color w:val="auto"/>
        </w:rPr>
        <w:t>. The term Landlord Parties (“</w:t>
      </w:r>
      <w:r>
        <w:rPr>
          <w:rFonts w:ascii="Arial" w:cs="Arial" w:eastAsia="Arial" w:hAnsi="Arial"/>
          <w:sz w:val="19"/>
          <w:szCs w:val="19"/>
          <w:b w:val="1"/>
          <w:bCs w:val="1"/>
          <w:color w:val="auto"/>
        </w:rPr>
        <w:t>Landlord Parties</w:t>
      </w:r>
      <w:r>
        <w:rPr>
          <w:rFonts w:ascii="Arial" w:cs="Arial" w:eastAsia="Arial" w:hAnsi="Arial"/>
          <w:sz w:val="19"/>
          <w:szCs w:val="19"/>
          <w:color w:val="auto"/>
        </w:rPr>
        <w:t>”) refers singularly and collectively to Landlord and the shareholders, partners, venturers, and members of Landlord, and the respective officers, directors, employees, managers, owners and any affiliates or agents of such entities and persons. Tenant agrees to indemnify, defend, protect and hold harmless the Landlord Parties from all Environmental Losses and all other claims, actions, losses, damages, liabilities, costs and expenses of every kind, including reasonable attorneys’, experts’ and consultants’ fees and costs, incurred at any time and arising from or in connection with the Handling by Tenant of Hazardous Materials at or about the Project or Tenant’s failure to comply with all Environmental Requirements with respect to the Premises. Landlord reserves the right to require Tenant to carry Environmental Insurance commensurate with the risk presented by such Hazardous Materials in the event that Tenant Handles Hazardous Materials at the Premises other than the Permitted Hazardous Materials, so identified as of the date of this Lease.</w:t>
      </w:r>
    </w:p>
    <w:p>
      <w:pPr>
        <w:spacing w:after="0" w:line="162" w:lineRule="exact"/>
        <w:rPr>
          <w:sz w:val="20"/>
          <w:szCs w:val="20"/>
          <w:color w:val="auto"/>
        </w:rPr>
      </w:pPr>
    </w:p>
    <w:p>
      <w:pPr>
        <w:jc w:val="both"/>
        <w:ind w:right="20" w:firstLine="865"/>
        <w:spacing w:after="0" w:line="242"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Amenity Area</w:t>
      </w:r>
      <w:r>
        <w:rPr>
          <w:rFonts w:ascii="Arial" w:cs="Arial" w:eastAsia="Arial" w:hAnsi="Arial"/>
          <w:sz w:val="20"/>
          <w:szCs w:val="20"/>
          <w:color w:val="auto"/>
        </w:rPr>
        <w:t>. Subject to the provisions of this Section 5.3 and so long as there is no Event of Default hereunder, and provided Tenant’s employees execute Landlord’s standard waiver of liability form and pay the applicable one time or monthly fee (if any), then Tenant’s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113" w:name="page114"/>
    <w:bookmarkEnd w:id="113"/>
    <w:p>
      <w:pPr>
        <w:jc w:val="both"/>
        <w:ind w:left="1"/>
        <w:spacing w:after="0" w:line="263" w:lineRule="auto"/>
        <w:rPr>
          <w:sz w:val="20"/>
          <w:szCs w:val="20"/>
          <w:color w:val="auto"/>
        </w:rPr>
      </w:pPr>
      <w:r>
        <w:rPr>
          <w:rFonts w:ascii="Arial" w:cs="Arial" w:eastAsia="Arial" w:hAnsi="Arial"/>
          <w:sz w:val="18"/>
          <w:szCs w:val="18"/>
          <w:color w:val="auto"/>
        </w:rPr>
        <w:t>employees (the “</w:t>
      </w:r>
      <w:r>
        <w:rPr>
          <w:rFonts w:ascii="Arial" w:cs="Arial" w:eastAsia="Arial" w:hAnsi="Arial"/>
          <w:sz w:val="18"/>
          <w:szCs w:val="18"/>
          <w:b w:val="1"/>
          <w:bCs w:val="1"/>
          <w:color w:val="auto"/>
        </w:rPr>
        <w:t>Amenity Area Users</w:t>
      </w:r>
      <w:r>
        <w:rPr>
          <w:rFonts w:ascii="Arial" w:cs="Arial" w:eastAsia="Arial" w:hAnsi="Arial"/>
          <w:sz w:val="18"/>
          <w:szCs w:val="18"/>
          <w:color w:val="auto"/>
        </w:rPr>
        <w:t>”) shall be entitled to use the Fitness Center (defined below), barbeque(s), basketball, volleyball and pickleball courts area located at the Project (collectively, the “</w:t>
      </w:r>
      <w:r>
        <w:rPr>
          <w:rFonts w:ascii="Arial" w:cs="Arial" w:eastAsia="Arial" w:hAnsi="Arial"/>
          <w:sz w:val="18"/>
          <w:szCs w:val="18"/>
          <w:b w:val="1"/>
          <w:bCs w:val="1"/>
          <w:color w:val="auto"/>
        </w:rPr>
        <w:t>Amenity Area</w:t>
      </w:r>
      <w:r>
        <w:rPr>
          <w:rFonts w:ascii="Arial" w:cs="Arial" w:eastAsia="Arial" w:hAnsi="Arial"/>
          <w:sz w:val="18"/>
          <w:szCs w:val="18"/>
          <w:color w:val="auto"/>
        </w:rPr>
        <w:t>”) during Business Hours. The use of the Amenity Area shall be subject to the reasonable rules and regulations (including rules regarding hours of use) established from time to time by Landlord for the Amenity Area. Landlord and Tenant acknowledge that the use of the Amenity Area by the Amenity Area Users shall be at their own risk and that the terms and provisions of Section 10 of this Lease shall apply to Tenant and the Amenity Area User’s use of the Amenity Area. The costs of operating, maintaining and repairing the Amenity Area may be included as part of Operating Costs. Tenant acknowledges that the provisions of this Section shall not be deemed to be a representation by Landlord that Landlord shall continuously maintain the Amenity Area (or any other amenity or fitness facility) throughout the Term of this Lease, and Landlord shall have the right, at Landlord’s sole discretion, to expand, contract, eliminate or otherwise modify the Amenity Area or portions thereof. No expansion, contraction, elimination or modification of the Amenity Area, and no termination of Tenant’s or the Amenity Area Users’ rights to the Amenity Area shall entitle Tenant to an abatement or reduction in Rent, or constitute a constructive eviction, or result in an event of default by Landlord under this Lease.</w:t>
      </w:r>
    </w:p>
    <w:p>
      <w:pPr>
        <w:spacing w:after="0" w:line="151" w:lineRule="exact"/>
        <w:rPr>
          <w:sz w:val="20"/>
          <w:szCs w:val="20"/>
          <w:color w:val="auto"/>
        </w:rPr>
      </w:pPr>
    </w:p>
    <w:p>
      <w:pPr>
        <w:jc w:val="both"/>
        <w:ind w:left="1" w:firstLine="865"/>
        <w:spacing w:after="0" w:line="29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Fitness Center</w:t>
      </w:r>
      <w:r>
        <w:rPr>
          <w:rFonts w:ascii="Arial" w:cs="Arial" w:eastAsia="Arial" w:hAnsi="Arial"/>
          <w:sz w:val="16"/>
          <w:szCs w:val="16"/>
          <w:color w:val="auto"/>
        </w:rPr>
        <w:t>. In addition to the terms and condition set forth in Section 5.3 above applicable to the Amenity Area which includes the Fitness Center, and further subject to the provisions of this Section 5.4, provided Tenant’s employees execute Landlord’s standard waiver of liability form, then Tenant’s employees (the “</w:t>
      </w:r>
      <w:r>
        <w:rPr>
          <w:rFonts w:ascii="Arial" w:cs="Arial" w:eastAsia="Arial" w:hAnsi="Arial"/>
          <w:sz w:val="16"/>
          <w:szCs w:val="16"/>
          <w:b w:val="1"/>
          <w:bCs w:val="1"/>
          <w:color w:val="auto"/>
        </w:rPr>
        <w:t>Fitness Center Users</w:t>
      </w:r>
      <w:r>
        <w:rPr>
          <w:rFonts w:ascii="Arial" w:cs="Arial" w:eastAsia="Arial" w:hAnsi="Arial"/>
          <w:sz w:val="16"/>
          <w:szCs w:val="16"/>
          <w:color w:val="auto"/>
        </w:rPr>
        <w:t>”) shall be entitled to use the fitness center (the “</w:t>
      </w:r>
      <w:r>
        <w:rPr>
          <w:rFonts w:ascii="Arial" w:cs="Arial" w:eastAsia="Arial" w:hAnsi="Arial"/>
          <w:sz w:val="16"/>
          <w:szCs w:val="16"/>
          <w:b w:val="1"/>
          <w:bCs w:val="1"/>
          <w:color w:val="auto"/>
        </w:rPr>
        <w:t>Fitness Center</w:t>
      </w:r>
      <w:r>
        <w:rPr>
          <w:rFonts w:ascii="Arial" w:cs="Arial" w:eastAsia="Arial" w:hAnsi="Arial"/>
          <w:sz w:val="16"/>
          <w:szCs w:val="16"/>
          <w:color w:val="auto"/>
        </w:rPr>
        <w:t>”) located at the Project and made available for non-exclusive use by the tenants of the Project during Business Hours. Landlord may charge a one time or monthly fee for the use of the Fitness Center. The equipment and/or services furnished at the Fitness Center shall be selected by Landlord in its sole and exclusive discretion and Fitness Center Users shall not bring equipment into the Fitness Center without Landlord’s express prior approval. In no event shall Tenant permit or suffer any Tenant Representatives or Visitors other than the Fitness Center Users to use the Fitness Center. Tenant acknowledges and agrees that Tenant’s and any Tenant Representatives’ or Visitors’ use of the Fitness Center is voluntary and shall be undertaken by Tenant’s and Tenant’s employees’ sole risk. Neither Landlord nor any Landlord Parties (collectively, the “</w:t>
      </w:r>
      <w:r>
        <w:rPr>
          <w:rFonts w:ascii="Arial" w:cs="Arial" w:eastAsia="Arial" w:hAnsi="Arial"/>
          <w:sz w:val="16"/>
          <w:szCs w:val="16"/>
          <w:b w:val="1"/>
          <w:bCs w:val="1"/>
          <w:color w:val="auto"/>
        </w:rPr>
        <w:t>Released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shall be liable for any claims, demands, injuries, damages, actions or causes of action whatsoever arising out of or connected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 of the Fitness Center and </w:t>
      </w:r>
      <w:r>
        <w:rPr>
          <w:rFonts w:ascii="Arial" w:cs="Arial" w:eastAsia="Arial" w:hAnsi="Arial"/>
          <w:sz w:val="16"/>
          <w:szCs w:val="16"/>
          <w:b w:val="1"/>
          <w:bCs w:val="1"/>
          <w:color w:val="auto"/>
        </w:rPr>
        <w:t>TENANT DOES HEREBY EXPRESSLY FOREVER WAIVE, RELEASE AND DISCHARGE THE</w:t>
      </w:r>
    </w:p>
    <w:p>
      <w:pPr>
        <w:spacing w:after="0" w:line="182" w:lineRule="exact"/>
        <w:rPr>
          <w:sz w:val="20"/>
          <w:szCs w:val="20"/>
          <w:color w:val="auto"/>
        </w:rPr>
      </w:pPr>
    </w:p>
    <w:p>
      <w:pPr>
        <w:jc w:val="both"/>
        <w:ind w:left="1" w:right="20"/>
        <w:spacing w:after="0" w:line="234" w:lineRule="auto"/>
        <w:rPr>
          <w:sz w:val="20"/>
          <w:szCs w:val="20"/>
          <w:color w:val="auto"/>
        </w:rPr>
      </w:pPr>
      <w:r>
        <w:rPr>
          <w:rFonts w:ascii="Arial" w:cs="Arial" w:eastAsia="Arial" w:hAnsi="Arial"/>
          <w:sz w:val="20"/>
          <w:szCs w:val="20"/>
          <w:b w:val="1"/>
          <w:bCs w:val="1"/>
          <w:color w:val="auto"/>
        </w:rPr>
        <w:t>RELEASED PARTIES FROM ANY AND ALL LIABILITY ARISING FROM ALL SUCH CLAIMS, DEMANDS, INJURIES, DAMAGES, ACTIONS AND/OR CAUSES OF ACTION, INCLUDING LIABILITY FROM ALL ACTS OF ACTIVE OR PASSIVE NEGLIGENCE, INCLUDING SOLE NEGLIGENCE, ON THE PART OF THE RELEASED PARTIES</w:t>
      </w:r>
      <w:r>
        <w:rPr>
          <w:rFonts w:ascii="Arial" w:cs="Arial" w:eastAsia="Arial" w:hAnsi="Arial"/>
          <w:sz w:val="20"/>
          <w:szCs w:val="20"/>
          <w:color w:val="auto"/>
        </w:rPr>
        <w:t>. The waivers and releases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this Section shall survive the expiration or earlier termination of this Lease.</w:t>
      </w:r>
    </w:p>
    <w:p>
      <w:pPr>
        <w:spacing w:after="0" w:line="173" w:lineRule="exact"/>
        <w:rPr>
          <w:sz w:val="20"/>
          <w:szCs w:val="20"/>
          <w:color w:val="auto"/>
        </w:rPr>
      </w:pPr>
    </w:p>
    <w:p>
      <w:pPr>
        <w:ind w:left="741" w:hanging="741"/>
        <w:spacing w:after="0"/>
        <w:tabs>
          <w:tab w:leader="none" w:pos="741" w:val="left"/>
        </w:tabs>
        <w:numPr>
          <w:ilvl w:val="0"/>
          <w:numId w:val="55"/>
        </w:numPr>
        <w:rPr>
          <w:rFonts w:ascii="Arial" w:cs="Arial" w:eastAsia="Arial" w:hAnsi="Arial"/>
          <w:sz w:val="20"/>
          <w:szCs w:val="20"/>
          <w:color w:val="auto"/>
        </w:rPr>
      </w:pPr>
      <w:r>
        <w:rPr>
          <w:rFonts w:ascii="Arial" w:cs="Arial" w:eastAsia="Arial" w:hAnsi="Arial"/>
          <w:sz w:val="20"/>
          <w:szCs w:val="20"/>
          <w:color w:val="auto"/>
        </w:rPr>
        <w:t>TENANT IMPROVEMENTS &amp; ALTERATIONS.</w:t>
      </w:r>
    </w:p>
    <w:p>
      <w:pPr>
        <w:spacing w:after="0" w:line="189" w:lineRule="exact"/>
        <w:rPr>
          <w:sz w:val="20"/>
          <w:szCs w:val="20"/>
          <w:color w:val="auto"/>
        </w:rPr>
      </w:pPr>
    </w:p>
    <w:p>
      <w:pPr>
        <w:jc w:val="both"/>
        <w:ind w:left="1" w:right="20" w:firstLine="865"/>
        <w:spacing w:after="0" w:line="238" w:lineRule="auto"/>
        <w:rPr>
          <w:sz w:val="20"/>
          <w:szCs w:val="20"/>
          <w:color w:val="auto"/>
        </w:rPr>
      </w:pPr>
      <w:r>
        <w:rPr>
          <w:rFonts w:ascii="Arial" w:cs="Arial" w:eastAsia="Arial" w:hAnsi="Arial"/>
          <w:sz w:val="20"/>
          <w:szCs w:val="20"/>
          <w:color w:val="auto"/>
        </w:rPr>
        <w:t>6.1 Landlord and Tenant shall perform their respective obligations with respect to design and construction of any improvements to be constructed and installed in the Premises (the “</w:t>
      </w:r>
      <w:r>
        <w:rPr>
          <w:rFonts w:ascii="Arial" w:cs="Arial" w:eastAsia="Arial" w:hAnsi="Arial"/>
          <w:sz w:val="20"/>
          <w:szCs w:val="20"/>
          <w:b w:val="1"/>
          <w:bCs w:val="1"/>
          <w:color w:val="auto"/>
        </w:rPr>
        <w:t>Tenant Improvements</w:t>
      </w:r>
      <w:r>
        <w:rPr>
          <w:rFonts w:ascii="Arial" w:cs="Arial" w:eastAsia="Arial" w:hAnsi="Arial"/>
          <w:sz w:val="20"/>
          <w:szCs w:val="20"/>
          <w:color w:val="auto"/>
        </w:rPr>
        <w:t>”), as provided in the Construction Rider. Except for any Tenant Improvements to be constructed by Tenant as provided in the Construction Rider, Tenant shall not make any alterations, improvements or changes to the Premises, including installation of any security system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2" w:right="319" w:bottom="1440" w:gutter="0" w:footer="0" w:header="0"/>
        </w:sectPr>
      </w:pPr>
    </w:p>
    <w:bookmarkStart w:id="114" w:name="page115"/>
    <w:bookmarkEnd w:id="114"/>
    <w:p>
      <w:pPr>
        <w:jc w:val="both"/>
        <w:spacing w:after="0" w:line="260" w:lineRule="auto"/>
        <w:rPr>
          <w:sz w:val="20"/>
          <w:szCs w:val="20"/>
          <w:color w:val="auto"/>
        </w:rPr>
      </w:pPr>
      <w:r>
        <w:rPr>
          <w:rFonts w:ascii="Arial" w:cs="Arial" w:eastAsia="Arial" w:hAnsi="Arial"/>
          <w:sz w:val="18"/>
          <w:szCs w:val="18"/>
          <w:color w:val="auto"/>
        </w:rPr>
        <w:t>or telephone or data communication wiring (“</w:t>
      </w:r>
      <w:r>
        <w:rPr>
          <w:rFonts w:ascii="Arial" w:cs="Arial" w:eastAsia="Arial" w:hAnsi="Arial"/>
          <w:sz w:val="18"/>
          <w:szCs w:val="18"/>
          <w:b w:val="1"/>
          <w:bCs w:val="1"/>
          <w:color w:val="auto"/>
        </w:rPr>
        <w:t>Alterations</w:t>
      </w:r>
      <w:r>
        <w:rPr>
          <w:rFonts w:ascii="Arial" w:cs="Arial" w:eastAsia="Arial" w:hAnsi="Arial"/>
          <w:sz w:val="18"/>
          <w:szCs w:val="18"/>
          <w:color w:val="auto"/>
        </w:rPr>
        <w:t>”), without Landlord’s prior written consent, which consent Landlord shall not unreasonably withhold. Notwithstanding the foregoing, Landlord may, in its sole discretion, withhold consent to any alteration, addition or improvement that may affect the structure of the Building or may adversely or materially affect, or otherwise require modification to, any Building System. Any such Alterations shall be completed by Tenant at Tenant’s sole cost and expense: (i) with due diligence, in a good and workmanlike manner, using new materials; (ii) in compliance with plans and specifications approved by Landlord; (iii) in compliance with the reasonable construction rules and regulations promulgated by Landlord from time to time; (iv) in accordance with all applicable Laws (including all work, whether structural or non-structural, inside or outside the Premises, required to comply fully with all applicable Laws and necessitated by Tenant’s work); and (v) subject to all reasonable industry standards and conditions which Landlord may in Landlord’s reasonable discretion impose. Such conditions may include requirements for Tenant to: (a) provide payment and performance bonds (for any Alterations (but expressly excluding the Tenant Improvements for which Landlord shall not require a performance bond) which will cost more than Five Hundred Thousand Dollars and No Cents ($500,000.00)) or additional insurance (from Tenant or Tenant’s contractors, subcontractors or design professionals); provided, however, that Landlord shall only be entitled to require Tenant to provide to Landlord payment and performance bonds or additional insurance in connection with any Alterations in the event that following Landlord's evaluation of Tenant's then-current financial condition and performance history, Landlord determines in its good faith, prudent business judgment that the same is reasonably and prudently required; (b) use contractors or subcontractors reasonably approved by Landlord; and (c) subject to the remainder of this Section 6.1 below, remove all or part of the Alterations prior to or upon expiration or termination of the Term, as designated by Landlord. If any work outside the Premises, or any work on or adjustment to any of the Building Systems, is required in connection with or as a result of the Tenant Improvements or any Alterations, such work shall be performed at Tenant’s expense by contractors reasonably designated by Landlord. Landlord’s right to review and approve (or withhold approval of) Tenant’s plans, drawings, specifications, contractor(s) and other aspects of construction work proposed by Tenant is intended solely to protect Landlord, the Project and Landlord’s interests. No approval or consent by Landlord shall be deemed or construed to be a representation or warranty by Landlord as to the adequacy, sufficiency, fitness or suitability thereof or compliance thereof with applicable Laws or other requirements. Except as otherwise provided in Landlord’s consent, all Alterations shall upon installation become part of the realty and be the property of Landlord.</w:t>
      </w:r>
    </w:p>
    <w:p>
      <w:pPr>
        <w:spacing w:after="0" w:line="153" w:lineRule="exact"/>
        <w:rPr>
          <w:sz w:val="20"/>
          <w:szCs w:val="20"/>
          <w:color w:val="auto"/>
        </w:rPr>
      </w:pPr>
    </w:p>
    <w:p>
      <w:pPr>
        <w:jc w:val="both"/>
        <w:ind w:right="20" w:firstLine="865"/>
        <w:spacing w:after="0" w:line="250" w:lineRule="auto"/>
        <w:rPr>
          <w:sz w:val="20"/>
          <w:szCs w:val="20"/>
          <w:color w:val="auto"/>
        </w:rPr>
      </w:pPr>
      <w:r>
        <w:rPr>
          <w:rFonts w:ascii="Arial" w:cs="Arial" w:eastAsia="Arial" w:hAnsi="Arial"/>
          <w:sz w:val="19"/>
          <w:szCs w:val="19"/>
          <w:color w:val="auto"/>
        </w:rPr>
        <w:t>Landlord’s consent to any Alterations shall not be required (but Tenant shall provide no less than ten (10) Business Days prior written notice with reasonable detail of such Alterations) with respect to Alterations that (A) do not affect the structure and/or any of the Building Systems, (B) are not visible from the exterior of the Premises, (C) do not affect the water tight character of the Building or its roof, (D) do not require a building permit, (E) do not move any interior walls or otherwise change the layout of the Premises, and (F) cost in the aggregate less than Five Hundred Thousand Dollars ($200,000.00) during any calendar year which are merely cosmetic changes to the Premises (“</w:t>
      </w:r>
      <w:r>
        <w:rPr>
          <w:rFonts w:ascii="Arial" w:cs="Arial" w:eastAsia="Arial" w:hAnsi="Arial"/>
          <w:sz w:val="19"/>
          <w:szCs w:val="19"/>
          <w:b w:val="1"/>
          <w:bCs w:val="1"/>
          <w:color w:val="auto"/>
        </w:rPr>
        <w:t>Cosmetic</w:t>
      </w:r>
      <w:r>
        <w:rPr>
          <w:rFonts w:ascii="Arial" w:cs="Arial" w:eastAsia="Arial" w:hAnsi="Arial"/>
          <w:sz w:val="19"/>
          <w:szCs w:val="19"/>
          <w:color w:val="auto"/>
        </w:rPr>
        <w:t xml:space="preserve"> </w:t>
      </w:r>
      <w:r>
        <w:rPr>
          <w:rFonts w:ascii="Arial" w:cs="Arial" w:eastAsia="Arial" w:hAnsi="Arial"/>
          <w:sz w:val="19"/>
          <w:szCs w:val="19"/>
          <w:b w:val="1"/>
          <w:bCs w:val="1"/>
          <w:color w:val="auto"/>
        </w:rPr>
        <w:t>Changes</w:t>
      </w:r>
      <w:r>
        <w:rPr>
          <w:rFonts w:ascii="Arial" w:cs="Arial" w:eastAsia="Arial" w:hAnsi="Arial"/>
          <w:sz w:val="19"/>
          <w:szCs w:val="19"/>
          <w:color w:val="auto"/>
        </w:rPr>
        <w:t>”), such as painting, wall or floor coverings.</w:t>
      </w:r>
    </w:p>
    <w:p>
      <w:pPr>
        <w:spacing w:after="0" w:line="164" w:lineRule="exact"/>
        <w:rPr>
          <w:sz w:val="20"/>
          <w:szCs w:val="20"/>
          <w:color w:val="auto"/>
        </w:rPr>
      </w:pPr>
    </w:p>
    <w:p>
      <w:pPr>
        <w:jc w:val="both"/>
        <w:ind w:firstLine="865"/>
        <w:spacing w:after="0" w:line="242" w:lineRule="auto"/>
        <w:rPr>
          <w:sz w:val="20"/>
          <w:szCs w:val="20"/>
          <w:color w:val="auto"/>
        </w:rPr>
      </w:pPr>
      <w:r>
        <w:rPr>
          <w:rFonts w:ascii="Arial" w:cs="Arial" w:eastAsia="Arial" w:hAnsi="Arial"/>
          <w:sz w:val="20"/>
          <w:szCs w:val="20"/>
          <w:color w:val="auto"/>
        </w:rPr>
        <w:t>Notwithstanding anything to the contrary contained herein, so long as Tenant’s written request for consent for a proposed Alteration contains the following statement in large, bold and capped font “</w:t>
      </w:r>
      <w:r>
        <w:rPr>
          <w:rFonts w:ascii="Arial" w:cs="Arial" w:eastAsia="Arial" w:hAnsi="Arial"/>
          <w:sz w:val="20"/>
          <w:szCs w:val="20"/>
          <w:b w:val="1"/>
          <w:bCs w:val="1"/>
          <w:color w:val="auto"/>
        </w:rPr>
        <w:t>PURSUANT TO SECTION 6.1 OF THE LEASE, IF LANDLORD</w:t>
      </w:r>
      <w:r>
        <w:rPr>
          <w:rFonts w:ascii="Arial" w:cs="Arial" w:eastAsia="Arial" w:hAnsi="Arial"/>
          <w:sz w:val="20"/>
          <w:szCs w:val="20"/>
          <w:color w:val="auto"/>
        </w:rPr>
        <w:t xml:space="preserve"> </w:t>
      </w:r>
      <w:r>
        <w:rPr>
          <w:rFonts w:ascii="Arial" w:cs="Arial" w:eastAsia="Arial" w:hAnsi="Arial"/>
          <w:sz w:val="20"/>
          <w:szCs w:val="20"/>
          <w:b w:val="1"/>
          <w:bCs w:val="1"/>
          <w:color w:val="auto"/>
        </w:rPr>
        <w:t>CONSENTS TO THE SUBJECT ALTERATION, LANDLORD SHALL NOTIFY TENANT IN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15" w:name="page116"/>
    <w:bookmarkEnd w:id="115"/>
    <w:p>
      <w:pPr>
        <w:jc w:val="both"/>
        <w:spacing w:after="0" w:line="265" w:lineRule="auto"/>
        <w:rPr>
          <w:sz w:val="20"/>
          <w:szCs w:val="20"/>
          <w:color w:val="auto"/>
        </w:rPr>
      </w:pPr>
      <w:r>
        <w:rPr>
          <w:rFonts w:ascii="Arial" w:cs="Arial" w:eastAsia="Arial" w:hAnsi="Arial"/>
          <w:sz w:val="18"/>
          <w:szCs w:val="18"/>
          <w:b w:val="1"/>
          <w:bCs w:val="1"/>
          <w:color w:val="auto"/>
        </w:rPr>
        <w:t>WRITING WHETHER OR NOT LANDLORD WILL REQUIRE SUCH ALTERATION TO BE REMOVED AT THE EXPIRATION OR EARLIER TERMINATION OF THE LEASE.</w:t>
      </w:r>
      <w:r>
        <w:rPr>
          <w:rFonts w:ascii="Arial" w:cs="Arial" w:eastAsia="Arial" w:hAnsi="Arial"/>
          <w:sz w:val="18"/>
          <w:szCs w:val="18"/>
          <w:color w:val="auto"/>
        </w:rPr>
        <w:t>”, at the time Landlord gives its consent for any Alterations, if it so does, Tenant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be notified whether or not Landlord will require that such Alterations be removed upon the expiration or earlier termination of this Lease. Notwithstanding anything to the contrary contained in this Lease, at the expiration or earlier termination of this Lease and otherwise in accordance with Section 19.1 hereof, Tenant shall be required to remove all Alterations made to the Premises except for any such Alterations which Landlord expressly indicates shall not be required to be removed from the Premises by Tenant. If Tenant’s written notice strictly complies with the foregoing and if Landlord fails to notify Tenant within ten (10) Business Days of Landlord’s receipt of such notice, it shall be assumed that Landlord shall require the removal of the subject Alteration at the expiration or earlier termination of this Lease.</w:t>
      </w:r>
    </w:p>
    <w:p>
      <w:pPr>
        <w:spacing w:after="0" w:line="151"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8"/>
          <w:szCs w:val="18"/>
          <w:color w:val="auto"/>
        </w:rPr>
        <w:t>6.2 Before making any Alterations, Tenant shall submit to Landlord for Landlord’s prior approval reasonably detailed final plans and specifications prepared by a licensed architect or engineer, a copy of the construction contract, including the name of the contractor and all subcontractors proposed by Tenant to make the Alterations and a copy of the contractor’s license. Tenant shall reimburse Landlord upon demand for any reasonable and actual out of pocket expenses incurred by Landlord in connection with any Alterations made by Tenant, including reasonable fees charged by Landlord’s contractors or consultants to review plans and specifications prepared by Tenant and to update the existing as-built plans and specifications of the Building to reflect the Alterations. Before commencement of any Alterations Tenant shall (i) obtain all applicable permits, authorizations and governmental approvals and deliver copies of the same to Landlord, and (ii) give Landlord at least ten (10) days prior written notice and shall cooperate with Landlord in posting and maintaining notices of non-responsibility in connection with the Alterations. Within forty-five (45) days following the completion of any Alterations Tenant shall deliver to Landlord “as built” plans showing the completed Alterations. The “as built” plans shall be “hard copy” on paper and in digital form (if done on CAD), and show the Alterations in reasonable detail, including (a) the location of walls, partitions and doors, including fire exits and ADA paths of travel, (b) electrical, plumbing and life safety fixtures, and (c) a reflected ceiling plan showing the location of heating, ventilating and air conditioning registers, lighting and life safety systems.</w:t>
      </w:r>
    </w:p>
    <w:p>
      <w:pPr>
        <w:spacing w:after="0" w:line="158" w:lineRule="exact"/>
        <w:rPr>
          <w:sz w:val="20"/>
          <w:szCs w:val="20"/>
          <w:color w:val="auto"/>
        </w:rPr>
      </w:pPr>
    </w:p>
    <w:p>
      <w:pPr>
        <w:jc w:val="both"/>
        <w:ind w:right="20" w:firstLine="865"/>
        <w:spacing w:after="0" w:line="242" w:lineRule="auto"/>
        <w:rPr>
          <w:sz w:val="20"/>
          <w:szCs w:val="20"/>
          <w:color w:val="auto"/>
        </w:rPr>
      </w:pPr>
      <w:r>
        <w:rPr>
          <w:rFonts w:ascii="Arial" w:cs="Arial" w:eastAsia="Arial" w:hAnsi="Arial"/>
          <w:sz w:val="20"/>
          <w:szCs w:val="20"/>
          <w:color w:val="auto"/>
        </w:rPr>
        <w:t>6.3 In connection with all Alterations (other than the Tenant Improvements), Landlord shall be entitled to a construction coordination fee equal to two percent (2%) of the first four hundred thousand dollars ($400,000) of construction costs and one percent (1%) of any additional construction costs.</w:t>
      </w:r>
    </w:p>
    <w:p>
      <w:pPr>
        <w:spacing w:after="0" w:line="168" w:lineRule="exact"/>
        <w:rPr>
          <w:sz w:val="20"/>
          <w:szCs w:val="20"/>
          <w:color w:val="auto"/>
        </w:rPr>
      </w:pPr>
    </w:p>
    <w:p>
      <w:pPr>
        <w:jc w:val="both"/>
        <w:ind w:firstLine="865"/>
        <w:spacing w:after="0" w:line="236" w:lineRule="auto"/>
        <w:rPr>
          <w:sz w:val="20"/>
          <w:szCs w:val="20"/>
          <w:color w:val="auto"/>
        </w:rPr>
      </w:pPr>
      <w:r>
        <w:rPr>
          <w:rFonts w:ascii="Arial" w:cs="Arial" w:eastAsia="Arial" w:hAnsi="Arial"/>
          <w:sz w:val="20"/>
          <w:szCs w:val="20"/>
          <w:color w:val="auto"/>
        </w:rPr>
        <w:t xml:space="preserve">6.4 Tenant shall keep the Premises and the Project free and clear of all liens arising out of any work performed, materials furnished or obligations incurred by Tenant. If any such lien attaches to the Premises or the Project, and Tenant does not cause the same to be released by payment, bonding or otherwise within ten (10) days after the attachment thereof, Landlord shall have the right but not the obligation to cause the same to be released, and any sums expended by Landlord (plus Landlord’s administrative costs) in connection therewith shall be payable by Tenant on demand with interest thereon from the date of expenditure by Landlord at the Interest Rate (as defined in Section 16.2 - </w:t>
      </w:r>
      <w:r>
        <w:rPr>
          <w:rFonts w:ascii="Arial" w:cs="Arial" w:eastAsia="Arial" w:hAnsi="Arial"/>
          <w:sz w:val="20"/>
          <w:szCs w:val="20"/>
          <w:i w:val="1"/>
          <w:iCs w:val="1"/>
          <w:color w:val="auto"/>
        </w:rPr>
        <w:t>Interest</w:t>
      </w:r>
      <w:r>
        <w:rPr>
          <w:rFonts w:ascii="Arial" w:cs="Arial" w:eastAsia="Arial" w:hAnsi="Arial"/>
          <w:sz w:val="20"/>
          <w:szCs w:val="20"/>
          <w:color w:val="auto"/>
        </w:rPr>
        <w: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16" w:name="page117"/>
    <w:bookmarkEnd w:id="116"/>
    <w:p>
      <w:pPr>
        <w:jc w:val="both"/>
        <w:ind w:left="1" w:firstLine="865"/>
        <w:spacing w:after="0" w:line="255" w:lineRule="auto"/>
        <w:rPr>
          <w:sz w:val="20"/>
          <w:szCs w:val="20"/>
          <w:color w:val="auto"/>
        </w:rPr>
      </w:pPr>
      <w:r>
        <w:rPr>
          <w:rFonts w:ascii="Arial" w:cs="Arial" w:eastAsia="Arial" w:hAnsi="Arial"/>
          <w:sz w:val="19"/>
          <w:szCs w:val="19"/>
          <w:color w:val="auto"/>
        </w:rPr>
        <w:t xml:space="preserve">6.5 Subject to the provisions of Section 5 - </w:t>
      </w:r>
      <w:r>
        <w:rPr>
          <w:rFonts w:ascii="Arial" w:cs="Arial" w:eastAsia="Arial" w:hAnsi="Arial"/>
          <w:sz w:val="19"/>
          <w:szCs w:val="19"/>
          <w:i w:val="1"/>
          <w:iCs w:val="1"/>
          <w:color w:val="auto"/>
        </w:rPr>
        <w:t>Use and Compliance with Laws</w:t>
      </w:r>
      <w:r>
        <w:rPr>
          <w:rFonts w:ascii="Arial" w:cs="Arial" w:eastAsia="Arial" w:hAnsi="Arial"/>
          <w:sz w:val="19"/>
          <w:szCs w:val="19"/>
          <w:color w:val="auto"/>
        </w:rPr>
        <w:t xml:space="preserve"> and the other provisions of this Section 6, Tenant may install and maintain furnishings, equipment, movable partitions, business equipment and other trade fixtures (“</w:t>
      </w:r>
      <w:r>
        <w:rPr>
          <w:rFonts w:ascii="Arial" w:cs="Arial" w:eastAsia="Arial" w:hAnsi="Arial"/>
          <w:sz w:val="19"/>
          <w:szCs w:val="19"/>
          <w:b w:val="1"/>
          <w:bCs w:val="1"/>
          <w:color w:val="auto"/>
        </w:rPr>
        <w:t>Trade Fixtures</w:t>
      </w:r>
      <w:r>
        <w:rPr>
          <w:rFonts w:ascii="Arial" w:cs="Arial" w:eastAsia="Arial" w:hAnsi="Arial"/>
          <w:sz w:val="19"/>
          <w:szCs w:val="19"/>
          <w:color w:val="auto"/>
        </w:rPr>
        <w:t>”) in the Premises, provided that the Trade Fixtures do not become an integral part of the Premises or the Building. Tenant shall promptly repair any damage to the Premises or the Building caused by any installation or removal of such Trade Fixtures.</w:t>
      </w:r>
    </w:p>
    <w:p>
      <w:pPr>
        <w:spacing w:after="0" w:line="157" w:lineRule="exact"/>
        <w:rPr>
          <w:sz w:val="20"/>
          <w:szCs w:val="20"/>
          <w:color w:val="auto"/>
        </w:rPr>
      </w:pPr>
    </w:p>
    <w:p>
      <w:pPr>
        <w:ind w:left="741" w:hanging="741"/>
        <w:spacing w:after="0"/>
        <w:tabs>
          <w:tab w:leader="none" w:pos="741" w:val="left"/>
        </w:tabs>
        <w:numPr>
          <w:ilvl w:val="0"/>
          <w:numId w:val="56"/>
        </w:numPr>
        <w:rPr>
          <w:rFonts w:ascii="Arial" w:cs="Arial" w:eastAsia="Arial" w:hAnsi="Arial"/>
          <w:sz w:val="20"/>
          <w:szCs w:val="20"/>
          <w:color w:val="auto"/>
        </w:rPr>
      </w:pPr>
      <w:r>
        <w:rPr>
          <w:rFonts w:ascii="Arial" w:cs="Arial" w:eastAsia="Arial" w:hAnsi="Arial"/>
          <w:sz w:val="20"/>
          <w:szCs w:val="20"/>
          <w:color w:val="auto"/>
        </w:rPr>
        <w:t>MAINTENANCE AND REPAIRS.</w:t>
      </w:r>
    </w:p>
    <w:p>
      <w:pPr>
        <w:spacing w:after="0" w:line="189" w:lineRule="exact"/>
        <w:rPr>
          <w:sz w:val="20"/>
          <w:szCs w:val="20"/>
          <w:color w:val="auto"/>
        </w:rPr>
      </w:pPr>
    </w:p>
    <w:p>
      <w:pPr>
        <w:jc w:val="both"/>
        <w:ind w:left="1" w:firstLine="865"/>
        <w:spacing w:after="0" w:line="294" w:lineRule="auto"/>
        <w:rPr>
          <w:sz w:val="20"/>
          <w:szCs w:val="20"/>
          <w:color w:val="auto"/>
        </w:rPr>
      </w:pPr>
      <w:r>
        <w:rPr>
          <w:rFonts w:ascii="Arial" w:cs="Arial" w:eastAsia="Arial" w:hAnsi="Arial"/>
          <w:sz w:val="16"/>
          <w:szCs w:val="16"/>
          <w:color w:val="auto"/>
        </w:rPr>
        <w:t>7.1 By taking possession of the Premises Tenant agrees that the Premises are then in a good and tenantable condition. During the Term, Tenant, at Tenant’s expense but under the direction of Landlord, shall maintain (including recommended testing and monitoring) and repair the Premises, including, without limitation, that portion of the heating, ventilating and air conditioning system or systems exclusively serving the Premises, the electrical, plumbing and fire/life safety (including fire sprinkler lines, detectors and flow devices) systems within the Premises (including such portion of such systems outside of the Premises, but exclusively serving the Premises, and assuring the free flow of Tenant's sanitary sewer line to the main line serving the Premises), including the lighting and plumbing fixtures, the restrooms serving the Premises, interior stairways (if any) in the Premises, the interior glass, plate glass skylights, interior walls, floor coverings, ceiling (ceiling tiles and grid), elevators, Tenant Improvements, Alterations, fire extinguishers, outlets and fixtures, and any appliances (including dishwashers, hot water heaters and garbage disposers) in the Premises, in a first class condition, and keep the Premises in a clean, safe, sanitary and orderly condition, and shall at its sole cost and expense, immediately upon notice from Landlord, sanitize the Premises if Landlord reasonably determines the same is necessary utilizing such methods as reasonably determined by Landlord. At all times during the Term, Tenant shall maintain in good condition and repair the HVAC System, the Building Systems, shall ensure that its use of the utility systems of the Building are consistent with typical and customary office use, shall not overload, abuse or over use the foregoing systems in a manner that will accelerate their useful life or contribute to their early deterioration and Tenant shall at all times use such systems in a safe manner consistent with the design capacity for all such systems (collectively, “</w:t>
      </w:r>
      <w:r>
        <w:rPr>
          <w:rFonts w:ascii="Arial" w:cs="Arial" w:eastAsia="Arial" w:hAnsi="Arial"/>
          <w:sz w:val="16"/>
          <w:szCs w:val="16"/>
          <w:b w:val="1"/>
          <w:bCs w:val="1"/>
          <w:color w:val="auto"/>
        </w:rPr>
        <w:t>Tenant’s Use and Maintenance Standard</w:t>
      </w:r>
      <w:r>
        <w:rPr>
          <w:rFonts w:ascii="Arial" w:cs="Arial" w:eastAsia="Arial" w:hAnsi="Arial"/>
          <w:sz w:val="16"/>
          <w:szCs w:val="16"/>
          <w:color w:val="auto"/>
        </w:rPr>
        <w:t>”). So long as Tenant is the sole tenant of the Building, Tenant shall, at Tenant’s own cost and expense, enter into a regularly scheduled preventive maintenance/service contract with a maintenance contractor approved by Landlord for servicing all heating and air conditioning systems and equipment serving the Building (and a copy thereof and copies of all service/maintenance logs and repair orders shall be furnished to Landlord). Such contract must include all services suggested by the equipment manufacturer in the operation/maintenance manual and must become effective within thirty (30) days of Tenant’s possession of the Premises. Should Tenant fail to secure such maintenance/service contract, Landlord may, upon notice to Tenant, maintain such a maintenance/ service contract on behalf of Tenant or perform the work and in either case, charge Tenant the cost thereof along with an administration fee of five percent (5%) to Landlord.</w:t>
      </w:r>
    </w:p>
    <w:p>
      <w:pPr>
        <w:spacing w:after="0" w:line="200" w:lineRule="exact"/>
        <w:rPr>
          <w:sz w:val="20"/>
          <w:szCs w:val="20"/>
          <w:color w:val="auto"/>
        </w:rPr>
      </w:pPr>
    </w:p>
    <w:p>
      <w:pPr>
        <w:spacing w:after="0" w:line="375" w:lineRule="exact"/>
        <w:rPr>
          <w:sz w:val="20"/>
          <w:szCs w:val="20"/>
          <w:color w:val="auto"/>
        </w:rPr>
      </w:pPr>
    </w:p>
    <w:p>
      <w:pPr>
        <w:jc w:val="both"/>
        <w:ind w:left="1" w:right="20" w:firstLine="865"/>
        <w:spacing w:after="0" w:line="237" w:lineRule="auto"/>
        <w:rPr>
          <w:sz w:val="20"/>
          <w:szCs w:val="20"/>
          <w:color w:val="auto"/>
        </w:rPr>
      </w:pPr>
      <w:r>
        <w:rPr>
          <w:rFonts w:ascii="Arial" w:cs="Arial" w:eastAsia="Arial" w:hAnsi="Arial"/>
          <w:sz w:val="20"/>
          <w:szCs w:val="20"/>
          <w:color w:val="auto"/>
        </w:rPr>
        <w:t>7.2 Landlord shall maintain or cause to be maintained in reasonably good order, condition and repair, the structural portions of the roof, foundations, floors and exterior walls of the Building, (collectively, the “</w:t>
      </w:r>
      <w:r>
        <w:rPr>
          <w:rFonts w:ascii="Arial" w:cs="Arial" w:eastAsia="Arial" w:hAnsi="Arial"/>
          <w:sz w:val="20"/>
          <w:szCs w:val="20"/>
          <w:b w:val="1"/>
          <w:bCs w:val="1"/>
          <w:color w:val="auto"/>
        </w:rPr>
        <w:t>Structural Elements</w:t>
      </w:r>
      <w:r>
        <w:rPr>
          <w:rFonts w:ascii="Arial" w:cs="Arial" w:eastAsia="Arial" w:hAnsi="Arial"/>
          <w:sz w:val="20"/>
          <w:szCs w:val="20"/>
          <w:color w:val="auto"/>
        </w:rPr>
        <w:t>”), the portion of the Building Systems not covered by Tenant’s obligations in Section 7.1 and the Common Areas, such as the Parking Facility and all parking surfaces and related lighting, pest control, landscaping and exterior glass (including washing of perimeter windows); provided, however, subject to Section 11.3 below, Tenant shall pay the cost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17" w:name="page118"/>
    <w:bookmarkEnd w:id="117"/>
    <w:p>
      <w:pPr>
        <w:jc w:val="both"/>
        <w:spacing w:after="0" w:line="246" w:lineRule="auto"/>
        <w:rPr>
          <w:sz w:val="20"/>
          <w:szCs w:val="20"/>
          <w:color w:val="auto"/>
        </w:rPr>
      </w:pPr>
      <w:r>
        <w:rPr>
          <w:rFonts w:ascii="Arial" w:cs="Arial" w:eastAsia="Arial" w:hAnsi="Arial"/>
          <w:sz w:val="19"/>
          <w:szCs w:val="19"/>
          <w:color w:val="auto"/>
        </w:rPr>
        <w:t>of repairs for any damage occasioned by Tenant’s use of the Premises or the Building or any act or omission of Tenant or Tenant’s Representatives or Visitors, to the extent not covered by the proceeds of Landlord’s property insurance. The cost of structural repairs to, and replacements of, Structural Elements shall not be included in Operating Costs. The cost to repair any non-structural component, including the non-structural components of the roof (“</w:t>
      </w:r>
      <w:r>
        <w:rPr>
          <w:rFonts w:ascii="Arial" w:cs="Arial" w:eastAsia="Arial" w:hAnsi="Arial"/>
          <w:sz w:val="19"/>
          <w:szCs w:val="19"/>
          <w:b w:val="1"/>
          <w:bCs w:val="1"/>
          <w:color w:val="auto"/>
        </w:rPr>
        <w:t>Non-Structural Component</w:t>
      </w:r>
      <w:r>
        <w:rPr>
          <w:rFonts w:ascii="Arial" w:cs="Arial" w:eastAsia="Arial" w:hAnsi="Arial"/>
          <w:sz w:val="19"/>
          <w:szCs w:val="19"/>
          <w:color w:val="auto"/>
        </w:rPr>
        <w:t>”) shall be included in Operating Costs except to the extent excluded therefrom as set forth in this Lease; provided, however, if consistent with normal and customary commercial real estate lease accounting practices in the geographic area in which the Building is located, Landlord may, in its sole discretion, elect to amortize over the useful life of such replacement item, in the same manner capital items included in Operating Costs are amortized pursuant to the terms and conditions of this Lease. The cost to replace any Non-Structural Component, including the HVAC System, shall be included in Operating Costs except to the extent excluded therefrom as set forth in this Lease. Landlord shall be under no obligation to inspect the Premises. Landlord shall be under no obligation to inspect the Premises. Tenant shall promptly report in writing to Landlord any defective condition known to Tenant which Landlord is required to repair. As a material part of the consideration for this Lease, Tenant hereby waives any benefits of any applicable existing or future Law, including the provisions of California Civil Code Sections 1932(1), 1941 and 1942, that allows a tenant to make repairs at its landlord’s expense.</w:t>
      </w:r>
    </w:p>
    <w:p>
      <w:pPr>
        <w:spacing w:after="0" w:line="173" w:lineRule="exact"/>
        <w:rPr>
          <w:sz w:val="20"/>
          <w:szCs w:val="20"/>
          <w:color w:val="auto"/>
        </w:rPr>
      </w:pPr>
    </w:p>
    <w:p>
      <w:pPr>
        <w:jc w:val="both"/>
        <w:ind w:firstLine="865"/>
        <w:spacing w:after="0" w:line="260" w:lineRule="auto"/>
        <w:rPr>
          <w:sz w:val="20"/>
          <w:szCs w:val="20"/>
          <w:color w:val="auto"/>
        </w:rPr>
      </w:pPr>
      <w:r>
        <w:rPr>
          <w:rFonts w:ascii="Arial" w:cs="Arial" w:eastAsia="Arial" w:hAnsi="Arial"/>
          <w:sz w:val="18"/>
          <w:szCs w:val="18"/>
          <w:color w:val="auto"/>
        </w:rPr>
        <w:t>Notwithstanding the foregoing, if, during the Term of this Lease, Landlord is made aware and Landlord determines in its sole discretion that the HVAC System serving the Premises that is otherwise Tenant’s obligation hereunder to repair and maintain requires full replacement (as opposed to component replacement), so long as (i) Tenant has maintained a regularly scheduled preventive maintenance/service contract in accordance with Section 7.1 above, (ii) Tenant has properly and in good faith consistently maintained and repaired the HVAC System servicing the Premises, (iii) Tenant has consistently maintained Tenant’s Use and Maintenance Standard and the need for any such replacement does not arise from acts (other than normal and appropriate use in accordance with the permitted use) or omissions, abuse or misuse by Tenant or any of Tenant’s Representatives or Visitors, then Landlord shall perform such replacement at its cost and Tenant shall reimburse Landlord for such cost and expense by payments of monthly Additional Rent in an amount that would fully amortize such cost and expense, with interest at one percent (1%) in excess of the Wall Street Journal prime lending rate announced from time to time, as of the date such expense is incurred, over the projected useful life of the HVAC System being replaced, as reasonably determined by Landlord taking into consideration Tenant’s use of the equipment (including the number of hours of operation of such equipment). Such Additional Rent obligation shall continue during the remaining balance of the Term until such cost and expense is fully amortized or until the expiration of the Term, as it may be extended from time to time, whichever comes first. Specifically, if the Tenant has exercised an Extension Option provided in this Lease, Tenant’s obligation to make such payments of Additional Rent shall continue during the applicable Extension Period or if the Term has expired or terminated earlier for any reason, Tenant shall make a lump sum payment to Landlord in the amount of the remaining unamortized amount of the cost of the HVAC System replacement. Landlord’s obligation to replace the HVAC System shall not apply to any supplemental heating, ventilating and air conditioning unit installed by or for the benefit of Tenant.</w:t>
      </w:r>
    </w:p>
    <w:p>
      <w:pPr>
        <w:spacing w:after="0" w:line="160" w:lineRule="exact"/>
        <w:rPr>
          <w:sz w:val="20"/>
          <w:szCs w:val="20"/>
          <w:color w:val="auto"/>
        </w:rPr>
      </w:pPr>
    </w:p>
    <w:p>
      <w:pPr>
        <w:jc w:val="both"/>
        <w:ind w:right="20" w:firstLine="865"/>
        <w:spacing w:after="0" w:line="252" w:lineRule="auto"/>
        <w:rPr>
          <w:sz w:val="20"/>
          <w:szCs w:val="20"/>
          <w:color w:val="auto"/>
        </w:rPr>
      </w:pPr>
      <w:r>
        <w:rPr>
          <w:rFonts w:ascii="Arial" w:cs="Arial" w:eastAsia="Arial" w:hAnsi="Arial"/>
          <w:sz w:val="20"/>
          <w:szCs w:val="20"/>
          <w:color w:val="auto"/>
        </w:rPr>
        <w:t>7.3 Landlord hereby reserves the right, at any time and from time to time, without liability to Tenant, and without constituting an eviction, constructive or otherwise, or entitling Tenant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8" w:name="page119"/>
    <w:bookmarkEnd w:id="118"/>
    <w:p>
      <w:pPr>
        <w:ind w:left="1"/>
        <w:spacing w:after="0"/>
        <w:rPr>
          <w:sz w:val="20"/>
          <w:szCs w:val="20"/>
          <w:color w:val="auto"/>
        </w:rPr>
      </w:pPr>
      <w:r>
        <w:rPr>
          <w:rFonts w:ascii="Arial" w:cs="Arial" w:eastAsia="Arial" w:hAnsi="Arial"/>
          <w:sz w:val="19"/>
          <w:szCs w:val="19"/>
          <w:color w:val="auto"/>
        </w:rPr>
        <w:t>to any abatement of rent or to terminate this Lease or otherwise releasing Tenant from any of Tenant’s obligations under this Lease:</w:t>
      </w:r>
    </w:p>
    <w:p>
      <w:pPr>
        <w:spacing w:after="0" w:line="201" w:lineRule="exact"/>
        <w:rPr>
          <w:sz w:val="20"/>
          <w:szCs w:val="20"/>
          <w:color w:val="auto"/>
        </w:rPr>
      </w:pPr>
    </w:p>
    <w:p>
      <w:pPr>
        <w:jc w:val="both"/>
        <w:ind w:left="1" w:right="20" w:firstLine="1729"/>
        <w:spacing w:after="0" w:line="255" w:lineRule="auto"/>
        <w:tabs>
          <w:tab w:leader="none" w:pos="2538" w:val="left"/>
        </w:tabs>
        <w:numPr>
          <w:ilvl w:val="1"/>
          <w:numId w:val="57"/>
        </w:numPr>
        <w:rPr>
          <w:rFonts w:ascii="Arial" w:cs="Arial" w:eastAsia="Arial" w:hAnsi="Arial"/>
          <w:sz w:val="19"/>
          <w:szCs w:val="19"/>
          <w:color w:val="auto"/>
        </w:rPr>
      </w:pPr>
      <w:r>
        <w:rPr>
          <w:rFonts w:ascii="Arial" w:cs="Arial" w:eastAsia="Arial" w:hAnsi="Arial"/>
          <w:sz w:val="19"/>
          <w:szCs w:val="19"/>
          <w:color w:val="auto"/>
        </w:rPr>
        <w:t>To make alterations, additions, repairs, improvements to or in or to decrease the size of area of, all or any part of the Project other than the Building, the fixtures and equipment therein, and the Building Systems; provided, however, Landlord shall not have any right under this provision to permanently, materially and adversely affect Tenant’s access to and use of the Premises, except only as may be required to comply with Laws or as a result of any fire or other casualty or Condemnation;</w:t>
      </w:r>
    </w:p>
    <w:p>
      <w:pPr>
        <w:spacing w:after="0" w:line="157" w:lineRule="exact"/>
        <w:rPr>
          <w:rFonts w:ascii="Arial" w:cs="Arial" w:eastAsia="Arial" w:hAnsi="Arial"/>
          <w:sz w:val="19"/>
          <w:szCs w:val="19"/>
          <w:color w:val="auto"/>
        </w:rPr>
      </w:pPr>
    </w:p>
    <w:p>
      <w:pPr>
        <w:ind w:left="2541" w:hanging="811"/>
        <w:spacing w:after="0"/>
        <w:tabs>
          <w:tab w:leader="none" w:pos="2541" w:val="left"/>
        </w:tabs>
        <w:numPr>
          <w:ilvl w:val="1"/>
          <w:numId w:val="57"/>
        </w:numPr>
        <w:rPr>
          <w:rFonts w:ascii="Arial" w:cs="Arial" w:eastAsia="Arial" w:hAnsi="Arial"/>
          <w:sz w:val="20"/>
          <w:szCs w:val="20"/>
          <w:color w:val="auto"/>
        </w:rPr>
      </w:pPr>
      <w:r>
        <w:rPr>
          <w:rFonts w:ascii="Arial" w:cs="Arial" w:eastAsia="Arial" w:hAnsi="Arial"/>
          <w:sz w:val="20"/>
          <w:szCs w:val="20"/>
          <w:color w:val="auto"/>
        </w:rPr>
        <w:t>To change the Building’s name or street address;</w:t>
      </w:r>
    </w:p>
    <w:p>
      <w:pPr>
        <w:spacing w:after="0" w:line="189" w:lineRule="exact"/>
        <w:rPr>
          <w:rFonts w:ascii="Arial" w:cs="Arial" w:eastAsia="Arial" w:hAnsi="Arial"/>
          <w:sz w:val="20"/>
          <w:szCs w:val="20"/>
          <w:color w:val="auto"/>
        </w:rPr>
      </w:pPr>
    </w:p>
    <w:p>
      <w:pPr>
        <w:ind w:left="2541" w:hanging="811"/>
        <w:spacing w:after="0"/>
        <w:tabs>
          <w:tab w:leader="none" w:pos="2541" w:val="left"/>
        </w:tabs>
        <w:numPr>
          <w:ilvl w:val="1"/>
          <w:numId w:val="57"/>
        </w:numPr>
        <w:rPr>
          <w:rFonts w:ascii="Arial" w:cs="Arial" w:eastAsia="Arial" w:hAnsi="Arial"/>
          <w:sz w:val="20"/>
          <w:szCs w:val="20"/>
          <w:color w:val="auto"/>
        </w:rPr>
      </w:pPr>
      <w:r>
        <w:rPr>
          <w:rFonts w:ascii="Arial" w:cs="Arial" w:eastAsia="Arial" w:hAnsi="Arial"/>
          <w:sz w:val="20"/>
          <w:szCs w:val="20"/>
          <w:color w:val="auto"/>
        </w:rPr>
        <w:t>To install and maintain any and all signs on the exterior and interior of the Building;</w:t>
      </w:r>
    </w:p>
    <w:p>
      <w:pPr>
        <w:spacing w:after="0" w:line="189" w:lineRule="exact"/>
        <w:rPr>
          <w:rFonts w:ascii="Arial" w:cs="Arial" w:eastAsia="Arial" w:hAnsi="Arial"/>
          <w:sz w:val="20"/>
          <w:szCs w:val="20"/>
          <w:color w:val="auto"/>
        </w:rPr>
      </w:pPr>
    </w:p>
    <w:p>
      <w:pPr>
        <w:jc w:val="both"/>
        <w:ind w:left="1" w:right="20" w:firstLine="1729"/>
        <w:spacing w:after="0" w:line="242" w:lineRule="auto"/>
        <w:tabs>
          <w:tab w:leader="none" w:pos="2549" w:val="left"/>
        </w:tabs>
        <w:numPr>
          <w:ilvl w:val="1"/>
          <w:numId w:val="57"/>
        </w:numPr>
        <w:rPr>
          <w:rFonts w:ascii="Arial" w:cs="Arial" w:eastAsia="Arial" w:hAnsi="Arial"/>
          <w:sz w:val="20"/>
          <w:szCs w:val="20"/>
          <w:color w:val="auto"/>
        </w:rPr>
      </w:pPr>
      <w:r>
        <w:rPr>
          <w:rFonts w:ascii="Arial" w:cs="Arial" w:eastAsia="Arial" w:hAnsi="Arial"/>
          <w:sz w:val="20"/>
          <w:szCs w:val="20"/>
          <w:color w:val="auto"/>
        </w:rPr>
        <w:t>To reduce, increase, enclose or otherwise change at any time and from time to time the size, number, location, lay-out and nature of the Common Areas (including the Parking Facility) and the Amenity Area and other tenancies and premises in the Project and to create additional rentable areas through use or enclosure of common areas; and</w:t>
      </w:r>
    </w:p>
    <w:p>
      <w:pPr>
        <w:spacing w:after="0" w:line="167" w:lineRule="exact"/>
        <w:rPr>
          <w:rFonts w:ascii="Arial" w:cs="Arial" w:eastAsia="Arial" w:hAnsi="Arial"/>
          <w:sz w:val="20"/>
          <w:szCs w:val="20"/>
          <w:color w:val="auto"/>
        </w:rPr>
      </w:pPr>
    </w:p>
    <w:p>
      <w:pPr>
        <w:jc w:val="both"/>
        <w:ind w:left="1" w:right="20" w:firstLine="1729"/>
        <w:spacing w:after="0" w:line="238" w:lineRule="auto"/>
        <w:tabs>
          <w:tab w:leader="none" w:pos="2538" w:val="left"/>
        </w:tabs>
        <w:numPr>
          <w:ilvl w:val="1"/>
          <w:numId w:val="57"/>
        </w:numPr>
        <w:rPr>
          <w:rFonts w:ascii="Arial" w:cs="Arial" w:eastAsia="Arial" w:hAnsi="Arial"/>
          <w:sz w:val="20"/>
          <w:szCs w:val="20"/>
          <w:color w:val="auto"/>
        </w:rPr>
      </w:pPr>
      <w:r>
        <w:rPr>
          <w:rFonts w:ascii="Arial" w:cs="Arial" w:eastAsia="Arial" w:hAnsi="Arial"/>
          <w:sz w:val="20"/>
          <w:szCs w:val="20"/>
          <w:color w:val="auto"/>
        </w:rPr>
        <w:t>If any governmental authority promulgates or revises any Law or imposes mandatory or voluntary controls or guidelines on Landlord or the Project relating to the use or conservation of energy or utilities or the reduction of automobile or other emissions or reduction or management of traffic or parking on the Project (collectively “</w:t>
      </w:r>
      <w:r>
        <w:rPr>
          <w:rFonts w:ascii="Arial" w:cs="Arial" w:eastAsia="Arial" w:hAnsi="Arial"/>
          <w:sz w:val="20"/>
          <w:szCs w:val="20"/>
          <w:b w:val="1"/>
          <w:bCs w:val="1"/>
          <w:color w:val="auto"/>
        </w:rPr>
        <w:t>Controls</w:t>
      </w:r>
      <w:r>
        <w:rPr>
          <w:rFonts w:ascii="Arial" w:cs="Arial" w:eastAsia="Arial" w:hAnsi="Arial"/>
          <w:sz w:val="20"/>
          <w:szCs w:val="20"/>
          <w:color w:val="auto"/>
        </w:rPr>
        <w:t>”), to comply with such Controls, whether mandatory or voluntary, or make any alterations to the Project related thereto.</w:t>
      </w:r>
    </w:p>
    <w:p>
      <w:pPr>
        <w:spacing w:after="0" w:line="173" w:lineRule="exact"/>
        <w:rPr>
          <w:rFonts w:ascii="Arial" w:cs="Arial" w:eastAsia="Arial" w:hAnsi="Arial"/>
          <w:sz w:val="20"/>
          <w:szCs w:val="20"/>
          <w:color w:val="auto"/>
        </w:rPr>
      </w:pPr>
    </w:p>
    <w:p>
      <w:pPr>
        <w:ind w:left="1" w:right="20" w:firstLine="1729"/>
        <w:spacing w:after="0" w:line="252" w:lineRule="auto"/>
        <w:tabs>
          <w:tab w:leader="none" w:pos="2516" w:val="left"/>
        </w:tabs>
        <w:numPr>
          <w:ilvl w:val="1"/>
          <w:numId w:val="57"/>
        </w:numPr>
        <w:rPr>
          <w:rFonts w:ascii="Arial" w:cs="Arial" w:eastAsia="Arial" w:hAnsi="Arial"/>
          <w:sz w:val="20"/>
          <w:szCs w:val="20"/>
          <w:color w:val="auto"/>
        </w:rPr>
      </w:pPr>
      <w:r>
        <w:rPr>
          <w:rFonts w:ascii="Arial" w:cs="Arial" w:eastAsia="Arial" w:hAnsi="Arial"/>
          <w:sz w:val="20"/>
          <w:szCs w:val="20"/>
          <w:color w:val="auto"/>
        </w:rPr>
        <w:t>In exercising its rights under this Section 7.3, Landlord agrees to use commercially reasonable efforts to minimize any interruption to or disruption of Tenant's use of, and access to, the Premises and the Common Areas.</w:t>
      </w:r>
    </w:p>
    <w:p>
      <w:pPr>
        <w:spacing w:after="0" w:line="152" w:lineRule="exact"/>
        <w:rPr>
          <w:rFonts w:ascii="Arial" w:cs="Arial" w:eastAsia="Arial" w:hAnsi="Arial"/>
          <w:sz w:val="20"/>
          <w:szCs w:val="20"/>
          <w:color w:val="auto"/>
        </w:rPr>
      </w:pPr>
    </w:p>
    <w:p>
      <w:pPr>
        <w:jc w:val="both"/>
        <w:ind w:left="1" w:hanging="1"/>
        <w:spacing w:after="0" w:line="263" w:lineRule="auto"/>
        <w:tabs>
          <w:tab w:leader="none" w:pos="7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TENANT’S TAXES. “</w:t>
      </w:r>
      <w:r>
        <w:rPr>
          <w:rFonts w:ascii="Arial" w:cs="Arial" w:eastAsia="Arial" w:hAnsi="Arial"/>
          <w:sz w:val="18"/>
          <w:szCs w:val="18"/>
          <w:b w:val="1"/>
          <w:bCs w:val="1"/>
          <w:color w:val="auto"/>
        </w:rPr>
        <w:t>Tenant’s Taxes</w:t>
      </w:r>
      <w:r>
        <w:rPr>
          <w:rFonts w:ascii="Arial" w:cs="Arial" w:eastAsia="Arial" w:hAnsi="Arial"/>
          <w:sz w:val="18"/>
          <w:szCs w:val="18"/>
          <w:color w:val="auto"/>
        </w:rPr>
        <w:t>” shall mean (a) all taxes, assessments, license fees and other governmental charges or impositions levied or assessed against or with respect to Tenant’s personal property or Trade Fixtures in the Premises, whether any such imposition is levied directly against Tenant or levied against Landlord or the Project, (b) all rental, excise, sales or transaction privilege taxes arising out of this Lease (excluding, however, state and federal personal or corporate income taxes measured by the income of Landlord from all sources) imposed by any taxing authority upon Landlord or upon Landlord’s receipt of any rent payable by Tenant pursuant to the terms of this Lease (“</w:t>
      </w:r>
      <w:r>
        <w:rPr>
          <w:rFonts w:ascii="Arial" w:cs="Arial" w:eastAsia="Arial" w:hAnsi="Arial"/>
          <w:sz w:val="18"/>
          <w:szCs w:val="18"/>
          <w:b w:val="1"/>
          <w:bCs w:val="1"/>
          <w:color w:val="auto"/>
        </w:rPr>
        <w:t>Rental Tax</w:t>
      </w:r>
      <w:r>
        <w:rPr>
          <w:rFonts w:ascii="Arial" w:cs="Arial" w:eastAsia="Arial" w:hAnsi="Arial"/>
          <w:sz w:val="18"/>
          <w:szCs w:val="18"/>
          <w:color w:val="auto"/>
        </w:rPr>
        <w:t>”), and (c) any increase in Taxes attributable to inclusion of a value placed on Tenant’s personal property, Trade Fixtures or Alterations. Tenant shall pay any Rental Tax to Landlord in addition to and at the same time as Base Rent is payable under this Lease, and shall pay all other Tenant’s Taxes before delinquency (and, at Landlord’s request, shall furnish Landlord satisfactory evidence thereof). If Landlord pays Tenant’s Taxes or any portion thereof, Tenant shall reimburse Landlord upon demand for the amount of such payment, together with interest at the Interest Rate from the date of Landlord’s payment to the date of Tenant’s reimbursement.</w:t>
      </w:r>
    </w:p>
    <w:p>
      <w:pPr>
        <w:spacing w:after="0" w:line="155" w:lineRule="exact"/>
        <w:rPr>
          <w:rFonts w:ascii="Arial" w:cs="Arial" w:eastAsia="Arial" w:hAnsi="Arial"/>
          <w:sz w:val="18"/>
          <w:szCs w:val="18"/>
          <w:color w:val="auto"/>
        </w:rPr>
      </w:pPr>
    </w:p>
    <w:p>
      <w:pPr>
        <w:ind w:left="741" w:hanging="741"/>
        <w:spacing w:after="0"/>
        <w:tabs>
          <w:tab w:leader="none" w:pos="741" w:val="left"/>
        </w:tabs>
        <w:numPr>
          <w:ilvl w:val="0"/>
          <w:numId w:val="58"/>
        </w:numPr>
        <w:rPr>
          <w:rFonts w:ascii="Arial" w:cs="Arial" w:eastAsia="Arial" w:hAnsi="Arial"/>
          <w:sz w:val="20"/>
          <w:szCs w:val="20"/>
          <w:color w:val="auto"/>
        </w:rPr>
      </w:pPr>
      <w:r>
        <w:rPr>
          <w:rFonts w:ascii="Arial" w:cs="Arial" w:eastAsia="Arial" w:hAnsi="Arial"/>
          <w:sz w:val="20"/>
          <w:szCs w:val="20"/>
          <w:color w:val="auto"/>
        </w:rPr>
        <w:t>UTILITIES AND SERVICES.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19" w:name="page120"/>
    <w:bookmarkEnd w:id="119"/>
    <w:p>
      <w:pPr>
        <w:jc w:val="both"/>
        <w:ind w:firstLine="865"/>
        <w:spacing w:after="0" w:line="245"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Description of Services</w:t>
      </w:r>
      <w:r>
        <w:rPr>
          <w:rFonts w:ascii="Arial" w:cs="Arial" w:eastAsia="Arial" w:hAnsi="Arial"/>
          <w:sz w:val="20"/>
          <w:szCs w:val="20"/>
          <w:color w:val="auto"/>
        </w:rPr>
        <w:t>. The Business Hours are specified in the Basic Lease Information (“</w:t>
      </w:r>
      <w:r>
        <w:rPr>
          <w:rFonts w:ascii="Arial" w:cs="Arial" w:eastAsia="Arial" w:hAnsi="Arial"/>
          <w:sz w:val="20"/>
          <w:szCs w:val="20"/>
          <w:b w:val="1"/>
          <w:bCs w:val="1"/>
          <w:color w:val="auto"/>
        </w:rPr>
        <w:t>Business Hours</w:t>
      </w:r>
      <w:r>
        <w:rPr>
          <w:rFonts w:ascii="Arial" w:cs="Arial" w:eastAsia="Arial" w:hAnsi="Arial"/>
          <w:sz w:val="20"/>
          <w:szCs w:val="20"/>
          <w:color w:val="auto"/>
        </w:rPr>
        <w:t>”). The business days are weekdays except public holidays (“</w:t>
      </w:r>
      <w:r>
        <w:rPr>
          <w:rFonts w:ascii="Arial" w:cs="Arial" w:eastAsia="Arial" w:hAnsi="Arial"/>
          <w:sz w:val="20"/>
          <w:szCs w:val="20"/>
          <w:b w:val="1"/>
          <w:bCs w:val="1"/>
          <w:color w:val="auto"/>
        </w:rPr>
        <w:t>Business Days</w:t>
      </w:r>
      <w:r>
        <w:rPr>
          <w:rFonts w:ascii="Arial" w:cs="Arial" w:eastAsia="Arial" w:hAnsi="Arial"/>
          <w:sz w:val="20"/>
          <w:szCs w:val="20"/>
          <w:color w:val="auto"/>
        </w:rPr>
        <w:t>”). During the Term Landlord shall clean the Common Areas and provide related cleaning supplies during Business Hours.</w:t>
      </w:r>
    </w:p>
    <w:p>
      <w:pPr>
        <w:spacing w:after="0" w:line="165"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u w:val="single" w:color="auto"/>
          <w:color w:val="auto"/>
        </w:rPr>
        <w:t>Payment for Utilities and Services</w:t>
      </w:r>
      <w:r>
        <w:rPr>
          <w:rFonts w:ascii="Arial" w:cs="Arial" w:eastAsia="Arial" w:hAnsi="Arial"/>
          <w:sz w:val="16"/>
          <w:szCs w:val="16"/>
          <w:color w:val="auto"/>
        </w:rPr>
        <w:t>.</w:t>
      </w:r>
    </w:p>
    <w:p>
      <w:pPr>
        <w:spacing w:after="0" w:line="183" w:lineRule="exact"/>
        <w:rPr>
          <w:sz w:val="20"/>
          <w:szCs w:val="20"/>
          <w:color w:val="auto"/>
        </w:rPr>
      </w:pPr>
    </w:p>
    <w:p>
      <w:pPr>
        <w:jc w:val="both"/>
        <w:ind w:firstLine="1729"/>
        <w:spacing w:after="0" w:line="250" w:lineRule="auto"/>
        <w:tabs>
          <w:tab w:leader="none" w:pos="2536" w:val="left"/>
        </w:tabs>
        <w:numPr>
          <w:ilvl w:val="0"/>
          <w:numId w:val="59"/>
        </w:numPr>
        <w:rPr>
          <w:rFonts w:ascii="Arial" w:cs="Arial" w:eastAsia="Arial" w:hAnsi="Arial"/>
          <w:sz w:val="19"/>
          <w:szCs w:val="19"/>
          <w:color w:val="auto"/>
        </w:rPr>
      </w:pPr>
      <w:r>
        <w:rPr>
          <w:rFonts w:ascii="Arial" w:cs="Arial" w:eastAsia="Arial" w:hAnsi="Arial"/>
          <w:sz w:val="19"/>
          <w:szCs w:val="19"/>
          <w:color w:val="auto"/>
        </w:rPr>
        <w:t>Tenant shall be responsible to pay for the costs of all utilities for the Premises (the “</w:t>
      </w:r>
      <w:r>
        <w:rPr>
          <w:rFonts w:ascii="Arial" w:cs="Arial" w:eastAsia="Arial" w:hAnsi="Arial"/>
          <w:sz w:val="19"/>
          <w:szCs w:val="19"/>
          <w:b w:val="1"/>
          <w:bCs w:val="1"/>
          <w:color w:val="auto"/>
        </w:rPr>
        <w:t>Premises Utilities</w:t>
      </w:r>
      <w:r>
        <w:rPr>
          <w:rFonts w:ascii="Arial" w:cs="Arial" w:eastAsia="Arial" w:hAnsi="Arial"/>
          <w:sz w:val="19"/>
          <w:szCs w:val="19"/>
          <w:color w:val="auto"/>
        </w:rPr>
        <w:t>”), including the costs of (i) electricity, (ii) gas, (iii) water and sanitary sewer, (iv) telephone and data systems, and (v) lighting tube and bulb replacement for lighting fixtures. Tenant shall provide janitorial services and waste removal for the Premises and all taxes, levies, fees and surcharges thereon. The cost of Premises Utilities shall be included in Operating Costs (unless and to the extent the same is metered or submetered). If any utility to the Premises is separately metered, Tenant shall pay the costs of such utility for the Premises directly to the public utility company or service provider. If such utility is submetered, Tenant shall pay the costs of such utility to Landlord within thirty (30) days after Landlord invoices Tenant therefor, based upon the metered readings.</w:t>
      </w:r>
    </w:p>
    <w:p>
      <w:pPr>
        <w:spacing w:after="0" w:line="164" w:lineRule="exact"/>
        <w:rPr>
          <w:rFonts w:ascii="Arial" w:cs="Arial" w:eastAsia="Arial" w:hAnsi="Arial"/>
          <w:sz w:val="19"/>
          <w:szCs w:val="19"/>
          <w:color w:val="auto"/>
        </w:rPr>
      </w:pPr>
    </w:p>
    <w:p>
      <w:pPr>
        <w:jc w:val="both"/>
        <w:ind w:firstLine="1729"/>
        <w:spacing w:after="0" w:line="269" w:lineRule="auto"/>
        <w:tabs>
          <w:tab w:leader="none" w:pos="25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temperature otherwise maintained in any portion of the Premises by the HVAC systems of the Building is affected, or any portion of the Building Systems are adversely and unreasonably affected, as a result of any lights, machines or equipment used by Tenant in the Premises, or for any other reason, then Tenant shall be responsible, at Tenant’s sole cost and expense, and at Tenant’s option to install any machinery or equipment reasonably necessary to restore the temperature, including modifications to the standard air-conditioning equipment, which modifications or Alterations shall comply with the terms and conditions of Section 6 above.</w:t>
      </w:r>
    </w:p>
    <w:p>
      <w:pPr>
        <w:spacing w:after="0" w:line="148" w:lineRule="exact"/>
        <w:rPr>
          <w:sz w:val="20"/>
          <w:szCs w:val="20"/>
          <w:color w:val="auto"/>
        </w:rPr>
      </w:pPr>
    </w:p>
    <w:p>
      <w:pPr>
        <w:jc w:val="both"/>
        <w:ind w:firstLine="865"/>
        <w:spacing w:after="0" w:line="236"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Interruption of Services</w:t>
      </w:r>
      <w:r>
        <w:rPr>
          <w:rFonts w:ascii="Arial" w:cs="Arial" w:eastAsia="Arial" w:hAnsi="Arial"/>
          <w:sz w:val="20"/>
          <w:szCs w:val="20"/>
          <w:color w:val="auto"/>
        </w:rPr>
        <w:t>. In the event of an interruption in or failure or inability to provide any services or utilities to the Premises or Building for any reason (a “</w:t>
      </w:r>
      <w:r>
        <w:rPr>
          <w:rFonts w:ascii="Arial" w:cs="Arial" w:eastAsia="Arial" w:hAnsi="Arial"/>
          <w:sz w:val="20"/>
          <w:szCs w:val="20"/>
          <w:b w:val="1"/>
          <w:bCs w:val="1"/>
          <w:color w:val="auto"/>
        </w:rPr>
        <w:t>Service Failure</w:t>
      </w:r>
      <w:r>
        <w:rPr>
          <w:rFonts w:ascii="Arial" w:cs="Arial" w:eastAsia="Arial" w:hAnsi="Arial"/>
          <w:sz w:val="20"/>
          <w:szCs w:val="20"/>
          <w:color w:val="auto"/>
        </w:rPr>
        <w:t>”), such Service Failure shall not, regardless of its duration, impose upon Landlord any liability whatsoever, constitute an eviction of Tenant, constructive or otherwise, entitle Tenant to an abatement of rent or to terminate this Lease or otherwise release Tenant from any of Tenant’s obligations under this Lease. Tenant hereby waives any benefits of any applicable existing or future Law, including the provisions of California Civil Code Section 1932(1), permitting the termination of this Lease due to such interruption, failure or inability.</w:t>
      </w:r>
    </w:p>
    <w:p>
      <w:pPr>
        <w:spacing w:after="0" w:line="173" w:lineRule="exact"/>
        <w:rPr>
          <w:sz w:val="20"/>
          <w:szCs w:val="20"/>
          <w:color w:val="auto"/>
        </w:rPr>
      </w:pPr>
    </w:p>
    <w:p>
      <w:pPr>
        <w:jc w:val="both"/>
        <w:ind w:firstLine="865"/>
        <w:spacing w:after="0" w:line="242"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Sole Electrical Representative.</w:t>
      </w:r>
      <w:r>
        <w:rPr>
          <w:rFonts w:ascii="Arial" w:cs="Arial" w:eastAsia="Arial" w:hAnsi="Arial"/>
          <w:sz w:val="20"/>
          <w:szCs w:val="20"/>
          <w:color w:val="auto"/>
        </w:rPr>
        <w:t xml:space="preserve"> Landlord shall maintain exclusive control over and be the sole representative with respect to reception, utilization and distribution of electric power, regardless of point or means of origin, use or generation. Tenant shall not have the right to contract directly with any provider of electrical power or services.</w:t>
      </w:r>
    </w:p>
    <w:p>
      <w:pPr>
        <w:spacing w:after="0" w:line="168" w:lineRule="exact"/>
        <w:rPr>
          <w:sz w:val="20"/>
          <w:szCs w:val="20"/>
          <w:color w:val="auto"/>
        </w:rPr>
      </w:pPr>
    </w:p>
    <w:p>
      <w:pPr>
        <w:jc w:val="both"/>
        <w:ind w:firstLine="865"/>
        <w:spacing w:after="0" w:line="23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Telecommunications.</w:t>
      </w:r>
      <w:r>
        <w:rPr>
          <w:rFonts w:ascii="Arial" w:cs="Arial" w:eastAsia="Arial" w:hAnsi="Arial"/>
          <w:sz w:val="20"/>
          <w:szCs w:val="20"/>
          <w:color w:val="auto"/>
        </w:rPr>
        <w:t xml:space="preserve"> Tenant shall have the right to contract directly with telecommunications and media service providers (each a “</w:t>
      </w:r>
      <w:r>
        <w:rPr>
          <w:rFonts w:ascii="Arial" w:cs="Arial" w:eastAsia="Arial" w:hAnsi="Arial"/>
          <w:sz w:val="20"/>
          <w:szCs w:val="20"/>
          <w:b w:val="1"/>
          <w:bCs w:val="1"/>
          <w:color w:val="auto"/>
        </w:rPr>
        <w:t>Telecommunications Provider</w:t>
      </w:r>
      <w:r>
        <w:rPr>
          <w:rFonts w:ascii="Arial" w:cs="Arial" w:eastAsia="Arial" w:hAnsi="Arial"/>
          <w:sz w:val="20"/>
          <w:szCs w:val="20"/>
          <w:color w:val="auto"/>
        </w:rPr>
        <w:t>”) of Tenant’s choice, subject to the provisions of this Section 9.5 and other provisions of this Lease. Upon request from Tenant Landlord agrees to deliver to Tenant a list of Telecommunication Providers then serving the Project. If Tenant desires to (a) obtain service from or enter into a contract with any Telecommunication Provider which at the time of Tenant’s request does not serve the Project, or (b) obtain services which will require installation of new equipment by a Telecommunication Provider then serving the Project, then prior to providing service, any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0" w:name="page121"/>
    <w:bookmarkEnd w:id="120"/>
    <w:p>
      <w:pPr>
        <w:jc w:val="both"/>
        <w:ind w:left="1" w:right="20"/>
        <w:spacing w:after="0" w:line="237" w:lineRule="auto"/>
        <w:rPr>
          <w:sz w:val="20"/>
          <w:szCs w:val="20"/>
          <w:color w:val="auto"/>
        </w:rPr>
      </w:pPr>
      <w:r>
        <w:rPr>
          <w:rFonts w:ascii="Arial" w:cs="Arial" w:eastAsia="Arial" w:hAnsi="Arial"/>
          <w:sz w:val="20"/>
          <w:szCs w:val="20"/>
          <w:color w:val="auto"/>
        </w:rPr>
        <w:t>Telecommunication Provider must enter into a written agreement with Landlord, acceptable to Landlord in Landlord’s sole discretion, setting forth the terms and conditions of the access to be granted to any such Telecommunication Provider. Landlord shall not be obligated to incur any expense, liability or costs in connection with any Telecommunication Provider proposed by Tenant. All installations made by Telecommunication Providers shall be subject to Landlord’s prior written approval and shall be made in accordance with the provisions of Section 6 of this Lease.</w:t>
      </w:r>
    </w:p>
    <w:p>
      <w:pPr>
        <w:spacing w:after="0" w:line="172" w:lineRule="exact"/>
        <w:rPr>
          <w:sz w:val="20"/>
          <w:szCs w:val="20"/>
          <w:color w:val="auto"/>
        </w:rPr>
      </w:pPr>
    </w:p>
    <w:p>
      <w:pPr>
        <w:jc w:val="both"/>
        <w:ind w:left="1" w:right="20" w:firstLine="865"/>
        <w:spacing w:after="0" w:line="237"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Direct Billing</w:t>
      </w:r>
      <w:r>
        <w:rPr>
          <w:rFonts w:ascii="Arial" w:cs="Arial" w:eastAsia="Arial" w:hAnsi="Arial"/>
          <w:sz w:val="20"/>
          <w:szCs w:val="20"/>
          <w:color w:val="auto"/>
        </w:rPr>
        <w:t>. To the extent required by applicable Laws, if Tenant is billed directly by a public utility with respect to Tenant’s electrical usage at the Premises, then, upon request, Tenant shall provide monthly electrical utility usage for the Premises to Landlord for the period of time requested by Landlord (in electronic or paper format) or, at Landlord’s option, provide any written authorization or other documentation required for Landlord to request information regarding Tenant's electricity usage with respect to the Premises directly from the applicable utility company.</w:t>
      </w:r>
    </w:p>
    <w:p>
      <w:pPr>
        <w:spacing w:after="0" w:line="172" w:lineRule="exact"/>
        <w:rPr>
          <w:sz w:val="20"/>
          <w:szCs w:val="20"/>
          <w:color w:val="auto"/>
        </w:rPr>
      </w:pPr>
    </w:p>
    <w:p>
      <w:pPr>
        <w:ind w:left="841" w:hanging="841"/>
        <w:spacing w:after="0"/>
        <w:tabs>
          <w:tab w:leader="none" w:pos="841" w:val="left"/>
        </w:tabs>
        <w:numPr>
          <w:ilvl w:val="0"/>
          <w:numId w:val="60"/>
        </w:numPr>
        <w:rPr>
          <w:rFonts w:ascii="Arial" w:cs="Arial" w:eastAsia="Arial" w:hAnsi="Arial"/>
          <w:sz w:val="20"/>
          <w:szCs w:val="20"/>
          <w:color w:val="auto"/>
        </w:rPr>
      </w:pPr>
      <w:r>
        <w:rPr>
          <w:rFonts w:ascii="Arial" w:cs="Arial" w:eastAsia="Arial" w:hAnsi="Arial"/>
          <w:sz w:val="20"/>
          <w:szCs w:val="20"/>
          <w:color w:val="auto"/>
        </w:rPr>
        <w:t>EXCULPATION AND INDEMNIFICATION.</w:t>
      </w:r>
    </w:p>
    <w:p>
      <w:pPr>
        <w:spacing w:after="0" w:line="189" w:lineRule="exact"/>
        <w:rPr>
          <w:sz w:val="20"/>
          <w:szCs w:val="20"/>
          <w:color w:val="auto"/>
        </w:rPr>
      </w:pPr>
    </w:p>
    <w:p>
      <w:pPr>
        <w:jc w:val="both"/>
        <w:ind w:left="1" w:firstLine="865"/>
        <w:spacing w:after="0" w:line="31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Landlord’s Indemnification of Tenant</w:t>
      </w:r>
      <w:r>
        <w:rPr>
          <w:rFonts w:ascii="Arial" w:cs="Arial" w:eastAsia="Arial" w:hAnsi="Arial"/>
          <w:sz w:val="16"/>
          <w:szCs w:val="16"/>
          <w:color w:val="auto"/>
        </w:rPr>
        <w:t>. Landlord shall indemnify, protect, defend and hold Tenant harmless from and against any claims, actions, liabilities, damages, costs or expenses, including reasonable consultants’, expert witnesses’ and attorneys’ fees and costs incurred in defending against the same (“</w:t>
      </w:r>
      <w:r>
        <w:rPr>
          <w:rFonts w:ascii="Arial" w:cs="Arial" w:eastAsia="Arial" w:hAnsi="Arial"/>
          <w:sz w:val="16"/>
          <w:szCs w:val="16"/>
          <w:b w:val="1"/>
          <w:bCs w:val="1"/>
          <w:color w:val="auto"/>
        </w:rPr>
        <w:t>Claims</w:t>
      </w:r>
      <w:r>
        <w:rPr>
          <w:rFonts w:ascii="Arial" w:cs="Arial" w:eastAsia="Arial" w:hAnsi="Arial"/>
          <w:sz w:val="16"/>
          <w:szCs w:val="16"/>
          <w:color w:val="auto"/>
        </w:rPr>
        <w:t>”) asserted by any third party against Tenant for loss, injury or damage, to the extent such loss, injury or damage is caused by the willful misconduct or gross negligent acts or omissions of Landlord or its authorized representatives.</w:t>
      </w:r>
    </w:p>
    <w:p>
      <w:pPr>
        <w:spacing w:after="0" w:line="110" w:lineRule="exact"/>
        <w:rPr>
          <w:sz w:val="20"/>
          <w:szCs w:val="20"/>
          <w:color w:val="auto"/>
        </w:rPr>
      </w:pPr>
    </w:p>
    <w:p>
      <w:pPr>
        <w:jc w:val="both"/>
        <w:ind w:left="1" w:right="20" w:firstLine="865"/>
        <w:spacing w:after="0" w:line="249"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Tenant’s Indemnification of Landlord</w:t>
      </w:r>
      <w:r>
        <w:rPr>
          <w:rFonts w:ascii="Arial" w:cs="Arial" w:eastAsia="Arial" w:hAnsi="Arial"/>
          <w:sz w:val="19"/>
          <w:szCs w:val="19"/>
          <w:color w:val="auto"/>
        </w:rPr>
        <w:t>. Tenant shall indemnify, protect, defend and hold the Landlord Parties harmless from and against Claims arising from (a) the acts or omissions of Tenant or Tenant’s Representatives or Visitors in or about the Project (including, without limitation, the roof of the Building, Parking Facility or loading dock), or (b) any construction or other work or maintenance undertaken by Tenant on the Premises or elsewhere in the Project (including any design defects), or (c) any breach or default under this Lease by Tenant, or (d) any loss, injury or damage, howsoever and by whomsoever caused, to any person or property, arising out of or relating to Tenant’s occupancy or operation and occurring in or about the Premises or elsewhere in the Project (including, without limitation, the roof of the Building, Parking Facility or loading dock).</w:t>
      </w:r>
    </w:p>
    <w:p>
      <w:pPr>
        <w:spacing w:after="0" w:line="165" w:lineRule="exact"/>
        <w:rPr>
          <w:sz w:val="20"/>
          <w:szCs w:val="20"/>
          <w:color w:val="auto"/>
        </w:rPr>
      </w:pPr>
    </w:p>
    <w:p>
      <w:pPr>
        <w:jc w:val="both"/>
        <w:ind w:left="1" w:right="20" w:firstLine="865"/>
        <w:spacing w:after="0" w:line="247"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Damage to Tenant and Tenant’s Property</w:t>
      </w:r>
      <w:r>
        <w:rPr>
          <w:rFonts w:ascii="Arial" w:cs="Arial" w:eastAsia="Arial" w:hAnsi="Arial"/>
          <w:sz w:val="19"/>
          <w:szCs w:val="19"/>
          <w:color w:val="auto"/>
        </w:rPr>
        <w:t>. The Landlord Parties shall not be liable to Tenant for any loss, injury or other damage (including theft) to Tenant or to Tenant’s property in or about the Premises or the Project (including, without limitation, the roof of the Building, Parking Facility or loading dock) from any cause (including defects in the Project or in any equipment in the Building; the failure of any security measures, safety-related equipment, fixtures or improvements installed or maintained at the Premises or Project; fire, explosion or other casualty; bursting, rupture, leakage or overflow of any plumbing or other pipes or lines, sprinklers, tanks, drains, drinking fountains or washstands in, above, or about the Premises or the Building; or acts of other tenants in the Project). Tenant hereby waives all claims against Landlord Parties for any such loss, injury or damage and the cost and expense of defending against claims relating thereto, including any loss, injury or damage caused by Landlord’s negligence (active or passive) or willful misconduct. Notwithstanding any other provision of this Lease to the contrary, in no event shall Landlord be liable to Tenant for any punitive or consequential damages or damages for loss of business by Tenant.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21" w:name="page122"/>
    <w:bookmarkEnd w:id="121"/>
    <w:p>
      <w:pPr>
        <w:ind w:left="861"/>
        <w:spacing w:after="0"/>
        <w:tabs>
          <w:tab w:leader="none" w:pos="1781"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obligations of the parties under this Section 10 shall survive the expiration or termination of this Lease.</w:t>
      </w:r>
    </w:p>
    <w:p>
      <w:pPr>
        <w:spacing w:after="0" w:line="189" w:lineRule="exact"/>
        <w:rPr>
          <w:sz w:val="20"/>
          <w:szCs w:val="20"/>
          <w:color w:val="auto"/>
        </w:rPr>
      </w:pPr>
    </w:p>
    <w:p>
      <w:pPr>
        <w:ind w:left="821" w:hanging="821"/>
        <w:spacing w:after="0"/>
        <w:tabs>
          <w:tab w:leader="none" w:pos="821"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INSURANCE.</w:t>
      </w:r>
    </w:p>
    <w:p>
      <w:pPr>
        <w:spacing w:after="0" w:line="189" w:lineRule="exact"/>
        <w:rPr>
          <w:sz w:val="20"/>
          <w:szCs w:val="20"/>
          <w:color w:val="auto"/>
        </w:rPr>
      </w:pPr>
    </w:p>
    <w:p>
      <w:pPr>
        <w:ind w:left="861"/>
        <w:spacing w:after="0"/>
        <w:tabs>
          <w:tab w:leader="none" w:pos="1761"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u w:val="single" w:color="auto"/>
          <w:color w:val="auto"/>
        </w:rPr>
        <w:t>Tenant’s Insurance.</w:t>
      </w:r>
    </w:p>
    <w:p>
      <w:pPr>
        <w:spacing w:after="0" w:line="189" w:lineRule="exact"/>
        <w:rPr>
          <w:sz w:val="20"/>
          <w:szCs w:val="20"/>
          <w:color w:val="auto"/>
        </w:rPr>
      </w:pPr>
    </w:p>
    <w:p>
      <w:pPr>
        <w:jc w:val="both"/>
        <w:ind w:left="1" w:firstLine="1729"/>
        <w:spacing w:after="0" w:line="294" w:lineRule="auto"/>
        <w:tabs>
          <w:tab w:leader="none" w:pos="253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Liability Insurance</w:t>
      </w:r>
      <w:r>
        <w:rPr>
          <w:rFonts w:ascii="Arial" w:cs="Arial" w:eastAsia="Arial" w:hAnsi="Arial"/>
          <w:sz w:val="16"/>
          <w:szCs w:val="16"/>
          <w:color w:val="auto"/>
        </w:rPr>
        <w:t>. Tenant shall at all times following complete execution of this Lease maintain in full force, commercial general liability insurance providing coverage on an occurrence form basis with limits of not less than Three Million Dollars ($3,000,000.00) each occurrence for bodily injury and property damage combined, Three Million Dollars ($3,000,000.00) annual general aggregate, and Two Million Dollars ($2,000,000.00) products and completed operations annual aggregate. Tenant’s liability insurance policy or policies shall: (i) include premises and operations liability coverage, products and completed operations liability coverage, broad form property damage coverage including completed operations, blanket contractual liability coverage including, to the maximum extent possible, coverage for the indemnification obligations of Tenant under this Lease, and personal and advertising injury coverage; (ii) provide that the insurance company has the duty to defend all named and additional insureds under the policy; (iii) provide that defense costs are paid in addition to and do not deplete any of the policy limits; (iv) cover liabilities arising out of or incurred in connection with Tenant’s use or occupancy of the Premises or the Project; (v) extend coverage to cover liability for the actions of Tenant’s Representatives and Visitors; and (vi) either designate separate limits for the Project acceptable to Landlord, or provide that the entire insured limits are available for occurrences relating to the Project. Each policy of liability insurance required by this Section shall: (i) contain a separation of insureds clause or otherwise provide cross-liability coverage; (ii) provide that it is primary insurance and no insurance carried by Landlord or Landlord Parties shall contribute to any loss arising out of Tenant’s occupancy or use of the Premises; (iii) name as additional insureds the Landlord Parties, the Property Manager identified in the Basic Lease Information (the “</w:t>
      </w:r>
      <w:r>
        <w:rPr>
          <w:rFonts w:ascii="Arial" w:cs="Arial" w:eastAsia="Arial" w:hAnsi="Arial"/>
          <w:sz w:val="16"/>
          <w:szCs w:val="16"/>
          <w:b w:val="1"/>
          <w:bCs w:val="1"/>
          <w:color w:val="auto"/>
        </w:rPr>
        <w:t>Property Manager</w:t>
      </w:r>
      <w:r>
        <w:rPr>
          <w:rFonts w:ascii="Arial" w:cs="Arial" w:eastAsia="Arial" w:hAnsi="Arial"/>
          <w:sz w:val="16"/>
          <w:szCs w:val="16"/>
          <w:color w:val="auto"/>
        </w:rPr>
        <w:t>”), all Mortgagees (as defined in Section 20.2 of this Lease) and such other parties in interest as Landlord may reasonably designate to Tenant in writing; and (iv) provide that any failure to comply with the reporting provisions under the policies shall not affect coverage provided such additional insureds. Such additional insureds shall be provided at least the same extent of coverage as is provided to Tenant under such policies. All endorsements effecting such additional insured status shall be at least as broad as additional insured endorsement form number CG 20 11 01 96 promulgated by the Insurance Services Office.</w:t>
      </w:r>
    </w:p>
    <w:p>
      <w:pPr>
        <w:spacing w:after="0" w:line="359" w:lineRule="exact"/>
        <w:rPr>
          <w:rFonts w:ascii="Arial" w:cs="Arial" w:eastAsia="Arial" w:hAnsi="Arial"/>
          <w:sz w:val="16"/>
          <w:szCs w:val="16"/>
          <w:color w:val="auto"/>
        </w:rPr>
      </w:pPr>
    </w:p>
    <w:p>
      <w:pPr>
        <w:ind w:left="2541" w:hanging="811"/>
        <w:spacing w:after="0"/>
        <w:tabs>
          <w:tab w:leader="none" w:pos="25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Auto Liability covering owned (if any), non-owned and hired vehicles with a limit of not less than</w:t>
      </w:r>
    </w:p>
    <w:p>
      <w:pPr>
        <w:spacing w:after="0" w:line="31"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20"/>
          <w:szCs w:val="20"/>
          <w:color w:val="auto"/>
        </w:rPr>
        <w:t>$1,000,000 per accident;</w:t>
      </w:r>
    </w:p>
    <w:p>
      <w:pPr>
        <w:spacing w:after="0" w:line="173" w:lineRule="exact"/>
        <w:rPr>
          <w:rFonts w:ascii="Arial" w:cs="Arial" w:eastAsia="Arial" w:hAnsi="Arial"/>
          <w:sz w:val="18"/>
          <w:szCs w:val="18"/>
          <w:color w:val="auto"/>
        </w:rPr>
      </w:pPr>
    </w:p>
    <w:p>
      <w:pPr>
        <w:ind w:left="1" w:right="20" w:firstLine="1729"/>
        <w:spacing w:after="0" w:line="252" w:lineRule="auto"/>
        <w:tabs>
          <w:tab w:leader="none" w:pos="2538" w:val="left"/>
        </w:tabs>
        <w:numPr>
          <w:ilvl w:val="0"/>
          <w:numId w:val="62"/>
        </w:numPr>
        <w:rPr>
          <w:rFonts w:ascii="Arial" w:cs="Arial" w:eastAsia="Arial" w:hAnsi="Arial"/>
          <w:sz w:val="20"/>
          <w:szCs w:val="20"/>
          <w:color w:val="auto"/>
        </w:rPr>
      </w:pPr>
      <w:r>
        <w:rPr>
          <w:rFonts w:ascii="Arial" w:cs="Arial" w:eastAsia="Arial" w:hAnsi="Arial"/>
          <w:sz w:val="20"/>
          <w:szCs w:val="20"/>
          <w:color w:val="auto"/>
        </w:rPr>
        <w:t>Statutory Workers Compensation and Employers Liability with limits of not less than $1,000,000 per employee, accident and disease pursuant to all applicable state and local statutes and regulations;</w:t>
      </w:r>
    </w:p>
    <w:p>
      <w:pPr>
        <w:spacing w:after="0" w:line="158" w:lineRule="exact"/>
        <w:rPr>
          <w:rFonts w:ascii="Arial" w:cs="Arial" w:eastAsia="Arial" w:hAnsi="Arial"/>
          <w:sz w:val="20"/>
          <w:szCs w:val="20"/>
          <w:color w:val="auto"/>
        </w:rPr>
      </w:pPr>
    </w:p>
    <w:p>
      <w:pPr>
        <w:ind w:left="1" w:right="20" w:firstLine="1729"/>
        <w:spacing w:after="0" w:line="252" w:lineRule="auto"/>
        <w:tabs>
          <w:tab w:leader="none" w:pos="2549"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Excess/Umbrella Liability with a limit of not less than $5,000,000 scheduling as primary insurance the Commercial General Liability, Auto Liability and Employers Liability</w:t>
      </w:r>
    </w:p>
    <w:p>
      <w:pPr>
        <w:spacing w:after="0" w:line="158" w:lineRule="exact"/>
        <w:rPr>
          <w:rFonts w:ascii="Arial" w:cs="Arial" w:eastAsia="Arial" w:hAnsi="Arial"/>
          <w:sz w:val="20"/>
          <w:szCs w:val="20"/>
          <w:color w:val="auto"/>
        </w:rPr>
      </w:pPr>
    </w:p>
    <w:p>
      <w:pPr>
        <w:ind w:left="1" w:right="20" w:firstLine="1729"/>
        <w:spacing w:after="0" w:line="252" w:lineRule="auto"/>
        <w:tabs>
          <w:tab w:leader="none" w:pos="2538"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Property Insurance</w:t>
      </w:r>
      <w:r>
        <w:rPr>
          <w:rFonts w:ascii="Arial" w:cs="Arial" w:eastAsia="Arial" w:hAnsi="Arial"/>
          <w:sz w:val="20"/>
          <w:szCs w:val="20"/>
          <w:color w:val="auto"/>
        </w:rPr>
        <w:t>. Tenant shall at all times (including any construction or installation periods, whether or not included in the Term) maintain in effect with respect to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22" w:name="page123"/>
    <w:bookmarkEnd w:id="122"/>
    <w:p>
      <w:pPr>
        <w:jc w:val="both"/>
        <w:spacing w:after="0" w:line="248" w:lineRule="auto"/>
        <w:rPr>
          <w:sz w:val="20"/>
          <w:szCs w:val="20"/>
          <w:color w:val="auto"/>
        </w:rPr>
      </w:pPr>
      <w:r>
        <w:rPr>
          <w:rFonts w:ascii="Arial" w:cs="Arial" w:eastAsia="Arial" w:hAnsi="Arial"/>
          <w:sz w:val="19"/>
          <w:szCs w:val="19"/>
          <w:color w:val="auto"/>
        </w:rPr>
        <w:t>Alterations and Tenant’s Trade Fixtures and personal property, commercial property insurance providing coverage, on an “all risk” or “special form” basis, in an amount equal to at least 90% of the full replacement cost of the covered property, plus twelve months of rents. Tenant may carry such insurance under a blanket policy, provided that such policy provides coverage equivalent to a separate policy. During the Term, the proceeds from any such policies of insurance shall be used for the repair or replacement of the Alterations, Trade Fixtures and personal property so insured. The Landlord Parties shall be provided coverage under such insurance to the extent of their insurable interest and, if requested by Landlord, both Landlord and Tenant shall sign all documents reasonably necessary or proper in connection with the settlement of any claim or loss under such insurance. Landlord will have no obligation to carry insurance on any Alterations or on Tenant’s Trade Fixtures or personal property.</w:t>
      </w:r>
    </w:p>
    <w:p>
      <w:pPr>
        <w:spacing w:after="0" w:line="168" w:lineRule="exact"/>
        <w:rPr>
          <w:sz w:val="20"/>
          <w:szCs w:val="20"/>
          <w:color w:val="auto"/>
        </w:rPr>
      </w:pPr>
    </w:p>
    <w:p>
      <w:pPr>
        <w:jc w:val="both"/>
        <w:ind w:firstLine="1729"/>
        <w:spacing w:after="0" w:line="262" w:lineRule="auto"/>
        <w:tabs>
          <w:tab w:leader="none" w:pos="251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Requirements For All Policies</w:t>
      </w:r>
      <w:r>
        <w:rPr>
          <w:rFonts w:ascii="Arial" w:cs="Arial" w:eastAsia="Arial" w:hAnsi="Arial"/>
          <w:sz w:val="18"/>
          <w:szCs w:val="18"/>
          <w:color w:val="auto"/>
        </w:rPr>
        <w:t>. Each policy of insurance required under this Section 11.1 shall: (i) be in a form, and written by an insurer, reasonably acceptable to Landlord, (ii) be maintained at Tenant’s sole cost and expense, (iii) include waiver of subrogation endorsements in favor of Landlord for the CGL, Workers Compensation, and Auto Liability policies, and (iv) require the insurer to give additional insureds at least thirty (30) days’ written notice to Landlord prior to any cancellation, nonrenewal or modification of insurance coverage. Insurance companies issuing such policies shall have rating classifications of “A” or better and financial size category ratings of “VIII” or better according to the latest edition of the A.M. Best Key Rating Guide. All insurance companies issuing such policies shall be admitted carriers licensed to do business in the state where the Building is located. Any deductible amount under such insurance shall not exceed $25,000. Tenant shall provide to Landlord, upon execution of this lease and annually at renewal thereafter as outlined in (h) below, evidence that the insurance required to be carried by Tenant pursuant to this Section, including any endorsement effecting the additional insured status, is in full force and effect and that premiums therefor have been paid.</w:t>
      </w:r>
    </w:p>
    <w:p>
      <w:pPr>
        <w:spacing w:after="0" w:line="158" w:lineRule="exact"/>
        <w:rPr>
          <w:rFonts w:ascii="Arial" w:cs="Arial" w:eastAsia="Arial" w:hAnsi="Arial"/>
          <w:sz w:val="18"/>
          <w:szCs w:val="18"/>
          <w:color w:val="auto"/>
        </w:rPr>
      </w:pPr>
    </w:p>
    <w:p>
      <w:pPr>
        <w:jc w:val="both"/>
        <w:ind w:firstLine="1729"/>
        <w:spacing w:after="0" w:line="238" w:lineRule="auto"/>
        <w:tabs>
          <w:tab w:leader="none" w:pos="254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Updating Coverage</w:t>
      </w:r>
      <w:r>
        <w:rPr>
          <w:rFonts w:ascii="Arial" w:cs="Arial" w:eastAsia="Arial" w:hAnsi="Arial"/>
          <w:sz w:val="20"/>
          <w:szCs w:val="20"/>
          <w:color w:val="auto"/>
        </w:rPr>
        <w:t>. Tenant shall increase the amounts of insurance as required by any Mortgagee, and, not more frequently than once every three (3) years, as reasonably recommended by Landlord, if, in the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173" w:lineRule="exact"/>
        <w:rPr>
          <w:rFonts w:ascii="Arial" w:cs="Arial" w:eastAsia="Arial" w:hAnsi="Arial"/>
          <w:sz w:val="20"/>
          <w:szCs w:val="20"/>
          <w:color w:val="auto"/>
        </w:rPr>
      </w:pPr>
    </w:p>
    <w:p>
      <w:pPr>
        <w:jc w:val="both"/>
        <w:ind w:right="20" w:firstLine="1729"/>
        <w:spacing w:after="0" w:line="238" w:lineRule="auto"/>
        <w:tabs>
          <w:tab w:leader="none" w:pos="254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Certificates of Insurance</w:t>
      </w:r>
      <w:r>
        <w:rPr>
          <w:rFonts w:ascii="Arial" w:cs="Arial" w:eastAsia="Arial" w:hAnsi="Arial"/>
          <w:sz w:val="20"/>
          <w:szCs w:val="20"/>
          <w:color w:val="auto"/>
        </w:rPr>
        <w:t>. Prior to any entry into or occupancy of the Premises by Tenant, and not less than thirty (30) days prior to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w:t>
      </w:r>
    </w:p>
    <w:p>
      <w:pPr>
        <w:spacing w:after="0" w:line="173" w:lineRule="exact"/>
        <w:rPr>
          <w:sz w:val="20"/>
          <w:szCs w:val="20"/>
          <w:color w:val="auto"/>
        </w:rPr>
      </w:pPr>
    </w:p>
    <w:p>
      <w:pPr>
        <w:jc w:val="both"/>
        <w:ind w:right="20" w:firstLine="865"/>
        <w:spacing w:after="0" w:line="31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Landlord’s Insurance</w:t>
      </w:r>
      <w:r>
        <w:rPr>
          <w:rFonts w:ascii="Arial" w:cs="Arial" w:eastAsia="Arial" w:hAnsi="Arial"/>
          <w:sz w:val="16"/>
          <w:szCs w:val="16"/>
          <w:color w:val="auto"/>
        </w:rPr>
        <w:t>. During the Term, to the extent such coverages are available at a commercially reasonable cost, Landlord shall maintain in effect insurance on the Building with responsible insurers, on an “all risk” or “special form” basis, insuring the Building and the Tenant Improvements in an amount equal to at least 90% of the replacement cost thereof, excluding land, foundations, footings and underground installations. Landlord may, but shall not be obligated to, carry insurance against additional perils and/or in greater amounts.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3" w:name="page124"/>
    <w:bookmarkEnd w:id="123"/>
    <w:p>
      <w:pPr>
        <w:jc w:val="both"/>
        <w:ind w:left="1" w:firstLine="865"/>
        <w:spacing w:after="0" w:line="24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Mutual Waiver of Right of Recovery &amp; Waiver of Subrogation. Notwithstanding anything in this Lease to the contrary,</w:t>
      </w:r>
      <w:r>
        <w:rPr>
          <w:rFonts w:ascii="Arial" w:cs="Arial" w:eastAsia="Arial" w:hAnsi="Arial"/>
          <w:sz w:val="19"/>
          <w:szCs w:val="19"/>
          <w:color w:val="auto"/>
        </w:rPr>
        <w:t xml:space="preserve"> Landlord and Tenant each hereby waive and release any and all rights of recovery against the other, and agree not to seek to recover from the other or to make any claim against the other, and in the case of Landlord, against all Tenant Parties, and in the case of Tenant, against all Landlord Parties, for any </w:t>
      </w:r>
      <w:r>
        <w:rPr>
          <w:rFonts w:ascii="Arial" w:cs="Arial" w:eastAsia="Arial" w:hAnsi="Arial"/>
          <w:sz w:val="19"/>
          <w:szCs w:val="19"/>
          <w:u w:val="single" w:color="auto"/>
          <w:color w:val="auto"/>
        </w:rPr>
        <w:t>damage</w:t>
      </w:r>
      <w:r>
        <w:rPr>
          <w:rFonts w:ascii="Arial" w:cs="Arial" w:eastAsia="Arial" w:hAnsi="Arial"/>
          <w:sz w:val="19"/>
          <w:szCs w:val="19"/>
          <w:color w:val="auto"/>
        </w:rPr>
        <w:t xml:space="preserve"> or loss incurred by the waiving/releasing party to the extent such loss or damage is insured under any insurance policy required by this Lease or which would have been so insured had the party carried the insurance it was required to carry hereunder</w:t>
      </w:r>
      <w:r>
        <w:rPr>
          <w:rFonts w:ascii="Arial" w:cs="Arial" w:eastAsia="Arial" w:hAnsi="Arial"/>
          <w:sz w:val="19"/>
          <w:szCs w:val="19"/>
          <w:u w:val="single" w:color="auto"/>
          <w:color w:val="auto"/>
        </w:rPr>
        <w:t>.</w:t>
      </w:r>
      <w:r>
        <w:rPr>
          <w:rFonts w:ascii="Arial" w:cs="Arial" w:eastAsia="Arial" w:hAnsi="Arial"/>
          <w:sz w:val="19"/>
          <w:szCs w:val="19"/>
          <w:color w:val="auto"/>
        </w:rPr>
        <w:t xml:space="preserve"> Tenant shall obtain from its subtenants and other occupants of the Premises a similar waiver and release of claims against Tenant and Landlord. All provisions in this Lease that pertain to property damage, or the repair thereof, are expressly subject and subordinate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In addition, the parties hereto (and in the case of Tenant, its subtenants and other occupants of the Premises) shall procure an appropriate clause in, or endorsement on, any insurance policy required by this Lease pursuant to which the insurance company waives subrogation. The insurance policies required by this Lease shall contain no provision that would invalidate or restrict the parties’ waiver and release of the rights of recovery in this section. The parties hereto covenant that no insurer shall hold any right of subrogation against the parties hereto by virtue of such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-737235</wp:posOffset>
            </wp:positionV>
            <wp:extent cx="63760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6376035" cy="7620"/>
                    </a:xfrm>
                    <a:prstGeom prst="rect">
                      <a:avLst/>
                    </a:prstGeom>
                    <a:noFill/>
                  </pic:spPr>
                </pic:pic>
              </a:graphicData>
            </a:graphic>
          </wp:anchor>
        </w:drawing>
      </w:r>
    </w:p>
    <w:p>
      <w:pPr>
        <w:spacing w:after="0" w:line="144" w:lineRule="exact"/>
        <w:rPr>
          <w:sz w:val="20"/>
          <w:szCs w:val="20"/>
          <w:color w:val="auto"/>
        </w:rPr>
      </w:pPr>
    </w:p>
    <w:p>
      <w:pPr>
        <w:ind w:left="841" w:hanging="841"/>
        <w:spacing w:after="0"/>
        <w:tabs>
          <w:tab w:leader="none" w:pos="841" w:val="left"/>
        </w:tabs>
        <w:numPr>
          <w:ilvl w:val="0"/>
          <w:numId w:val="64"/>
        </w:numPr>
        <w:rPr>
          <w:rFonts w:ascii="Arial" w:cs="Arial" w:eastAsia="Arial" w:hAnsi="Arial"/>
          <w:sz w:val="20"/>
          <w:szCs w:val="20"/>
          <w:color w:val="auto"/>
        </w:rPr>
      </w:pPr>
      <w:r>
        <w:rPr>
          <w:rFonts w:ascii="Arial" w:cs="Arial" w:eastAsia="Arial" w:hAnsi="Arial"/>
          <w:sz w:val="20"/>
          <w:szCs w:val="20"/>
          <w:color w:val="auto"/>
        </w:rPr>
        <w:t>DAMAGE OR DESTRUCTION.</w:t>
      </w:r>
    </w:p>
    <w:p>
      <w:pPr>
        <w:spacing w:after="0" w:line="189" w:lineRule="exact"/>
        <w:rPr>
          <w:sz w:val="20"/>
          <w:szCs w:val="20"/>
          <w:color w:val="auto"/>
        </w:rPr>
      </w:pPr>
    </w:p>
    <w:p>
      <w:pPr>
        <w:ind w:left="861"/>
        <w:spacing w:after="0"/>
        <w:tabs>
          <w:tab w:leader="none" w:pos="1781"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u w:val="single" w:color="auto"/>
          <w:color w:val="auto"/>
        </w:rPr>
        <w:t>Landlord’s Duty to Repair</w:t>
      </w:r>
      <w:r>
        <w:rPr>
          <w:rFonts w:ascii="Arial" w:cs="Arial" w:eastAsia="Arial" w:hAnsi="Arial"/>
          <w:sz w:val="16"/>
          <w:szCs w:val="16"/>
          <w:color w:val="auto"/>
        </w:rPr>
        <w:t>.</w:t>
      </w:r>
    </w:p>
    <w:p>
      <w:pPr>
        <w:spacing w:after="0" w:line="189" w:lineRule="exact"/>
        <w:rPr>
          <w:sz w:val="20"/>
          <w:szCs w:val="20"/>
          <w:color w:val="auto"/>
        </w:rPr>
      </w:pPr>
    </w:p>
    <w:p>
      <w:pPr>
        <w:jc w:val="both"/>
        <w:ind w:left="1" w:firstLine="1729"/>
        <w:spacing w:after="0" w:line="306" w:lineRule="auto"/>
        <w:tabs>
          <w:tab w:leader="none" w:pos="253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 all or a substantial part of the Premises are rendered untenantable or inaccessible by damage to all or any part of the Building from fire or other casualty during the Term, then, unless either party is entitled to and elects to terminate this Lease pursuant to Sections 12.2 - </w:t>
      </w:r>
      <w:r>
        <w:rPr>
          <w:rFonts w:ascii="Arial" w:cs="Arial" w:eastAsia="Arial" w:hAnsi="Arial"/>
          <w:sz w:val="16"/>
          <w:szCs w:val="16"/>
          <w:i w:val="1"/>
          <w:iCs w:val="1"/>
          <w:color w:val="auto"/>
        </w:rPr>
        <w:t>Landlord’s Right to Terminate</w:t>
      </w:r>
      <w:r>
        <w:rPr>
          <w:rFonts w:ascii="Arial" w:cs="Arial" w:eastAsia="Arial" w:hAnsi="Arial"/>
          <w:sz w:val="16"/>
          <w:szCs w:val="16"/>
          <w:color w:val="auto"/>
        </w:rPr>
        <w:t xml:space="preserve"> and 12.3 - </w:t>
      </w:r>
      <w:r>
        <w:rPr>
          <w:rFonts w:ascii="Arial" w:cs="Arial" w:eastAsia="Arial" w:hAnsi="Arial"/>
          <w:sz w:val="16"/>
          <w:szCs w:val="16"/>
          <w:i w:val="1"/>
          <w:iCs w:val="1"/>
          <w:color w:val="auto"/>
        </w:rPr>
        <w:t>Tenant’s Right to Terminate</w:t>
      </w:r>
      <w:r>
        <w:rPr>
          <w:rFonts w:ascii="Arial" w:cs="Arial" w:eastAsia="Arial" w:hAnsi="Arial"/>
          <w:sz w:val="16"/>
          <w:szCs w:val="16"/>
          <w:color w:val="auto"/>
        </w:rPr>
        <w:t>, Landlord shall, at its expense, use reasonable efforts to repair and restore the Premises and/or the Building, as the case may be, to substantially their former condition to the extent permitted by then applicable Laws; provided, however, that in no event shall Landlord have any obligation for repair or restoration beyond the extent of insurance proceeds received by Landlord for such repair or restoration, or for any of Tenant’s personal property, Trade Fixtures or Alterations.</w:t>
      </w:r>
    </w:p>
    <w:p>
      <w:pPr>
        <w:spacing w:after="0" w:line="122" w:lineRule="exact"/>
        <w:rPr>
          <w:rFonts w:ascii="Arial" w:cs="Arial" w:eastAsia="Arial" w:hAnsi="Arial"/>
          <w:sz w:val="16"/>
          <w:szCs w:val="16"/>
          <w:color w:val="auto"/>
        </w:rPr>
      </w:pPr>
    </w:p>
    <w:p>
      <w:pPr>
        <w:jc w:val="both"/>
        <w:ind w:left="1" w:firstLine="1729"/>
        <w:spacing w:after="0" w:line="236" w:lineRule="auto"/>
        <w:tabs>
          <w:tab w:leader="none" w:pos="2549"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Landlord is required or elects to repair damage to the Premises and/or the Building, this Lease shall continue in effect, but Tenant’s Base Rent and Additional Rent shall be abated with regard to any portion of the Premises that Tenant is prevented from using by reason of such damage or its repair from the date of the casualty until substantial completion of Landlord’s repair of the affected portion of the Premises as required under this Lease. In no event shall Landlord be liable to Tenant by reason of any injury to or interference with Tenant’s business or property arising from fire or other casualty or by reason of any repairs to any part of the Building necessitated by such casualty.</w:t>
      </w:r>
    </w:p>
    <w:p>
      <w:pPr>
        <w:spacing w:after="0" w:line="173" w:lineRule="exact"/>
        <w:rPr>
          <w:sz w:val="20"/>
          <w:szCs w:val="20"/>
          <w:color w:val="auto"/>
        </w:rPr>
      </w:pPr>
    </w:p>
    <w:p>
      <w:pPr>
        <w:ind w:left="1" w:firstLine="865"/>
        <w:spacing w:after="0" w:line="252"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Landlord’s Right to Terminate</w:t>
      </w:r>
      <w:r>
        <w:rPr>
          <w:rFonts w:ascii="Arial" w:cs="Arial" w:eastAsia="Arial" w:hAnsi="Arial"/>
          <w:sz w:val="20"/>
          <w:szCs w:val="20"/>
          <w:color w:val="auto"/>
        </w:rPr>
        <w:t>. Landlord may elect to terminate this Lease following damage by fire or other casualty under the following circumstances:</w:t>
      </w:r>
    </w:p>
    <w:p>
      <w:pPr>
        <w:spacing w:after="0" w:line="159" w:lineRule="exact"/>
        <w:rPr>
          <w:sz w:val="20"/>
          <w:szCs w:val="20"/>
          <w:color w:val="auto"/>
        </w:rPr>
      </w:pPr>
    </w:p>
    <w:p>
      <w:pPr>
        <w:ind w:left="1" w:firstLine="1729"/>
        <w:spacing w:after="0" w:line="252" w:lineRule="auto"/>
        <w:tabs>
          <w:tab w:leader="none" w:pos="2538"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in the reasonable judgment of Landlord, the Premises and the Building cannot be substantially repaired and restored under applicable Laws within one (1) year from the date of the casualty;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318" w:right="339" w:bottom="1440" w:gutter="0" w:footer="0" w:header="0"/>
        </w:sectPr>
      </w:pPr>
    </w:p>
    <w:bookmarkStart w:id="124" w:name="page125"/>
    <w:bookmarkEnd w:id="124"/>
    <w:p>
      <w:pPr>
        <w:jc w:val="both"/>
        <w:ind w:left="1" w:firstLine="1729"/>
        <w:spacing w:after="0" w:line="242" w:lineRule="auto"/>
        <w:tabs>
          <w:tab w:leader="none" w:pos="2549"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in the reasonable judgment of Landlord, adequate proceeds are not, for any reason, made available to Landlord from Landlord’s insurance policies (and/or from Landlord’s funds made available for such purpose, at Landlord’s sole option) to make the required repairs;</w:t>
      </w:r>
    </w:p>
    <w:p>
      <w:pPr>
        <w:spacing w:after="0" w:line="167" w:lineRule="exact"/>
        <w:rPr>
          <w:rFonts w:ascii="Arial" w:cs="Arial" w:eastAsia="Arial" w:hAnsi="Arial"/>
          <w:sz w:val="20"/>
          <w:szCs w:val="20"/>
          <w:color w:val="auto"/>
        </w:rPr>
      </w:pPr>
    </w:p>
    <w:p>
      <w:pPr>
        <w:jc w:val="both"/>
        <w:ind w:left="1" w:firstLine="1729"/>
        <w:spacing w:after="0" w:line="242" w:lineRule="auto"/>
        <w:tabs>
          <w:tab w:leader="none" w:pos="2538"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the Building is damaged or destroyed to the extent that, in the reasonable judgment of Landlord, the cost to repair and restore the Building would exceed fifteen percent (15%) of the full replacement cost of the Building, whether or not the Premises are at all damaged or destroyed; or</w:t>
      </w:r>
    </w:p>
    <w:p>
      <w:pPr>
        <w:spacing w:after="0" w:line="167" w:lineRule="exact"/>
        <w:rPr>
          <w:rFonts w:ascii="Arial" w:cs="Arial" w:eastAsia="Arial" w:hAnsi="Arial"/>
          <w:sz w:val="20"/>
          <w:szCs w:val="20"/>
          <w:color w:val="auto"/>
        </w:rPr>
      </w:pPr>
    </w:p>
    <w:p>
      <w:pPr>
        <w:ind w:left="1" w:firstLine="1729"/>
        <w:spacing w:after="0" w:line="252" w:lineRule="auto"/>
        <w:tabs>
          <w:tab w:leader="none" w:pos="2549"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the fire or other casualty occurs during the last year of the Term or if upon completion of repair and restoration there would be less than one (1) year remaining in the Term.</w:t>
      </w:r>
    </w:p>
    <w:p>
      <w:pPr>
        <w:spacing w:after="0" w:line="159"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If any of the circumstances described in subparagraphs (a), (b), (c) or (d) of this Section 12.2 occur or arise, Landlord shall give Tenant notice within one hundred and twenty (120) days after the date of the casualty, specifying whether Landlord elects to terminate this Lease as provided above and, if not, Landlord’s estimate of the time required to complete Landlord’s repair obligations under this Lease.</w:t>
      </w:r>
    </w:p>
    <w:p>
      <w:pPr>
        <w:spacing w:after="0" w:line="134" w:lineRule="exact"/>
        <w:rPr>
          <w:sz w:val="20"/>
          <w:szCs w:val="20"/>
          <w:color w:val="auto"/>
        </w:rPr>
      </w:pPr>
    </w:p>
    <w:p>
      <w:pPr>
        <w:jc w:val="both"/>
        <w:ind w:left="1" w:firstLine="865"/>
        <w:spacing w:after="0" w:line="252"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Tenant’s Right to Terminate</w:t>
      </w:r>
      <w:r>
        <w:rPr>
          <w:rFonts w:ascii="Arial" w:cs="Arial" w:eastAsia="Arial" w:hAnsi="Arial"/>
          <w:sz w:val="19"/>
          <w:szCs w:val="19"/>
          <w:color w:val="auto"/>
        </w:rPr>
        <w:t xml:space="preserve">. If all or a substantial part of the Premises are rendered untenantable or inaccessible by damage to all or any part of the Building from fire or other casualty, and Landlord does not elect to terminate as provided above, then Tenant may elect to terminate this Lease if Landlord’s estimate of the time required to complete Landlord’s repair obligations under this Lease is greater than one (1) year, in which event Tenant may elect to terminate this Lease by giving Landlord notice of such election to terminate within thirty (30) days after Landlord’s notice to Tenant pursuant to Section 12.2 - </w:t>
      </w:r>
      <w:r>
        <w:rPr>
          <w:rFonts w:ascii="Arial" w:cs="Arial" w:eastAsia="Arial" w:hAnsi="Arial"/>
          <w:sz w:val="19"/>
          <w:szCs w:val="19"/>
          <w:i w:val="1"/>
          <w:iCs w:val="1"/>
          <w:color w:val="auto"/>
        </w:rPr>
        <w:t>Landlord’s Right to Terminate</w:t>
      </w:r>
      <w:r>
        <w:rPr>
          <w:rFonts w:ascii="Arial" w:cs="Arial" w:eastAsia="Arial" w:hAnsi="Arial"/>
          <w:sz w:val="19"/>
          <w:szCs w:val="19"/>
          <w:color w:val="auto"/>
        </w:rPr>
        <w:t>.</w:t>
      </w:r>
    </w:p>
    <w:p>
      <w:pPr>
        <w:spacing w:after="0" w:line="161" w:lineRule="exact"/>
        <w:rPr>
          <w:sz w:val="20"/>
          <w:szCs w:val="20"/>
          <w:color w:val="auto"/>
        </w:rPr>
      </w:pPr>
    </w:p>
    <w:p>
      <w:pPr>
        <w:jc w:val="both"/>
        <w:ind w:left="1" w:firstLine="865"/>
        <w:spacing w:after="0" w:line="282"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Landlord and Tenant each hereby waive the provisions of California Civil Code Sections 1932(2), 1933(4) and any other applicable existing or future Law permitting the termination of a lease agreement in the event of damage or destruction under any circumstances other than as provided in Sections 12.2 - </w:t>
      </w:r>
      <w:r>
        <w:rPr>
          <w:rFonts w:ascii="Arial" w:cs="Arial" w:eastAsia="Arial" w:hAnsi="Arial"/>
          <w:sz w:val="18"/>
          <w:szCs w:val="18"/>
          <w:i w:val="1"/>
          <w:iCs w:val="1"/>
          <w:color w:val="auto"/>
        </w:rPr>
        <w:t>Landlord’s Right to Terminate</w:t>
      </w:r>
      <w:r>
        <w:rPr>
          <w:rFonts w:ascii="Arial" w:cs="Arial" w:eastAsia="Arial" w:hAnsi="Arial"/>
          <w:sz w:val="18"/>
          <w:szCs w:val="18"/>
          <w:color w:val="auto"/>
        </w:rPr>
        <w:t xml:space="preserve"> and 12.3 - </w:t>
      </w:r>
      <w:r>
        <w:rPr>
          <w:rFonts w:ascii="Arial" w:cs="Arial" w:eastAsia="Arial" w:hAnsi="Arial"/>
          <w:sz w:val="18"/>
          <w:szCs w:val="18"/>
          <w:i w:val="1"/>
          <w:iCs w:val="1"/>
          <w:color w:val="auto"/>
        </w:rPr>
        <w:t>Tenant’s Right to Terminate</w:t>
      </w:r>
      <w:r>
        <w:rPr>
          <w:rFonts w:ascii="Arial" w:cs="Arial" w:eastAsia="Arial" w:hAnsi="Arial"/>
          <w:sz w:val="18"/>
          <w:szCs w:val="18"/>
          <w:color w:val="auto"/>
        </w:rPr>
        <w:t>.</w:t>
      </w:r>
    </w:p>
    <w:p>
      <w:pPr>
        <w:spacing w:after="0" w:line="134" w:lineRule="exact"/>
        <w:rPr>
          <w:sz w:val="20"/>
          <w:szCs w:val="20"/>
          <w:color w:val="auto"/>
        </w:rPr>
      </w:pPr>
    </w:p>
    <w:p>
      <w:pPr>
        <w:ind w:left="841" w:hanging="841"/>
        <w:spacing w:after="0"/>
        <w:tabs>
          <w:tab w:leader="none" w:pos="841" w:val="left"/>
        </w:tabs>
        <w:numPr>
          <w:ilvl w:val="0"/>
          <w:numId w:val="68"/>
        </w:numPr>
        <w:rPr>
          <w:rFonts w:ascii="Arial" w:cs="Arial" w:eastAsia="Arial" w:hAnsi="Arial"/>
          <w:sz w:val="20"/>
          <w:szCs w:val="20"/>
          <w:color w:val="auto"/>
        </w:rPr>
      </w:pPr>
      <w:r>
        <w:rPr>
          <w:rFonts w:ascii="Arial" w:cs="Arial" w:eastAsia="Arial" w:hAnsi="Arial"/>
          <w:sz w:val="20"/>
          <w:szCs w:val="20"/>
          <w:color w:val="auto"/>
        </w:rPr>
        <w:t>CONDEMNATION.</w:t>
      </w:r>
    </w:p>
    <w:p>
      <w:pPr>
        <w:spacing w:after="0" w:line="189" w:lineRule="exact"/>
        <w:rPr>
          <w:sz w:val="20"/>
          <w:szCs w:val="20"/>
          <w:color w:val="auto"/>
        </w:rPr>
      </w:pPr>
    </w:p>
    <w:p>
      <w:pPr>
        <w:ind w:left="861"/>
        <w:spacing w:after="0"/>
        <w:tabs>
          <w:tab w:leader="none" w:pos="1781"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83" w:lineRule="exact"/>
        <w:rPr>
          <w:sz w:val="20"/>
          <w:szCs w:val="20"/>
          <w:color w:val="auto"/>
        </w:rPr>
      </w:pPr>
    </w:p>
    <w:p>
      <w:pPr>
        <w:ind w:left="2541" w:hanging="811"/>
        <w:spacing w:after="0"/>
        <w:tabs>
          <w:tab w:leader="none" w:pos="2541"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shall mean all compensation, sums, or anything of value awarded, paid or received on a total or partial</w:t>
      </w:r>
    </w:p>
    <w:p>
      <w:pPr>
        <w:spacing w:after="0" w:line="60"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Condemnation.</w:t>
      </w:r>
    </w:p>
    <w:p>
      <w:pPr>
        <w:spacing w:after="0" w:line="167" w:lineRule="exact"/>
        <w:rPr>
          <w:sz w:val="20"/>
          <w:szCs w:val="20"/>
          <w:color w:val="auto"/>
        </w:rPr>
      </w:pPr>
    </w:p>
    <w:p>
      <w:pPr>
        <w:jc w:val="both"/>
        <w:ind w:left="1" w:firstLine="1729"/>
        <w:spacing w:after="0" w:line="276" w:lineRule="auto"/>
        <w:tabs>
          <w:tab w:leader="none" w:pos="25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shall mean (i) a permanent taking (or a temporary taking for a period extending beyond the end of the Term) pursuant to the exercise of the power of condemnation or eminent domain by any public or quasi-public authority, private corporation or individual having such power (“</w:t>
      </w:r>
      <w:r>
        <w:rPr>
          <w:rFonts w:ascii="Arial" w:cs="Arial" w:eastAsia="Arial" w:hAnsi="Arial"/>
          <w:sz w:val="18"/>
          <w:szCs w:val="18"/>
          <w:b w:val="1"/>
          <w:bCs w:val="1"/>
          <w:color w:val="auto"/>
        </w:rPr>
        <w:t>Condemnor</w:t>
      </w:r>
      <w:r>
        <w:rPr>
          <w:rFonts w:ascii="Arial" w:cs="Arial" w:eastAsia="Arial" w:hAnsi="Arial"/>
          <w:sz w:val="18"/>
          <w:szCs w:val="18"/>
          <w:color w:val="auto"/>
        </w:rPr>
        <w:t>”), whether by legal proceedings or otherwise, or (ii) a voluntary sale or transfer by Landlord to any such authority, either under threat of condemnation or while legal proceedings for condemnation are pending.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318" w:right="339" w:bottom="1440" w:gutter="0" w:footer="0" w:header="0"/>
        </w:sectPr>
      </w:pPr>
    </w:p>
    <w:bookmarkStart w:id="125" w:name="page126"/>
    <w:bookmarkEnd w:id="125"/>
    <w:p>
      <w:pPr>
        <w:ind w:right="20" w:firstLine="1729"/>
        <w:spacing w:after="0" w:line="258" w:lineRule="auto"/>
        <w:tabs>
          <w:tab w:leader="none" w:pos="2536"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Date of Condemnation</w:t>
      </w:r>
      <w:r>
        <w:rPr>
          <w:rFonts w:ascii="Arial" w:cs="Arial" w:eastAsia="Arial" w:hAnsi="Arial"/>
          <w:sz w:val="20"/>
          <w:szCs w:val="20"/>
          <w:color w:val="auto"/>
        </w:rPr>
        <w:t>” shall mean the earlier of the date that title to the property taken is vested in the Condemnor or the date the Condemnor has the right to possession of the property being condemned.</w:t>
      </w:r>
    </w:p>
    <w:p>
      <w:pPr>
        <w:spacing w:after="0" w:line="153"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u w:val="single" w:color="auto"/>
          <w:color w:val="auto"/>
        </w:rPr>
        <w:t>Effect on Lease</w:t>
      </w:r>
      <w:r>
        <w:rPr>
          <w:rFonts w:ascii="Arial" w:cs="Arial" w:eastAsia="Arial" w:hAnsi="Arial"/>
          <w:sz w:val="16"/>
          <w:szCs w:val="16"/>
          <w:color w:val="auto"/>
        </w:rPr>
        <w:t>.</w:t>
      </w:r>
    </w:p>
    <w:p>
      <w:pPr>
        <w:spacing w:after="0" w:line="189" w:lineRule="exact"/>
        <w:rPr>
          <w:sz w:val="20"/>
          <w:szCs w:val="20"/>
          <w:color w:val="auto"/>
        </w:rPr>
      </w:pPr>
    </w:p>
    <w:p>
      <w:pPr>
        <w:jc w:val="both"/>
        <w:ind w:firstLine="1729"/>
        <w:spacing w:after="0" w:line="235" w:lineRule="auto"/>
        <w:tabs>
          <w:tab w:leader="none" w:pos="2536"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the Premises are totally taken by Condemnation, this Lease shall terminate as of the Date of Condemnation. If a portion but not all of the Premises is taken by Condemnation, this Lease shall remain in effect; provided, however, that if the portion of the Premises remaining after the Condemnation will be unsuitable for Tenant’s continued use, then upon notice to Landlord within thirty (30) days after Landlord notifies Tenant of the Condemnation, Tenant may terminate this Lease effective as of the Date of Condemnation; provided, however, that a regulatory action, ordinance or Law limiting or temporarily prohibiting Tenant’s right to enter or use the Premises or the Building shall not be construed as a taking or appropriation hereunder and Tenant shall have no right to rent abatement or termination right as a result thereof.</w:t>
      </w:r>
    </w:p>
    <w:p>
      <w:pPr>
        <w:spacing w:after="0" w:line="175" w:lineRule="exact"/>
        <w:rPr>
          <w:rFonts w:ascii="Arial" w:cs="Arial" w:eastAsia="Arial" w:hAnsi="Arial"/>
          <w:sz w:val="20"/>
          <w:szCs w:val="20"/>
          <w:color w:val="auto"/>
        </w:rPr>
      </w:pPr>
    </w:p>
    <w:p>
      <w:pPr>
        <w:jc w:val="both"/>
        <w:ind w:right="20" w:firstLine="1729"/>
        <w:spacing w:after="0" w:line="274" w:lineRule="auto"/>
        <w:tabs>
          <w:tab w:leader="none" w:pos="25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fifteen percent (15%) or more of the Project or of the parcel(s) of land on which the Building is situated or of the Parking Facility or of the floor area in the Building is taken by Condemnation, or if as a result of any Condemnation the Building is no longer reasonably suitable for use as an office building, whether or not any portion of the Premises is taken, Landlord may elect to terminate this Lease, effective as of the Date of Condemnation, by notice to Tenant within thirty (30) days after the Date of Condemnation.</w:t>
      </w:r>
    </w:p>
    <w:p>
      <w:pPr>
        <w:spacing w:after="0" w:line="140" w:lineRule="exact"/>
        <w:rPr>
          <w:rFonts w:ascii="Arial" w:cs="Arial" w:eastAsia="Arial" w:hAnsi="Arial"/>
          <w:sz w:val="18"/>
          <w:szCs w:val="18"/>
          <w:color w:val="auto"/>
        </w:rPr>
      </w:pPr>
    </w:p>
    <w:p>
      <w:pPr>
        <w:ind w:right="20" w:firstLine="1729"/>
        <w:spacing w:after="0" w:line="252" w:lineRule="auto"/>
        <w:tabs>
          <w:tab w:leader="none" w:pos="2536"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all or a portion of the Premises is temporarily taken by a Condemnor for a period not extending beyond the end of the Term, this Lease shall remain in full force and effect.</w:t>
      </w:r>
    </w:p>
    <w:p>
      <w:pPr>
        <w:spacing w:after="0" w:line="159" w:lineRule="exact"/>
        <w:rPr>
          <w:sz w:val="20"/>
          <w:szCs w:val="20"/>
          <w:color w:val="auto"/>
        </w:rPr>
      </w:pPr>
    </w:p>
    <w:p>
      <w:pPr>
        <w:jc w:val="both"/>
        <w:ind w:right="20" w:firstLine="865"/>
        <w:spacing w:after="0" w:line="306"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Restoration</w:t>
      </w:r>
      <w:r>
        <w:rPr>
          <w:rFonts w:ascii="Arial" w:cs="Arial" w:eastAsia="Arial" w:hAnsi="Arial"/>
          <w:sz w:val="16"/>
          <w:szCs w:val="16"/>
          <w:color w:val="auto"/>
        </w:rPr>
        <w:t xml:space="preserve">. If this Lease is not terminated as provided in Section 13.2 - </w:t>
      </w:r>
      <w:r>
        <w:rPr>
          <w:rFonts w:ascii="Arial" w:cs="Arial" w:eastAsia="Arial" w:hAnsi="Arial"/>
          <w:sz w:val="16"/>
          <w:szCs w:val="16"/>
          <w:i w:val="1"/>
          <w:iCs w:val="1"/>
          <w:color w:val="auto"/>
        </w:rPr>
        <w:t>Effect on Lease</w:t>
      </w:r>
      <w:r>
        <w:rPr>
          <w:rFonts w:ascii="Arial" w:cs="Arial" w:eastAsia="Arial" w:hAnsi="Arial"/>
          <w:sz w:val="16"/>
          <w:szCs w:val="16"/>
          <w:color w:val="auto"/>
        </w:rPr>
        <w:t>, Landlord, at its expense, shall diligently proceed to repair and restore the Premises to substantially its former condition (to the extent permitted by then applicable Laws) and/or repair and restore the Building to an architecturally complete office building; provided, however, that Landlord’s obligations to so repair and restore shall be limited to the amount of any Award received by Landlord and not required to be paid to any Mortgagee (as defined in Section 20.2 below). In no event shall Landlord have any obligation to repair or replace any improvements in the Premises beyond the amount of any Award received by Landlord for such repair or to repair or replace any of Tenant’s personal property, Trade Fixtures, or Alterations.</w:t>
      </w:r>
    </w:p>
    <w:p>
      <w:pPr>
        <w:spacing w:after="0" w:line="122"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Abatement and Reduction of Rent</w:t>
      </w:r>
      <w:r>
        <w:rPr>
          <w:rFonts w:ascii="Arial" w:cs="Arial" w:eastAsia="Arial" w:hAnsi="Arial"/>
          <w:sz w:val="18"/>
          <w:szCs w:val="18"/>
          <w:color w:val="auto"/>
        </w:rPr>
        <w:t>. If any portion of the Premises is taken in a Condemnation or is rendered permanently untenantable by repairs necessitated by the Condemnation, and this Lease is not terminated, the Base Rent and Additional Rent payable under this Lease shall be proportionally reduced as of the Date of Condemnation based upon the percentage of rentable square feet in the Premises so taken or rendered permanently untenantable. In addition, if this Lease remains in effect following a Condemnation and Landlord proceeds to repair and restore the Premises, the Base Rent and Additional Rent payable under this Lease shall be abated during the period of such repair or restoration to the extent such repairs prevent Tenant’s use of the Premises.</w:t>
      </w:r>
    </w:p>
    <w:p>
      <w:pPr>
        <w:spacing w:after="0" w:line="148" w:lineRule="exact"/>
        <w:rPr>
          <w:sz w:val="20"/>
          <w:szCs w:val="20"/>
          <w:color w:val="auto"/>
        </w:rPr>
      </w:pPr>
    </w:p>
    <w:p>
      <w:pPr>
        <w:jc w:val="both"/>
        <w:ind w:firstLine="865"/>
        <w:spacing w:after="0" w:line="242"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Awards</w:t>
      </w:r>
      <w:r>
        <w:rPr>
          <w:rFonts w:ascii="Arial" w:cs="Arial" w:eastAsia="Arial" w:hAnsi="Arial"/>
          <w:sz w:val="20"/>
          <w:szCs w:val="20"/>
          <w:color w:val="auto"/>
        </w:rPr>
        <w:t>. Any Award made shall be paid to Landlord, and Tenant hereby assigns to Landlord, and waives all interest in or claim to, any such Award, including any claim for the value of the unexpired Term; provided, however, that Tenant shall be entitled to receive, or to prosecute a</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26" w:name="page127"/>
    <w:bookmarkEnd w:id="126"/>
    <w:p>
      <w:pPr>
        <w:jc w:val="both"/>
        <w:ind w:left="1" w:right="20"/>
        <w:spacing w:after="0" w:line="274" w:lineRule="auto"/>
        <w:rPr>
          <w:sz w:val="20"/>
          <w:szCs w:val="20"/>
          <w:color w:val="auto"/>
        </w:rPr>
      </w:pPr>
      <w:r>
        <w:rPr>
          <w:rFonts w:ascii="Arial" w:cs="Arial" w:eastAsia="Arial" w:hAnsi="Arial"/>
          <w:sz w:val="18"/>
          <w:szCs w:val="18"/>
          <w:color w:val="auto"/>
        </w:rPr>
        <w:t>separate claim for, an Award for a temporary taking of the Premises or a portion thereof by a Condemnor where this Lease is not terminated (to the extent such Award relates to the unexpired Term), or an Award or portion thereof separately designated for relocation expenses or the interruption of or damage to Tenant’s business or as compensation for Tenant’s personal property, Trade Fixtures or Alterations, provided that in no event will any Award to Tenant reduce any Award to which Landlord would otherwise be entitled.</w:t>
      </w:r>
    </w:p>
    <w:p>
      <w:pPr>
        <w:spacing w:after="0" w:line="140" w:lineRule="exact"/>
        <w:rPr>
          <w:sz w:val="20"/>
          <w:szCs w:val="20"/>
          <w:color w:val="auto"/>
        </w:rPr>
      </w:pPr>
    </w:p>
    <w:p>
      <w:pPr>
        <w:jc w:val="both"/>
        <w:ind w:left="1" w:right="20" w:firstLine="865"/>
        <w:spacing w:after="0" w:line="242"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Waiver</w:t>
      </w:r>
      <w:r>
        <w:rPr>
          <w:rFonts w:ascii="Arial" w:cs="Arial" w:eastAsia="Arial" w:hAnsi="Arial"/>
          <w:sz w:val="20"/>
          <w:szCs w:val="20"/>
          <w:color w:val="auto"/>
        </w:rPr>
        <w:t>. Landlord and Tenant each hereby waive the provisions of California Code of Civil Procedure Section 1265.130 and any other applicable existing or future Law allowing either party to petition for a termination of this Lease upon a partial taking of the Premises and/or the Project.</w:t>
      </w:r>
    </w:p>
    <w:p>
      <w:pPr>
        <w:spacing w:after="0" w:line="168" w:lineRule="exact"/>
        <w:rPr>
          <w:sz w:val="20"/>
          <w:szCs w:val="20"/>
          <w:color w:val="auto"/>
        </w:rPr>
      </w:pPr>
    </w:p>
    <w:p>
      <w:pPr>
        <w:ind w:left="841" w:hanging="841"/>
        <w:spacing w:after="0"/>
        <w:tabs>
          <w:tab w:leader="none" w:pos="841" w:val="left"/>
        </w:tabs>
        <w:numPr>
          <w:ilvl w:val="0"/>
          <w:numId w:val="73"/>
        </w:numPr>
        <w:rPr>
          <w:rFonts w:ascii="Arial" w:cs="Arial" w:eastAsia="Arial" w:hAnsi="Arial"/>
          <w:sz w:val="20"/>
          <w:szCs w:val="20"/>
          <w:color w:val="auto"/>
        </w:rPr>
      </w:pPr>
      <w:r>
        <w:rPr>
          <w:rFonts w:ascii="Arial" w:cs="Arial" w:eastAsia="Arial" w:hAnsi="Arial"/>
          <w:sz w:val="20"/>
          <w:szCs w:val="20"/>
          <w:color w:val="auto"/>
        </w:rPr>
        <w:t>ASSIGNMENT AND SUBLETTING.</w:t>
      </w:r>
    </w:p>
    <w:p>
      <w:pPr>
        <w:spacing w:after="0" w:line="189" w:lineRule="exact"/>
        <w:rPr>
          <w:sz w:val="20"/>
          <w:szCs w:val="20"/>
          <w:color w:val="auto"/>
        </w:rPr>
      </w:pPr>
    </w:p>
    <w:p>
      <w:pPr>
        <w:jc w:val="both"/>
        <w:ind w:left="1" w:firstLine="865"/>
        <w:spacing w:after="0" w:line="263"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Landlord’s Consent Required</w:t>
      </w:r>
      <w:r>
        <w:rPr>
          <w:rFonts w:ascii="Arial" w:cs="Arial" w:eastAsia="Arial" w:hAnsi="Arial"/>
          <w:sz w:val="18"/>
          <w:szCs w:val="18"/>
          <w:color w:val="auto"/>
        </w:rPr>
        <w:t>. Tenant shall not assign this Lease or any interest therein, or sublet or license or permit the use or occupancy of the Premises or any part thereof by or for the benefit of anyone other than Tenant, or in any other manner transfer all or any part of Tenant’s interest under this Lease (each and all a “</w:t>
      </w:r>
      <w:r>
        <w:rPr>
          <w:rFonts w:ascii="Arial" w:cs="Arial" w:eastAsia="Arial" w:hAnsi="Arial"/>
          <w:sz w:val="18"/>
          <w:szCs w:val="18"/>
          <w:b w:val="1"/>
          <w:bCs w:val="1"/>
          <w:color w:val="auto"/>
        </w:rPr>
        <w:t>Transfer</w:t>
      </w:r>
      <w:r>
        <w:rPr>
          <w:rFonts w:ascii="Arial" w:cs="Arial" w:eastAsia="Arial" w:hAnsi="Arial"/>
          <w:sz w:val="18"/>
          <w:szCs w:val="18"/>
          <w:color w:val="auto"/>
        </w:rPr>
        <w:t>”), without the prior written consent of Landlord, which consent (subject to the other provisions of this Section 14) shall not be unreasonably withheld or delayed. If Tenant is a business entity, any direct or indirect transfer of fifty percent (50%) or more of the ownership interest of the entity (whether in a single transaction or in the aggregate through more than one transaction), including a merger or consolidation, shall be deemed a Transfer. Notwithstanding any provision in this Lease to the contrary, Tenant shall not mortgage, pledge, hypothecate or otherwise encumber this Lease or all or any part of Tenant’s interest under this Lease. Any assignee, subtenant, user or other transferee under any proposed Transfer is herein called a “</w:t>
      </w:r>
      <w:r>
        <w:rPr>
          <w:rFonts w:ascii="Arial" w:cs="Arial" w:eastAsia="Arial" w:hAnsi="Arial"/>
          <w:sz w:val="18"/>
          <w:szCs w:val="18"/>
          <w:b w:val="1"/>
          <w:bCs w:val="1"/>
          <w:color w:val="auto"/>
        </w:rPr>
        <w:t>Proposed Transferee</w:t>
      </w:r>
      <w:r>
        <w:rPr>
          <w:rFonts w:ascii="Arial" w:cs="Arial" w:eastAsia="Arial" w:hAnsi="Arial"/>
          <w:sz w:val="18"/>
          <w:szCs w:val="18"/>
          <w:color w:val="auto"/>
        </w:rPr>
        <w:t>”. Any assignee, subtenant, user or other transferee is herein called a “</w:t>
      </w:r>
      <w:r>
        <w:rPr>
          <w:rFonts w:ascii="Arial" w:cs="Arial" w:eastAsia="Arial" w:hAnsi="Arial"/>
          <w:sz w:val="18"/>
          <w:szCs w:val="18"/>
          <w:b w:val="1"/>
          <w:bCs w:val="1"/>
          <w:color w:val="auto"/>
        </w:rPr>
        <w:t>Transferee</w:t>
      </w:r>
      <w:r>
        <w:rPr>
          <w:rFonts w:ascii="Arial" w:cs="Arial" w:eastAsia="Arial" w:hAnsi="Arial"/>
          <w:sz w:val="18"/>
          <w:szCs w:val="18"/>
          <w:color w:val="auto"/>
        </w:rPr>
        <w:t>”.</w:t>
      </w:r>
    </w:p>
    <w:p>
      <w:pPr>
        <w:spacing w:after="0" w:line="154" w:lineRule="exact"/>
        <w:rPr>
          <w:sz w:val="20"/>
          <w:szCs w:val="20"/>
          <w:color w:val="auto"/>
        </w:rPr>
      </w:pPr>
    </w:p>
    <w:p>
      <w:pPr>
        <w:ind w:left="861"/>
        <w:spacing w:after="0"/>
        <w:tabs>
          <w:tab w:leader="none" w:pos="1781"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u w:val="single" w:color="auto"/>
          <w:color w:val="auto"/>
        </w:rPr>
        <w:t>Reasonable Consent</w:t>
      </w:r>
      <w:r>
        <w:rPr>
          <w:rFonts w:ascii="Arial" w:cs="Arial" w:eastAsia="Arial" w:hAnsi="Arial"/>
          <w:sz w:val="16"/>
          <w:szCs w:val="16"/>
          <w:color w:val="auto"/>
        </w:rPr>
        <w:t>.</w:t>
      </w:r>
    </w:p>
    <w:p>
      <w:pPr>
        <w:spacing w:after="0" w:line="189" w:lineRule="exact"/>
        <w:rPr>
          <w:sz w:val="20"/>
          <w:szCs w:val="20"/>
          <w:color w:val="auto"/>
        </w:rPr>
      </w:pPr>
    </w:p>
    <w:p>
      <w:pPr>
        <w:jc w:val="both"/>
        <w:ind w:left="1" w:firstLine="1729"/>
        <w:spacing w:after="0" w:line="267" w:lineRule="auto"/>
        <w:tabs>
          <w:tab w:leader="none" w:pos="25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At least thirty (30) days prior to any proposed Transfer, Tenant shall submit in writing to Landlord (i) the name and legal composition of the Proposed Transferee; (ii) the nature of the business proposed to be carried on in the Premises; (iii) a current balance sheet, and income and cash flow statements for the last three (3) years and such other reasonable financial and other information concerning the Proposed Transferee as Landlord may request; and (iv) a copy of the proposed assignment, sublease or other agreement governing the proposed Transfer in final form. Within thirty (30) days after Landlord receives all such information it shall notify Tenant whether it approves or disapproves such Transfer or if it elects to proceed under Section 14.7 - </w:t>
      </w:r>
      <w:r>
        <w:rPr>
          <w:rFonts w:ascii="Arial" w:cs="Arial" w:eastAsia="Arial" w:hAnsi="Arial"/>
          <w:sz w:val="18"/>
          <w:szCs w:val="18"/>
          <w:i w:val="1"/>
          <w:iCs w:val="1"/>
          <w:color w:val="auto"/>
        </w:rPr>
        <w:t>Landlord’s Right to Space</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jc w:val="both"/>
        <w:ind w:left="1" w:right="20" w:firstLine="1729"/>
        <w:spacing w:after="0" w:line="250" w:lineRule="auto"/>
        <w:tabs>
          <w:tab w:leader="none" w:pos="254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Tenant acknowledges and agrees that, among other circumstances for which Landlord could reasonably withhold consent to a proposed Transfer, it shall be reasonable for Landlord to withhold consent where (i) the Proposed Transferee does not intend itself to occupy the entire portion of the Premises assigned or sublet, (ii) Landlord reasonably disapproves of the Proposed Transferee’s business operating ability or history, reputation or creditworthiness or the character of the business to be conducted by the Proposed Transferee at the Premises, (iii) the Proposed Transferee is a governmental agency or unit or an existing tenant or an affiliate of an existing tenant in the Project (provided, however, Landlord will not withhold its consent solely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27" w:name="page128"/>
    <w:bookmarkEnd w:id="127"/>
    <w:p>
      <w:pPr>
        <w:jc w:val="both"/>
        <w:ind w:left="1" w:right="20"/>
        <w:spacing w:after="0" w:line="261" w:lineRule="auto"/>
        <w:rPr>
          <w:sz w:val="20"/>
          <w:szCs w:val="20"/>
          <w:color w:val="auto"/>
        </w:rPr>
      </w:pPr>
      <w:r>
        <w:rPr>
          <w:rFonts w:ascii="Arial" w:cs="Arial" w:eastAsia="Arial" w:hAnsi="Arial"/>
          <w:sz w:val="18"/>
          <w:szCs w:val="18"/>
          <w:color w:val="auto"/>
        </w:rPr>
        <w:t>because the proposed subtenant or assignee is an existing tenant of the Project or affiliate of an existing tenant of the Project if Landlord does not have space available for lease in the Project that is comparable to the space Tenant desires to sublet or assign. Landlord shall be deemed to have comparable space if it has, or will have, space available in the Project that is approximately the same size as the space Tenant desires to sublet or assign within 4 months of the proposed commencement of the proposed sublease or assignment), (iv) the proposed Transfer would violate any “exclusive” rights of any tenants in the Project, (v) Landlord or Landlord’s agent has shown space in the Project to the Proposed Transferee or responded to any inquiries from the Proposed Transferee or the Proposed Transferee’s agent concerning availability of space in the Project, at any time within the preceding nine months, (vi) a proposed Transfer would violate any Encumbrance, (vii) any Mortgagee objects to the proposed Transfer, (viii) the proposed agreement governing the Transfer purports to expand the Tenant’s rights under the Lease, or modify or constrain any of Landlord’s rights under the Lease, (ix) Landlord otherwise reasonably determines that the proposed Transfer would have the effect of decreasing the value of the Project or increasing the expenses associated with operating, maintaining and repairing the Project, (x) the Proposed Transferee is a tenant in the Project, or (xi) the financial strength of the Proposed Transferee at the time of the proposed Transfer is not at least equal to that of Tenant at the time of execution of this Lease. In no event may Tenant publicly offer or advertise all or any portion of the Premises for assignment or sublease at a rental less than that then sought by Landlord for a direct lease (non-sublease) of comparable space in the Project.</w:t>
      </w:r>
    </w:p>
    <w:p>
      <w:pPr>
        <w:spacing w:after="0" w:line="155" w:lineRule="exact"/>
        <w:rPr>
          <w:sz w:val="20"/>
          <w:szCs w:val="20"/>
          <w:color w:val="auto"/>
        </w:rPr>
      </w:pPr>
    </w:p>
    <w:p>
      <w:pPr>
        <w:ind w:left="861"/>
        <w:spacing w:after="0"/>
        <w:tabs>
          <w:tab w:leader="none" w:pos="1781"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u w:val="single" w:color="auto"/>
          <w:color w:val="auto"/>
        </w:rPr>
        <w:t>Excess Consideration</w:t>
      </w:r>
      <w:r>
        <w:rPr>
          <w:rFonts w:ascii="Arial" w:cs="Arial" w:eastAsia="Arial" w:hAnsi="Arial"/>
          <w:sz w:val="18"/>
          <w:szCs w:val="18"/>
          <w:color w:val="auto"/>
        </w:rPr>
        <w:t>. If Landlord consents to a Transfer, Tenant shall pay to Landlord, as Additional Rent, within ten</w:t>
      </w:r>
    </w:p>
    <w:p>
      <w:pPr>
        <w:spacing w:after="0" w:line="8" w:lineRule="exact"/>
        <w:rPr>
          <w:sz w:val="20"/>
          <w:szCs w:val="20"/>
          <w:color w:val="auto"/>
        </w:rPr>
      </w:pPr>
    </w:p>
    <w:p>
      <w:pPr>
        <w:jc w:val="both"/>
        <w:ind w:left="1" w:hanging="1"/>
        <w:spacing w:after="0" w:line="261"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days after receipt by Tenant, fifty percent (50%) of all “</w:t>
      </w:r>
      <w:r>
        <w:rPr>
          <w:rFonts w:ascii="Arial" w:cs="Arial" w:eastAsia="Arial" w:hAnsi="Arial"/>
          <w:sz w:val="18"/>
          <w:szCs w:val="18"/>
          <w:b w:val="1"/>
          <w:bCs w:val="1"/>
          <w:color w:val="auto"/>
        </w:rPr>
        <w:t>Transfer Consideration</w:t>
      </w:r>
      <w:r>
        <w:rPr>
          <w:rFonts w:ascii="Arial" w:cs="Arial" w:eastAsia="Arial" w:hAnsi="Arial"/>
          <w:sz w:val="18"/>
          <w:szCs w:val="18"/>
          <w:color w:val="auto"/>
        </w:rPr>
        <w:t>”, which shall mean any consideration paid or payable by the Transferee for the Transfer. In the case of a sublease, Transfer Consideration includes any “key money” or other non-rent consideration payable in connection with the sublease, plus the excess of the rent payable by the subtenant over the amount of Base Rent and Additional Rent payable hereunder applicable to the subleased space, less the direct, out-of-pocket expenses and costs for necessary Alterations and brokerage commission costs paid by Tenant to procure the subtenant. Any such costs for Alterations and brokerage commissions shall be amortized on a straight basis over the term of the sublease. In the case of an assignment (including any Transfer resulting from a change in ownership, merger or consolidation), Transfer Consideration includes the value of the Lease (whether or not expressly allocated or otherwise provided for in such transaction) and any other consideration paid or payable by the Transferee for the assignment of the Lease.</w:t>
      </w:r>
    </w:p>
    <w:p>
      <w:pPr>
        <w:spacing w:after="0" w:line="157" w:lineRule="exact"/>
        <w:rPr>
          <w:sz w:val="20"/>
          <w:szCs w:val="20"/>
          <w:color w:val="auto"/>
        </w:rPr>
      </w:pPr>
    </w:p>
    <w:p>
      <w:pPr>
        <w:jc w:val="both"/>
        <w:ind w:left="1" w:firstLine="865"/>
        <w:spacing w:after="0" w:line="248"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No Release Of Tenant</w:t>
      </w:r>
      <w:r>
        <w:rPr>
          <w:rFonts w:ascii="Arial" w:cs="Arial" w:eastAsia="Arial" w:hAnsi="Arial"/>
          <w:sz w:val="19"/>
          <w:szCs w:val="19"/>
          <w:color w:val="auto"/>
        </w:rPr>
        <w:t>. No consent by Landlord to any Transfer shall relieve Tenant of any obligation to be performed by Tenant under this Lease, whether occurring before or after such consent, assignment, subletting or other Transfer. Each Transferee shall be jointly and severally liable with Tenant (and Tenant shall be jointly and severally liable with each Transferee) for the payment of rent (or, in the case of a sublease, rent in the amount set forth in the sublease) and for the performance of all other terms and provisions of this Lease. The consent by Landlord to any Transfer shall not relieve Tenant or any such Transferee from the obligation to obtain Landlord’s express prior written consent to any subsequent Transfer by Tenant or any Transferee. The acceptance of rent by Landlord from any other person (whether or not such person is an occupant of the Premises) shall not be deemed to be a waiver by Landlord of any provision of this Lease or to be a consent to any Transfer.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28" w:name="page129"/>
    <w:bookmarkEnd w:id="128"/>
    <w:p>
      <w:pPr>
        <w:jc w:val="both"/>
        <w:ind w:right="20" w:firstLine="865"/>
        <w:spacing w:after="0" w:line="250"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Expenses and Attorneys’ Fees</w:t>
      </w:r>
      <w:r>
        <w:rPr>
          <w:rFonts w:ascii="Arial" w:cs="Arial" w:eastAsia="Arial" w:hAnsi="Arial"/>
          <w:sz w:val="19"/>
          <w:szCs w:val="19"/>
          <w:color w:val="auto"/>
        </w:rPr>
        <w:t>. Tenant shall pay to Landlord on demand all costs and expenses (including reasonable attorneys’ fees) incurred by Landlord in connection with reviewing or consenting to any proposed Transfer (including any request for consent to, or any waiver of Landlord’s rights in connection with, any security interest in any of Tenant’s property at the Premises). Notwithstanding the foregoing, provided that neither the Tenant nor the Proposed Transferee requests any material changes to this Lease or Landlord’s standard form of consent in connection with the proposed Transfer, the attorney’s fees payable by Tenant pursuant to this Section 14.5 shall not exceed $5,000.00 for such proposed Transfer.</w:t>
      </w:r>
    </w:p>
    <w:p>
      <w:pPr>
        <w:spacing w:after="0" w:line="164" w:lineRule="exact"/>
        <w:rPr>
          <w:sz w:val="20"/>
          <w:szCs w:val="20"/>
          <w:color w:val="auto"/>
        </w:rPr>
      </w:pPr>
    </w:p>
    <w:p>
      <w:pPr>
        <w:jc w:val="both"/>
        <w:ind w:right="20" w:firstLine="865"/>
        <w:spacing w:after="0" w:line="265"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Effectiveness of Transfer</w:t>
      </w:r>
      <w:r>
        <w:rPr>
          <w:rFonts w:ascii="Arial" w:cs="Arial" w:eastAsia="Arial" w:hAnsi="Arial"/>
          <w:sz w:val="18"/>
          <w:szCs w:val="18"/>
          <w:color w:val="auto"/>
        </w:rPr>
        <w:t>. Prior to the date on which any Transfer (whether or not requiring Landlord’s consent) becomes effective, Tenant shall deliver to Landlord a counterpart of the fully executed Transfer document and Landlord’s standard form of Consent to Assignment or Consent to Sublease executed by Tenant and the Transferee in which each of Tenant and the Transferee confirms its obligations pursuant to this Lease. Failure or refusal of a Transferee to execute any such instrument shall not release or discharge the Transferee from liability as provided herein. The voluntary, involuntary or other surrender of this Lease by Tenant, or a mutual cancellation by Landlord and Tenant, shall not work a merger, and any such surrender or cancellation shall, at the option of Landlord, either terminate all or any existing subleases or operate as an assignment to Landlord of any or all of such subleases.</w:t>
      </w:r>
    </w:p>
    <w:p>
      <w:pPr>
        <w:spacing w:after="0" w:line="152" w:lineRule="exact"/>
        <w:rPr>
          <w:sz w:val="20"/>
          <w:szCs w:val="20"/>
          <w:color w:val="auto"/>
        </w:rPr>
      </w:pPr>
    </w:p>
    <w:p>
      <w:pPr>
        <w:jc w:val="both"/>
        <w:ind w:firstLine="865"/>
        <w:spacing w:after="0" w:line="303"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Landlord’s Right to Space</w:t>
      </w:r>
      <w:r>
        <w:rPr>
          <w:rFonts w:ascii="Arial" w:cs="Arial" w:eastAsia="Arial" w:hAnsi="Arial"/>
          <w:sz w:val="16"/>
          <w:szCs w:val="16"/>
          <w:color w:val="auto"/>
        </w:rPr>
        <w:t>. Notwithstanding any of the above provisions of this Section to the contrary, if Tenant notifies Landlord that it desires to enter into a Transfer, Landlord, in lieu of consenting to such Transfer, may elect by written notice to Tenant within thirty (30) days following submission to Landlord by Tenant of the information specified in Section 14.2, (a) in the case of an assignment or a sublease of the entire Premises, to terminate this Lease, or (b) in the case of a sublease of less than the entire Premises, to terminate this Lease as it relates to the space proposed to be subleased by Tenant. In such event, this Lease will terminate (or the space proposed to be subleased will be removed from the Premises subject to this Lease and the Base Rent and Tenant’s Share under this Lease shall be proportionately reduced) as of the termination date specified in such, and Landlord may lease such space to any party, including the prospective Transferee identified by Tenant.</w:t>
      </w:r>
    </w:p>
    <w:p>
      <w:pPr>
        <w:spacing w:after="0" w:line="126" w:lineRule="exact"/>
        <w:rPr>
          <w:sz w:val="20"/>
          <w:szCs w:val="20"/>
          <w:color w:val="auto"/>
        </w:rPr>
      </w:pPr>
    </w:p>
    <w:p>
      <w:pPr>
        <w:jc w:val="both"/>
        <w:ind w:right="20" w:firstLine="865"/>
        <w:spacing w:after="0" w:line="267"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Assignment of Sublease Rents</w:t>
      </w:r>
      <w:r>
        <w:rPr>
          <w:rFonts w:ascii="Arial" w:cs="Arial" w:eastAsia="Arial" w:hAnsi="Arial"/>
          <w:sz w:val="18"/>
          <w:szCs w:val="18"/>
          <w:color w:val="auto"/>
        </w:rPr>
        <w:t>. Tenant hereby absolutely and irrevocably assigns to Landlord any and all rights to receive rent and other consideration from any sublease and agrees that Landlord, as assignee or as attorney-in-fact for Tenant for purposes hereof, or a receiver for Tenant appointed on Landlord’s application may (but shall not be obligated to) collect such rents and other consideration and apply the same toward Tenant’s obligations to Landlord under this Lease; provided, however, that Landlord grants to Tenant at all times prior to occurrence of any breach or default by Tenant a revocable license to collect such rents (which license shall automatically and without notice be and be deemed to have been revoked and terminated immediately upon any Event of Default).</w:t>
      </w:r>
    </w:p>
    <w:p>
      <w:pPr>
        <w:spacing w:after="0" w:line="148" w:lineRule="exact"/>
        <w:rPr>
          <w:sz w:val="20"/>
          <w:szCs w:val="20"/>
          <w:color w:val="auto"/>
        </w:rPr>
      </w:pPr>
    </w:p>
    <w:p>
      <w:pPr>
        <w:jc w:val="both"/>
        <w:ind w:right="20" w:firstLine="865"/>
        <w:spacing w:after="0" w:line="238" w:lineRule="auto"/>
        <w:rPr>
          <w:sz w:val="20"/>
          <w:szCs w:val="20"/>
          <w:color w:val="auto"/>
        </w:rPr>
      </w:pPr>
      <w:r>
        <w:rPr>
          <w:rFonts w:ascii="Arial" w:cs="Arial" w:eastAsia="Arial" w:hAnsi="Arial"/>
          <w:sz w:val="20"/>
          <w:szCs w:val="20"/>
          <w:color w:val="auto"/>
        </w:rPr>
        <w:t xml:space="preserve">14.9 </w:t>
      </w:r>
      <w:r>
        <w:rPr>
          <w:rFonts w:ascii="Arial" w:cs="Arial" w:eastAsia="Arial" w:hAnsi="Arial"/>
          <w:sz w:val="20"/>
          <w:szCs w:val="20"/>
          <w:u w:val="single" w:color="auto"/>
          <w:color w:val="auto"/>
        </w:rPr>
        <w:t>Permitted Transfers</w:t>
      </w:r>
      <w:r>
        <w:rPr>
          <w:rFonts w:ascii="Arial" w:cs="Arial" w:eastAsia="Arial" w:hAnsi="Arial"/>
          <w:sz w:val="20"/>
          <w:szCs w:val="20"/>
          <w:color w:val="auto"/>
        </w:rPr>
        <w:t>. Notwithstanding any provision contained in this Section 14 to the contrary, Tenant shall have the right, without the consent of Landlord, upon ten (10) days prior written notice to Landlord, to Transfer this Lease to any of the following entities (each a “</w:t>
      </w:r>
      <w:r>
        <w:rPr>
          <w:rFonts w:ascii="Arial" w:cs="Arial" w:eastAsia="Arial" w:hAnsi="Arial"/>
          <w:sz w:val="20"/>
          <w:szCs w:val="20"/>
          <w:b w:val="1"/>
          <w:bCs w:val="1"/>
          <w:color w:val="auto"/>
        </w:rPr>
        <w:t>Permitted Transferee</w:t>
      </w:r>
      <w:r>
        <w:rPr>
          <w:rFonts w:ascii="Arial" w:cs="Arial" w:eastAsia="Arial" w:hAnsi="Arial"/>
          <w:sz w:val="20"/>
          <w:szCs w:val="20"/>
          <w:color w:val="auto"/>
        </w:rPr>
        <w:t>”, a Transfer to a Permitted Transferee being a “</w:t>
      </w:r>
      <w:r>
        <w:rPr>
          <w:rFonts w:ascii="Arial" w:cs="Arial" w:eastAsia="Arial" w:hAnsi="Arial"/>
          <w:sz w:val="20"/>
          <w:szCs w:val="20"/>
          <w:b w:val="1"/>
          <w:bCs w:val="1"/>
          <w:color w:val="auto"/>
        </w:rPr>
        <w:t>Permitted Transfer</w:t>
      </w:r>
      <w:r>
        <w:rPr>
          <w:rFonts w:ascii="Arial" w:cs="Arial" w:eastAsia="Arial" w:hAnsi="Arial"/>
          <w:sz w:val="20"/>
          <w:szCs w:val="20"/>
          <w:color w:val="auto"/>
        </w:rPr>
        <w:t>” ), so long as the Permitted Transferee has a tangible net worth sufficient to fulfill the obligations of the original</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9" w:name="page130"/>
    <w:bookmarkEnd w:id="129"/>
    <w:p>
      <w:pPr>
        <w:ind w:left="1"/>
        <w:spacing w:after="0"/>
        <w:rPr>
          <w:sz w:val="20"/>
          <w:szCs w:val="20"/>
          <w:color w:val="auto"/>
        </w:rPr>
      </w:pPr>
      <w:r>
        <w:rPr>
          <w:rFonts w:ascii="Arial" w:cs="Arial" w:eastAsia="Arial" w:hAnsi="Arial"/>
          <w:sz w:val="16"/>
          <w:szCs w:val="16"/>
          <w:color w:val="auto"/>
        </w:rPr>
        <w:t>Tenant under this Lease being assumed by the Permitted Transferee and no less than the tangible net worth of Tenant immediately prior to such</w:t>
      </w:r>
    </w:p>
    <w:p>
      <w:pPr>
        <w:spacing w:after="0" w:line="54" w:lineRule="exact"/>
        <w:rPr>
          <w:sz w:val="20"/>
          <w:szCs w:val="20"/>
          <w:color w:val="auto"/>
        </w:rPr>
      </w:pPr>
    </w:p>
    <w:p>
      <w:pPr>
        <w:ind w:left="1"/>
        <w:spacing w:after="0"/>
        <w:rPr>
          <w:sz w:val="20"/>
          <w:szCs w:val="20"/>
          <w:color w:val="auto"/>
        </w:rPr>
      </w:pPr>
      <w:r>
        <w:rPr>
          <w:rFonts w:ascii="Arial" w:cs="Arial" w:eastAsia="Arial" w:hAnsi="Arial"/>
          <w:sz w:val="16"/>
          <w:szCs w:val="16"/>
          <w:color w:val="auto"/>
        </w:rPr>
        <w:t>Transfer, and so long as such Transfer is not objectionable to Landlord under any of Subsections 14.2(b)(iii), (iv), (vi), (viii) or (ix) of this Lease:</w:t>
      </w:r>
    </w:p>
    <w:p>
      <w:pPr>
        <w:spacing w:after="0" w:line="38" w:lineRule="exact"/>
        <w:rPr>
          <w:sz w:val="20"/>
          <w:szCs w:val="20"/>
          <w:color w:val="auto"/>
        </w:rPr>
      </w:pPr>
    </w:p>
    <w:p>
      <w:pPr>
        <w:jc w:val="both"/>
        <w:ind w:left="1" w:hanging="1"/>
        <w:spacing w:after="0" w:line="259" w:lineRule="auto"/>
        <w:tabs>
          <w:tab w:leader="none" w:pos="3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successor corporation related to Tenant by merger, consolidation, or non-bankruptcy reorganization, (ii) a purchaser of at least ninety percent (90%) of Tenant’s assets as an ongoing concern, or (iii) an “Affiliate” of Tenant. The provisions of Sections 14.3 and 14.7 shall not apply with respect to a Permitted Transfer, but any Permitted Transfer pursuant to the provisions of this Section 14.9 shall be subject to all of the other provisions of this Lease. Tenant shall remain liable under this Lease after any such transfer. For the purposes of this Section 14, the term “</w:t>
      </w:r>
      <w:r>
        <w:rPr>
          <w:rFonts w:ascii="Arial" w:cs="Arial" w:eastAsia="Arial" w:hAnsi="Arial"/>
          <w:sz w:val="18"/>
          <w:szCs w:val="18"/>
          <w:b w:val="1"/>
          <w:bCs w:val="1"/>
          <w:color w:val="auto"/>
        </w:rPr>
        <w:t>Affiliate</w:t>
      </w:r>
      <w:r>
        <w:rPr>
          <w:rFonts w:ascii="Arial" w:cs="Arial" w:eastAsia="Arial" w:hAnsi="Arial"/>
          <w:sz w:val="18"/>
          <w:szCs w:val="18"/>
          <w:color w:val="auto"/>
        </w:rPr>
        <w:t>” of Tenant shall mean and refer to any entity controlling, controlled by or under common control with Tenant or Tenant’s parent or subsidiary, as the case may be. “</w:t>
      </w:r>
      <w:r>
        <w:rPr>
          <w:rFonts w:ascii="Arial" w:cs="Arial" w:eastAsia="Arial" w:hAnsi="Arial"/>
          <w:sz w:val="18"/>
          <w:szCs w:val="18"/>
          <w:b w:val="1"/>
          <w:bCs w:val="1"/>
          <w:color w:val="auto"/>
        </w:rPr>
        <w:t>Control</w:t>
      </w:r>
      <w:r>
        <w:rPr>
          <w:rFonts w:ascii="Arial" w:cs="Arial" w:eastAsia="Arial" w:hAnsi="Arial"/>
          <w:sz w:val="18"/>
          <w:szCs w:val="18"/>
          <w:color w:val="auto"/>
        </w:rPr>
        <w:t>” as used herein shall mean the possession, direct or indirect, of the power to direct or cause the direction of the management and policies of such controlled entity; and the ownership, or possession of the right to vote, in the ordinary direction of its affairs, of at least fifty percent (50%) of the voting interest in any entity. Notwithstanding Tenant’s right to make a Permitted Transfer pursuant to the provisions of this Section 14.9, Tenant may not, through use of its rights under this Section 14 in two or more transactions (whether separate transactions or steps or phases of a single transaction), at one time or over time, whether by first assigning this Lease to a subsidiary and then merging the subsidiary into another entity or selling the stock of the subsidiary or by other means, assign or sublease the Premises, or transfer control of Tenant, to any person or entity which is not a subsidiary, affiliate or controlling corporation of the original Tenant, as then constituted, existing prior to the commencement of such transactions, without first obtaining Landlord’s prior written consent and complying with all other applicable provisions of this Section 14.</w:t>
      </w:r>
    </w:p>
    <w:p>
      <w:pPr>
        <w:spacing w:after="0" w:line="163" w:lineRule="exact"/>
        <w:rPr>
          <w:sz w:val="20"/>
          <w:szCs w:val="20"/>
          <w:color w:val="auto"/>
        </w:rPr>
      </w:pPr>
    </w:p>
    <w:p>
      <w:pPr>
        <w:jc w:val="both"/>
        <w:ind w:left="1" w:firstLine="865"/>
        <w:spacing w:after="0" w:line="260"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Permitted Users</w:t>
      </w:r>
      <w:r>
        <w:rPr>
          <w:rFonts w:ascii="Arial" w:cs="Arial" w:eastAsia="Arial" w:hAnsi="Arial"/>
          <w:sz w:val="18"/>
          <w:szCs w:val="18"/>
          <w:color w:val="auto"/>
        </w:rPr>
        <w:t>. Provided that Tenant is not in default under this Lease beyond applicable notice and cure periods, Tenant shall have the right to permit the Premises to be used by one or more of Tenant’s service providers only for the provision of services to Tenant and its Representatives without the prior consent of Landlord, provided that in no event shall the total space used by such party (referred to herein as the “</w:t>
      </w:r>
      <w:r>
        <w:rPr>
          <w:rFonts w:ascii="Arial" w:cs="Arial" w:eastAsia="Arial" w:hAnsi="Arial"/>
          <w:sz w:val="18"/>
          <w:szCs w:val="18"/>
          <w:b w:val="1"/>
          <w:bCs w:val="1"/>
          <w:color w:val="auto"/>
        </w:rPr>
        <w:t>Permitted User</w:t>
      </w:r>
      <w:r>
        <w:rPr>
          <w:rFonts w:ascii="Arial" w:cs="Arial" w:eastAsia="Arial" w:hAnsi="Arial"/>
          <w:sz w:val="18"/>
          <w:szCs w:val="18"/>
          <w:color w:val="auto"/>
        </w:rPr>
        <w:t>”) exceed ten percent (10%) of the Premises and further provided that Tenant does not separately demise such space. Tenant shall provide Landlord with the name of each Permitted User at least ten (10) days prior to the date on which such Permitted User occupies a portion of the Premises. In no event shall Tenant allow any Permitted User to use the Premises for a purpose other than the use expressly permitted in this Lease or to otherwise use the Premises in violation of any of the terms and conditions of this Lease, any applicable Laws or any of the rule and regulations applicable to the Premises of Project. All notices required of Landlord under this Lease shall be forwarded only to Tenant in accordance with the terms of this Lease and in no event shall Landlord be required to send any notices to any Permitted User. A violation of any of the foregoing by any Permitted User which is not cured within the applicable cure period shall be considered to be an Event of Default by Tenant hereunder. In addition, Tenant’s indemnification obligations pursuant to Section 10 shall apply to the acts and omissions of any Permitted User and to any use of the Premises or the Project by the Permitted User. Tenant hereby agrees to cause any insurance to be maintained by Tenant under the Lease to be extended to cover the acts and omissions of the Permitted User (including such Permitted User’s agent, employees, contractors, customers and invitees) while in the Premises and/or the Project. In no event shall the occupancy of any portion of the Premises by a Permitted User be deemed to create a landlord/tenant relationship between Landlord and such Permitted User, and, in all instances, Tenant shall be considered the sole tenant under the Lease notwithstanding the occupancy of any portion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30" w:name="page131"/>
    <w:bookmarkEnd w:id="130"/>
    <w:p>
      <w:pPr>
        <w:jc w:val="both"/>
        <w:ind w:left="1" w:right="20"/>
        <w:spacing w:after="0" w:line="242" w:lineRule="auto"/>
        <w:rPr>
          <w:sz w:val="20"/>
          <w:szCs w:val="20"/>
          <w:color w:val="auto"/>
        </w:rPr>
      </w:pPr>
      <w:r>
        <w:rPr>
          <w:rFonts w:ascii="Arial" w:cs="Arial" w:eastAsia="Arial" w:hAnsi="Arial"/>
          <w:sz w:val="20"/>
          <w:szCs w:val="20"/>
          <w:color w:val="auto"/>
        </w:rPr>
        <w:t>Premises by the Permitted User. Tenant shall not identify any party as a Permitted User solely in an effort to contravene the requirement for Landlord’s consent and other applicable sections of this Lease respecting assignments of this Lease and subleases of all or any portion of the Premises as the same are set forth in this Lease.</w:t>
      </w:r>
    </w:p>
    <w:p>
      <w:pPr>
        <w:spacing w:after="0" w:line="168" w:lineRule="exact"/>
        <w:rPr>
          <w:sz w:val="20"/>
          <w:szCs w:val="20"/>
          <w:color w:val="auto"/>
        </w:rPr>
      </w:pPr>
    </w:p>
    <w:p>
      <w:pPr>
        <w:ind w:left="841" w:hanging="841"/>
        <w:spacing w:after="0"/>
        <w:tabs>
          <w:tab w:leader="none" w:pos="841" w:val="left"/>
        </w:tabs>
        <w:numPr>
          <w:ilvl w:val="0"/>
          <w:numId w:val="77"/>
        </w:numPr>
        <w:rPr>
          <w:rFonts w:ascii="Arial" w:cs="Arial" w:eastAsia="Arial" w:hAnsi="Arial"/>
          <w:sz w:val="20"/>
          <w:szCs w:val="20"/>
          <w:color w:val="auto"/>
        </w:rPr>
      </w:pPr>
      <w:r>
        <w:rPr>
          <w:rFonts w:ascii="Arial" w:cs="Arial" w:eastAsia="Arial" w:hAnsi="Arial"/>
          <w:sz w:val="20"/>
          <w:szCs w:val="20"/>
          <w:color w:val="auto"/>
        </w:rPr>
        <w:t>DEFAULT AND REMEDIES.</w:t>
      </w:r>
    </w:p>
    <w:p>
      <w:pPr>
        <w:spacing w:after="0" w:line="183" w:lineRule="exact"/>
        <w:rPr>
          <w:sz w:val="20"/>
          <w:szCs w:val="20"/>
          <w:color w:val="auto"/>
        </w:rPr>
      </w:pPr>
    </w:p>
    <w:p>
      <w:pPr>
        <w:ind w:left="861"/>
        <w:spacing w:after="0"/>
        <w:tabs>
          <w:tab w:leader="none" w:pos="1781"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The occurrence of any of the following shall constitute an “</w:t>
      </w:r>
      <w:r>
        <w:rPr>
          <w:rFonts w:ascii="Arial" w:cs="Arial" w:eastAsia="Arial" w:hAnsi="Arial"/>
          <w:sz w:val="16"/>
          <w:szCs w:val="16"/>
          <w:b w:val="1"/>
          <w:bCs w:val="1"/>
          <w:color w:val="auto"/>
        </w:rPr>
        <w:t>Event of Default</w:t>
      </w:r>
      <w:r>
        <w:rPr>
          <w:rFonts w:ascii="Arial" w:cs="Arial" w:eastAsia="Arial" w:hAnsi="Arial"/>
          <w:sz w:val="16"/>
          <w:szCs w:val="16"/>
          <w:color w:val="auto"/>
        </w:rPr>
        <w:t>” by Tenant:</w:t>
      </w:r>
    </w:p>
    <w:p>
      <w:pPr>
        <w:spacing w:after="0" w:line="195" w:lineRule="exact"/>
        <w:rPr>
          <w:sz w:val="20"/>
          <w:szCs w:val="20"/>
          <w:color w:val="auto"/>
        </w:rPr>
      </w:pPr>
    </w:p>
    <w:p>
      <w:pPr>
        <w:jc w:val="both"/>
        <w:ind w:left="1" w:right="20" w:firstLine="1729"/>
        <w:spacing w:after="0" w:line="255" w:lineRule="auto"/>
        <w:tabs>
          <w:tab w:leader="none" w:pos="2538" w:val="left"/>
        </w:tabs>
        <w:numPr>
          <w:ilvl w:val="1"/>
          <w:numId w:val="78"/>
        </w:numPr>
        <w:rPr>
          <w:rFonts w:ascii="Arial" w:cs="Arial" w:eastAsia="Arial" w:hAnsi="Arial"/>
          <w:sz w:val="19"/>
          <w:szCs w:val="19"/>
          <w:color w:val="auto"/>
        </w:rPr>
      </w:pPr>
      <w:r>
        <w:rPr>
          <w:rFonts w:ascii="Arial" w:cs="Arial" w:eastAsia="Arial" w:hAnsi="Arial"/>
          <w:sz w:val="19"/>
          <w:szCs w:val="19"/>
          <w:color w:val="auto"/>
        </w:rPr>
        <w:t>Tenant fails to make any payment of Rent when due, or any amount required to replenish the Security Deposit as provided in Section 4 above, if payment in full is not received by Landlord within three (3) Business Days after written notice that it is due. If Landlord accepts any past due Rent, such acceptance shall not be a waiver of any other prior breach by Tenant under this Lease, other than the failure of Tenant to pay the particular past due Rent which Landlord has accepted.</w:t>
      </w:r>
    </w:p>
    <w:p>
      <w:pPr>
        <w:spacing w:after="0" w:line="157" w:lineRule="exact"/>
        <w:rPr>
          <w:rFonts w:ascii="Arial" w:cs="Arial" w:eastAsia="Arial" w:hAnsi="Arial"/>
          <w:sz w:val="19"/>
          <w:szCs w:val="19"/>
          <w:color w:val="auto"/>
        </w:rPr>
      </w:pPr>
    </w:p>
    <w:p>
      <w:pPr>
        <w:ind w:left="2541" w:hanging="811"/>
        <w:spacing w:after="0"/>
        <w:tabs>
          <w:tab w:leader="none" w:pos="2541" w:val="left"/>
        </w:tabs>
        <w:numPr>
          <w:ilvl w:val="1"/>
          <w:numId w:val="78"/>
        </w:numPr>
        <w:rPr>
          <w:rFonts w:ascii="Arial" w:cs="Arial" w:eastAsia="Arial" w:hAnsi="Arial"/>
          <w:sz w:val="20"/>
          <w:szCs w:val="20"/>
          <w:color w:val="auto"/>
        </w:rPr>
      </w:pPr>
      <w:r>
        <w:rPr>
          <w:rFonts w:ascii="Arial" w:cs="Arial" w:eastAsia="Arial" w:hAnsi="Arial"/>
          <w:sz w:val="20"/>
          <w:szCs w:val="20"/>
          <w:color w:val="auto"/>
        </w:rPr>
        <w:t>Tenant abandons the Premises.</w:t>
      </w:r>
    </w:p>
    <w:p>
      <w:pPr>
        <w:spacing w:after="0" w:line="189" w:lineRule="exact"/>
        <w:rPr>
          <w:rFonts w:ascii="Arial" w:cs="Arial" w:eastAsia="Arial" w:hAnsi="Arial"/>
          <w:sz w:val="20"/>
          <w:szCs w:val="20"/>
          <w:color w:val="auto"/>
        </w:rPr>
      </w:pPr>
    </w:p>
    <w:p>
      <w:pPr>
        <w:jc w:val="both"/>
        <w:ind w:left="1" w:right="20" w:firstLine="1729"/>
        <w:spacing w:after="0" w:line="300" w:lineRule="auto"/>
        <w:tabs>
          <w:tab w:leader="none" w:pos="253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Tenant fails timely to deliver any subordination document, estoppel certificate or financial statement requested by Landlord within the applicable time period specified in Sections 20 - </w:t>
      </w:r>
      <w:r>
        <w:rPr>
          <w:rFonts w:ascii="Arial" w:cs="Arial" w:eastAsia="Arial" w:hAnsi="Arial"/>
          <w:sz w:val="16"/>
          <w:szCs w:val="16"/>
          <w:i w:val="1"/>
          <w:iCs w:val="1"/>
          <w:color w:val="auto"/>
        </w:rPr>
        <w:t>Encumbrances</w:t>
      </w:r>
      <w:r>
        <w:rPr>
          <w:rFonts w:ascii="Arial" w:cs="Arial" w:eastAsia="Arial" w:hAnsi="Arial"/>
          <w:sz w:val="16"/>
          <w:szCs w:val="16"/>
          <w:color w:val="auto"/>
        </w:rPr>
        <w:t xml:space="preserve"> - and 21 - </w:t>
      </w:r>
      <w:r>
        <w:rPr>
          <w:rFonts w:ascii="Arial" w:cs="Arial" w:eastAsia="Arial" w:hAnsi="Arial"/>
          <w:sz w:val="16"/>
          <w:szCs w:val="16"/>
          <w:i w:val="1"/>
          <w:iCs w:val="1"/>
          <w:color w:val="auto"/>
        </w:rPr>
        <w:t>Estoppel Certificates and Financial Statements</w:t>
      </w:r>
    </w:p>
    <w:p>
      <w:pPr>
        <w:ind w:left="121" w:hanging="121"/>
        <w:spacing w:after="0"/>
        <w:tabs>
          <w:tab w:leader="none" w:pos="121" w:val="left"/>
        </w:tabs>
        <w:numPr>
          <w:ilvl w:val="0"/>
          <w:numId w:val="78"/>
        </w:numPr>
        <w:rPr>
          <w:rFonts w:ascii="Arial" w:cs="Arial" w:eastAsia="Arial" w:hAnsi="Arial"/>
          <w:sz w:val="20"/>
          <w:szCs w:val="20"/>
          <w:color w:val="auto"/>
        </w:rPr>
      </w:pPr>
      <w:r>
        <w:rPr>
          <w:rFonts w:ascii="Arial" w:cs="Arial" w:eastAsia="Arial" w:hAnsi="Arial"/>
          <w:sz w:val="20"/>
          <w:szCs w:val="20"/>
          <w:color w:val="auto"/>
        </w:rPr>
        <w:t>below.</w:t>
      </w:r>
    </w:p>
    <w:p>
      <w:pPr>
        <w:spacing w:after="0" w:line="173" w:lineRule="exact"/>
        <w:rPr>
          <w:rFonts w:ascii="Arial" w:cs="Arial" w:eastAsia="Arial" w:hAnsi="Arial"/>
          <w:sz w:val="20"/>
          <w:szCs w:val="20"/>
          <w:color w:val="auto"/>
        </w:rPr>
      </w:pPr>
    </w:p>
    <w:p>
      <w:pPr>
        <w:ind w:left="2541" w:hanging="811"/>
        <w:spacing w:after="0"/>
        <w:tabs>
          <w:tab w:leader="none" w:pos="2541" w:val="left"/>
        </w:tabs>
        <w:numPr>
          <w:ilvl w:val="1"/>
          <w:numId w:val="79"/>
        </w:numPr>
        <w:rPr>
          <w:rFonts w:ascii="Arial" w:cs="Arial" w:eastAsia="Arial" w:hAnsi="Arial"/>
          <w:sz w:val="20"/>
          <w:szCs w:val="20"/>
          <w:color w:val="auto"/>
        </w:rPr>
      </w:pPr>
      <w:r>
        <w:rPr>
          <w:rFonts w:ascii="Arial" w:cs="Arial" w:eastAsia="Arial" w:hAnsi="Arial"/>
          <w:sz w:val="20"/>
          <w:szCs w:val="20"/>
          <w:color w:val="auto"/>
        </w:rPr>
        <w:t xml:space="preserve">Tenant violates the restrictions on Transfer set forth in Section 14 - </w:t>
      </w:r>
      <w:r>
        <w:rPr>
          <w:rFonts w:ascii="Arial" w:cs="Arial" w:eastAsia="Arial" w:hAnsi="Arial"/>
          <w:sz w:val="20"/>
          <w:szCs w:val="20"/>
          <w:i w:val="1"/>
          <w:iCs w:val="1"/>
          <w:color w:val="auto"/>
        </w:rPr>
        <w:t>Assignment and Subletting</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jc w:val="both"/>
        <w:ind w:left="1" w:firstLine="1729"/>
        <w:spacing w:after="0" w:line="237" w:lineRule="auto"/>
        <w:tabs>
          <w:tab w:leader="none" w:pos="2538" w:val="left"/>
        </w:tabs>
        <w:numPr>
          <w:ilvl w:val="1"/>
          <w:numId w:val="79"/>
        </w:numPr>
        <w:rPr>
          <w:rFonts w:ascii="Arial" w:cs="Arial" w:eastAsia="Arial" w:hAnsi="Arial"/>
          <w:sz w:val="20"/>
          <w:szCs w:val="20"/>
          <w:color w:val="auto"/>
        </w:rPr>
      </w:pPr>
      <w:r>
        <w:rPr>
          <w:rFonts w:ascii="Arial" w:cs="Arial" w:eastAsia="Arial" w:hAnsi="Arial"/>
          <w:sz w:val="20"/>
          <w:szCs w:val="20"/>
          <w:color w:val="auto"/>
        </w:rPr>
        <w:t>Tenant ceases doing business as a going concern; makes an assignment for the benefit of creditors; is adjudicated an insolvent, files a petition (or files an answer admitting the material allegations of a petition) seeking relief under any state or federal bankruptcy or other statute, law or regulation affecting creditors’ rights; all or substantially all of Tenant’s assets are subject to judicial seizure or attachment and are not released within 30 days, or Tenant consents to or acquiesces in the appointment of a trustee, receiver or liquidator for Tenant or for all or any substantial part of Tenant’s assets.</w:t>
      </w:r>
    </w:p>
    <w:p>
      <w:pPr>
        <w:spacing w:after="0" w:line="172" w:lineRule="exact"/>
        <w:rPr>
          <w:rFonts w:ascii="Arial" w:cs="Arial" w:eastAsia="Arial" w:hAnsi="Arial"/>
          <w:sz w:val="20"/>
          <w:szCs w:val="20"/>
          <w:color w:val="auto"/>
        </w:rPr>
      </w:pPr>
    </w:p>
    <w:p>
      <w:pPr>
        <w:jc w:val="both"/>
        <w:ind w:left="1" w:right="20" w:firstLine="1729"/>
        <w:spacing w:after="0" w:line="255" w:lineRule="auto"/>
        <w:tabs>
          <w:tab w:leader="none" w:pos="2516" w:val="left"/>
        </w:tabs>
        <w:numPr>
          <w:ilvl w:val="1"/>
          <w:numId w:val="79"/>
        </w:numPr>
        <w:rPr>
          <w:rFonts w:ascii="Arial" w:cs="Arial" w:eastAsia="Arial" w:hAnsi="Arial"/>
          <w:sz w:val="19"/>
          <w:szCs w:val="19"/>
          <w:color w:val="auto"/>
        </w:rPr>
      </w:pPr>
      <w:r>
        <w:rPr>
          <w:rFonts w:ascii="Arial" w:cs="Arial" w:eastAsia="Arial" w:hAnsi="Arial"/>
          <w:sz w:val="19"/>
          <w:szCs w:val="19"/>
          <w:color w:val="auto"/>
        </w:rPr>
        <w:t>Tenant fails, within ninety (90) days after the commencement of any proceedings against Tenant seeking relief under any state or federal bankruptcy or other statute, law or regulation affecting creditors’ rights, to have such proceedings dismissed, or Tenant fails, within ninety (90) days after an appointment, without Tenant’s consent or acquiescence, of any trustee, receiver or liquidator for Tenant or for all or any substantial part of Tenant’s assets, to have such appointment vacated.</w:t>
      </w:r>
    </w:p>
    <w:p>
      <w:pPr>
        <w:spacing w:after="0" w:line="157" w:lineRule="exact"/>
        <w:rPr>
          <w:rFonts w:ascii="Arial" w:cs="Arial" w:eastAsia="Arial" w:hAnsi="Arial"/>
          <w:sz w:val="19"/>
          <w:szCs w:val="19"/>
          <w:color w:val="auto"/>
        </w:rPr>
      </w:pPr>
    </w:p>
    <w:p>
      <w:pPr>
        <w:jc w:val="both"/>
        <w:ind w:left="1" w:firstLine="1729"/>
        <w:spacing w:after="0" w:line="269" w:lineRule="auto"/>
        <w:tabs>
          <w:tab w:leader="none" w:pos="254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Tenant fails to perform or comply with any provision of this Lease other than those described in (a) through (f) above, and does not fully cure such failure within thirty (30) days after notice to Tenant or, if such failure cannot be cured within such thirty (30)-day period, Tenant fails within such thirty (30)-day period to commence, and thereafter diligently proceed with, all actions necessary to cure such failure as soon as reasonably possible but in all events within one hundred twenty (120) days of such notice; provided, however, that if Landlord in Landlord’s reasonable judgment determines that such failure cannot or will not be cured by Tenant within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31" w:name="page132"/>
    <w:bookmarkEnd w:id="131"/>
    <w:p>
      <w:pPr>
        <w:ind w:left="1"/>
        <w:spacing w:after="0"/>
        <w:rPr>
          <w:sz w:val="20"/>
          <w:szCs w:val="20"/>
          <w:color w:val="auto"/>
        </w:rPr>
      </w:pPr>
      <w:r>
        <w:rPr>
          <w:rFonts w:ascii="Arial" w:cs="Arial" w:eastAsia="Arial" w:hAnsi="Arial"/>
          <w:sz w:val="20"/>
          <w:szCs w:val="20"/>
          <w:color w:val="auto"/>
        </w:rPr>
        <w:t>one hundred twenty (120) days, then such failure shall constitute an Event of Default immediately upon such notice to Tenant.</w:t>
      </w:r>
    </w:p>
    <w:p>
      <w:pPr>
        <w:spacing w:after="0" w:line="189" w:lineRule="exact"/>
        <w:rPr>
          <w:sz w:val="20"/>
          <w:szCs w:val="20"/>
          <w:color w:val="auto"/>
        </w:rPr>
      </w:pPr>
    </w:p>
    <w:p>
      <w:pPr>
        <w:ind w:left="1" w:right="20" w:firstLine="865"/>
        <w:spacing w:after="0" w:line="252"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Remedies</w:t>
      </w:r>
      <w:r>
        <w:rPr>
          <w:rFonts w:ascii="Arial" w:cs="Arial" w:eastAsia="Arial" w:hAnsi="Arial"/>
          <w:sz w:val="20"/>
          <w:szCs w:val="20"/>
          <w:color w:val="auto"/>
        </w:rPr>
        <w:t>. Upon the occurrence of an Event of Default, Landlord shall have the following remedies, which shall not be exclusive but shall be cumulative and shall be in addition to any other remedies now or hereafter allowed by law:</w:t>
      </w:r>
    </w:p>
    <w:p>
      <w:pPr>
        <w:spacing w:after="0" w:line="159" w:lineRule="exact"/>
        <w:rPr>
          <w:sz w:val="20"/>
          <w:szCs w:val="20"/>
          <w:color w:val="auto"/>
        </w:rPr>
      </w:pPr>
    </w:p>
    <w:p>
      <w:pPr>
        <w:jc w:val="both"/>
        <w:ind w:left="1" w:firstLine="1729"/>
        <w:spacing w:after="0" w:line="298" w:lineRule="auto"/>
        <w:tabs>
          <w:tab w:leader="none" w:pos="2538" w:val="left"/>
        </w:tabs>
        <w:numPr>
          <w:ilvl w:val="0"/>
          <w:numId w:val="80"/>
        </w:numPr>
        <w:rPr>
          <w:rFonts w:ascii="Arial" w:cs="Arial" w:eastAsia="Arial" w:hAnsi="Arial"/>
          <w:sz w:val="16"/>
          <w:szCs w:val="16"/>
          <w:color w:val="auto"/>
        </w:rPr>
      </w:pPr>
      <w:r>
        <w:rPr>
          <w:rFonts w:ascii="Arial" w:cs="Arial" w:eastAsia="Arial" w:hAnsi="Arial"/>
          <w:sz w:val="16"/>
          <w:szCs w:val="16"/>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from Tenant as provided in California Civil Code Section 1951.2 and any other applicable existing or future Law providing for recovery of damages for such breach, including the worth at the time of award of the amount by which the rent which would be payable by Tenant hereunder for the remainder of the Term after the date of the award of damages, including Additional Rent as reasonably estimated by Landlord, exceeds the amount of such rental loss as Tenant proves could have been reasonably avoided, discounted at the discount rate published by the Federal Reserve Bank of San Francisco for member banks at the time of the award plus one percent (1%).</w:t>
      </w:r>
    </w:p>
    <w:p>
      <w:pPr>
        <w:spacing w:after="0" w:line="355" w:lineRule="exact"/>
        <w:rPr>
          <w:rFonts w:ascii="Arial" w:cs="Arial" w:eastAsia="Arial" w:hAnsi="Arial"/>
          <w:sz w:val="16"/>
          <w:szCs w:val="16"/>
          <w:color w:val="auto"/>
        </w:rPr>
      </w:pPr>
    </w:p>
    <w:p>
      <w:pPr>
        <w:jc w:val="both"/>
        <w:ind w:left="1" w:right="20" w:firstLine="1729"/>
        <w:spacing w:after="0" w:line="242" w:lineRule="auto"/>
        <w:tabs>
          <w:tab w:leader="none" w:pos="2549" w:val="left"/>
        </w:tabs>
        <w:numPr>
          <w:ilvl w:val="0"/>
          <w:numId w:val="80"/>
        </w:numPr>
        <w:rPr>
          <w:rFonts w:ascii="Arial" w:cs="Arial" w:eastAsia="Arial" w:hAnsi="Arial"/>
          <w:sz w:val="20"/>
          <w:szCs w:val="20"/>
          <w:color w:val="auto"/>
        </w:rPr>
      </w:pPr>
      <w:r>
        <w:rPr>
          <w:rFonts w:ascii="Arial" w:cs="Arial" w:eastAsia="Arial" w:hAnsi="Arial"/>
          <w:sz w:val="20"/>
          <w:szCs w:val="20"/>
          <w:color w:val="auto"/>
        </w:rPr>
        <w:t>Landlord shall have the remedy described in California Civil Code Section 1951.4 (Landlord may continue this Lease in effect after Tenant’s breach and abandonment and recover rent as it becomes due, if Tenant has the right to sublet or assign, subject only to reasonable limitations).</w:t>
      </w:r>
    </w:p>
    <w:p>
      <w:pPr>
        <w:spacing w:after="0" w:line="167" w:lineRule="exact"/>
        <w:rPr>
          <w:rFonts w:ascii="Arial" w:cs="Arial" w:eastAsia="Arial" w:hAnsi="Arial"/>
          <w:sz w:val="20"/>
          <w:szCs w:val="20"/>
          <w:color w:val="auto"/>
        </w:rPr>
      </w:pPr>
    </w:p>
    <w:p>
      <w:pPr>
        <w:jc w:val="both"/>
        <w:ind w:left="1" w:right="20" w:firstLine="1729"/>
        <w:spacing w:after="0" w:line="261" w:lineRule="auto"/>
        <w:tabs>
          <w:tab w:leader="none" w:pos="2538" w:val="left"/>
        </w:tabs>
        <w:numPr>
          <w:ilvl w:val="0"/>
          <w:numId w:val="80"/>
        </w:numPr>
        <w:rPr>
          <w:rFonts w:ascii="Arial" w:cs="Arial" w:eastAsia="Arial" w:hAnsi="Arial"/>
          <w:sz w:val="19"/>
          <w:szCs w:val="19"/>
          <w:color w:val="auto"/>
        </w:rPr>
      </w:pPr>
      <w:r>
        <w:rPr>
          <w:rFonts w:ascii="Arial" w:cs="Arial" w:eastAsia="Arial" w:hAnsi="Arial"/>
          <w:sz w:val="19"/>
          <w:szCs w:val="19"/>
          <w:color w:val="auto"/>
        </w:rPr>
        <w:t>Landlord may cure the Event of Default at Tenant’s expense. If Landlord pays any sum or incurs any expense in curing the Event of Default, Tenant shall reimburse Landlord upon demand for the amount of such payment or expense with interest at the Interest Rate from the date the sum is paid or the expense is incurred until Landlord is reimbursed by Tenant.</w:t>
      </w:r>
    </w:p>
    <w:p>
      <w:pPr>
        <w:spacing w:after="0" w:line="150" w:lineRule="exact"/>
        <w:rPr>
          <w:rFonts w:ascii="Arial" w:cs="Arial" w:eastAsia="Arial" w:hAnsi="Arial"/>
          <w:sz w:val="19"/>
          <w:szCs w:val="19"/>
          <w:color w:val="auto"/>
        </w:rPr>
      </w:pPr>
    </w:p>
    <w:p>
      <w:pPr>
        <w:jc w:val="both"/>
        <w:ind w:left="1" w:right="20" w:firstLine="1729"/>
        <w:spacing w:after="0" w:line="267" w:lineRule="auto"/>
        <w:tabs>
          <w:tab w:leader="none" w:pos="25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Landlord may remove all of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any manner deemed appropriate by Landlord. Any proceeds realized by Landlord on the disposal of any such property shall be applied first to offset all expenses of storage and sale, then credited against Tenant’s outstanding obligations to Landlord under this Lease, and any balance remaining after satisfaction of all obligations of Tenant under this Lease shall be delivered to Tenant.</w:t>
      </w:r>
    </w:p>
    <w:p>
      <w:pPr>
        <w:spacing w:after="0" w:line="148" w:lineRule="exact"/>
        <w:rPr>
          <w:sz w:val="20"/>
          <w:szCs w:val="20"/>
          <w:color w:val="auto"/>
        </w:rPr>
      </w:pPr>
    </w:p>
    <w:p>
      <w:pPr>
        <w:ind w:left="841" w:hanging="841"/>
        <w:spacing w:after="0"/>
        <w:tabs>
          <w:tab w:leader="none" w:pos="841" w:val="left"/>
        </w:tabs>
        <w:numPr>
          <w:ilvl w:val="0"/>
          <w:numId w:val="81"/>
        </w:numPr>
        <w:rPr>
          <w:rFonts w:ascii="Arial" w:cs="Arial" w:eastAsia="Arial" w:hAnsi="Arial"/>
          <w:sz w:val="20"/>
          <w:szCs w:val="20"/>
          <w:color w:val="auto"/>
        </w:rPr>
      </w:pPr>
      <w:r>
        <w:rPr>
          <w:rFonts w:ascii="Arial" w:cs="Arial" w:eastAsia="Arial" w:hAnsi="Arial"/>
          <w:sz w:val="20"/>
          <w:szCs w:val="20"/>
          <w:color w:val="auto"/>
        </w:rPr>
        <w:t>LATE CHARGE AND INTEREST.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32" w:name="page133"/>
    <w:bookmarkEnd w:id="132"/>
    <w:p>
      <w:pPr>
        <w:jc w:val="both"/>
        <w:ind w:left="1" w:right="20" w:firstLine="865"/>
        <w:spacing w:after="0" w:line="252"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Late Charge</w:t>
      </w:r>
      <w:r>
        <w:rPr>
          <w:rFonts w:ascii="Arial" w:cs="Arial" w:eastAsia="Arial" w:hAnsi="Arial"/>
          <w:sz w:val="20"/>
          <w:szCs w:val="20"/>
          <w:color w:val="auto"/>
        </w:rPr>
        <w:t>. If any payment of Rent is not received by Landlord when due, Tenant shall pay to Landlord on demand as a late charge an additional amount equal to four percent (4%) of the overdue payment.</w:t>
      </w:r>
    </w:p>
    <w:p>
      <w:pPr>
        <w:spacing w:after="0" w:line="159" w:lineRule="exact"/>
        <w:rPr>
          <w:sz w:val="20"/>
          <w:szCs w:val="20"/>
          <w:color w:val="auto"/>
        </w:rPr>
      </w:pPr>
    </w:p>
    <w:p>
      <w:pPr>
        <w:jc w:val="both"/>
        <w:ind w:left="1" w:right="20" w:firstLine="865"/>
        <w:spacing w:after="0" w:line="238"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Interest</w:t>
      </w:r>
      <w:r>
        <w:rPr>
          <w:rFonts w:ascii="Arial" w:cs="Arial" w:eastAsia="Arial" w:hAnsi="Arial"/>
          <w:sz w:val="20"/>
          <w:szCs w:val="20"/>
          <w:color w:val="auto"/>
        </w:rPr>
        <w:t>. In addition to the late charges referred to above, which are intended to defray Landlord’s costs resulting from late payments, any payment from Tenant to Landlord not paid when due shall at Landlord’s option bear interest from the date due until paid to Landlord by Tenant at the rate of twelve percent (12%) per annum or the maximum lawful rate that Landlord may charge to Tenant under applicable laws, whichever is less (the “</w:t>
      </w:r>
      <w:r>
        <w:rPr>
          <w:rFonts w:ascii="Arial" w:cs="Arial" w:eastAsia="Arial" w:hAnsi="Arial"/>
          <w:sz w:val="20"/>
          <w:szCs w:val="20"/>
          <w:b w:val="1"/>
          <w:bCs w:val="1"/>
          <w:color w:val="auto"/>
        </w:rPr>
        <w:t>Interest Rate</w:t>
      </w:r>
      <w:r>
        <w:rPr>
          <w:rFonts w:ascii="Arial" w:cs="Arial" w:eastAsia="Arial" w:hAnsi="Arial"/>
          <w:sz w:val="20"/>
          <w:szCs w:val="20"/>
          <w:color w:val="auto"/>
        </w:rPr>
        <w:t>”).</w:t>
      </w:r>
    </w:p>
    <w:p>
      <w:pPr>
        <w:spacing w:after="0" w:line="173" w:lineRule="exact"/>
        <w:rPr>
          <w:sz w:val="20"/>
          <w:szCs w:val="20"/>
          <w:color w:val="auto"/>
        </w:rPr>
      </w:pPr>
    </w:p>
    <w:p>
      <w:pPr>
        <w:jc w:val="both"/>
        <w:ind w:left="1" w:right="20" w:hanging="1"/>
        <w:spacing w:after="0" w:line="264" w:lineRule="auto"/>
        <w:tabs>
          <w:tab w:leader="none" w:pos="8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WAIVER. No provisions of this Lease shall be deemed waived unless such waiver is in a writing signed by the waiving party. The waiver by Landlord of any breach of any provision of this Lease shall not be deemed a waiver of such provision or of any subsequent breach of the same or any other provision of this Lease. No delay or omission in the exercise of any right or remedy upon any default shall impair such right or remedy or be construed as a waiver. Acceptance of any payments of rent due under this Lease shall not be deemed a waiver of any default under this Lease (including Tenant’s recurrent failure to timely pay rent) other than the nonpayment of the accepted sums, and no endorsement or statement on any check or payment or in any letter or document accompanying any check or payment shall be deemed an accord and satisfaction. Landlord’s consent to or approval of any act by Tenant requiring Landlord’s consent or approval shall not be deemed to waive or render unnecessary Landlord’s consent to or approval of any subsequent act by Tenant.</w:t>
      </w:r>
    </w:p>
    <w:p>
      <w:pPr>
        <w:spacing w:after="0" w:line="152" w:lineRule="exact"/>
        <w:rPr>
          <w:rFonts w:ascii="Arial" w:cs="Arial" w:eastAsia="Arial" w:hAnsi="Arial"/>
          <w:sz w:val="18"/>
          <w:szCs w:val="18"/>
          <w:color w:val="auto"/>
        </w:rPr>
      </w:pPr>
    </w:p>
    <w:p>
      <w:pPr>
        <w:jc w:val="both"/>
        <w:ind w:left="1" w:right="20" w:hanging="1"/>
        <w:spacing w:after="0" w:line="293" w:lineRule="auto"/>
        <w:tabs>
          <w:tab w:leader="none" w:pos="8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ENTRY, INSPECTION AND CLOSURE. Upon reasonable oral or written notice to Tenant (and without notice in emergencies), Landlord and its authorized representatives may enter the Premises at reasonable times to: (a) determine whether the Premises are in good condition, (b) determine whether Tenant is complying with its obligations under this Lease, (c) perform any maintenance or repair of the Premises or the Building that Landlord has the right or obligation to perform, (d) install or repair improvements for other tenants where access to the Premises is required for such installation or repair, (e) serve, post or keep posted any notices required or allowed under the provisions of this Lease, (f) show the Premises to prospective brokers, agents, buyers, transferees, Mortgagees or tenants (during the last year of the Term), or</w:t>
      </w:r>
    </w:p>
    <w:p>
      <w:pPr>
        <w:jc w:val="both"/>
        <w:ind w:left="1"/>
        <w:spacing w:after="0" w:line="245" w:lineRule="auto"/>
        <w:rPr>
          <w:rFonts w:ascii="Arial" w:cs="Arial" w:eastAsia="Arial" w:hAnsi="Arial"/>
          <w:sz w:val="16"/>
          <w:szCs w:val="16"/>
          <w:color w:val="auto"/>
        </w:rPr>
      </w:pPr>
      <w:r>
        <w:rPr>
          <w:rFonts w:ascii="Arial" w:cs="Arial" w:eastAsia="Arial" w:hAnsi="Arial"/>
          <w:sz w:val="19"/>
          <w:szCs w:val="19"/>
          <w:color w:val="auto"/>
        </w:rPr>
        <w:t>(g) do any other act or thing necessary for the safety or preservation of the Premises or the Building. Except in the case of an emergency, Tenant shall be entitled to have an employee of Tenant accompany the person(s) entering the Premises, provided Tenant makes such employee available at the time Landlord or such other party desires to enter the Premises. When reasonably necessary Landlord may temporarily close entrances, doors, corridors, elevators or other facilities in the Building without liability to Tenant by reason of such closure. Landlord shall use commercially reasonable efforts to conduct its activities under this Section in a manner that will minimize inconvenience to Tenant without incurring additional expense to Landlord. In no event shall Tenant be entitled to an abatement of rent on account of any entry by Landlord, and Landlord shall not be liable in any manner for any inconvenience, loss of business or other damage to Tenant or other persons arising out of Landlord’s entry on the Premises in accordance with this Section. No action by Landlord pursuant to this paragraph shall constitute an eviction of Tenant, constructive or otherwise, entitle Tenant to an abatement of rent or to terminate this Lease or otherwise release Tenant from any of Tenant’s obligations under this Lease.</w:t>
      </w:r>
    </w:p>
    <w:p>
      <w:pPr>
        <w:spacing w:after="0" w:line="171" w:lineRule="exact"/>
        <w:rPr>
          <w:rFonts w:ascii="Arial" w:cs="Arial" w:eastAsia="Arial" w:hAnsi="Arial"/>
          <w:sz w:val="16"/>
          <w:szCs w:val="16"/>
          <w:color w:val="auto"/>
        </w:rPr>
      </w:pPr>
    </w:p>
    <w:p>
      <w:pPr>
        <w:ind w:left="841" w:hanging="841"/>
        <w:spacing w:after="0"/>
        <w:tabs>
          <w:tab w:leader="none" w:pos="841" w:val="left"/>
        </w:tabs>
        <w:numPr>
          <w:ilvl w:val="0"/>
          <w:numId w:val="82"/>
        </w:numPr>
        <w:rPr>
          <w:rFonts w:ascii="Arial" w:cs="Arial" w:eastAsia="Arial" w:hAnsi="Arial"/>
          <w:sz w:val="20"/>
          <w:szCs w:val="20"/>
          <w:color w:val="auto"/>
        </w:rPr>
      </w:pPr>
      <w:r>
        <w:rPr>
          <w:rFonts w:ascii="Arial" w:cs="Arial" w:eastAsia="Arial" w:hAnsi="Arial"/>
          <w:sz w:val="20"/>
          <w:szCs w:val="20"/>
          <w:color w:val="auto"/>
        </w:rPr>
        <w:t>SURRENDER AND HOLDING OVER.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515" w:right="319" w:bottom="1440" w:gutter="0" w:footer="0" w:header="0"/>
        </w:sectPr>
      </w:pPr>
    </w:p>
    <w:bookmarkStart w:id="133" w:name="page134"/>
    <w:bookmarkEnd w:id="133"/>
    <w:p>
      <w:pPr>
        <w:jc w:val="both"/>
        <w:ind w:left="1" w:firstLine="865"/>
        <w:spacing w:after="0" w:line="260"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Surrender</w:t>
      </w:r>
      <w:r>
        <w:rPr>
          <w:rFonts w:ascii="Arial" w:cs="Arial" w:eastAsia="Arial" w:hAnsi="Arial"/>
          <w:sz w:val="18"/>
          <w:szCs w:val="18"/>
          <w:color w:val="auto"/>
        </w:rPr>
        <w:t xml:space="preserve">. Upon the expiration or termination of this Lease, Tenant shall surrender the Premises and all Tenant Improvements and Alterations to Landlord broom-clean in good working order and repair, except for reasonable wear and tear, damage from casualty or condemnation and any changes resulting from approved Alterations; provided, however, that prior to the expiration or termination of this Lease Tenant shall, at Landlord’s request, remove all telephone and other cabling installed in the Building by Tenant and remove from the Premises all Tenant’s personal property and any Trade Fixtures and all Alterations that Landlord has elected to require Tenant to remove as provided in Section 6.1 - </w:t>
      </w:r>
      <w:r>
        <w:rPr>
          <w:rFonts w:ascii="Arial" w:cs="Arial" w:eastAsia="Arial" w:hAnsi="Arial"/>
          <w:sz w:val="18"/>
          <w:szCs w:val="18"/>
          <w:i w:val="1"/>
          <w:iCs w:val="1"/>
          <w:color w:val="auto"/>
        </w:rPr>
        <w:t>Tenant Improvements &amp; Alterations</w:t>
      </w:r>
      <w:r>
        <w:rPr>
          <w:rFonts w:ascii="Arial" w:cs="Arial" w:eastAsia="Arial" w:hAnsi="Arial"/>
          <w:sz w:val="18"/>
          <w:szCs w:val="18"/>
          <w:color w:val="auto"/>
        </w:rPr>
        <w:t xml:space="preserve"> above, and repair any damage caused by such removal. If such removal is not completed before the expiration or termination of the Term, subject to compliance with applicable Laws, Landlord shall have the right (but no obligation) to remove the same, and Tenant shall pay Landlord on demand for all costs of removal and storage thereof and for the rental value of the Premises for the period from the end of the Term through the end of the time reasonably required for such removal (provided the foregoing shall not apply to minor items left in the Premises, the removal and disposal thereof requiring no more than de minimus costs and effort). Landlord shall also have the right to retain or dispose of all or any portion of such property if Tenant does not pay all such costs and retrieve the property within ten (10) days after notice from Landlord (in which event title to all such property described in Landlord’s notice shall be transferred to and vest in Landlord). Tenant waives all Claims against Landlord for any damage or loss to Tenant resulting from Landlord’s removal, storage, retention, or disposition of any such property. Upon expiration or termination of this Lease or of Tenant’s possession, whichever is earliest, Tenant shall surrender all keys to the Premises or any other part of the Building and shall deliver to Landlord all keys for or make known to Landlord the combination of locks on all safes, cabinets and vaults that may be located in the Premises. Tenant’s obligations under this Section shall survive the expiration or termination of this Lease.</w:t>
      </w:r>
    </w:p>
    <w:p>
      <w:pPr>
        <w:spacing w:after="0" w:line="160" w:lineRule="exact"/>
        <w:rPr>
          <w:sz w:val="20"/>
          <w:szCs w:val="20"/>
          <w:color w:val="auto"/>
        </w:rPr>
      </w:pPr>
    </w:p>
    <w:p>
      <w:pPr>
        <w:jc w:val="both"/>
        <w:ind w:left="1" w:right="20" w:firstLine="865"/>
        <w:spacing w:after="0" w:line="296"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u w:val="single" w:color="auto"/>
          <w:color w:val="auto"/>
        </w:rPr>
        <w:t>Holding Over</w:t>
      </w:r>
      <w:r>
        <w:rPr>
          <w:rFonts w:ascii="Arial" w:cs="Arial" w:eastAsia="Arial" w:hAnsi="Arial"/>
          <w:sz w:val="16"/>
          <w:szCs w:val="16"/>
          <w:color w:val="auto"/>
        </w:rPr>
        <w:t>. If Tenant (directly or through any Transferee or other successor-in-interest of Tenant) remains in possession of the Premises after the expiration or termination of this Lease, Tenant’s continued possession shall be on the basis of a tenancy at the sufferance of Landlord. No act or omission by Landlord, other than its specific written consent, shall constitute permission for Tenant to continue in possession of the Premises, and if such consent is given or declared to have been given by a court judgment, Landlord may terminate Tenant’s holdover tenancy at any time upon seven (7) days written notice. In such event, Tenant shall continue to comply with or perform all the terms and obligations of Tenant under this Lease, except that the monthly Base Rent shall be one hundred fifty percent (150%) of the Base Rent payable in the last full month prior to the termination hereof on a per diem basis for each day Tenant remains in possession for the first sixty (60) days of any such holdover period. Commencing on the sixty first (61</w:t>
      </w:r>
      <w:r>
        <w:rPr>
          <w:rFonts w:ascii="Arial" w:cs="Arial" w:eastAsia="Arial" w:hAnsi="Arial"/>
          <w:sz w:val="13"/>
          <w:szCs w:val="13"/>
          <w:color w:val="auto"/>
        </w:rPr>
        <w:t>st</w:t>
      </w:r>
      <w:r>
        <w:rPr>
          <w:rFonts w:ascii="Arial" w:cs="Arial" w:eastAsia="Arial" w:hAnsi="Arial"/>
          <w:sz w:val="16"/>
          <w:szCs w:val="16"/>
          <w:color w:val="auto"/>
        </w:rPr>
        <w:t>) day, such rate shall be increased to two hundred percent (200%) of the Base Rent payable in the last full month prior to the termination hereof. Acceptance by Landlord of rent after such termination shall not constitute a renewal or extension of this Lease; and nothing contained in this provision shall be deemed to waive Landlord’s right of re-entry or any other right hereunder or at law. Tenant shall indemnify, defend and hold Landlord harmless from and against all Claims arising or resulting directly or indirectly from Tenant’s failure to timely surrender the Premises, including (i) any rent payable by or any loss, cost, or damages claimed by any prospective tenant of the Premises, and (ii) Landlord’s damages as a result of such prospective tenant rescinding or refusing to enter into the prospective lease of the Premises by reason of such failure to timely surrender the Premises.</w:t>
      </w:r>
    </w:p>
    <w:p>
      <w:pPr>
        <w:spacing w:after="0" w:line="356" w:lineRule="exact"/>
        <w:rPr>
          <w:sz w:val="20"/>
          <w:szCs w:val="20"/>
          <w:color w:val="auto"/>
        </w:rPr>
      </w:pPr>
    </w:p>
    <w:p>
      <w:pPr>
        <w:ind w:left="841" w:hanging="841"/>
        <w:spacing w:after="0"/>
        <w:tabs>
          <w:tab w:leader="none" w:pos="841" w:val="left"/>
        </w:tabs>
        <w:numPr>
          <w:ilvl w:val="0"/>
          <w:numId w:val="83"/>
        </w:numPr>
        <w:rPr>
          <w:rFonts w:ascii="Arial" w:cs="Arial" w:eastAsia="Arial" w:hAnsi="Arial"/>
          <w:sz w:val="20"/>
          <w:szCs w:val="20"/>
          <w:color w:val="auto"/>
        </w:rPr>
      </w:pPr>
      <w:r>
        <w:rPr>
          <w:rFonts w:ascii="Arial" w:cs="Arial" w:eastAsia="Arial" w:hAnsi="Arial"/>
          <w:sz w:val="20"/>
          <w:szCs w:val="20"/>
          <w:color w:val="auto"/>
        </w:rPr>
        <w:t>ENCUMBRANCES.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515" w:right="319" w:bottom="1440" w:gutter="0" w:footer="0" w:header="0"/>
        </w:sectPr>
      </w:pPr>
    </w:p>
    <w:bookmarkStart w:id="134" w:name="page135"/>
    <w:bookmarkEnd w:id="134"/>
    <w:p>
      <w:pPr>
        <w:jc w:val="both"/>
        <w:ind w:left="1" w:firstLine="865"/>
        <w:spacing w:after="0" w:line="294"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Subordination</w:t>
      </w:r>
      <w:r>
        <w:rPr>
          <w:rFonts w:ascii="Arial" w:cs="Arial" w:eastAsia="Arial" w:hAnsi="Arial"/>
          <w:sz w:val="16"/>
          <w:szCs w:val="16"/>
          <w:color w:val="auto"/>
        </w:rPr>
        <w:t>. This Lease is expressly made subject and subordinate to any mortgage, deed of trust, ground lease, underlying lease or like encumbrance affecting any part of the Project or any interest of Landlord therein which is now existing or hereafter executed or recorded (“</w:t>
      </w:r>
      <w:r>
        <w:rPr>
          <w:rFonts w:ascii="Arial" w:cs="Arial" w:eastAsia="Arial" w:hAnsi="Arial"/>
          <w:sz w:val="16"/>
          <w:szCs w:val="16"/>
          <w:b w:val="1"/>
          <w:bCs w:val="1"/>
          <w:color w:val="auto"/>
        </w:rPr>
        <w:t>Encumbrance</w:t>
      </w:r>
      <w:r>
        <w:rPr>
          <w:rFonts w:ascii="Arial" w:cs="Arial" w:eastAsia="Arial" w:hAnsi="Arial"/>
          <w:sz w:val="16"/>
          <w:szCs w:val="16"/>
          <w:color w:val="auto"/>
        </w:rPr>
        <w:t>”); provided, however, that such subordination shall only be effective, as to future Encumbrances, if the holder of the Encumbrance agrees in writing that this Lease shall survive the termination of the Encumbrance by lapse of time, foreclosure or otherwise so long as Tenant is not in default under this Lease. Provided the conditions of the preceding sentence are satisfied, Tenant shall execute and deliver to Landlord, within ten (10) Business Days after written request therefor by Landlord and in a form reasonably requested by Landlord, and the holder of any Encumbrance, any additional reasonable documents evidencing the subordination of this Lease with respect to any such Encumbrance and the nondisturbance agreement of the holder of any such Encumbrance, which documents may include customary commercially reasonable terms, such as the agreement of Tenant to provide such holder notice and opportunity to cure any Landlord default under the Lease (including the opportunity to take possession of the Building as provided in the Encumbrance). If the interest of Landlord in the Building is transferred pursuant to or in lieu of proceedings for enforcement of any Encumbrance (including, without limitation, any judicial foreclosure or foreclosure by a power of sale in a deed of trust), Tenant shall, at the request of the new owner, immediately attorn to, and become the tenant of, the new owner, and this Lease shall continue in full force and effect as a direct lease between the transferee and Tenant on the terms and conditions set forth in this Lease and, at such new owner’s request, shall execute a new lease confirming the lease terms of this Lease. In furtherance of the foregoing, any such successor to the Landlord shall not be liable for any offsets, defenses, claims, counterclaims, liabilities or obligations of the “landlord” under the Lease accruing prior to the date that such new owner exercises its rights pursuant to the preceding sentence. Landlord shall use commercially reasonable, good faith efforts to obtain from the current holder of any Encumbrance within thirty</w:t>
      </w:r>
    </w:p>
    <w:p>
      <w:pPr>
        <w:spacing w:after="0" w:line="185" w:lineRule="exact"/>
        <w:rPr>
          <w:sz w:val="20"/>
          <w:szCs w:val="20"/>
          <w:color w:val="auto"/>
        </w:rPr>
      </w:pPr>
    </w:p>
    <w:p>
      <w:pPr>
        <w:jc w:val="both"/>
        <w:ind w:left="1" w:hanging="1"/>
        <w:spacing w:after="0" w:line="261" w:lineRule="auto"/>
        <w:tabs>
          <w:tab w:leader="none" w:pos="3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days after complete execution of this Lease, a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in a commercially reasonable form, evidencing the subordination of this Lease to the Encumbrance, the agreement of the holder of any such Encumbrance to not disturb Tenant upon termination of such Encumbrance so long as no Event of Default exists under the Lease, and the agreement of Tenant to attorn to the holder of such Encumbrance. “Commercially reasonable efforts” of Landlord shall not require Landlord to incur any cost, expense or liability to obtain such agreement, it being agreed that Tenant shall be responsible for any fee or review costs charged by the holder of the subject Encumbrance. The SNDA may include customary commercially reasonable terms, such as the agreement of Tenant to provide the holder of such Encumbrance notice and opportunity to cure any Landlord default under the Lease (including the opportunity to take possession of the Property as provided in the Encumbrance). Within five (5) Business Days after receipt of the SNDA, Tenant shall execute and deliver the SNDA to Landlord, or provide commercially reasonable written comments to any such SNDA.</w:t>
      </w:r>
    </w:p>
    <w:p>
      <w:pPr>
        <w:spacing w:after="0" w:line="154" w:lineRule="exact"/>
        <w:rPr>
          <w:sz w:val="20"/>
          <w:szCs w:val="20"/>
          <w:color w:val="auto"/>
        </w:rPr>
      </w:pPr>
    </w:p>
    <w:p>
      <w:pPr>
        <w:jc w:val="both"/>
        <w:ind w:left="1" w:right="20" w:firstLine="865"/>
        <w:spacing w:after="0" w:line="26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Mortgagee Protection</w:t>
      </w:r>
      <w:r>
        <w:rPr>
          <w:rFonts w:ascii="Arial" w:cs="Arial" w:eastAsia="Arial" w:hAnsi="Arial"/>
          <w:sz w:val="18"/>
          <w:szCs w:val="18"/>
          <w:color w:val="auto"/>
        </w:rPr>
        <w:t>. Tenant agrees to give any holder of any Encumbrance covering any part of the Project (“</w:t>
      </w:r>
      <w:r>
        <w:rPr>
          <w:rFonts w:ascii="Arial" w:cs="Arial" w:eastAsia="Arial" w:hAnsi="Arial"/>
          <w:sz w:val="18"/>
          <w:szCs w:val="18"/>
          <w:b w:val="1"/>
          <w:bCs w:val="1"/>
          <w:color w:val="auto"/>
        </w:rPr>
        <w:t>Mortgagee</w:t>
      </w:r>
      <w:r>
        <w:rPr>
          <w:rFonts w:ascii="Arial" w:cs="Arial" w:eastAsia="Arial" w:hAnsi="Arial"/>
          <w:sz w:val="18"/>
          <w:szCs w:val="18"/>
          <w:color w:val="auto"/>
        </w:rPr>
        <w:t>”), by registered mail, a copy of any notice of default served upon Landlord, provided that prior to such notice Tenant has been notified in writing (by way of notice of assignment of rents and leases, or otherwise) of the address of such Mortgagee. If Landlord shall have failed to cure such default within thirty (30) days from the effective date of such notice of default, then the Mortgagee shall have an additional thirty (30) days within which to cure such default or if such default cannot be cured within that time, then such additional time as may be necessary to cure such default (including the time necessary to foreclose or otherwise terminate its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515" w:right="319" w:bottom="1440" w:gutter="0" w:footer="0" w:header="0"/>
        </w:sectPr>
      </w:pPr>
    </w:p>
    <w:bookmarkStart w:id="135" w:name="page136"/>
    <w:bookmarkEnd w:id="135"/>
    <w:p>
      <w:pPr>
        <w:ind w:left="1"/>
        <w:spacing w:after="0"/>
        <w:rPr>
          <w:sz w:val="20"/>
          <w:szCs w:val="20"/>
          <w:color w:val="auto"/>
        </w:rPr>
      </w:pPr>
      <w:r>
        <w:rPr>
          <w:rFonts w:ascii="Arial" w:cs="Arial" w:eastAsia="Arial" w:hAnsi="Arial"/>
          <w:sz w:val="16"/>
          <w:szCs w:val="16"/>
          <w:color w:val="auto"/>
        </w:rPr>
        <w:t>Encumbrance, if necessary to effect such cure), and this Lease shall not be terminated so long as such remedies are being diligently pursued.</w:t>
      </w:r>
    </w:p>
    <w:p>
      <w:pPr>
        <w:spacing w:after="0" w:line="235" w:lineRule="exact"/>
        <w:rPr>
          <w:sz w:val="20"/>
          <w:szCs w:val="20"/>
          <w:color w:val="auto"/>
        </w:rPr>
      </w:pPr>
    </w:p>
    <w:p>
      <w:pPr>
        <w:ind w:left="841" w:hanging="841"/>
        <w:spacing w:after="0"/>
        <w:tabs>
          <w:tab w:leader="none" w:pos="841" w:val="left"/>
        </w:tabs>
        <w:numPr>
          <w:ilvl w:val="0"/>
          <w:numId w:val="85"/>
        </w:numPr>
        <w:rPr>
          <w:rFonts w:ascii="Arial" w:cs="Arial" w:eastAsia="Arial" w:hAnsi="Arial"/>
          <w:sz w:val="20"/>
          <w:szCs w:val="20"/>
          <w:color w:val="auto"/>
        </w:rPr>
      </w:pPr>
      <w:r>
        <w:rPr>
          <w:rFonts w:ascii="Arial" w:cs="Arial" w:eastAsia="Arial" w:hAnsi="Arial"/>
          <w:sz w:val="20"/>
          <w:szCs w:val="20"/>
          <w:color w:val="auto"/>
        </w:rPr>
        <w:t>ESTOPPEL CERTIFICATES AND FINANCIAL STATEMENTS.</w:t>
      </w:r>
    </w:p>
    <w:p>
      <w:pPr>
        <w:spacing w:after="0" w:line="189" w:lineRule="exact"/>
        <w:rPr>
          <w:sz w:val="20"/>
          <w:szCs w:val="20"/>
          <w:color w:val="auto"/>
        </w:rPr>
      </w:pPr>
    </w:p>
    <w:p>
      <w:pPr>
        <w:jc w:val="both"/>
        <w:ind w:left="1" w:firstLine="865"/>
        <w:spacing w:after="0" w:line="29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Estoppel Certificates</w:t>
      </w:r>
      <w:r>
        <w:rPr>
          <w:rFonts w:ascii="Arial" w:cs="Arial" w:eastAsia="Arial" w:hAnsi="Arial"/>
          <w:sz w:val="16"/>
          <w:szCs w:val="16"/>
          <w:color w:val="auto"/>
        </w:rPr>
        <w:t>. Within ten (10) Business Days after receipt of a written request therefor, Tenant shall execute and deliver to Landlord, in a form provided by or satisfactory to Landlord, a commercially reasonable statement stating that this Lease is in full force and effect, describing this Lease and any amendments or modifications hereto, acknowledging that this Lease is subordinate or prior, as the case may be, to any Encumbrance and stating any other information Landlord may reasonably request, including the commencement and expiration dates of the Term, the monthly Base Rent, the date to which Rent has been paid, the amount of any security deposit or prepaid rent, whether either party hereto is in default under the terms of the Lease, whether Landlord has completed its construction obligations hereunder (if any), and whether Tenant has accepted the Premises. Any person or entity purchasing, acquiring an interest in or extending financing with respect to the Building shall be entitled to rely upon any such certificate. If Tenant fails to deliver such certificate within five (5)Business Days after Landlord's second written request therefor, Tenant shall be in default of the Lease without further notice and cure period available to Tenant and Tenant shall pay to Landlord, in addition to all other amounts required from Tenant pursuant to this Lease, Ten Thousand Dollars ($10,000.00) for each calendar day that Tenant fails to deliver the required estoppel certificate beginning with the first calendar day immediately following the five (5) Business Days after Landlord's second written request; provided, however, that if Tenant fails to deliver the required estoppel certificate within ten (10) Business Days after Landlord's second written request, the amount that Tenant shall be required to pay to Landlord for such failure, beginning on the first calendar day immediately following the foregoing ten (10) Business Day period, shall increase at the rate of Five Hundred Dollars ($500.00) per calendar day until the required estoppel certificate is delivered to Landlord.</w:t>
      </w:r>
    </w:p>
    <w:p>
      <w:pPr>
        <w:spacing w:after="0" w:line="351" w:lineRule="exact"/>
        <w:rPr>
          <w:sz w:val="20"/>
          <w:szCs w:val="20"/>
          <w:color w:val="auto"/>
        </w:rPr>
      </w:pPr>
    </w:p>
    <w:p>
      <w:pPr>
        <w:jc w:val="both"/>
        <w:ind w:left="1" w:firstLine="865"/>
        <w:spacing w:after="0" w:line="263"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If requested by a current or prospective lender or mortgagee of Landlord, or a prospective purchaser of, or investor in, all or part of the Building, or if Tenant in in default under the terms and conditions of this Lease or Landlord reasonably and in good faith believes there has been a material adverse change in Tenant’s financial condition, then within thirty (30) days after receipt of a written request from Landlord (but in no event more than once in any consecutive 12-month period during the Term), Tenant shall furnish Landlord with Tenant’s most recent audited financial statements. If Tenant’s financial statements are accessible on line through filings with the United States Securities and Exchange Commission, or any other governmental authority of which Tenant notifies Landlord and Landlord is readily able to access the website of the other governmental authority, Tenant shall not be required to provide the requested financial information. At Tenant’s request, landlord shall enter into Landlord’s then-standard commercially reasonable confidentiality agreement covering the financial information provided by Tenant pursuant to this Section 21.2.</w:t>
      </w:r>
    </w:p>
    <w:p>
      <w:pPr>
        <w:spacing w:after="0" w:line="154" w:lineRule="exact"/>
        <w:rPr>
          <w:sz w:val="20"/>
          <w:szCs w:val="20"/>
          <w:color w:val="auto"/>
        </w:rPr>
      </w:pPr>
    </w:p>
    <w:p>
      <w:pPr>
        <w:jc w:val="both"/>
        <w:ind w:left="1" w:right="20" w:hanging="1"/>
        <w:spacing w:after="0" w:line="238" w:lineRule="auto"/>
        <w:tabs>
          <w:tab w:leader="none" w:pos="835"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NOTICES. Any notice, demand, request, consent or approval that either party desires or is required to give to the other party under this Lease shall be in writing and shall be served personally, delivered by messenger or courier service, or sent by U.S. certified mail, return receipt requested, postage prepaid, addressed to the other party at the party’s address for notices set forth in the Basic Lease Information. Any notice required pursuant to any Laws may be incorporated into, given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36" w:name="page137"/>
    <w:bookmarkEnd w:id="136"/>
    <w:p>
      <w:pPr>
        <w:jc w:val="both"/>
        <w:ind w:left="1"/>
        <w:spacing w:after="0" w:line="311" w:lineRule="auto"/>
        <w:rPr>
          <w:sz w:val="20"/>
          <w:szCs w:val="20"/>
          <w:color w:val="auto"/>
        </w:rPr>
      </w:pPr>
      <w:r>
        <w:rPr>
          <w:rFonts w:ascii="Arial" w:cs="Arial" w:eastAsia="Arial" w:hAnsi="Arial"/>
          <w:sz w:val="16"/>
          <w:szCs w:val="16"/>
          <w:color w:val="auto"/>
        </w:rPr>
        <w:t>concurrently with or given separately from any notice required under this Lease. Notices shall be deemed to have been given and be effective on the earlier of (a) receipt (or refusal of delivery or receipt); or (b) one (1) day after acceptance by the independent service for delivery, if sent by independent messenger or courier service, or three (3) days after mailing if sent by mail in accordance with this Section. Either party may change its address for notices hereunder, effective fifteen (15) days after notice to the other party complying with this Section. If Tenant sublets the Premises, notices from Landlord shall be effective on the subtenant when given to Tenant pursuant to this Section.</w:t>
      </w:r>
    </w:p>
    <w:p>
      <w:pPr>
        <w:spacing w:after="0" w:line="116" w:lineRule="exact"/>
        <w:rPr>
          <w:sz w:val="20"/>
          <w:szCs w:val="20"/>
          <w:color w:val="auto"/>
        </w:rPr>
      </w:pPr>
    </w:p>
    <w:p>
      <w:pPr>
        <w:jc w:val="both"/>
        <w:ind w:left="1" w:hanging="1"/>
        <w:spacing w:after="0" w:line="261" w:lineRule="auto"/>
        <w:tabs>
          <w:tab w:leader="none" w:pos="8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ATTORNEYS’ FEES. In the event of any dispute between Landlord and Tenant in any way related to this Lease, and whether involving contract and/or tort claims, the non-prevailing party shall pay to the prevailing party all reasonable attorneys’ fees and costs and expenses of any type, without restriction by statute, court rule or otherwise, incurred by the prevailing party in connection with any action or proceeding (including any appeal and the enforcement of any judgment or award), whether or not the dispute is litigated or prosecuted to final judgment (collectively, “</w:t>
      </w:r>
      <w:r>
        <w:rPr>
          <w:rFonts w:ascii="Arial" w:cs="Arial" w:eastAsia="Arial" w:hAnsi="Arial"/>
          <w:sz w:val="18"/>
          <w:szCs w:val="18"/>
          <w:b w:val="1"/>
          <w:bCs w:val="1"/>
          <w:color w:val="auto"/>
        </w:rPr>
        <w:t>Fees</w:t>
      </w:r>
      <w:r>
        <w:rPr>
          <w:rFonts w:ascii="Arial" w:cs="Arial" w:eastAsia="Arial" w:hAnsi="Arial"/>
          <w:sz w:val="18"/>
          <w:szCs w:val="18"/>
          <w:color w:val="auto"/>
        </w:rPr>
        <w:t>”). The “prevailing party” shall be determined based upon an assessment of which party’s major arguments or positions taken in the action or proceeding could fairly be said to have prevailed (whether by compromise, settlement, abandonment by the other party of its claim or defense, final decision, after any appeals, or otherwise) over the other party’s major arguments or positions on major disputed issues. Any Fees incurred in enforcing a judgment shall be recoverable separately from any other amount included in the judgment and shall survive and not be merged in the judgment. The Fees shall be deemed an “actual pecuniary loss” within the meaning of Bankruptcy Code Section 365(b)(1)(B), and notwithstanding the foregoing, all Fees incurred by either party in any bankruptcy case filed by or against the other party, from and after the order for relief until this Lease is rejected or assumed in such bankruptcy case, will be “obligations of the debtor” as that phrase is used in Bankruptcy Code Section 365(d)(3).</w:t>
      </w:r>
    </w:p>
    <w:p>
      <w:pPr>
        <w:spacing w:after="0" w:line="160" w:lineRule="exact"/>
        <w:rPr>
          <w:rFonts w:ascii="Arial" w:cs="Arial" w:eastAsia="Arial" w:hAnsi="Arial"/>
          <w:sz w:val="18"/>
          <w:szCs w:val="18"/>
          <w:color w:val="auto"/>
        </w:rPr>
      </w:pPr>
    </w:p>
    <w:p>
      <w:pPr>
        <w:ind w:left="1" w:hanging="1"/>
        <w:spacing w:after="0" w:line="252" w:lineRule="auto"/>
        <w:tabs>
          <w:tab w:leader="none" w:pos="835" w:val="left"/>
        </w:tabs>
        <w:numPr>
          <w:ilvl w:val="0"/>
          <w:numId w:val="87"/>
        </w:numPr>
        <w:rPr>
          <w:rFonts w:ascii="Arial" w:cs="Arial" w:eastAsia="Arial" w:hAnsi="Arial"/>
          <w:sz w:val="20"/>
          <w:szCs w:val="20"/>
          <w:color w:val="auto"/>
        </w:rPr>
      </w:pPr>
      <w:r>
        <w:rPr>
          <w:rFonts w:ascii="Arial" w:cs="Arial" w:eastAsia="Arial" w:hAnsi="Arial"/>
          <w:sz w:val="20"/>
          <w:szCs w:val="20"/>
          <w:color w:val="auto"/>
        </w:rPr>
        <w:t>QUIET POSSESSION. Subject to the terms of this Lease, Tenant shall have the quiet possession of the Premises throughout the Term as against any persons or entities lawfully claiming by, through or under Landlord.</w:t>
      </w:r>
    </w:p>
    <w:p>
      <w:pPr>
        <w:spacing w:after="0" w:line="158" w:lineRule="exact"/>
        <w:rPr>
          <w:rFonts w:ascii="Arial" w:cs="Arial" w:eastAsia="Arial" w:hAnsi="Arial"/>
          <w:sz w:val="20"/>
          <w:szCs w:val="20"/>
          <w:color w:val="auto"/>
        </w:rPr>
      </w:pPr>
    </w:p>
    <w:p>
      <w:pPr>
        <w:jc w:val="both"/>
        <w:ind w:left="1" w:hanging="1"/>
        <w:spacing w:after="0" w:line="262" w:lineRule="auto"/>
        <w:tabs>
          <w:tab w:leader="none" w:pos="8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SECURITY MEASURES. Landlord may, but shall be under no obligation to, implement security measures for the Building and/or the Project, such as the registration or search of all persons entering or leaving the Project, evacuation of the Project for cause, suspected cause, or for drill purposes and other actions that Landlord deems necessary or appropriate to prevent any threat of property loss or damage, bodily injury or business interruption; provided, however, that such measures shall be implemented in a way as not to materially inconvenience tenants of the Project unreasonably. If Landlord uses an access card system, Landlord may require Tenant to pay Landlord a deposit for each access card issued to Tenant. Tenant shall be responsible for any loss, theft or breakage of any such cards, which must be returned by Tenant to Landlord upon expiration or earlier termination of the Lease. Landlord may retain the deposit for any card not so returned. Landlord shall at all times have the right to change, alter or reduce any such security services or measures. Tenant shall cooperate and comply with, and cause Tenant’s Representatives and Visitors to cooperate and comply with, such security measures. Landlord, its agents and employees shall have no liability to Tenant or its Representatives or Visitors for the implementation or exercise of, or the failure to implement or exercise, any such security measures or for any resulting disturbance of Tenant’s use or enjoyment of the Premises.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318" w:right="339" w:bottom="1440" w:gutter="0" w:footer="0" w:header="0"/>
        </w:sectPr>
      </w:pPr>
    </w:p>
    <w:bookmarkStart w:id="137" w:name="page138"/>
    <w:bookmarkEnd w:id="137"/>
    <w:p>
      <w:pPr>
        <w:jc w:val="both"/>
        <w:ind w:left="1" w:firstLine="936"/>
        <w:spacing w:after="0" w:line="260" w:lineRule="auto"/>
        <w:rPr>
          <w:sz w:val="20"/>
          <w:szCs w:val="20"/>
          <w:color w:val="auto"/>
        </w:rPr>
      </w:pPr>
      <w:r>
        <w:rPr>
          <w:rFonts w:ascii="Arial" w:cs="Arial" w:eastAsia="Arial" w:hAnsi="Arial"/>
          <w:sz w:val="18"/>
          <w:szCs w:val="18"/>
          <w:color w:val="auto"/>
        </w:rPr>
        <w:t>Subject to any applicable Laws, inspection requirements, and the terms and conditions of this Lease, Tenant shall have the right to install an internal security system (“</w:t>
      </w:r>
      <w:r>
        <w:rPr>
          <w:rFonts w:ascii="Arial" w:cs="Arial" w:eastAsia="Arial" w:hAnsi="Arial"/>
          <w:sz w:val="18"/>
          <w:szCs w:val="18"/>
          <w:b w:val="1"/>
          <w:bCs w:val="1"/>
          <w:color w:val="auto"/>
        </w:rPr>
        <w:t>Security System</w:t>
      </w:r>
      <w:r>
        <w:rPr>
          <w:rFonts w:ascii="Arial" w:cs="Arial" w:eastAsia="Arial" w:hAnsi="Arial"/>
          <w:sz w:val="18"/>
          <w:szCs w:val="18"/>
          <w:color w:val="auto"/>
        </w:rPr>
        <w:t>”) within the Premises so long as such Security System is appropriately integrated into any Building security systems, in no event affects or otherwise impacts the functionality, structural integrity or operability of any Building System, any existing Building security systems or the structure of the Building. In addition to the content of this paragraph, the terms and conditions of Section 6 of this Lease shall govern such installation and removal by Tenant of the Security System (the “</w:t>
      </w:r>
      <w:r>
        <w:rPr>
          <w:rFonts w:ascii="Arial" w:cs="Arial" w:eastAsia="Arial" w:hAnsi="Arial"/>
          <w:sz w:val="18"/>
          <w:szCs w:val="18"/>
          <w:b w:val="1"/>
          <w:bCs w:val="1"/>
          <w:color w:val="auto"/>
        </w:rPr>
        <w:t>Security System Installation</w:t>
      </w:r>
      <w:r>
        <w:rPr>
          <w:rFonts w:ascii="Arial" w:cs="Arial" w:eastAsia="Arial" w:hAnsi="Arial"/>
          <w:sz w:val="18"/>
          <w:szCs w:val="18"/>
          <w:color w:val="auto"/>
        </w:rPr>
        <w:t>”). The Security System Installation shall be performed by contractors reasonably approved by Landlord, at Tenant’s sole cost and expense. The size and design of such Security System shall be subject to Landlord’s prior written approval which approval shall not be unreasonably withheld, conditioned or delayed. Tenant shall be responsible, at its sole cost and expense, for maintaining and repairing Tenant’s Security System in first class condition and repair. Tenant shall remove the Security System from the Premises, repair any damage caused by the installation, use and/or removal of the Security System from the Premises, and restore any affected areas of the Building to a good condition, at the expiration or earlier termination of this Lease unless Landlord, no less than sixty (60) days prior to the expiration of the Lease (or such shorter reasonable time in the event of an earlier Lease termination) notifies Tenant in writing to surrender the Security System at the time of Tenant’s surrender of the Premises to Landlord hereunder. If Landlord requires Tenant to so surrender the Security System to Landlord, upon expiration or earlier termination of this Lease, title to the Security System shall pass to Landlord. Notwithstanding anything to the contrary, Landlord shall not directly or indirectly be liable to Tenant or any other person and Tenant hereby waives any and all claims against and releases Landlord and the Landlord Indemnities from any and all claims arising as a consequence of or related to Tenant’s Security System, or the failure thereof. The terms of this paragraph are personal to Tenant initially named in this Lease and to an assignee pursuant to an approved Transfer or to a Permitted Transferee in connection with an assignment of this Lease.</w:t>
      </w:r>
    </w:p>
    <w:p>
      <w:pPr>
        <w:spacing w:after="0" w:line="158" w:lineRule="exact"/>
        <w:rPr>
          <w:sz w:val="20"/>
          <w:szCs w:val="20"/>
          <w:color w:val="auto"/>
        </w:rPr>
      </w:pPr>
    </w:p>
    <w:p>
      <w:pPr>
        <w:jc w:val="both"/>
        <w:ind w:left="1" w:right="20" w:hanging="1"/>
        <w:spacing w:after="0" w:line="265" w:lineRule="auto"/>
        <w:tabs>
          <w:tab w:leader="none" w:pos="8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FORCE MAJEURE. If either Landlord or Tenant is delayed, interrupted or prevented from performing any of its obligations under this Lease (other than, with respect to Tenant the payment of monetary obligations including Base Rent, Additional Rent, Security Deposit, if any, or any other charge payable by Tenant to Landlord under this Lease), including any non-monetary obligations under the Construction Rider (if any), and such delay, interruption or prevention is due to fire, act of God, governmental act or failure to act, pandemic, health emergency, terrorist act, labor dispute, unavailability of labor or materials or any other cause outside the reasonable control of Landlord or Tenant, then the time for performance of the affected obligations of Landlord or Tenant, as the case may be, shall be extended for a period equivalent to the period of such delay, interruption or prevention. The inability to pay money shall in no event constitute force majeure.</w:t>
      </w:r>
    </w:p>
    <w:p>
      <w:pPr>
        <w:spacing w:after="0" w:line="151" w:lineRule="exact"/>
        <w:rPr>
          <w:rFonts w:ascii="Arial" w:cs="Arial" w:eastAsia="Arial" w:hAnsi="Arial"/>
          <w:sz w:val="18"/>
          <w:szCs w:val="18"/>
          <w:color w:val="auto"/>
        </w:rPr>
      </w:pPr>
    </w:p>
    <w:p>
      <w:pPr>
        <w:jc w:val="both"/>
        <w:ind w:left="1" w:hanging="1"/>
        <w:spacing w:after="0" w:line="237" w:lineRule="auto"/>
        <w:tabs>
          <w:tab w:leader="none" w:pos="835"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RULES AND REGULATIONS. Tenant shall be bound by and shall comply with the rules and regulations attached to and made a part of this Lease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the extent those rules and regulations are not in conflict with the terms of this Lease, as well as any reasonable rules and regulations hereafter adopted by Landlord for all tenants of the Project, upon notice to Tenant thereof (collectively, the “</w:t>
      </w:r>
      <w:r>
        <w:rPr>
          <w:rFonts w:ascii="Arial" w:cs="Arial" w:eastAsia="Arial" w:hAnsi="Arial"/>
          <w:sz w:val="20"/>
          <w:szCs w:val="20"/>
          <w:b w:val="1"/>
          <w:bCs w:val="1"/>
          <w:color w:val="auto"/>
        </w:rPr>
        <w:t>Project</w:t>
      </w:r>
      <w:r>
        <w:rPr>
          <w:rFonts w:ascii="Arial" w:cs="Arial" w:eastAsia="Arial" w:hAnsi="Arial"/>
          <w:sz w:val="20"/>
          <w:szCs w:val="20"/>
          <w:color w:val="auto"/>
        </w:rPr>
        <w:t xml:space="preserve"> </w:t>
      </w:r>
      <w:r>
        <w:rPr>
          <w:rFonts w:ascii="Arial" w:cs="Arial" w:eastAsia="Arial" w:hAnsi="Arial"/>
          <w:sz w:val="20"/>
          <w:szCs w:val="20"/>
          <w:b w:val="1"/>
          <w:bCs w:val="1"/>
          <w:color w:val="auto"/>
        </w:rPr>
        <w:t>Rules</w:t>
      </w:r>
      <w:r>
        <w:rPr>
          <w:rFonts w:ascii="Arial" w:cs="Arial" w:eastAsia="Arial" w:hAnsi="Arial"/>
          <w:sz w:val="20"/>
          <w:szCs w:val="20"/>
          <w:color w:val="auto"/>
        </w:rPr>
        <w:t>”). Landlord shall not be responsible to Tenant or to any other person for any violation of, or failure to observe, the Project Rules by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tenant or other person.</w:t>
      </w:r>
    </w:p>
    <w:p>
      <w:pPr>
        <w:spacing w:after="0" w:line="172" w:lineRule="exact"/>
        <w:rPr>
          <w:rFonts w:ascii="Arial" w:cs="Arial" w:eastAsia="Arial" w:hAnsi="Arial"/>
          <w:sz w:val="20"/>
          <w:szCs w:val="20"/>
          <w:color w:val="auto"/>
        </w:rPr>
      </w:pPr>
    </w:p>
    <w:p>
      <w:pPr>
        <w:ind w:left="1" w:right="20" w:hanging="1"/>
        <w:spacing w:after="0" w:line="252" w:lineRule="auto"/>
        <w:tabs>
          <w:tab w:leader="none" w:pos="835" w:val="left"/>
        </w:tabs>
        <w:numPr>
          <w:ilvl w:val="0"/>
          <w:numId w:val="88"/>
        </w:numPr>
        <w:rPr>
          <w:rFonts w:ascii="Arial" w:cs="Arial" w:eastAsia="Arial" w:hAnsi="Arial"/>
          <w:sz w:val="20"/>
          <w:szCs w:val="20"/>
          <w:color w:val="auto"/>
        </w:rPr>
      </w:pPr>
      <w:r>
        <w:rPr>
          <w:rFonts w:ascii="Arial" w:cs="Arial" w:eastAsia="Arial" w:hAnsi="Arial"/>
          <w:sz w:val="20"/>
          <w:szCs w:val="20"/>
          <w:color w:val="auto"/>
        </w:rPr>
        <w:t>LANDLORD’S LIABILITY. The term “Landlord,” as used in this Lease, shall mean only the owner or owners of the Building at the time in question. In the event of any conveyance of title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7" w:right="319" w:bottom="1440" w:gutter="0" w:footer="0" w:header="0"/>
        </w:sectPr>
      </w:pPr>
    </w:p>
    <w:bookmarkStart w:id="138" w:name="page139"/>
    <w:bookmarkEnd w:id="138"/>
    <w:p>
      <w:pPr>
        <w:jc w:val="both"/>
        <w:ind w:left="1" w:right="20"/>
        <w:spacing w:after="0" w:line="250" w:lineRule="auto"/>
        <w:rPr>
          <w:sz w:val="20"/>
          <w:szCs w:val="20"/>
          <w:color w:val="auto"/>
        </w:rPr>
      </w:pPr>
      <w:r>
        <w:rPr>
          <w:rFonts w:ascii="Arial" w:cs="Arial" w:eastAsia="Arial" w:hAnsi="Arial"/>
          <w:sz w:val="19"/>
          <w:szCs w:val="19"/>
          <w:color w:val="auto"/>
        </w:rPr>
        <w:t>to the Building, then from and after the date of such conveyance, the transferor Landlord shall be relieved of all liability with respect to Landlord’s obligations to be performed under this Lease after the date of such conveyance. Notwithstanding any other term or provision of this Lease, the liability of Landlord for its obligations under this Lease is limited solely to Landlord’s interest in the Building as the same may from time to time be encumbered, and no personal liability shall at any time be asserted or enforceable against any other assets of Landlord or against Landlord’s partners or members or its or their respective partners, shareholders, members, directors, officers or managers on account of any of Landlord’s obligations or actions under this Lease.</w:t>
      </w:r>
    </w:p>
    <w:p>
      <w:pPr>
        <w:spacing w:after="0" w:line="164" w:lineRule="exact"/>
        <w:rPr>
          <w:sz w:val="20"/>
          <w:szCs w:val="20"/>
          <w:color w:val="auto"/>
        </w:rPr>
      </w:pPr>
    </w:p>
    <w:p>
      <w:pPr>
        <w:ind w:left="841" w:hanging="841"/>
        <w:spacing w:after="0"/>
        <w:tabs>
          <w:tab w:leader="none" w:pos="841" w:val="left"/>
        </w:tabs>
        <w:numPr>
          <w:ilvl w:val="0"/>
          <w:numId w:val="89"/>
        </w:numPr>
        <w:rPr>
          <w:rFonts w:ascii="Arial" w:cs="Arial" w:eastAsia="Arial" w:hAnsi="Arial"/>
          <w:sz w:val="20"/>
          <w:szCs w:val="20"/>
          <w:color w:val="auto"/>
        </w:rPr>
      </w:pPr>
      <w:r>
        <w:rPr>
          <w:rFonts w:ascii="Arial" w:cs="Arial" w:eastAsia="Arial" w:hAnsi="Arial"/>
          <w:sz w:val="20"/>
          <w:szCs w:val="20"/>
          <w:color w:val="auto"/>
        </w:rPr>
        <w:t>CONSENTS AND APPROVALS.</w:t>
      </w:r>
    </w:p>
    <w:p>
      <w:pPr>
        <w:spacing w:after="0" w:line="189" w:lineRule="exact"/>
        <w:rPr>
          <w:sz w:val="20"/>
          <w:szCs w:val="20"/>
          <w:color w:val="auto"/>
        </w:rPr>
      </w:pPr>
    </w:p>
    <w:p>
      <w:pPr>
        <w:ind w:left="861"/>
        <w:spacing w:after="0"/>
        <w:tabs>
          <w:tab w:leader="none" w:pos="1781"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189" w:lineRule="exact"/>
        <w:rPr>
          <w:sz w:val="20"/>
          <w:szCs w:val="20"/>
          <w:color w:val="auto"/>
        </w:rPr>
      </w:pPr>
    </w:p>
    <w:p>
      <w:pPr>
        <w:jc w:val="both"/>
        <w:ind w:left="1" w:right="20" w:firstLine="865"/>
        <w:spacing w:after="0" w:line="269" w:lineRule="auto"/>
        <w:rPr>
          <w:sz w:val="20"/>
          <w:szCs w:val="20"/>
          <w:color w:val="auto"/>
        </w:rPr>
      </w:pPr>
      <w:r>
        <w:rPr>
          <w:rFonts w:ascii="Arial" w:cs="Arial" w:eastAsia="Arial" w:hAnsi="Arial"/>
          <w:sz w:val="18"/>
          <w:szCs w:val="18"/>
          <w:color w:val="auto"/>
        </w:rPr>
        <w:t xml:space="preserve">29.2 </w:t>
      </w:r>
      <w:r>
        <w:rPr>
          <w:rFonts w:ascii="Arial" w:cs="Arial" w:eastAsia="Arial" w:hAnsi="Arial"/>
          <w:sz w:val="18"/>
          <w:szCs w:val="18"/>
          <w:u w:val="single" w:color="auto"/>
          <w:color w:val="auto"/>
        </w:rPr>
        <w:t>No Liability Imposed on Landlord</w:t>
      </w:r>
      <w:r>
        <w:rPr>
          <w:rFonts w:ascii="Arial" w:cs="Arial" w:eastAsia="Arial" w:hAnsi="Arial"/>
          <w:sz w:val="18"/>
          <w:szCs w:val="18"/>
          <w:color w:val="auto"/>
        </w:rPr>
        <w:t>. The review and/or approval by Landlord of any item or matter to be reviewed or approved by Landlord under the terms of this Lease or any Exhibits or Addenda hereto shall not impose upon Landlord any liability for the accuracy or sufficiency of any such item or matter or the quality or suitability of such item for its intended use. Any such review or approval is for the sole purpose of protecting Landlord’s interest in the Project, and no third parties, including Tenant or the Representatives and Visitors of Tenant or any person or entity claiming by, through or under Tenant, shall have any rights as a consequence thereof.</w:t>
      </w:r>
    </w:p>
    <w:p>
      <w:pPr>
        <w:spacing w:after="0" w:line="148" w:lineRule="exact"/>
        <w:rPr>
          <w:sz w:val="20"/>
          <w:szCs w:val="20"/>
          <w:color w:val="auto"/>
        </w:rPr>
      </w:pPr>
    </w:p>
    <w:p>
      <w:pPr>
        <w:jc w:val="both"/>
        <w:ind w:left="1" w:hanging="1"/>
        <w:spacing w:after="0" w:line="249" w:lineRule="auto"/>
        <w:tabs>
          <w:tab w:leader="none" w:pos="835" w:val="left"/>
        </w:tabs>
        <w:numPr>
          <w:ilvl w:val="0"/>
          <w:numId w:val="90"/>
        </w:numPr>
        <w:rPr>
          <w:rFonts w:ascii="Arial" w:cs="Arial" w:eastAsia="Arial" w:hAnsi="Arial"/>
          <w:sz w:val="19"/>
          <w:szCs w:val="19"/>
          <w:color w:val="auto"/>
        </w:rPr>
      </w:pPr>
      <w:r>
        <w:rPr>
          <w:rFonts w:ascii="Arial" w:cs="Arial" w:eastAsia="Arial" w:hAnsi="Arial"/>
          <w:sz w:val="19"/>
          <w:szCs w:val="19"/>
          <w:color w:val="auto"/>
        </w:rPr>
        <w:t>WAIVERS To the extent permitted by applicable Laws, Landlord and Tenant waive their respective rights to trial by jury of any contract or tort claim, counterclaim, cross-complaint, or cause of action in any action, proceeding, or hearing brought by either party against the other on any matter arising out of or in any way connected with this Lease, the relationship of Landlord and Tenant, or Tenant’s use or occupancy of the Premises, including any claim of injury or damage or the enforcement of any remedy under any current or future law, statute, regulation, code, or ordinance. Notwithstanding anything to the contrary contained herein, to the extent permitted by Laws, Tenant hereby waives any defense, claim or cause of action based in whole or in part on economic necessity, impracticability, impossibility, changed economic circumstances, frustration of purpose, or similar theories.</w:t>
      </w:r>
    </w:p>
    <w:p>
      <w:pPr>
        <w:spacing w:after="0" w:line="164" w:lineRule="exact"/>
        <w:rPr>
          <w:rFonts w:ascii="Arial" w:cs="Arial" w:eastAsia="Arial" w:hAnsi="Arial"/>
          <w:sz w:val="19"/>
          <w:szCs w:val="19"/>
          <w:color w:val="auto"/>
        </w:rPr>
      </w:pPr>
    </w:p>
    <w:p>
      <w:pPr>
        <w:jc w:val="both"/>
        <w:ind w:left="1" w:hanging="1"/>
        <w:spacing w:after="0" w:line="264" w:lineRule="auto"/>
        <w:tabs>
          <w:tab w:leader="none" w:pos="8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BROKERS. Landlord shall pay the fee or commission of the broker or brokers identified in the Basic Lease Information (the “</w:t>
      </w:r>
      <w:r>
        <w:rPr>
          <w:rFonts w:ascii="Arial" w:cs="Arial" w:eastAsia="Arial" w:hAnsi="Arial"/>
          <w:sz w:val="18"/>
          <w:szCs w:val="18"/>
          <w:b w:val="1"/>
          <w:bCs w:val="1"/>
          <w:color w:val="auto"/>
        </w:rPr>
        <w:t>Broker</w:t>
      </w:r>
      <w:r>
        <w:rPr>
          <w:rFonts w:ascii="Arial" w:cs="Arial" w:eastAsia="Arial" w:hAnsi="Arial"/>
          <w:sz w:val="18"/>
          <w:szCs w:val="18"/>
          <w:color w:val="auto"/>
        </w:rPr>
        <w:t>”) in accordance with Landlord’s separate written agreement with the Broker, if any. Tenant warrants and represents to Landlord that in the negotiating or making of this Lease neither Tenant nor anyone acting on Tenant’s behalf has dealt with any broker or finder who might be entitled to a fee or commission for this Lease other than the Broker. Tenant shall indemnify and hold Landlord harmless from any claim or claims, including costs, expenses and attorney’s fees incurred by Landlord asserted by any other broker or finder for a fee or commission based upon any dealings with or statements made by Tenant or Tenant’s Representatives. Landlord shall indemnify and hold Tenant harmless from any claim any claim or claims, including costs, expenses and attorney’s fees incurred by Tenant asserted by any other broker or finder for a fee or commission based upon any dealings with or statements made by Landlord or Landlord’s Representatives.</w:t>
      </w:r>
    </w:p>
    <w:p>
      <w:pPr>
        <w:spacing w:after="0" w:line="152" w:lineRule="exact"/>
        <w:rPr>
          <w:rFonts w:ascii="Arial" w:cs="Arial" w:eastAsia="Arial" w:hAnsi="Arial"/>
          <w:sz w:val="18"/>
          <w:szCs w:val="18"/>
          <w:color w:val="auto"/>
        </w:rPr>
      </w:pPr>
    </w:p>
    <w:p>
      <w:pPr>
        <w:ind w:left="841" w:hanging="841"/>
        <w:spacing w:after="0"/>
        <w:tabs>
          <w:tab w:leader="none" w:pos="841" w:val="left"/>
        </w:tabs>
        <w:numPr>
          <w:ilvl w:val="0"/>
          <w:numId w:val="90"/>
        </w:numPr>
        <w:rPr>
          <w:rFonts w:ascii="Arial" w:cs="Arial" w:eastAsia="Arial" w:hAnsi="Arial"/>
          <w:sz w:val="20"/>
          <w:szCs w:val="20"/>
          <w:color w:val="auto"/>
        </w:rPr>
      </w:pPr>
      <w:r>
        <w:rPr>
          <w:rFonts w:ascii="Arial" w:cs="Arial" w:eastAsia="Arial" w:hAnsi="Arial"/>
          <w:sz w:val="20"/>
          <w:szCs w:val="20"/>
          <w:color w:val="auto"/>
        </w:rPr>
        <w:t>[RESERVED] .</w:t>
      </w:r>
    </w:p>
    <w:p>
      <w:pPr>
        <w:spacing w:after="0" w:line="189" w:lineRule="exact"/>
        <w:rPr>
          <w:rFonts w:ascii="Arial" w:cs="Arial" w:eastAsia="Arial" w:hAnsi="Arial"/>
          <w:sz w:val="20"/>
          <w:szCs w:val="20"/>
          <w:color w:val="auto"/>
        </w:rPr>
      </w:pPr>
    </w:p>
    <w:p>
      <w:pPr>
        <w:ind w:left="1" w:right="20" w:hanging="1"/>
        <w:spacing w:after="0" w:line="252" w:lineRule="auto"/>
        <w:tabs>
          <w:tab w:leader="none" w:pos="835" w:val="left"/>
        </w:tabs>
        <w:numPr>
          <w:ilvl w:val="0"/>
          <w:numId w:val="90"/>
        </w:numPr>
        <w:rPr>
          <w:rFonts w:ascii="Arial" w:cs="Arial" w:eastAsia="Arial" w:hAnsi="Arial"/>
          <w:sz w:val="20"/>
          <w:szCs w:val="20"/>
          <w:color w:val="auto"/>
        </w:rPr>
      </w:pPr>
      <w:r>
        <w:rPr>
          <w:rFonts w:ascii="Arial" w:cs="Arial" w:eastAsia="Arial" w:hAnsi="Arial"/>
          <w:sz w:val="20"/>
          <w:szCs w:val="20"/>
          <w:color w:val="auto"/>
        </w:rPr>
        <w:t>OFAC Tenant hereby represents and warrants that neither Tenant, nor any persons or entities holding any legal or beneficial interest whatsoever in Tenant, are (i) the target of any sanctions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39" w:name="page140"/>
    <w:bookmarkEnd w:id="139"/>
    <w:p>
      <w:pPr>
        <w:jc w:val="both"/>
        <w:ind w:left="1" w:right="20"/>
        <w:spacing w:after="0" w:line="267" w:lineRule="auto"/>
        <w:rPr>
          <w:sz w:val="20"/>
          <w:szCs w:val="20"/>
          <w:color w:val="auto"/>
        </w:rPr>
      </w:pPr>
      <w:r>
        <w:rPr>
          <w:rFonts w:ascii="Arial" w:cs="Arial" w:eastAsia="Arial" w:hAnsi="Arial"/>
          <w:sz w:val="18"/>
          <w:szCs w:val="18"/>
          <w:color w:val="auto"/>
        </w:rPr>
        <w:t>program that is established by Executive Order of the President or published by the Office of Foreign Assets Control, U.S. Department of the Treasury (“OFAC”);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If the foregoing representation is untrue at any time during the Term, an Event of Default will be deemed to have occurred, without the necessity of notice to Tenant.</w:t>
      </w:r>
    </w:p>
    <w:p>
      <w:pPr>
        <w:spacing w:after="0" w:line="148" w:lineRule="exact"/>
        <w:rPr>
          <w:sz w:val="20"/>
          <w:szCs w:val="20"/>
          <w:color w:val="auto"/>
        </w:rPr>
      </w:pPr>
    </w:p>
    <w:p>
      <w:pPr>
        <w:jc w:val="both"/>
        <w:ind w:left="1" w:right="20" w:hanging="1"/>
        <w:spacing w:after="0" w:line="248" w:lineRule="auto"/>
        <w:tabs>
          <w:tab w:leader="none" w:pos="835" w:val="left"/>
        </w:tabs>
        <w:numPr>
          <w:ilvl w:val="0"/>
          <w:numId w:val="91"/>
        </w:numPr>
        <w:rPr>
          <w:rFonts w:ascii="Arial" w:cs="Arial" w:eastAsia="Arial" w:hAnsi="Arial"/>
          <w:sz w:val="19"/>
          <w:szCs w:val="19"/>
          <w:color w:val="auto"/>
        </w:rPr>
      </w:pPr>
      <w:r>
        <w:rPr>
          <w:rFonts w:ascii="Arial" w:cs="Arial" w:eastAsia="Arial" w:hAnsi="Arial"/>
          <w:sz w:val="19"/>
          <w:szCs w:val="19"/>
          <w:color w:val="auto"/>
        </w:rPr>
        <w:t>ENTIRE AGREEMENT. This Lease, including the Exhibits and any Addenda attached hereto, and the documents referred to herein, if any, constitute the entire agreement between Landlord and Tenant with respect to the leasing of space by Tenant in the Building, and supersede all prior or contemporaneous agreements, understandings, proposals and other representations by or between Landlord and Tenant, whether written or oral, all of which are merged herein. Neither Landlord nor Landlord’s agents have made any representations or warranties with respect to the Premises, the Building, the Project or this Lease except as expressly set forth herein, and no rights, easements or licenses shall be acquired by Tenant by implication or otherwise unless expressly set forth herein. The submission of this Lease for examination does not constitute an option for the Premises and this Lease shall become effective as a binding agreement only upon execution and delivery thereof by and to each party.</w:t>
      </w:r>
    </w:p>
    <w:p>
      <w:pPr>
        <w:spacing w:after="0" w:line="167" w:lineRule="exact"/>
        <w:rPr>
          <w:rFonts w:ascii="Arial" w:cs="Arial" w:eastAsia="Arial" w:hAnsi="Arial"/>
          <w:sz w:val="19"/>
          <w:szCs w:val="19"/>
          <w:color w:val="auto"/>
        </w:rPr>
      </w:pPr>
    </w:p>
    <w:p>
      <w:pPr>
        <w:jc w:val="both"/>
        <w:ind w:left="1" w:hanging="1"/>
        <w:spacing w:after="0" w:line="260" w:lineRule="auto"/>
        <w:tabs>
          <w:tab w:leader="none" w:pos="8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MISCELLANEOUS. This Lease may not be amended or modified except by a writing signed by Landlord and Tenant. Subject to Section 14 - </w:t>
      </w:r>
      <w:r>
        <w:rPr>
          <w:rFonts w:ascii="Arial" w:cs="Arial" w:eastAsia="Arial" w:hAnsi="Arial"/>
          <w:sz w:val="18"/>
          <w:szCs w:val="18"/>
          <w:i w:val="1"/>
          <w:iCs w:val="1"/>
          <w:color w:val="auto"/>
        </w:rPr>
        <w:t>Assignment and Subletting</w:t>
      </w:r>
      <w:r>
        <w:rPr>
          <w:rFonts w:ascii="Arial" w:cs="Arial" w:eastAsia="Arial" w:hAnsi="Arial"/>
          <w:sz w:val="18"/>
          <w:szCs w:val="18"/>
          <w:color w:val="auto"/>
        </w:rPr>
        <w:t xml:space="preserve"> and Section 28 - </w:t>
      </w:r>
      <w:r>
        <w:rPr>
          <w:rFonts w:ascii="Arial" w:cs="Arial" w:eastAsia="Arial" w:hAnsi="Arial"/>
          <w:sz w:val="18"/>
          <w:szCs w:val="18"/>
          <w:i w:val="1"/>
          <w:iCs w:val="1"/>
          <w:color w:val="auto"/>
        </w:rPr>
        <w:t>Landlord’s Liability</w:t>
      </w:r>
      <w:r>
        <w:rPr>
          <w:rFonts w:ascii="Arial" w:cs="Arial" w:eastAsia="Arial" w:hAnsi="Arial"/>
          <w:sz w:val="18"/>
          <w:szCs w:val="18"/>
          <w:color w:val="auto"/>
        </w:rPr>
        <w:t>, this Lease shall be binding on and shall inure to the benefit of the parties and their respective successors, assigns and legal representatives. The determination that any provisions hereof may be void, invalid, illegal or unenforceable shall not impair any other provisions hereof and all such other provisions of this Lease shall remain in full force and effect. The unenforceability, invalidity or illegality of any provision of this Lease under particular circumstances shall not render unenforceable, invalid or illegal other provisions of this Lease, or the same provisions under other circumstances. This Lease shall be construed and interpreted in accordance with the laws (excluding conflict of laws principles) of the State in which the Building is located. The provisions of this Lease shall be construed in accordance with the fair meaning of the language used and shall not be strictly construed against either party, even if such party drafted the provision in question. When required by the context of this Lease, the singular includes the plural. Wherever the term “including” is used in this Lease, it shall be interpreted as meaning “including, but not limited to” the matter or matters thereafter enumerated. The captions contained in this Lease are for purposes of convenience only and are not to be used to interpret or construe this Lease. If more than one person or entity is identified as Tenant hereunder, the obligations of each and all of them under this Lease shall be joint and several. Time is of the essence with respect to this Lease, except as to the conditions relating to the delivery of possession of the Premises to Tenant. Neither Landlord nor Tenant shall record this Lease. This Lease may be executed and delivered by facsimile in one or more counterparts, each of which shall constitute one and the same Lease. If this Lease is signed and delivered in such manner, Landlord and Tenant shall promptly deliver an original signed version to the other. Any digital image copy of this Lease (to the extent fully executed and delivered) shall be treated by the parties as a true and correct original of the same and admissible as best evidence to the extent permitted by a court of proper jurisdiction. This Lease may be executed in several counterparts, each of which shall be deemed an original, but all of which together shall constitute one and the same agreement.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8502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61"/>
          </w:cols>
          <w:pgMar w:left="319" w:top="318" w:right="319" w:bottom="1440" w:gutter="0" w:footer="0" w:header="0"/>
        </w:sectPr>
      </w:pPr>
    </w:p>
    <w:bookmarkStart w:id="140" w:name="page141"/>
    <w:bookmarkEnd w:id="140"/>
    <w:p>
      <w:pPr>
        <w:jc w:val="both"/>
        <w:ind w:left="1" w:right="20"/>
        <w:spacing w:after="0" w:line="235" w:lineRule="auto"/>
        <w:rPr>
          <w:sz w:val="20"/>
          <w:szCs w:val="20"/>
          <w:color w:val="auto"/>
        </w:rPr>
      </w:pPr>
      <w:r>
        <w:rPr>
          <w:rFonts w:ascii="Arial" w:cs="Arial" w:eastAsia="Arial" w:hAnsi="Arial"/>
          <w:sz w:val="20"/>
          <w:szCs w:val="20"/>
          <w:b w:val="1"/>
          <w:bCs w:val="1"/>
          <w:color w:val="auto"/>
        </w:rPr>
        <w:t>THE PARTIES HERETO CONSENT AND AGREE THAT THIS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AMENDMENT USING ELECTRONIC SIGNATURE TECHNOLOGY, BY CLICKING "SIGN", SUCH PARTY IS SIGNING THIS AMENDMENT ELECTRONICALLY, AND (2) THE ELECTRONIC SIGNATURES APPEARING ON THIS AMENDMENT SHALL BE TREATED, FOR PURPOSES OF VALIDITY, ENFORCEABILITY AND ADMISSIBILITY, THE SAME AS HAND-WRITTEN SIGNATURES</w:t>
      </w:r>
      <w:r>
        <w:rPr>
          <w:rFonts w:ascii="Arial" w:cs="Arial" w:eastAsia="Arial" w:hAnsi="Arial"/>
          <w:sz w:val="20"/>
          <w:szCs w:val="20"/>
          <w:color w:val="auto"/>
        </w:rPr>
        <w:t>.</w:t>
      </w:r>
    </w:p>
    <w:p>
      <w:pPr>
        <w:spacing w:after="0" w:line="175" w:lineRule="exact"/>
        <w:rPr>
          <w:sz w:val="20"/>
          <w:szCs w:val="20"/>
          <w:color w:val="auto"/>
        </w:rPr>
      </w:pPr>
    </w:p>
    <w:p>
      <w:pPr>
        <w:jc w:val="both"/>
        <w:ind w:left="1" w:hanging="1"/>
        <w:spacing w:after="0" w:line="238" w:lineRule="auto"/>
        <w:tabs>
          <w:tab w:leader="none" w:pos="835" w:val="left"/>
        </w:tabs>
        <w:numPr>
          <w:ilvl w:val="0"/>
          <w:numId w:val="92"/>
        </w:numPr>
        <w:rPr>
          <w:rFonts w:ascii="Arial" w:cs="Arial" w:eastAsia="Arial" w:hAnsi="Arial"/>
          <w:sz w:val="20"/>
          <w:szCs w:val="20"/>
          <w:color w:val="auto"/>
        </w:rPr>
      </w:pPr>
      <w:r>
        <w:rPr>
          <w:rFonts w:ascii="Arial" w:cs="Arial" w:eastAsia="Arial" w:hAnsi="Arial"/>
          <w:sz w:val="20"/>
          <w:szCs w:val="20"/>
          <w:color w:val="auto"/>
        </w:rPr>
        <w:t>AUTHORITY. Tenant represents that Tenant is a duly organized and validly existing entity, that Tenant has full right and authority to enter into this Lease and that the persons signing on behalf of Tenant are authorized to do so and have the power to bind Tenant to this Lease. Tenant shall provide Landlord upon request with a board resolution or other evidence reasonably satisfactory to Landlord confirming the foregoing representations.</w:t>
      </w:r>
    </w:p>
    <w:p>
      <w:pPr>
        <w:spacing w:after="0" w:line="173" w:lineRule="exact"/>
        <w:rPr>
          <w:sz w:val="20"/>
          <w:szCs w:val="20"/>
          <w:color w:val="auto"/>
        </w:rPr>
      </w:pPr>
    </w:p>
    <w:p>
      <w:pPr>
        <w:ind w:left="861"/>
        <w:spacing w:after="0"/>
        <w:rPr>
          <w:sz w:val="20"/>
          <w:szCs w:val="20"/>
          <w:color w:val="auto"/>
        </w:rPr>
      </w:pPr>
      <w:r>
        <w:rPr>
          <w:rFonts w:ascii="Arial" w:cs="Arial" w:eastAsia="Arial" w:hAnsi="Arial"/>
          <w:sz w:val="20"/>
          <w:szCs w:val="20"/>
          <w:color w:val="auto"/>
        </w:rPr>
        <w:t>IN WITNESS WHEREOF, Landlord and Tenant have entered into this Lease as of the date first above written.</w:t>
      </w:r>
    </w:p>
    <w:p>
      <w:pPr>
        <w:spacing w:after="0" w:line="387" w:lineRule="exact"/>
        <w:rPr>
          <w:sz w:val="20"/>
          <w:szCs w:val="20"/>
          <w:color w:val="auto"/>
        </w:rPr>
      </w:pPr>
    </w:p>
    <w:tbl>
      <w:tblPr>
        <w:tblLayout w:type="fixed"/>
        <w:tblInd w:w="1" w:type="dxa"/>
        <w:tblCellMar>
          <w:top w:w="0" w:type="dxa"/>
          <w:left w:w="0" w:type="dxa"/>
          <w:bottom w:w="0" w:type="dxa"/>
          <w:right w:w="0" w:type="dxa"/>
        </w:tblCellMar>
      </w:tblPr>
      <w:tr>
        <w:trPr>
          <w:trHeight w:val="250"/>
        </w:trPr>
        <w:tc>
          <w:tcPr>
            <w:tcW w:w="3140" w:type="dxa"/>
            <w:vAlign w:val="bottom"/>
            <w:gridSpan w:val="5"/>
          </w:tcPr>
          <w:p>
            <w:pPr>
              <w:spacing w:after="0"/>
              <w:rPr>
                <w:sz w:val="20"/>
                <w:szCs w:val="20"/>
                <w:color w:val="auto"/>
              </w:rPr>
            </w:pPr>
            <w:r>
              <w:rPr>
                <w:rFonts w:ascii="Arial" w:cs="Arial" w:eastAsia="Arial" w:hAnsi="Arial"/>
                <w:sz w:val="20"/>
                <w:szCs w:val="20"/>
                <w:color w:val="auto"/>
              </w:rPr>
              <w:t>TENANT:</w:t>
            </w:r>
          </w:p>
        </w:tc>
        <w:tc>
          <w:tcPr>
            <w:tcW w:w="3880" w:type="dxa"/>
            <w:vAlign w:val="bottom"/>
            <w:gridSpan w:val="5"/>
          </w:tcPr>
          <w:p>
            <w:pPr>
              <w:ind w:left="780"/>
              <w:spacing w:after="0"/>
              <w:rPr>
                <w:sz w:val="20"/>
                <w:szCs w:val="20"/>
                <w:color w:val="auto"/>
              </w:rPr>
            </w:pPr>
            <w:r>
              <w:rPr>
                <w:rFonts w:ascii="Arial" w:cs="Arial" w:eastAsia="Arial" w:hAnsi="Arial"/>
                <w:sz w:val="20"/>
                <w:szCs w:val="20"/>
                <w:color w:val="auto"/>
              </w:rPr>
              <w:t>LANDLORD:</w:t>
            </w:r>
          </w:p>
        </w:tc>
        <w:tc>
          <w:tcPr>
            <w:tcW w:w="0" w:type="dxa"/>
            <w:vAlign w:val="bottom"/>
          </w:tcPr>
          <w:p>
            <w:pPr>
              <w:spacing w:after="0"/>
              <w:rPr>
                <w:sz w:val="1"/>
                <w:szCs w:val="1"/>
                <w:color w:val="auto"/>
              </w:rPr>
            </w:pPr>
          </w:p>
        </w:tc>
      </w:tr>
      <w:tr>
        <w:trPr>
          <w:trHeight w:val="386"/>
        </w:trPr>
        <w:tc>
          <w:tcPr>
            <w:tcW w:w="3140" w:type="dxa"/>
            <w:vAlign w:val="bottom"/>
            <w:gridSpan w:val="5"/>
          </w:tcPr>
          <w:p>
            <w:pPr>
              <w:spacing w:after="0"/>
              <w:rPr>
                <w:sz w:val="20"/>
                <w:szCs w:val="20"/>
                <w:color w:val="auto"/>
              </w:rPr>
            </w:pPr>
            <w:r>
              <w:rPr>
                <w:rFonts w:ascii="Arial" w:cs="Arial" w:eastAsia="Arial" w:hAnsi="Arial"/>
                <w:sz w:val="20"/>
                <w:szCs w:val="20"/>
                <w:b w:val="1"/>
                <w:bCs w:val="1"/>
                <w:color w:val="auto"/>
              </w:rPr>
              <w:t>CORSAIR GAMING, INC.,</w:t>
            </w:r>
          </w:p>
        </w:tc>
        <w:tc>
          <w:tcPr>
            <w:tcW w:w="3880" w:type="dxa"/>
            <w:vAlign w:val="bottom"/>
            <w:gridSpan w:val="5"/>
          </w:tcPr>
          <w:p>
            <w:pPr>
              <w:ind w:left="780"/>
              <w:spacing w:after="0"/>
              <w:rPr>
                <w:sz w:val="20"/>
                <w:szCs w:val="20"/>
                <w:color w:val="auto"/>
              </w:rPr>
            </w:pPr>
            <w:r>
              <w:rPr>
                <w:rFonts w:ascii="Arial" w:cs="Arial" w:eastAsia="Arial" w:hAnsi="Arial"/>
                <w:sz w:val="20"/>
                <w:szCs w:val="20"/>
                <w:b w:val="1"/>
                <w:bCs w:val="1"/>
                <w:color w:val="auto"/>
              </w:rPr>
              <w:t>CAMPUS 237 OWNER LLC,</w:t>
            </w:r>
          </w:p>
        </w:tc>
        <w:tc>
          <w:tcPr>
            <w:tcW w:w="0" w:type="dxa"/>
            <w:vAlign w:val="bottom"/>
          </w:tcPr>
          <w:p>
            <w:pPr>
              <w:spacing w:after="0"/>
              <w:rPr>
                <w:sz w:val="1"/>
                <w:szCs w:val="1"/>
                <w:color w:val="auto"/>
              </w:rPr>
            </w:pPr>
          </w:p>
        </w:tc>
      </w:tr>
      <w:tr>
        <w:trPr>
          <w:trHeight w:val="256"/>
        </w:trPr>
        <w:tc>
          <w:tcPr>
            <w:tcW w:w="3140" w:type="dxa"/>
            <w:vAlign w:val="bottom"/>
            <w:gridSpan w:val="5"/>
          </w:tcPr>
          <w:p>
            <w:pPr>
              <w:spacing w:after="0"/>
              <w:rPr>
                <w:sz w:val="20"/>
                <w:szCs w:val="20"/>
                <w:color w:val="auto"/>
              </w:rPr>
            </w:pPr>
            <w:r>
              <w:rPr>
                <w:rFonts w:ascii="Arial" w:cs="Arial" w:eastAsia="Arial" w:hAnsi="Arial"/>
                <w:sz w:val="20"/>
                <w:szCs w:val="20"/>
                <w:b w:val="1"/>
                <w:bCs w:val="1"/>
                <w:color w:val="auto"/>
              </w:rPr>
              <w:t>a Delaware corporation</w:t>
            </w:r>
          </w:p>
        </w:tc>
        <w:tc>
          <w:tcPr>
            <w:tcW w:w="3880" w:type="dxa"/>
            <w:vAlign w:val="bottom"/>
            <w:gridSpan w:val="5"/>
          </w:tcPr>
          <w:p>
            <w:pPr>
              <w:ind w:left="780"/>
              <w:spacing w:after="0"/>
              <w:rPr>
                <w:sz w:val="20"/>
                <w:szCs w:val="20"/>
                <w:color w:val="auto"/>
              </w:rPr>
            </w:pPr>
            <w:r>
              <w:rPr>
                <w:rFonts w:ascii="Arial" w:cs="Arial" w:eastAsia="Arial" w:hAnsi="Arial"/>
                <w:sz w:val="20"/>
                <w:szCs w:val="20"/>
                <w:b w:val="1"/>
                <w:bCs w:val="1"/>
                <w:color w:val="auto"/>
                <w:w w:val="89"/>
              </w:rPr>
              <w:t>a Delaware limited liability company</w:t>
            </w:r>
          </w:p>
        </w:tc>
        <w:tc>
          <w:tcPr>
            <w:tcW w:w="0" w:type="dxa"/>
            <w:vAlign w:val="bottom"/>
          </w:tcPr>
          <w:p>
            <w:pPr>
              <w:spacing w:after="0"/>
              <w:rPr>
                <w:sz w:val="1"/>
                <w:szCs w:val="1"/>
                <w:color w:val="auto"/>
              </w:rPr>
            </w:pPr>
          </w:p>
        </w:tc>
      </w:tr>
      <w:tr>
        <w:trPr>
          <w:trHeight w:val="374"/>
        </w:trPr>
        <w:tc>
          <w:tcPr>
            <w:tcW w:w="280" w:type="dxa"/>
            <w:vAlign w:val="bottom"/>
          </w:tcPr>
          <w:p>
            <w:pPr>
              <w:spacing w:after="0"/>
              <w:rPr>
                <w:sz w:val="20"/>
                <w:szCs w:val="20"/>
                <w:color w:val="auto"/>
              </w:rPr>
            </w:pPr>
            <w:r>
              <w:rPr>
                <w:rFonts w:ascii="Arial" w:cs="Arial" w:eastAsia="Arial" w:hAnsi="Arial"/>
                <w:sz w:val="20"/>
                <w:szCs w:val="20"/>
                <w:color w:val="auto"/>
                <w:w w:val="89"/>
              </w:rPr>
              <w:t>By:</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/s/ Andy Paul</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80" w:type="dxa"/>
            <w:vAlign w:val="bottom"/>
            <w:gridSpan w:val="5"/>
          </w:tcPr>
          <w:p>
            <w:pPr>
              <w:ind w:left="780"/>
              <w:spacing w:after="0"/>
              <w:rPr>
                <w:sz w:val="20"/>
                <w:szCs w:val="20"/>
                <w:color w:val="auto"/>
              </w:rPr>
            </w:pPr>
            <w:r>
              <w:rPr>
                <w:rFonts w:ascii="Arial" w:cs="Arial" w:eastAsia="Arial" w:hAnsi="Arial"/>
                <w:sz w:val="20"/>
                <w:szCs w:val="20"/>
                <w:color w:val="auto"/>
              </w:rPr>
              <w:t>By: /s/ John Hamilton</w:t>
            </w:r>
          </w:p>
        </w:tc>
        <w:tc>
          <w:tcPr>
            <w:tcW w:w="0" w:type="dxa"/>
            <w:vAlign w:val="bottom"/>
          </w:tcPr>
          <w:p>
            <w:pPr>
              <w:spacing w:after="0"/>
              <w:rPr>
                <w:sz w:val="1"/>
                <w:szCs w:val="1"/>
                <w:color w:val="auto"/>
              </w:rPr>
            </w:pPr>
          </w:p>
        </w:tc>
      </w:tr>
      <w:tr>
        <w:trPr>
          <w:trHeight w:val="20"/>
        </w:trPr>
        <w:tc>
          <w:tcPr>
            <w:tcW w:w="1360" w:type="dxa"/>
            <w:vAlign w:val="bottom"/>
            <w:gridSpan w:val="4"/>
            <w:vMerge w:val="restart"/>
          </w:tcPr>
          <w:p>
            <w:pPr>
              <w:spacing w:after="0" w:line="189" w:lineRule="exact"/>
              <w:rPr>
                <w:sz w:val="20"/>
                <w:szCs w:val="20"/>
                <w:color w:val="auto"/>
              </w:rPr>
            </w:pPr>
            <w:r>
              <w:rPr>
                <w:rFonts w:ascii="Arial" w:cs="Arial" w:eastAsia="Arial" w:hAnsi="Arial"/>
                <w:sz w:val="20"/>
                <w:szCs w:val="20"/>
                <w:color w:val="auto"/>
                <w:w w:val="89"/>
              </w:rPr>
              <w:t>Name:Andy Paul</w:t>
            </w: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tcBorders>
              <w:bottom w:val="single" w:sz="8" w:color="auto"/>
            </w:tcBorders>
            <w:gridSpan w:val="4"/>
            <w:vMerge w:val="continue"/>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60" w:type="dxa"/>
            <w:vAlign w:val="bottom"/>
            <w:gridSpan w:val="4"/>
          </w:tcPr>
          <w:p>
            <w:pPr>
              <w:spacing w:after="0" w:line="162" w:lineRule="exact"/>
              <w:rPr>
                <w:sz w:val="20"/>
                <w:szCs w:val="20"/>
                <w:color w:val="auto"/>
              </w:rPr>
            </w:pPr>
            <w:r>
              <w:rPr>
                <w:rFonts w:ascii="Arial" w:cs="Arial" w:eastAsia="Arial" w:hAnsi="Arial"/>
                <w:sz w:val="18"/>
                <w:szCs w:val="18"/>
                <w:color w:val="auto"/>
              </w:rPr>
              <w:t>John Hamilton</w:t>
            </w:r>
          </w:p>
        </w:tc>
        <w:tc>
          <w:tcPr>
            <w:tcW w:w="0" w:type="dxa"/>
            <w:vAlign w:val="bottom"/>
          </w:tcPr>
          <w:p>
            <w:pPr>
              <w:spacing w:after="0"/>
              <w:rPr>
                <w:sz w:val="1"/>
                <w:szCs w:val="1"/>
                <w:color w:val="auto"/>
              </w:rPr>
            </w:pPr>
          </w:p>
        </w:tc>
      </w:tr>
      <w:tr>
        <w:trPr>
          <w:trHeight w:val="20"/>
        </w:trPr>
        <w:tc>
          <w:tcPr>
            <w:tcW w:w="800" w:type="dxa"/>
            <w:vAlign w:val="bottom"/>
            <w:gridSpan w:val="2"/>
            <w:vMerge w:val="restart"/>
          </w:tcPr>
          <w:p>
            <w:pPr>
              <w:spacing w:after="0" w:line="189" w:lineRule="exact"/>
              <w:rPr>
                <w:sz w:val="20"/>
                <w:szCs w:val="20"/>
                <w:color w:val="auto"/>
              </w:rPr>
            </w:pPr>
            <w:r>
              <w:rPr>
                <w:rFonts w:ascii="Arial" w:cs="Arial" w:eastAsia="Arial" w:hAnsi="Arial"/>
                <w:sz w:val="20"/>
                <w:szCs w:val="20"/>
                <w:color w:val="auto"/>
                <w:w w:val="89"/>
              </w:rPr>
              <w:t>Title:CEO</w:t>
            </w:r>
          </w:p>
        </w:tc>
        <w:tc>
          <w:tcPr>
            <w:tcW w:w="23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0" w:type="dxa"/>
            <w:vAlign w:val="bottom"/>
            <w:tcBorders>
              <w:bottom w:val="single" w:sz="8" w:color="auto"/>
            </w:tcBorders>
            <w:gridSpan w:val="2"/>
            <w:vMerge w:val="continue"/>
          </w:tcPr>
          <w:p>
            <w:pPr>
              <w:spacing w:after="0"/>
              <w:rPr>
                <w:sz w:val="14"/>
                <w:szCs w:val="14"/>
                <w:color w:val="auto"/>
              </w:rPr>
            </w:pPr>
          </w:p>
        </w:tc>
        <w:tc>
          <w:tcPr>
            <w:tcW w:w="234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2760" w:type="dxa"/>
            <w:vAlign w:val="bottom"/>
            <w:gridSpan w:val="4"/>
          </w:tcPr>
          <w:p>
            <w:pPr>
              <w:spacing w:after="0" w:line="162" w:lineRule="exact"/>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ind w:left="1"/>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Michael G. Potter</w:t>
      </w:r>
    </w:p>
    <w:p>
      <w:pPr>
        <w:ind w:left="1"/>
        <w:spacing w:after="0"/>
        <w:rPr>
          <w:sz w:val="20"/>
          <w:szCs w:val="20"/>
          <w:color w:val="auto"/>
        </w:rPr>
      </w:pPr>
      <w:r>
        <w:rPr>
          <w:rFonts w:ascii="Arial" w:cs="Arial" w:eastAsia="Arial" w:hAnsi="Arial"/>
          <w:sz w:val="20"/>
          <w:szCs w:val="20"/>
          <w:u w:val="single" w:color="auto"/>
          <w:color w:val="auto"/>
        </w:rPr>
        <w:t>Name:Michael G. Potter</w:t>
      </w:r>
    </w:p>
    <w:p>
      <w:pPr>
        <w:ind w:left="1"/>
        <w:spacing w:after="0"/>
        <w:rPr>
          <w:sz w:val="20"/>
          <w:szCs w:val="20"/>
          <w:color w:val="auto"/>
        </w:rPr>
      </w:pPr>
      <w:r>
        <w:rPr>
          <w:rFonts w:ascii="Arial" w:cs="Arial" w:eastAsia="Arial" w:hAnsi="Arial"/>
          <w:sz w:val="20"/>
          <w:szCs w:val="20"/>
          <w:u w:val="single" w:color="auto"/>
          <w:color w:val="auto"/>
        </w:rPr>
        <w:t>Title:CFO</w:t>
      </w:r>
    </w:p>
    <w:p>
      <w:pPr>
        <w:spacing w:after="0" w:line="173" w:lineRule="exact"/>
        <w:rPr>
          <w:sz w:val="20"/>
          <w:szCs w:val="20"/>
          <w:color w:val="auto"/>
        </w:rPr>
      </w:pPr>
    </w:p>
    <w:p>
      <w:pPr>
        <w:ind w:left="1" w:right="20"/>
        <w:spacing w:after="0" w:line="278" w:lineRule="auto"/>
        <w:rPr>
          <w:sz w:val="20"/>
          <w:szCs w:val="20"/>
          <w:color w:val="auto"/>
        </w:rPr>
      </w:pPr>
      <w:r>
        <w:rPr>
          <w:rFonts w:ascii="Arial" w:cs="Arial" w:eastAsia="Arial" w:hAnsi="Arial"/>
          <w:sz w:val="19"/>
          <w:szCs w:val="19"/>
          <w:color w:val="auto"/>
        </w:rPr>
        <w:t>(For corporate entities, signature by TWO corporate officers is required: one by (x) the chairman of the board, the president, or any vice president; and the other by (y) the secretary, any assistant secretary, the chief financial officer, or any assistant treasurer.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1"/>
          </w:cols>
          <w:pgMar w:left="319" w:top="312" w:right="319" w:bottom="1440" w:gutter="0" w:footer="0" w:header="0"/>
        </w:sectPr>
      </w:pPr>
    </w:p>
    <w:bookmarkStart w:id="141" w:name="page142"/>
    <w:bookmarkEnd w:id="141"/>
    <w:p>
      <w:pPr>
        <w:ind w:left="10320"/>
        <w:spacing w:after="0"/>
        <w:rPr>
          <w:sz w:val="20"/>
          <w:szCs w:val="20"/>
          <w:color w:val="auto"/>
        </w:rPr>
      </w:pPr>
      <w:r>
        <w:rPr>
          <w:rFonts w:ascii="Arial" w:cs="Arial" w:eastAsia="Arial" w:hAnsi="Arial"/>
          <w:sz w:val="15"/>
          <w:szCs w:val="15"/>
          <w:b w:val="1"/>
          <w:bCs w:val="1"/>
          <w:color w:val="auto"/>
        </w:rPr>
        <w:t>Exhibit 10.18</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CORSAIR FIRST AMENDMENT TO</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LEASE</w:t>
      </w:r>
    </w:p>
    <w:p>
      <w:pPr>
        <w:spacing w:after="0" w:line="185" w:lineRule="exact"/>
        <w:rPr>
          <w:sz w:val="20"/>
          <w:szCs w:val="20"/>
          <w:color w:val="auto"/>
        </w:rPr>
      </w:pPr>
    </w:p>
    <w:p>
      <w:pPr>
        <w:jc w:val="both"/>
        <w:ind w:left="140" w:right="160" w:firstLine="4"/>
        <w:spacing w:after="0" w:line="273" w:lineRule="auto"/>
        <w:rPr>
          <w:sz w:val="20"/>
          <w:szCs w:val="20"/>
          <w:color w:val="auto"/>
        </w:rPr>
      </w:pPr>
      <w:r>
        <w:rPr>
          <w:rFonts w:ascii="Arial" w:cs="Arial" w:eastAsia="Arial" w:hAnsi="Arial"/>
          <w:sz w:val="16"/>
          <w:szCs w:val="16"/>
          <w:color w:val="auto"/>
        </w:rPr>
        <w:t xml:space="preserve">THIS FIRST AMENDMENT TO LEASE ("Amendment") dated for reference purposes as of </w:t>
      </w:r>
      <w:r>
        <w:rPr>
          <w:rFonts w:ascii="Arial" w:cs="Arial" w:eastAsia="Arial" w:hAnsi="Arial"/>
          <w:sz w:val="16"/>
          <w:szCs w:val="16"/>
          <w:u w:val="single" w:color="auto"/>
          <w:color w:val="auto"/>
        </w:rPr>
        <w:t>August 16, 2017,</w:t>
      </w:r>
      <w:r>
        <w:rPr>
          <w:rFonts w:ascii="Arial" w:cs="Arial" w:eastAsia="Arial" w:hAnsi="Arial"/>
          <w:sz w:val="16"/>
          <w:szCs w:val="16"/>
          <w:color w:val="auto"/>
        </w:rPr>
        <w:t xml:space="preserve"> is made to that Industrial Space Lease dated as of </w:t>
      </w:r>
      <w:r>
        <w:rPr>
          <w:rFonts w:ascii="Arial" w:cs="Arial" w:eastAsia="Arial" w:hAnsi="Arial"/>
          <w:sz w:val="16"/>
          <w:szCs w:val="16"/>
          <w:u w:val="single" w:color="auto"/>
          <w:color w:val="auto"/>
        </w:rPr>
        <w:t>August 18, 2014,</w:t>
      </w:r>
      <w:r>
        <w:rPr>
          <w:rFonts w:ascii="Arial" w:cs="Arial" w:eastAsia="Arial" w:hAnsi="Arial"/>
          <w:sz w:val="16"/>
          <w:szCs w:val="16"/>
          <w:color w:val="auto"/>
        </w:rPr>
        <w:t xml:space="preserve"> (the "Lease") by and between </w:t>
      </w:r>
      <w:r>
        <w:rPr>
          <w:rFonts w:ascii="Arial" w:cs="Arial" w:eastAsia="Arial" w:hAnsi="Arial"/>
          <w:sz w:val="16"/>
          <w:szCs w:val="16"/>
          <w:b w:val="1"/>
          <w:bCs w:val="1"/>
          <w:color w:val="auto"/>
        </w:rPr>
        <w:t>Osprey Capital Building 50, LLC</w:t>
      </w:r>
      <w:r>
        <w:rPr>
          <w:rFonts w:ascii="Arial" w:cs="Arial" w:eastAsia="Arial" w:hAnsi="Arial"/>
          <w:sz w:val="16"/>
          <w:szCs w:val="16"/>
          <w:color w:val="auto"/>
        </w:rPr>
        <w:t xml:space="preserve"> a California limited liability company ("Landlord"), and </w:t>
      </w:r>
      <w:r>
        <w:rPr>
          <w:rFonts w:ascii="Arial" w:cs="Arial" w:eastAsia="Arial" w:hAnsi="Arial"/>
          <w:sz w:val="16"/>
          <w:szCs w:val="16"/>
          <w:b w:val="1"/>
          <w:bCs w:val="1"/>
          <w:color w:val="auto"/>
        </w:rPr>
        <w:t>Corsair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Memory, Inc., </w:t>
      </w:r>
      <w:r>
        <w:rPr>
          <w:rFonts w:ascii="Arial" w:cs="Arial" w:eastAsia="Arial" w:hAnsi="Arial"/>
          <w:sz w:val="16"/>
          <w:szCs w:val="16"/>
          <w:color w:val="auto"/>
        </w:rPr>
        <w:t>a Delaware corporation ("Tenant") for the lease of space located at 47100 Bayside Parkway, Fremont, California (the "Leased Premises").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agree that the Lease is amended, changed and modified by the following provisions, which are hereby added to the Lease:</w:t>
      </w:r>
    </w:p>
    <w:p>
      <w:pPr>
        <w:spacing w:after="0" w:line="150" w:lineRule="exact"/>
        <w:rPr>
          <w:sz w:val="20"/>
          <w:szCs w:val="20"/>
          <w:color w:val="auto"/>
        </w:rPr>
      </w:pPr>
    </w:p>
    <w:p>
      <w:pPr>
        <w:jc w:val="both"/>
        <w:ind w:left="140" w:right="160" w:firstLine="5"/>
        <w:spacing w:after="0" w:line="257" w:lineRule="auto"/>
        <w:rPr>
          <w:sz w:val="20"/>
          <w:szCs w:val="20"/>
          <w:color w:val="auto"/>
        </w:rPr>
      </w:pPr>
      <w:r>
        <w:rPr>
          <w:rFonts w:ascii="Arial" w:cs="Arial" w:eastAsia="Arial" w:hAnsi="Arial"/>
          <w:sz w:val="17"/>
          <w:szCs w:val="17"/>
          <w:color w:val="auto"/>
        </w:rPr>
        <w:t>Unless otherwise expressly provided herein, all terms which are given a special definition by the Lease that are used herein are intended to be used with the definition given to them by the Lease. The provisions of the Lease shall remain in full force and effect except as specifically amended hereby. In the event of any inconsistency between the Lease and this Amendment, the terms of this Amendment shall prevail.</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I.IP. Base Monthly Rent: The Base Monthly Rent shall be increased from and after June 1, 2017, to partially reimburse Landlord for installation of certain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HVAC equipment as follows:</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1, 2015</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March 31, 2015</w:t>
            </w:r>
          </w:p>
        </w:tc>
        <w:tc>
          <w:tcPr>
            <w:tcW w:w="3360" w:type="dxa"/>
            <w:vAlign w:val="bottom"/>
          </w:tcPr>
          <w:p>
            <w:pPr>
              <w:ind w:left="840"/>
              <w:spacing w:after="0"/>
              <w:rPr>
                <w:sz w:val="20"/>
                <w:szCs w:val="20"/>
                <w:color w:val="auto"/>
              </w:rPr>
            </w:pPr>
            <w:r>
              <w:rPr>
                <w:rFonts w:ascii="Arial" w:cs="Arial" w:eastAsia="Arial" w:hAnsi="Arial"/>
                <w:sz w:val="17"/>
                <w:szCs w:val="17"/>
                <w:color w:val="auto"/>
                <w:w w:val="92"/>
              </w:rPr>
              <w:t>No Base Monthly Rent (unchanged)</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April 1, 2015</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2015</w:t>
            </w:r>
          </w:p>
        </w:tc>
        <w:tc>
          <w:tcPr>
            <w:tcW w:w="3360" w:type="dxa"/>
            <w:vAlign w:val="bottom"/>
          </w:tcPr>
          <w:p>
            <w:pPr>
              <w:ind w:left="840"/>
              <w:spacing w:after="0"/>
              <w:rPr>
                <w:sz w:val="20"/>
                <w:szCs w:val="20"/>
                <w:color w:val="auto"/>
              </w:rPr>
            </w:pPr>
            <w:r>
              <w:rPr>
                <w:rFonts w:ascii="Arial" w:cs="Arial" w:eastAsia="Arial" w:hAnsi="Arial"/>
                <w:sz w:val="17"/>
                <w:szCs w:val="17"/>
                <w:color w:val="auto"/>
              </w:rPr>
              <w:t>$61,454.00 (unchanged)</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1, 2016</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2016</w:t>
            </w:r>
          </w:p>
        </w:tc>
        <w:tc>
          <w:tcPr>
            <w:tcW w:w="3360" w:type="dxa"/>
            <w:vAlign w:val="bottom"/>
          </w:tcPr>
          <w:p>
            <w:pPr>
              <w:ind w:left="840"/>
              <w:spacing w:after="0"/>
              <w:rPr>
                <w:sz w:val="20"/>
                <w:szCs w:val="20"/>
                <w:color w:val="auto"/>
              </w:rPr>
            </w:pPr>
            <w:r>
              <w:rPr>
                <w:rFonts w:ascii="Arial" w:cs="Arial" w:eastAsia="Arial" w:hAnsi="Arial"/>
                <w:sz w:val="17"/>
                <w:szCs w:val="17"/>
                <w:color w:val="auto"/>
              </w:rPr>
              <w:t>$61,454.00 (unchanged)</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1, 2017</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May 31, 2017</w:t>
            </w:r>
          </w:p>
        </w:tc>
        <w:tc>
          <w:tcPr>
            <w:tcW w:w="3360" w:type="dxa"/>
            <w:vAlign w:val="bottom"/>
          </w:tcPr>
          <w:p>
            <w:pPr>
              <w:ind w:left="840"/>
              <w:spacing w:after="0"/>
              <w:rPr>
                <w:sz w:val="20"/>
                <w:szCs w:val="20"/>
                <w:color w:val="auto"/>
              </w:rPr>
            </w:pPr>
            <w:r>
              <w:rPr>
                <w:rFonts w:ascii="Arial" w:cs="Arial" w:eastAsia="Arial" w:hAnsi="Arial"/>
                <w:sz w:val="17"/>
                <w:szCs w:val="17"/>
                <w:color w:val="auto"/>
              </w:rPr>
              <w:t>$63,300.00 (unchanged)</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June 1,2017</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2017</w:t>
            </w:r>
          </w:p>
        </w:tc>
        <w:tc>
          <w:tcPr>
            <w:tcW w:w="3360" w:type="dxa"/>
            <w:vAlign w:val="bottom"/>
          </w:tcPr>
          <w:p>
            <w:pPr>
              <w:ind w:left="840"/>
              <w:spacing w:after="0"/>
              <w:rPr>
                <w:sz w:val="20"/>
                <w:szCs w:val="20"/>
                <w:color w:val="auto"/>
              </w:rPr>
            </w:pPr>
            <w:r>
              <w:rPr>
                <w:rFonts w:ascii="Arial" w:cs="Arial" w:eastAsia="Arial" w:hAnsi="Arial"/>
                <w:sz w:val="17"/>
                <w:szCs w:val="17"/>
                <w:color w:val="auto"/>
              </w:rPr>
              <w:t>$67,453.00</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1, 2018</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2018</w:t>
            </w:r>
          </w:p>
        </w:tc>
        <w:tc>
          <w:tcPr>
            <w:tcW w:w="3360" w:type="dxa"/>
            <w:vAlign w:val="bottom"/>
          </w:tcPr>
          <w:p>
            <w:pPr>
              <w:ind w:left="840"/>
              <w:spacing w:after="0"/>
              <w:rPr>
                <w:sz w:val="20"/>
                <w:szCs w:val="20"/>
                <w:color w:val="auto"/>
              </w:rPr>
            </w:pPr>
            <w:r>
              <w:rPr>
                <w:rFonts w:ascii="Arial" w:cs="Arial" w:eastAsia="Arial" w:hAnsi="Arial"/>
                <w:sz w:val="17"/>
                <w:szCs w:val="17"/>
                <w:color w:val="auto"/>
              </w:rPr>
              <w:t>$69,353.00</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1, 2019</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2019</w:t>
            </w:r>
          </w:p>
        </w:tc>
        <w:tc>
          <w:tcPr>
            <w:tcW w:w="3360" w:type="dxa"/>
            <w:vAlign w:val="bottom"/>
          </w:tcPr>
          <w:p>
            <w:pPr>
              <w:ind w:left="840"/>
              <w:spacing w:after="0"/>
              <w:rPr>
                <w:sz w:val="20"/>
                <w:szCs w:val="20"/>
                <w:color w:val="auto"/>
              </w:rPr>
            </w:pPr>
            <w:r>
              <w:rPr>
                <w:rFonts w:ascii="Arial" w:cs="Arial" w:eastAsia="Arial" w:hAnsi="Arial"/>
                <w:sz w:val="17"/>
                <w:szCs w:val="17"/>
                <w:color w:val="auto"/>
              </w:rPr>
              <w:t>$71,353.00</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I, 2020</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2020</w:t>
            </w:r>
          </w:p>
        </w:tc>
        <w:tc>
          <w:tcPr>
            <w:tcW w:w="3360" w:type="dxa"/>
            <w:vAlign w:val="bottom"/>
          </w:tcPr>
          <w:p>
            <w:pPr>
              <w:ind w:left="840"/>
              <w:spacing w:after="0"/>
              <w:rPr>
                <w:sz w:val="20"/>
                <w:szCs w:val="20"/>
                <w:color w:val="auto"/>
              </w:rPr>
            </w:pPr>
            <w:r>
              <w:rPr>
                <w:rFonts w:ascii="Arial" w:cs="Arial" w:eastAsia="Arial" w:hAnsi="Arial"/>
                <w:sz w:val="17"/>
                <w:szCs w:val="17"/>
                <w:color w:val="auto"/>
              </w:rPr>
              <w:t>$73,353.00</w:t>
            </w:r>
          </w:p>
        </w:tc>
      </w:tr>
      <w:tr>
        <w:trPr>
          <w:trHeight w:val="197"/>
        </w:trPr>
        <w:tc>
          <w:tcPr>
            <w:tcW w:w="1820" w:type="dxa"/>
            <w:vAlign w:val="bottom"/>
          </w:tcPr>
          <w:p>
            <w:pPr>
              <w:spacing w:after="0"/>
              <w:rPr>
                <w:sz w:val="20"/>
                <w:szCs w:val="20"/>
                <w:color w:val="auto"/>
              </w:rPr>
            </w:pPr>
            <w:r>
              <w:rPr>
                <w:rFonts w:ascii="Arial" w:cs="Arial" w:eastAsia="Arial" w:hAnsi="Arial"/>
                <w:sz w:val="17"/>
                <w:szCs w:val="17"/>
                <w:color w:val="auto"/>
              </w:rPr>
              <w:t>January I, 2021</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December 31, 2021</w:t>
            </w:r>
          </w:p>
        </w:tc>
        <w:tc>
          <w:tcPr>
            <w:tcW w:w="3360" w:type="dxa"/>
            <w:vAlign w:val="bottom"/>
          </w:tcPr>
          <w:p>
            <w:pPr>
              <w:ind w:left="840"/>
              <w:spacing w:after="0"/>
              <w:rPr>
                <w:sz w:val="20"/>
                <w:szCs w:val="20"/>
                <w:color w:val="auto"/>
              </w:rPr>
            </w:pPr>
            <w:r>
              <w:rPr>
                <w:rFonts w:ascii="Arial" w:cs="Arial" w:eastAsia="Arial" w:hAnsi="Arial"/>
                <w:sz w:val="17"/>
                <w:szCs w:val="17"/>
                <w:color w:val="auto"/>
              </w:rPr>
              <w:t>$75,403.00</w:t>
            </w:r>
          </w:p>
        </w:tc>
      </w:tr>
      <w:tr>
        <w:trPr>
          <w:trHeight w:val="220"/>
        </w:trPr>
        <w:tc>
          <w:tcPr>
            <w:tcW w:w="1820" w:type="dxa"/>
            <w:vAlign w:val="bottom"/>
          </w:tcPr>
          <w:p>
            <w:pPr>
              <w:spacing w:after="0"/>
              <w:rPr>
                <w:sz w:val="20"/>
                <w:szCs w:val="20"/>
                <w:color w:val="auto"/>
              </w:rPr>
            </w:pPr>
            <w:r>
              <w:rPr>
                <w:rFonts w:ascii="Arial" w:cs="Arial" w:eastAsia="Arial" w:hAnsi="Arial"/>
                <w:sz w:val="17"/>
                <w:szCs w:val="17"/>
                <w:color w:val="auto"/>
              </w:rPr>
              <w:t>January I, 2022</w:t>
            </w:r>
          </w:p>
        </w:tc>
        <w:tc>
          <w:tcPr>
            <w:tcW w:w="1900" w:type="dxa"/>
            <w:vAlign w:val="bottom"/>
          </w:tcPr>
          <w:p>
            <w:pPr>
              <w:ind w:left="740"/>
              <w:spacing w:after="0"/>
              <w:rPr>
                <w:sz w:val="20"/>
                <w:szCs w:val="20"/>
                <w:color w:val="auto"/>
              </w:rPr>
            </w:pPr>
            <w:r>
              <w:rPr>
                <w:rFonts w:ascii="Arial" w:cs="Arial" w:eastAsia="Arial" w:hAnsi="Arial"/>
                <w:sz w:val="17"/>
                <w:szCs w:val="17"/>
                <w:color w:val="auto"/>
              </w:rPr>
              <w:t>through</w:t>
            </w:r>
          </w:p>
        </w:tc>
        <w:tc>
          <w:tcPr>
            <w:tcW w:w="2800" w:type="dxa"/>
            <w:vAlign w:val="bottom"/>
          </w:tcPr>
          <w:p>
            <w:pPr>
              <w:ind w:left="620"/>
              <w:spacing w:after="0"/>
              <w:rPr>
                <w:sz w:val="20"/>
                <w:szCs w:val="20"/>
                <w:color w:val="auto"/>
              </w:rPr>
            </w:pPr>
            <w:r>
              <w:rPr>
                <w:rFonts w:ascii="Arial" w:cs="Arial" w:eastAsia="Arial" w:hAnsi="Arial"/>
                <w:sz w:val="17"/>
                <w:szCs w:val="17"/>
                <w:color w:val="auto"/>
              </w:rPr>
              <w:t>March 31, 2022</w:t>
            </w:r>
          </w:p>
        </w:tc>
        <w:tc>
          <w:tcPr>
            <w:tcW w:w="3360" w:type="dxa"/>
            <w:vAlign w:val="bottom"/>
          </w:tcPr>
          <w:p>
            <w:pPr>
              <w:ind w:left="840"/>
              <w:spacing w:after="0"/>
              <w:rPr>
                <w:sz w:val="20"/>
                <w:szCs w:val="20"/>
                <w:color w:val="auto"/>
              </w:rPr>
            </w:pPr>
            <w:r>
              <w:rPr>
                <w:rFonts w:ascii="Arial" w:cs="Arial" w:eastAsia="Arial" w:hAnsi="Arial"/>
                <w:sz w:val="17"/>
                <w:szCs w:val="17"/>
                <w:color w:val="auto"/>
              </w:rPr>
              <w:t>$77,533.00</w:t>
            </w:r>
          </w:p>
        </w:tc>
      </w:tr>
    </w:tbl>
    <w:p>
      <w:pPr>
        <w:spacing w:after="0" w:line="372" w:lineRule="exact"/>
        <w:rPr>
          <w:sz w:val="20"/>
          <w:szCs w:val="20"/>
          <w:color w:val="auto"/>
        </w:rPr>
      </w:pPr>
    </w:p>
    <w:p>
      <w:pPr>
        <w:ind w:left="120" w:right="160" w:firstLine="30"/>
        <w:spacing w:after="0" w:line="272" w:lineRule="auto"/>
        <w:rPr>
          <w:sz w:val="20"/>
          <w:szCs w:val="20"/>
          <w:color w:val="auto"/>
        </w:rPr>
      </w:pPr>
      <w:r>
        <w:rPr>
          <w:rFonts w:ascii="Arial" w:cs="Arial" w:eastAsia="Arial" w:hAnsi="Arial"/>
          <w:sz w:val="17"/>
          <w:szCs w:val="17"/>
          <w:color w:val="auto"/>
        </w:rPr>
        <w:t>IN WITNESS WHEREOF, Landlord and Tenant have executed this Amendment To Lease with the intent to be legally bound thereby, to be effective as of the date the second party signs this Amendment To Lease.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gridSpan w:val="5"/>
          </w:tcPr>
          <w:p>
            <w:pPr>
              <w:ind w:left="980"/>
              <w:spacing w:after="0"/>
              <w:rPr>
                <w:sz w:val="20"/>
                <w:szCs w:val="20"/>
                <w:color w:val="auto"/>
              </w:rPr>
            </w:pPr>
            <w:r>
              <w:rPr>
                <w:rFonts w:ascii="Arial" w:cs="Arial" w:eastAsia="Arial" w:hAnsi="Arial"/>
                <w:sz w:val="17"/>
                <w:szCs w:val="17"/>
                <w:b w:val="1"/>
                <w:bCs w:val="1"/>
                <w:color w:val="auto"/>
              </w:rPr>
              <w:t>AS LANDLORD:</w:t>
            </w:r>
          </w:p>
        </w:tc>
        <w:tc>
          <w:tcPr>
            <w:tcW w:w="6340" w:type="dxa"/>
            <w:vAlign w:val="bottom"/>
            <w:gridSpan w:val="7"/>
          </w:tcPr>
          <w:p>
            <w:pPr>
              <w:ind w:left="1380"/>
              <w:spacing w:after="0"/>
              <w:rPr>
                <w:sz w:val="20"/>
                <w:szCs w:val="20"/>
                <w:color w:val="auto"/>
              </w:rPr>
            </w:pPr>
            <w:r>
              <w:rPr>
                <w:rFonts w:ascii="Arial" w:cs="Arial" w:eastAsia="Arial" w:hAnsi="Arial"/>
                <w:sz w:val="17"/>
                <w:szCs w:val="17"/>
                <w:b w:val="1"/>
                <w:bCs w:val="1"/>
                <w:color w:val="auto"/>
              </w:rPr>
              <w:t>AS TENANT:</w:t>
            </w:r>
          </w:p>
        </w:tc>
      </w:tr>
      <w:tr>
        <w:trPr>
          <w:trHeight w:val="222"/>
        </w:trPr>
        <w:tc>
          <w:tcPr>
            <w:tcW w:w="4940" w:type="dxa"/>
            <w:vAlign w:val="bottom"/>
            <w:gridSpan w:val="5"/>
          </w:tcPr>
          <w:p>
            <w:pPr>
              <w:ind w:left="980"/>
              <w:spacing w:after="0"/>
              <w:rPr>
                <w:sz w:val="20"/>
                <w:szCs w:val="20"/>
                <w:color w:val="auto"/>
              </w:rPr>
            </w:pPr>
            <w:r>
              <w:rPr>
                <w:rFonts w:ascii="Arial" w:cs="Arial" w:eastAsia="Arial" w:hAnsi="Arial"/>
                <w:sz w:val="17"/>
                <w:szCs w:val="17"/>
                <w:color w:val="auto"/>
              </w:rPr>
              <w:t>Osprey Capital Building 50, LLC</w:t>
            </w:r>
          </w:p>
        </w:tc>
        <w:tc>
          <w:tcPr>
            <w:tcW w:w="6340" w:type="dxa"/>
            <w:vAlign w:val="bottom"/>
            <w:gridSpan w:val="7"/>
          </w:tcPr>
          <w:p>
            <w:pPr>
              <w:ind w:left="1380"/>
              <w:spacing w:after="0"/>
              <w:rPr>
                <w:sz w:val="20"/>
                <w:szCs w:val="20"/>
                <w:color w:val="auto"/>
              </w:rPr>
            </w:pPr>
            <w:r>
              <w:rPr>
                <w:rFonts w:ascii="Arial" w:cs="Arial" w:eastAsia="Arial" w:hAnsi="Arial"/>
                <w:sz w:val="17"/>
                <w:szCs w:val="17"/>
                <w:color w:val="auto"/>
              </w:rPr>
              <w:t>Corsair Memory, Inc.</w:t>
            </w:r>
          </w:p>
        </w:tc>
      </w:tr>
      <w:tr>
        <w:trPr>
          <w:trHeight w:val="222"/>
        </w:trPr>
        <w:tc>
          <w:tcPr>
            <w:tcW w:w="4940" w:type="dxa"/>
            <w:vAlign w:val="bottom"/>
            <w:gridSpan w:val="5"/>
          </w:tcPr>
          <w:p>
            <w:pPr>
              <w:ind w:left="980"/>
              <w:spacing w:after="0"/>
              <w:rPr>
                <w:sz w:val="20"/>
                <w:szCs w:val="20"/>
                <w:color w:val="auto"/>
              </w:rPr>
            </w:pPr>
            <w:r>
              <w:rPr>
                <w:rFonts w:ascii="Arial" w:cs="Arial" w:eastAsia="Arial" w:hAnsi="Arial"/>
                <w:sz w:val="17"/>
                <w:szCs w:val="17"/>
                <w:color w:val="auto"/>
              </w:rPr>
              <w:t>a California limited liability company</w:t>
            </w:r>
          </w:p>
        </w:tc>
        <w:tc>
          <w:tcPr>
            <w:tcW w:w="6340" w:type="dxa"/>
            <w:vAlign w:val="bottom"/>
            <w:gridSpan w:val="7"/>
          </w:tcPr>
          <w:p>
            <w:pPr>
              <w:ind w:left="1540"/>
              <w:spacing w:after="0"/>
              <w:rPr>
                <w:sz w:val="20"/>
                <w:szCs w:val="20"/>
                <w:color w:val="auto"/>
              </w:rPr>
            </w:pPr>
            <w:r>
              <w:rPr>
                <w:rFonts w:ascii="Arial" w:cs="Arial" w:eastAsia="Arial" w:hAnsi="Arial"/>
                <w:sz w:val="17"/>
                <w:szCs w:val="17"/>
                <w:color w:val="auto"/>
              </w:rPr>
              <w:t>a Delaware corporation</w:t>
            </w:r>
          </w:p>
        </w:tc>
      </w:tr>
      <w:tr>
        <w:trPr>
          <w:trHeight w:val="404"/>
        </w:trPr>
        <w:tc>
          <w:tcPr>
            <w:tcW w:w="4940" w:type="dxa"/>
            <w:vAlign w:val="bottom"/>
            <w:gridSpan w:val="5"/>
          </w:tcPr>
          <w:p>
            <w:pPr>
              <w:ind w:left="980"/>
              <w:spacing w:after="0"/>
              <w:rPr>
                <w:sz w:val="20"/>
                <w:szCs w:val="20"/>
                <w:color w:val="auto"/>
              </w:rPr>
            </w:pPr>
            <w:r>
              <w:rPr>
                <w:rFonts w:ascii="Arial" w:cs="Arial" w:eastAsia="Arial" w:hAnsi="Arial"/>
                <w:sz w:val="17"/>
                <w:szCs w:val="17"/>
                <w:color w:val="auto"/>
              </w:rPr>
              <w:t>By: Riverside Interests, Inc.</w:t>
            </w:r>
          </w:p>
        </w:tc>
        <w:tc>
          <w:tcPr>
            <w:tcW w:w="6340" w:type="dxa"/>
            <w:vAlign w:val="bottom"/>
            <w:gridSpan w:val="7"/>
          </w:tcPr>
          <w:p>
            <w:pPr>
              <w:ind w:left="1380"/>
              <w:spacing w:after="0"/>
              <w:rPr>
                <w:sz w:val="20"/>
                <w:szCs w:val="20"/>
                <w:color w:val="auto"/>
              </w:rPr>
            </w:pPr>
            <w:r>
              <w:rPr>
                <w:rFonts w:ascii="Arial" w:cs="Arial" w:eastAsia="Arial" w:hAnsi="Arial"/>
                <w:sz w:val="17"/>
                <w:szCs w:val="17"/>
                <w:color w:val="auto"/>
              </w:rPr>
              <w:t>By: /s/Carina M. Tan</w:t>
            </w:r>
          </w:p>
        </w:tc>
      </w:tr>
      <w:tr>
        <w:trPr>
          <w:trHeight w:val="242"/>
        </w:trPr>
        <w:tc>
          <w:tcPr>
            <w:tcW w:w="4940" w:type="dxa"/>
            <w:vAlign w:val="bottom"/>
            <w:gridSpan w:val="5"/>
          </w:tcPr>
          <w:p>
            <w:pPr>
              <w:ind w:left="980"/>
              <w:spacing w:after="0"/>
              <w:rPr>
                <w:sz w:val="20"/>
                <w:szCs w:val="20"/>
                <w:color w:val="auto"/>
              </w:rPr>
            </w:pPr>
            <w:r>
              <w:rPr>
                <w:rFonts w:ascii="Arial" w:cs="Arial" w:eastAsia="Arial" w:hAnsi="Arial"/>
                <w:sz w:val="17"/>
                <w:szCs w:val="17"/>
                <w:color w:val="auto"/>
              </w:rPr>
              <w:t>Managing Member.</w:t>
            </w:r>
          </w:p>
        </w:tc>
        <w:tc>
          <w:tcPr>
            <w:tcW w:w="16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182"/>
        </w:trPr>
        <w:tc>
          <w:tcPr>
            <w:tcW w:w="4940" w:type="dxa"/>
            <w:vAlign w:val="bottom"/>
            <w:gridSpan w:val="5"/>
          </w:tcPr>
          <w:p>
            <w:pPr>
              <w:ind w:left="980"/>
              <w:spacing w:after="0" w:line="182" w:lineRule="exact"/>
              <w:rPr>
                <w:sz w:val="20"/>
                <w:szCs w:val="20"/>
                <w:color w:val="auto"/>
              </w:rPr>
            </w:pPr>
            <w:r>
              <w:rPr>
                <w:rFonts w:ascii="Arial" w:cs="Arial" w:eastAsia="Arial" w:hAnsi="Arial"/>
                <w:sz w:val="17"/>
                <w:szCs w:val="17"/>
                <w:color w:val="auto"/>
              </w:rPr>
              <w:t>By: /s/William N. Neidig</w:t>
            </w:r>
          </w:p>
        </w:tc>
        <w:tc>
          <w:tcPr>
            <w:tcW w:w="6340" w:type="dxa"/>
            <w:vAlign w:val="bottom"/>
            <w:gridSpan w:val="7"/>
          </w:tcPr>
          <w:p>
            <w:pPr>
              <w:ind w:left="1380"/>
              <w:spacing w:after="0" w:line="182" w:lineRule="exact"/>
              <w:rPr>
                <w:sz w:val="20"/>
                <w:szCs w:val="20"/>
                <w:color w:val="auto"/>
              </w:rPr>
            </w:pPr>
            <w:r>
              <w:rPr>
                <w:rFonts w:ascii="Arial" w:cs="Arial" w:eastAsia="Arial" w:hAnsi="Arial"/>
                <w:sz w:val="17"/>
                <w:szCs w:val="17"/>
                <w:color w:val="auto"/>
              </w:rPr>
              <w:t>Title: VP &amp; General Counsel</w:t>
            </w:r>
          </w:p>
        </w:tc>
      </w:tr>
      <w:tr>
        <w:trPr>
          <w:trHeight w:val="242"/>
        </w:trPr>
        <w:tc>
          <w:tcPr>
            <w:tcW w:w="1260" w:type="dxa"/>
            <w:vAlign w:val="bottom"/>
          </w:tcPr>
          <w:p>
            <w:pPr>
              <w:spacing w:after="0"/>
              <w:rPr>
                <w:sz w:val="21"/>
                <w:szCs w:val="21"/>
                <w:color w:val="auto"/>
              </w:rPr>
            </w:pPr>
          </w:p>
        </w:tc>
        <w:tc>
          <w:tcPr>
            <w:tcW w:w="196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William N. Neidig</w:t>
            </w:r>
          </w:p>
        </w:tc>
        <w:tc>
          <w:tcPr>
            <w:tcW w:w="17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960" w:type="dxa"/>
            <w:vAlign w:val="bottom"/>
          </w:tcPr>
          <w:p>
            <w:pPr>
              <w:spacing w:after="0"/>
              <w:rPr>
                <w:sz w:val="21"/>
                <w:szCs w:val="21"/>
                <w:color w:val="auto"/>
              </w:rPr>
            </w:pPr>
          </w:p>
        </w:tc>
      </w:tr>
      <w:tr>
        <w:trPr>
          <w:trHeight w:val="222"/>
        </w:trPr>
        <w:tc>
          <w:tcPr>
            <w:tcW w:w="1260" w:type="dxa"/>
            <w:vAlign w:val="bottom"/>
          </w:tcPr>
          <w:p>
            <w:pPr>
              <w:spacing w:after="0"/>
              <w:rPr>
                <w:sz w:val="19"/>
                <w:szCs w:val="19"/>
                <w:color w:val="auto"/>
              </w:rPr>
            </w:pPr>
          </w:p>
        </w:tc>
        <w:tc>
          <w:tcPr>
            <w:tcW w:w="3680" w:type="dxa"/>
            <w:vAlign w:val="bottom"/>
            <w:gridSpan w:val="4"/>
          </w:tcPr>
          <w:p>
            <w:pPr>
              <w:ind w:left="180"/>
              <w:spacing w:after="0"/>
              <w:rPr>
                <w:sz w:val="20"/>
                <w:szCs w:val="20"/>
                <w:color w:val="auto"/>
              </w:rPr>
            </w:pPr>
            <w:r>
              <w:rPr>
                <w:rFonts w:ascii="Arial" w:cs="Arial" w:eastAsia="Arial" w:hAnsi="Arial"/>
                <w:sz w:val="17"/>
                <w:szCs w:val="17"/>
                <w:color w:val="auto"/>
              </w:rPr>
              <w:t>President</w:t>
            </w:r>
          </w:p>
        </w:tc>
        <w:tc>
          <w:tcPr>
            <w:tcW w:w="6340" w:type="dxa"/>
            <w:vAlign w:val="bottom"/>
            <w:gridSpan w:val="7"/>
          </w:tcPr>
          <w:p>
            <w:pPr>
              <w:ind w:left="1380"/>
              <w:spacing w:after="0"/>
              <w:rPr>
                <w:sz w:val="20"/>
                <w:szCs w:val="20"/>
                <w:color w:val="auto"/>
              </w:rPr>
            </w:pPr>
            <w:r>
              <w:rPr>
                <w:rFonts w:ascii="Arial" w:cs="Arial" w:eastAsia="Arial" w:hAnsi="Arial"/>
                <w:sz w:val="17"/>
                <w:szCs w:val="17"/>
                <w:color w:val="auto"/>
              </w:rPr>
              <w:t>By:_____________________</w:t>
            </w:r>
          </w:p>
        </w:tc>
      </w:tr>
      <w:tr>
        <w:trPr>
          <w:trHeight w:val="444"/>
        </w:trPr>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340" w:type="dxa"/>
            <w:vAlign w:val="bottom"/>
            <w:gridSpan w:val="7"/>
          </w:tcPr>
          <w:p>
            <w:pPr>
              <w:ind w:left="1380"/>
              <w:spacing w:after="0"/>
              <w:rPr>
                <w:sz w:val="20"/>
                <w:szCs w:val="20"/>
                <w:color w:val="auto"/>
              </w:rPr>
            </w:pPr>
            <w:r>
              <w:rPr>
                <w:rFonts w:ascii="Arial" w:cs="Arial" w:eastAsia="Arial" w:hAnsi="Arial"/>
                <w:sz w:val="17"/>
                <w:szCs w:val="17"/>
                <w:color w:val="auto"/>
              </w:rPr>
              <w:t>Title: ___________________</w:t>
            </w:r>
          </w:p>
        </w:tc>
      </w:tr>
      <w:tr>
        <w:trPr>
          <w:trHeight w:val="417"/>
        </w:trPr>
        <w:tc>
          <w:tcPr>
            <w:tcW w:w="4940" w:type="dxa"/>
            <w:vAlign w:val="bottom"/>
            <w:gridSpan w:val="5"/>
          </w:tcPr>
          <w:p>
            <w:pPr>
              <w:ind w:left="980"/>
              <w:spacing w:after="0"/>
              <w:rPr>
                <w:sz w:val="20"/>
                <w:szCs w:val="20"/>
                <w:color w:val="auto"/>
              </w:rPr>
            </w:pPr>
            <w:r>
              <w:rPr>
                <w:rFonts w:ascii="Arial" w:cs="Arial" w:eastAsia="Arial" w:hAnsi="Arial"/>
                <w:sz w:val="17"/>
                <w:szCs w:val="17"/>
                <w:color w:val="auto"/>
              </w:rPr>
              <w:t>Dated: August 28, 2017</w:t>
            </w:r>
          </w:p>
        </w:tc>
        <w:tc>
          <w:tcPr>
            <w:tcW w:w="6340" w:type="dxa"/>
            <w:vAlign w:val="bottom"/>
            <w:gridSpan w:val="7"/>
          </w:tcPr>
          <w:p>
            <w:pPr>
              <w:ind w:left="1380"/>
              <w:spacing w:after="0"/>
              <w:rPr>
                <w:sz w:val="20"/>
                <w:szCs w:val="20"/>
                <w:color w:val="auto"/>
              </w:rPr>
            </w:pPr>
            <w:r>
              <w:rPr>
                <w:rFonts w:ascii="Arial" w:cs="Arial" w:eastAsia="Arial" w:hAnsi="Arial"/>
                <w:sz w:val="17"/>
                <w:szCs w:val="17"/>
                <w:color w:val="auto"/>
              </w:rPr>
              <w:t>Dated: August 28, 2017</w:t>
            </w:r>
          </w:p>
        </w:tc>
      </w:tr>
      <w:tr>
        <w:trPr>
          <w:trHeight w:val="1576"/>
        </w:trPr>
        <w:tc>
          <w:tcPr>
            <w:tcW w:w="1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7"/>
                <w:szCs w:val="17"/>
                <w:color w:val="auto"/>
              </w:rPr>
              <w:t>Amendment To Lease</w:t>
            </w:r>
          </w:p>
        </w:tc>
        <w:tc>
          <w:tcPr>
            <w:tcW w:w="3760" w:type="dxa"/>
            <w:vAlign w:val="bottom"/>
            <w:vMerge w:val="restart"/>
          </w:tcPr>
          <w:p>
            <w:pPr>
              <w:jc w:val="center"/>
              <w:ind w:left="2114"/>
              <w:spacing w:after="0"/>
              <w:rPr>
                <w:sz w:val="20"/>
                <w:szCs w:val="20"/>
                <w:color w:val="auto"/>
              </w:rPr>
            </w:pPr>
            <w:r>
              <w:rPr>
                <w:rFonts w:ascii="Arial" w:cs="Arial" w:eastAsia="Arial" w:hAnsi="Arial"/>
                <w:sz w:val="17"/>
                <w:szCs w:val="17"/>
                <w:color w:val="auto"/>
              </w:rPr>
              <w:t>LEASE GUARANTY</w:t>
            </w: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Arial" w:cs="Arial" w:eastAsia="Arial" w:hAnsi="Arial"/>
                <w:sz w:val="17"/>
                <w:szCs w:val="17"/>
                <w:color w:val="auto"/>
              </w:rPr>
              <w:t>Page2</w:t>
            </w:r>
          </w:p>
        </w:tc>
        <w:tc>
          <w:tcPr>
            <w:tcW w:w="3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vMerge w:val="continue"/>
          </w:tcPr>
          <w:p>
            <w:pPr>
              <w:spacing w:after="0"/>
              <w:rPr>
                <w:sz w:val="10"/>
                <w:szCs w:val="10"/>
                <w:color w:val="auto"/>
              </w:rPr>
            </w:pPr>
          </w:p>
        </w:tc>
        <w:tc>
          <w:tcPr>
            <w:tcW w:w="3760" w:type="dxa"/>
            <w:vAlign w:val="bottom"/>
            <w:vMerge w:val="restart"/>
          </w:tcPr>
          <w:p>
            <w:pPr>
              <w:jc w:val="center"/>
              <w:ind w:left="2114"/>
              <w:spacing w:after="0"/>
              <w:rPr>
                <w:sz w:val="20"/>
                <w:szCs w:val="20"/>
                <w:color w:val="auto"/>
              </w:rPr>
            </w:pPr>
            <w:r>
              <w:rPr>
                <w:rFonts w:ascii="Arial" w:cs="Arial" w:eastAsia="Arial" w:hAnsi="Arial"/>
                <w:sz w:val="17"/>
                <w:szCs w:val="17"/>
                <w:color w:val="auto"/>
                <w:w w:val="96"/>
              </w:rPr>
              <w:t>CONSENT</w:t>
            </w: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20" w:firstLine="4"/>
        <w:spacing w:after="0" w:line="299" w:lineRule="auto"/>
        <w:rPr>
          <w:sz w:val="20"/>
          <w:szCs w:val="20"/>
          <w:color w:val="auto"/>
        </w:rPr>
      </w:pPr>
      <w:r>
        <w:rPr>
          <w:rFonts w:ascii="Arial" w:cs="Arial" w:eastAsia="Arial" w:hAnsi="Arial"/>
          <w:sz w:val="15"/>
          <w:szCs w:val="15"/>
          <w:color w:val="auto"/>
        </w:rPr>
        <w:t xml:space="preserve">As a material inducement to and in consideration of </w:t>
      </w:r>
      <w:r>
        <w:rPr>
          <w:rFonts w:ascii="Arial" w:cs="Arial" w:eastAsia="Arial" w:hAnsi="Arial"/>
          <w:sz w:val="15"/>
          <w:szCs w:val="15"/>
          <w:b w:val="1"/>
          <w:bCs w:val="1"/>
          <w:color w:val="auto"/>
        </w:rPr>
        <w:t>Osprey Capital Building 50, LLC, a California limited liability company</w:t>
      </w:r>
      <w:r>
        <w:rPr>
          <w:rFonts w:ascii="Arial" w:cs="Arial" w:eastAsia="Arial" w:hAnsi="Arial"/>
          <w:sz w:val="15"/>
          <w:szCs w:val="15"/>
          <w:color w:val="auto"/>
        </w:rPr>
        <w:t xml:space="preserve"> ("Landlord") entering into a lease (the "Lease") dated for reference purposes as of </w:t>
      </w:r>
      <w:r>
        <w:rPr>
          <w:rFonts w:ascii="Arial" w:cs="Arial" w:eastAsia="Arial" w:hAnsi="Arial"/>
          <w:sz w:val="15"/>
          <w:szCs w:val="15"/>
          <w:u w:val="single" w:color="auto"/>
          <w:color w:val="auto"/>
        </w:rPr>
        <w:t>August 18, 2014,</w:t>
      </w:r>
      <w:r>
        <w:rPr>
          <w:rFonts w:ascii="Arial" w:cs="Arial" w:eastAsia="Arial" w:hAnsi="Arial"/>
          <w:sz w:val="15"/>
          <w:szCs w:val="15"/>
          <w:color w:val="auto"/>
        </w:rPr>
        <w:t xml:space="preserve"> with </w:t>
      </w:r>
      <w:r>
        <w:rPr>
          <w:rFonts w:ascii="Arial" w:cs="Arial" w:eastAsia="Arial" w:hAnsi="Arial"/>
          <w:sz w:val="15"/>
          <w:szCs w:val="15"/>
          <w:b w:val="1"/>
          <w:bCs w:val="1"/>
          <w:color w:val="auto"/>
        </w:rPr>
        <w:t>Corsair Memory, Inc., a Delaware corporation</w:t>
      </w:r>
      <w:r>
        <w:rPr>
          <w:rFonts w:ascii="Arial" w:cs="Arial" w:eastAsia="Arial" w:hAnsi="Arial"/>
          <w:sz w:val="15"/>
          <w:szCs w:val="15"/>
          <w:color w:val="auto"/>
        </w:rPr>
        <w:t xml:space="preserve"> ("Tenant") for the lease of those certain premises commonly described as </w:t>
      </w:r>
      <w:r>
        <w:rPr>
          <w:rFonts w:ascii="Arial" w:cs="Arial" w:eastAsia="Arial" w:hAnsi="Arial"/>
          <w:sz w:val="15"/>
          <w:szCs w:val="15"/>
          <w:u w:val="single" w:color="auto"/>
          <w:color w:val="auto"/>
        </w:rPr>
        <w:t>47100 Bayside Parkway, Fremont, California</w:t>
      </w:r>
      <w:r>
        <w:rPr>
          <w:rFonts w:ascii="Arial" w:cs="Arial" w:eastAsia="Arial" w:hAnsi="Arial"/>
          <w:sz w:val="15"/>
          <w:szCs w:val="15"/>
          <w:color w:val="auto"/>
        </w:rPr>
        <w:t xml:space="preserve"> (the "Leased Premises"), the undersigned, </w:t>
      </w:r>
      <w:r>
        <w:rPr>
          <w:rFonts w:ascii="Arial" w:cs="Arial" w:eastAsia="Arial" w:hAnsi="Arial"/>
          <w:sz w:val="15"/>
          <w:szCs w:val="15"/>
          <w:b w:val="1"/>
          <w:bCs w:val="1"/>
          <w:color w:val="auto"/>
        </w:rPr>
        <w:t>Corsair Components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(Cayman) LTD., </w:t>
      </w:r>
      <w:r>
        <w:rPr>
          <w:rFonts w:ascii="Arial" w:cs="Arial" w:eastAsia="Arial" w:hAnsi="Arial"/>
          <w:sz w:val="15"/>
          <w:szCs w:val="15"/>
          <w:color w:val="auto"/>
        </w:rPr>
        <w:t>a Cayman Islands exempt company with limited liability ("Guarantor") hereby covenants and agrees with Landlord as follows:</w:t>
      </w:r>
    </w:p>
    <w:p>
      <w:pPr>
        <w:spacing w:after="0" w:line="269" w:lineRule="exact"/>
        <w:rPr>
          <w:sz w:val="20"/>
          <w:szCs w:val="20"/>
          <w:color w:val="auto"/>
        </w:rPr>
      </w:pPr>
    </w:p>
    <w:p>
      <w:pPr>
        <w:jc w:val="both"/>
        <w:ind w:left="140" w:firstLine="1"/>
        <w:spacing w:after="0" w:line="257" w:lineRule="auto"/>
        <w:rPr>
          <w:sz w:val="20"/>
          <w:szCs w:val="20"/>
          <w:color w:val="auto"/>
        </w:rPr>
      </w:pPr>
      <w:r>
        <w:rPr>
          <w:rFonts w:ascii="Arial" w:cs="Arial" w:eastAsia="Arial" w:hAnsi="Arial"/>
          <w:sz w:val="17"/>
          <w:szCs w:val="17"/>
          <w:color w:val="auto"/>
        </w:rPr>
        <w:t>Attached hereto is the First Amendment To Lease dated for reference purposes as of August 16, 2017. The Base Monthly Rent under the terms of the Lease has been increased to partially compensate Landlord for installation of certain HVAC equipment. Guarantor acknowledges and approves the Amendment and agrees that its guaranty includes the terms of the Amendment.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As Guarantor:</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Corsair Components (Cayman) Ltd.</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 Cayman Islands corporation</w:t>
      </w: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By: /s/ Carina M.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-8890</wp:posOffset>
            </wp:positionV>
            <wp:extent cx="128714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Title: VP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-8890</wp:posOffset>
            </wp:positionV>
            <wp:extent cx="12338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By: ________________________</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Title: ______________________</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Date: August </w:t>
      </w:r>
      <w:r>
        <w:rPr>
          <w:rFonts w:ascii="Arial" w:cs="Arial" w:eastAsia="Arial" w:hAnsi="Arial"/>
          <w:sz w:val="17"/>
          <w:szCs w:val="17"/>
          <w:u w:val="single" w:color="auto"/>
          <w:color w:val="auto"/>
        </w:rPr>
        <w:t>28</w:t>
      </w:r>
      <w:r>
        <w:rPr>
          <w:rFonts w:ascii="Arial" w:cs="Arial" w:eastAsia="Arial" w:hAnsi="Arial"/>
          <w:sz w:val="17"/>
          <w:szCs w:val="17"/>
          <w:color w:val="auto"/>
        </w:rPr>
        <w:t>, 2017</w:t>
      </w:r>
    </w:p>
    <w:p>
      <w:pPr>
        <w:sectPr>
          <w:pgSz w:w="11900" w:h="16838" w:orient="portrait"/>
          <w:cols w:equalWidth="0" w:num="1">
            <w:col w:w="11120"/>
          </w:cols>
          <w:pgMar w:left="320" w:top="588" w:right="4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10.19</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SECOND AMENDMENT TO</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INDUSTRIAL SPACE LEASE</w:t>
      </w:r>
    </w:p>
    <w:p>
      <w:pPr>
        <w:spacing w:after="0" w:line="192" w:lineRule="exact"/>
        <w:rPr>
          <w:sz w:val="20"/>
          <w:szCs w:val="20"/>
          <w:color w:val="auto"/>
        </w:rPr>
      </w:pPr>
    </w:p>
    <w:p>
      <w:pPr>
        <w:jc w:val="both"/>
        <w:ind w:right="440" w:firstLine="688"/>
        <w:spacing w:after="0" w:line="264" w:lineRule="auto"/>
        <w:rPr>
          <w:sz w:val="20"/>
          <w:szCs w:val="20"/>
          <w:color w:val="auto"/>
        </w:rPr>
      </w:pPr>
      <w:r>
        <w:rPr>
          <w:rFonts w:ascii="Arial" w:cs="Arial" w:eastAsia="Arial" w:hAnsi="Arial"/>
          <w:sz w:val="19"/>
          <w:szCs w:val="19"/>
          <w:color w:val="auto"/>
        </w:rPr>
        <w:t>This SECOND AMENDMENT TO INDUSTRIAL SPACE LEASE (“</w:t>
      </w:r>
      <w:r>
        <w:rPr>
          <w:rFonts w:ascii="Arial" w:cs="Arial" w:eastAsia="Arial" w:hAnsi="Arial"/>
          <w:sz w:val="19"/>
          <w:szCs w:val="19"/>
          <w:b w:val="1"/>
          <w:bCs w:val="1"/>
          <w:color w:val="auto"/>
        </w:rPr>
        <w:t>Amendment</w:t>
      </w:r>
      <w:r>
        <w:rPr>
          <w:rFonts w:ascii="Arial" w:cs="Arial" w:eastAsia="Arial" w:hAnsi="Arial"/>
          <w:sz w:val="19"/>
          <w:szCs w:val="19"/>
          <w:color w:val="auto"/>
        </w:rPr>
        <w:t>”) dated for reference purposes only as of February 2, 2022 (“</w:t>
      </w:r>
      <w:r>
        <w:rPr>
          <w:rFonts w:ascii="Arial" w:cs="Arial" w:eastAsia="Arial" w:hAnsi="Arial"/>
          <w:sz w:val="19"/>
          <w:szCs w:val="19"/>
          <w:b w:val="1"/>
          <w:bCs w:val="1"/>
          <w:color w:val="auto"/>
        </w:rPr>
        <w:t>Effective Date</w:t>
      </w:r>
      <w:r>
        <w:rPr>
          <w:rFonts w:ascii="Arial" w:cs="Arial" w:eastAsia="Arial" w:hAnsi="Arial"/>
          <w:sz w:val="19"/>
          <w:szCs w:val="19"/>
          <w:color w:val="auto"/>
        </w:rPr>
        <w:t>”), is entered into by and between 47100 BAYSIDE PARKWAY OWNER, LLC,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 CORSAIR MEMORY, INC.,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73" w:lineRule="exact"/>
        <w:rPr>
          <w:sz w:val="20"/>
          <w:szCs w:val="20"/>
          <w:color w:val="auto"/>
        </w:rPr>
      </w:pPr>
    </w:p>
    <w:p>
      <w:pPr>
        <w:jc w:val="center"/>
        <w:ind w:right="120"/>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w:t>
      </w:r>
    </w:p>
    <w:p>
      <w:pPr>
        <w:spacing w:after="0" w:line="200" w:lineRule="exact"/>
        <w:rPr>
          <w:sz w:val="20"/>
          <w:szCs w:val="20"/>
          <w:color w:val="auto"/>
        </w:rPr>
      </w:pPr>
    </w:p>
    <w:p>
      <w:pPr>
        <w:spacing w:after="0" w:line="206" w:lineRule="exact"/>
        <w:rPr>
          <w:sz w:val="20"/>
          <w:szCs w:val="20"/>
          <w:color w:val="auto"/>
        </w:rPr>
      </w:pPr>
    </w:p>
    <w:p>
      <w:pPr>
        <w:ind w:left="1120" w:right="140" w:hanging="422"/>
        <w:spacing w:after="0" w:line="266" w:lineRule="auto"/>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Landlord and Tenant are parties to that certain Industrial Space Lease dated August 18, 2014 (the “</w:t>
      </w:r>
      <w:r>
        <w:rPr>
          <w:rFonts w:ascii="Arial" w:cs="Arial" w:eastAsia="Arial" w:hAnsi="Arial"/>
          <w:sz w:val="18"/>
          <w:szCs w:val="18"/>
          <w:b w:val="1"/>
          <w:bCs w:val="1"/>
          <w:color w:val="auto"/>
        </w:rPr>
        <w:t>Original Lease</w:t>
      </w:r>
      <w:r>
        <w:rPr>
          <w:rFonts w:ascii="Arial" w:cs="Arial" w:eastAsia="Arial" w:hAnsi="Arial"/>
          <w:sz w:val="18"/>
          <w:szCs w:val="18"/>
          <w:color w:val="auto"/>
        </w:rPr>
        <w:t>”), by and between Osprey Capital Building 50, LLC, a California limited liability company (predecessor-in-interest to Landlord), as landlord, and Tenant, as tenant, as amended by that certain Corsair First Amendment to Lease dated as of August 16, 2017 (the “</w:t>
      </w:r>
      <w:r>
        <w:rPr>
          <w:rFonts w:ascii="Arial" w:cs="Arial" w:eastAsia="Arial" w:hAnsi="Arial"/>
          <w:sz w:val="18"/>
          <w:szCs w:val="18"/>
          <w:b w:val="1"/>
          <w:bCs w:val="1"/>
          <w:color w:val="auto"/>
        </w:rPr>
        <w:t>First Amendment</w:t>
      </w:r>
      <w:r>
        <w:rPr>
          <w:rFonts w:ascii="Arial" w:cs="Arial" w:eastAsia="Arial" w:hAnsi="Arial"/>
          <w:sz w:val="18"/>
          <w:szCs w:val="18"/>
          <w:color w:val="auto"/>
        </w:rPr>
        <w:t>”). The Original Lease, as amended by the First Amendment, is hereafter collectively referred to as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currently leases from Landlord those certain premises (the “</w:t>
      </w:r>
      <w:r>
        <w:rPr>
          <w:rFonts w:ascii="Arial" w:cs="Arial" w:eastAsia="Arial" w:hAnsi="Arial"/>
          <w:sz w:val="18"/>
          <w:szCs w:val="18"/>
          <w:b w:val="1"/>
          <w:bCs w:val="1"/>
          <w:color w:val="auto"/>
        </w:rPr>
        <w:t>Premises</w:t>
      </w:r>
      <w:r>
        <w:rPr>
          <w:rFonts w:ascii="Arial" w:cs="Arial" w:eastAsia="Arial" w:hAnsi="Arial"/>
          <w:sz w:val="18"/>
          <w:szCs w:val="18"/>
          <w:color w:val="auto"/>
        </w:rPr>
        <w:t>”) containing an aggregate total of approximately 61,454 rentable square feet, within the building located at 47100 Bayside Parkway, Fremont, California (the “</w:t>
      </w:r>
      <w:r>
        <w:rPr>
          <w:rFonts w:ascii="Arial" w:cs="Arial" w:eastAsia="Arial" w:hAnsi="Arial"/>
          <w:sz w:val="18"/>
          <w:szCs w:val="18"/>
          <w:b w:val="1"/>
          <w:bCs w:val="1"/>
          <w:color w:val="auto"/>
        </w:rPr>
        <w:t>Building</w:t>
      </w:r>
      <w:r>
        <w:rPr>
          <w:rFonts w:ascii="Arial" w:cs="Arial" w:eastAsia="Arial" w:hAnsi="Arial"/>
          <w:sz w:val="18"/>
          <w:szCs w:val="18"/>
          <w:color w:val="auto"/>
        </w:rPr>
        <w:t>”), as more particularly described in the Lease.</w:t>
      </w:r>
    </w:p>
    <w:p>
      <w:pPr>
        <w:spacing w:after="0" w:line="151" w:lineRule="exact"/>
        <w:rPr>
          <w:rFonts w:ascii="Arial" w:cs="Arial" w:eastAsia="Arial" w:hAnsi="Arial"/>
          <w:sz w:val="18"/>
          <w:szCs w:val="18"/>
          <w:color w:val="auto"/>
        </w:rPr>
      </w:pPr>
    </w:p>
    <w:p>
      <w:pPr>
        <w:ind w:left="1120" w:right="140" w:hanging="422"/>
        <w:spacing w:after="0" w:line="252" w:lineRule="auto"/>
        <w:tabs>
          <w:tab w:leader="none" w:pos="11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Tenant and Landlord have agreed to extend the Lease Term and modify the surrender obligations of Tenant, on the terms and conditions set forth in this Amendment.</w:t>
      </w:r>
    </w:p>
    <w:p>
      <w:pPr>
        <w:spacing w:after="0" w:line="158" w:lineRule="exact"/>
        <w:rPr>
          <w:rFonts w:ascii="Arial" w:cs="Arial" w:eastAsia="Arial" w:hAnsi="Arial"/>
          <w:sz w:val="20"/>
          <w:szCs w:val="20"/>
          <w:color w:val="auto"/>
        </w:rPr>
      </w:pPr>
    </w:p>
    <w:p>
      <w:pPr>
        <w:ind w:left="1120" w:hanging="422"/>
        <w:spacing w:after="0"/>
        <w:tabs>
          <w:tab w:leader="none" w:pos="11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Defined terms which are used in this Amendment without definition have the meanings given to them in the Lease.</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AGREEMENT:</w:t>
      </w:r>
    </w:p>
    <w:p>
      <w:pPr>
        <w:spacing w:after="0" w:line="214" w:lineRule="exact"/>
        <w:rPr>
          <w:sz w:val="20"/>
          <w:szCs w:val="20"/>
          <w:color w:val="auto"/>
        </w:rPr>
      </w:pPr>
    </w:p>
    <w:p>
      <w:pPr>
        <w:ind w:right="580" w:firstLine="688"/>
        <w:spacing w:after="0" w:line="242" w:lineRule="auto"/>
        <w:rPr>
          <w:sz w:val="20"/>
          <w:szCs w:val="20"/>
          <w:color w:val="auto"/>
        </w:rPr>
      </w:pPr>
      <w:r>
        <w:rPr>
          <w:rFonts w:ascii="Arial" w:cs="Arial" w:eastAsia="Arial" w:hAnsi="Arial"/>
          <w:sz w:val="20"/>
          <w:szCs w:val="20"/>
          <w:color w:val="auto"/>
        </w:rPr>
        <w:t>NOW, THEREFORE, in consideration of the foregoing Recitals, the mutual covenants and agreements contained in this Amendment and other good and valuable consideration, the receipt and sufficiency of which are hereby acknowledged, Landlord and Tenant hereby agree as follows:</w:t>
      </w:r>
    </w:p>
    <w:p>
      <w:pPr>
        <w:spacing w:after="0" w:line="193" w:lineRule="exact"/>
        <w:rPr>
          <w:sz w:val="20"/>
          <w:szCs w:val="20"/>
          <w:color w:val="auto"/>
        </w:rPr>
      </w:pPr>
    </w:p>
    <w:p>
      <w:pPr>
        <w:ind w:right="340" w:firstLine="820"/>
        <w:spacing w:after="0" w:line="267"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Extension of Lease Term</w:t>
      </w:r>
      <w:r>
        <w:rPr>
          <w:rFonts w:ascii="Arial" w:cs="Arial" w:eastAsia="Arial" w:hAnsi="Arial"/>
          <w:sz w:val="18"/>
          <w:szCs w:val="18"/>
          <w:color w:val="auto"/>
        </w:rPr>
        <w:t>. Landlord and Tenant hereby agree to extend the Lease Term for two (2) months (April 2022 and May 2022) (the “</w:t>
      </w:r>
      <w:r>
        <w:rPr>
          <w:rFonts w:ascii="Arial" w:cs="Arial" w:eastAsia="Arial" w:hAnsi="Arial"/>
          <w:sz w:val="18"/>
          <w:szCs w:val="18"/>
          <w:b w:val="1"/>
          <w:bCs w:val="1"/>
          <w:color w:val="auto"/>
        </w:rPr>
        <w:t>Extension Term</w:t>
      </w:r>
      <w:r>
        <w:rPr>
          <w:rFonts w:ascii="Arial" w:cs="Arial" w:eastAsia="Arial" w:hAnsi="Arial"/>
          <w:sz w:val="18"/>
          <w:szCs w:val="18"/>
          <w:color w:val="auto"/>
        </w:rPr>
        <w:t>”), and the term “Lease Term” as used in the Lease shall include the Extension Term. Tenant shall pay Base Rent during the Extension Term in the amount of Seventy-Seven Thousand Five Hundred Thirty-Three Dollars ($77,533) per month in accordance with the terms of the Lease. Tenant acknowledges and agrees that it failed to timely exercise any option to renew the Lease Term under Article 15 of the Lease, that the Lease Term will expire at the end of the Extension Term, and that Tenant has no rights to extend the Lease Term under Article 15 of the Lease beyond the Extension Term.</w:t>
      </w:r>
    </w:p>
    <w:p>
      <w:pPr>
        <w:spacing w:after="0" w:line="173" w:lineRule="exact"/>
        <w:rPr>
          <w:sz w:val="20"/>
          <w:szCs w:val="20"/>
          <w:color w:val="auto"/>
        </w:rPr>
      </w:pPr>
    </w:p>
    <w:p>
      <w:pPr>
        <w:ind w:right="520" w:firstLine="820"/>
        <w:spacing w:after="0" w:line="261" w:lineRule="auto"/>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u w:val="single" w:color="auto"/>
          <w:color w:val="auto"/>
        </w:rPr>
        <w:t>Extension of Letter of Credit.</w:t>
      </w:r>
      <w:r>
        <w:rPr>
          <w:rFonts w:ascii="Arial" w:cs="Arial" w:eastAsia="Arial" w:hAnsi="Arial"/>
          <w:sz w:val="19"/>
          <w:szCs w:val="19"/>
          <w:color w:val="auto"/>
        </w:rPr>
        <w:t xml:space="preserve"> Tenant hereby agrees to deliver to Landlord, no later than ten (10) business days after the Effective Date, an extension to the expiration date of the current letter of credit issued by Bank of America in favor of Landlord (“</w:t>
      </w:r>
      <w:r>
        <w:rPr>
          <w:rFonts w:ascii="Arial" w:cs="Arial" w:eastAsia="Arial" w:hAnsi="Arial"/>
          <w:sz w:val="19"/>
          <w:szCs w:val="19"/>
          <w:b w:val="1"/>
          <w:bCs w:val="1"/>
          <w:color w:val="auto"/>
        </w:rPr>
        <w:t>Letter of Credit</w:t>
      </w:r>
      <w:r>
        <w:rPr>
          <w:rFonts w:ascii="Arial" w:cs="Arial" w:eastAsia="Arial" w:hAnsi="Arial"/>
          <w:sz w:val="19"/>
          <w:szCs w:val="19"/>
          <w:color w:val="auto"/>
        </w:rPr>
        <w:t>”) or a replacement letter of credit meeting the requirements of Section 3.7 of the Lease, such that</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195580</wp:posOffset>
            </wp:positionV>
            <wp:extent cx="718502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100"/>
          </w:cols>
          <w:pgMar w:left="460" w:top="124" w:right="339" w:bottom="1440" w:gutter="0" w:footer="0" w:header="0"/>
        </w:sectPr>
      </w:pPr>
    </w:p>
    <w:bookmarkStart w:id="144" w:name="page145"/>
    <w:bookmarkEnd w:id="144"/>
    <w:p>
      <w:pPr>
        <w:jc w:val="both"/>
        <w:ind w:right="20"/>
        <w:spacing w:after="0" w:line="242" w:lineRule="auto"/>
        <w:rPr>
          <w:sz w:val="20"/>
          <w:szCs w:val="20"/>
          <w:color w:val="auto"/>
        </w:rPr>
      </w:pPr>
      <w:r>
        <w:rPr>
          <w:rFonts w:ascii="Arial" w:cs="Arial" w:eastAsia="Arial" w:hAnsi="Arial"/>
          <w:sz w:val="20"/>
          <w:szCs w:val="20"/>
          <w:color w:val="auto"/>
        </w:rPr>
        <w:t>the expiration date of the Letter of Credit or its replacement is no earlier than the end of the Extension Term. Should Tenant fail to timely comply with the foregoing requirement, Landlord shall have the right to draw the full amount of the Letter of Credit prior to its expiration in accordance with Section 3.7 of the Lease.</w:t>
      </w:r>
    </w:p>
    <w:p>
      <w:pPr>
        <w:spacing w:after="0" w:line="193" w:lineRule="exact"/>
        <w:rPr>
          <w:sz w:val="20"/>
          <w:szCs w:val="20"/>
          <w:color w:val="auto"/>
        </w:rPr>
      </w:pPr>
    </w:p>
    <w:p>
      <w:pPr>
        <w:ind w:right="40" w:firstLine="823"/>
        <w:spacing w:after="0" w:line="269"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Repair and Surrender Obligations</w:t>
      </w:r>
      <w:r>
        <w:rPr>
          <w:rFonts w:ascii="Arial" w:cs="Arial" w:eastAsia="Arial" w:hAnsi="Arial"/>
          <w:sz w:val="18"/>
          <w:szCs w:val="18"/>
          <w:color w:val="auto"/>
        </w:rPr>
        <w:t>. Notwithstanding anything to the contrary contained in the Lease, but subject to receipt by Landlord of the Surrender Payment pursuant to Section 4 below and subject to Tenant’s surrender obligations set forth below, Landlord hereby agrees as follows: (i) Tenant shall not be required to reimburse Landlord for repainting of the Building and roof repairs made to the Building by Landlord; and (ii) upon the expiration of the Extension Term, Tenant shall not be required to remove any improvements to the Premises made by Tenant or make any repairs or replacements to the Leased Premises, except as follows:</w:t>
      </w:r>
    </w:p>
    <w:p>
      <w:pPr>
        <w:spacing w:after="0" w:line="172" w:lineRule="exact"/>
        <w:rPr>
          <w:sz w:val="20"/>
          <w:szCs w:val="20"/>
          <w:color w:val="auto"/>
        </w:rPr>
      </w:pPr>
    </w:p>
    <w:p>
      <w:pPr>
        <w:jc w:val="both"/>
        <w:ind w:right="140" w:firstLine="819"/>
        <w:spacing w:after="0" w:line="282" w:lineRule="auto"/>
        <w:rPr>
          <w:sz w:val="20"/>
          <w:szCs w:val="20"/>
          <w:color w:val="auto"/>
        </w:rPr>
      </w:pPr>
      <w:r>
        <w:rPr>
          <w:rFonts w:ascii="Arial" w:cs="Arial" w:eastAsia="Arial" w:hAnsi="Arial"/>
          <w:sz w:val="18"/>
          <w:szCs w:val="18"/>
          <w:color w:val="auto"/>
        </w:rPr>
        <w:t>Tenant shall remove all of Tenant's equipment, trade fixtures, furniture, supplies, wall decorations and other personal property from the Premises, and shall vacate and surrender the Premises to Landlord by the end of the Extension Term in broom clean condition, free of debris. Tenant shall repair all damage to the Premises caused by Tenant's removal of Tenant's property.</w:t>
      </w:r>
    </w:p>
    <w:p>
      <w:pPr>
        <w:spacing w:after="0" w:line="159" w:lineRule="exact"/>
        <w:rPr>
          <w:sz w:val="20"/>
          <w:szCs w:val="20"/>
          <w:color w:val="auto"/>
        </w:rPr>
      </w:pPr>
    </w:p>
    <w:p>
      <w:pPr>
        <w:ind w:right="120" w:firstLine="836"/>
        <w:spacing w:after="0" w:line="242" w:lineRule="auto"/>
        <w:rPr>
          <w:sz w:val="20"/>
          <w:szCs w:val="20"/>
          <w:color w:val="auto"/>
        </w:rPr>
      </w:pPr>
      <w:r>
        <w:rPr>
          <w:rFonts w:ascii="Arial" w:cs="Arial" w:eastAsia="Arial" w:hAnsi="Arial"/>
          <w:sz w:val="20"/>
          <w:szCs w:val="20"/>
          <w:color w:val="auto"/>
        </w:rPr>
        <w:t>Except as set forth in this Section 3, Tenant shall otherwise continue to comply with all provisions of the Lease. Tenant agrees that Section 13.9 of the Lease (Force Majeure) shall not apply to Tenant’s obligation to surrender the Premises upon expiration of the Extension Term.</w:t>
      </w:r>
    </w:p>
    <w:p>
      <w:pPr>
        <w:spacing w:after="0" w:line="193" w:lineRule="exact"/>
        <w:rPr>
          <w:sz w:val="20"/>
          <w:szCs w:val="20"/>
          <w:color w:val="auto"/>
        </w:rPr>
      </w:pPr>
    </w:p>
    <w:p>
      <w:pPr>
        <w:ind w:right="20" w:firstLine="825"/>
        <w:spacing w:after="0" w:line="235"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Surrender Payment</w:t>
      </w:r>
      <w:r>
        <w:rPr>
          <w:rFonts w:ascii="Arial" w:cs="Arial" w:eastAsia="Arial" w:hAnsi="Arial"/>
          <w:sz w:val="20"/>
          <w:szCs w:val="20"/>
          <w:color w:val="auto"/>
        </w:rPr>
        <w:t>. No later than two (2) business days prior to the expiration of the Extension Term, Tenant shall deliver to Landlord the amount of Four Hundred Ninety-Two Thousand Five Hundred Dollars ($492,500) in cash or by wire transfer (the “</w:t>
      </w:r>
      <w:r>
        <w:rPr>
          <w:rFonts w:ascii="Arial" w:cs="Arial" w:eastAsia="Arial" w:hAnsi="Arial"/>
          <w:sz w:val="20"/>
          <w:szCs w:val="20"/>
          <w:b w:val="1"/>
          <w:bCs w:val="1"/>
          <w:color w:val="auto"/>
        </w:rPr>
        <w:t>Surrender Payment</w:t>
      </w:r>
      <w:r>
        <w:rPr>
          <w:rFonts w:ascii="Arial" w:cs="Arial" w:eastAsia="Arial" w:hAnsi="Arial"/>
          <w:sz w:val="20"/>
          <w:szCs w:val="20"/>
          <w:color w:val="auto"/>
        </w:rPr>
        <w:t>”). Tenant acknowledges and agrees that the Surrender Payment is intended to compensate Landlord for waiving certain repair obligations and Tenant’s surrender obligations set forth in the Lease as described in Section 3 of this Amendment, and that in no event shall the Surrender Payment constitute, or be applied to, rent, a security deposit, or any other payment due from Tenant under the Lease. In no event is the Surrender Payment refundable to Tenant. If Tenant fails to timely deliver the Surrender Payment, Landlord shall be entitled to draw on the Letter of Credit in full and apply the amount drawn towards Tenant’s obligation to make the Surrender Payment hereunder.</w:t>
      </w:r>
    </w:p>
    <w:p>
      <w:pPr>
        <w:spacing w:after="0" w:line="197" w:lineRule="exact"/>
        <w:rPr>
          <w:sz w:val="20"/>
          <w:szCs w:val="20"/>
          <w:color w:val="auto"/>
        </w:rPr>
      </w:pPr>
    </w:p>
    <w:p>
      <w:pPr>
        <w:jc w:val="both"/>
        <w:ind w:firstLine="819"/>
        <w:spacing w:after="0" w:line="236"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Landlord Work</w:t>
      </w:r>
      <w:r>
        <w:rPr>
          <w:rFonts w:ascii="Arial" w:cs="Arial" w:eastAsia="Arial" w:hAnsi="Arial"/>
          <w:sz w:val="20"/>
          <w:szCs w:val="20"/>
          <w:color w:val="auto"/>
        </w:rPr>
        <w:t>. Notwithstanding anything to the contrary contained in the lease, from and after April 1, 2022, Landlord may, with the consent of Tenant, modify, alter, construct and make other improvements to the entry of the Building, provided that such work does not impede egress and ingress of the Building by Tenant’s employees and Tenant’s invitees. From or after April 1, 2022, Landlord may, without the consent of or notice to Tenant, modify, alter, construct and make other improvements to the Outside Areas to the northeast of the Building. Tenant shall have no claim against Landlord as a result of any such work, as more particularly set forth in Section 4.9 of the Lease.</w:t>
      </w:r>
    </w:p>
    <w:p>
      <w:pPr>
        <w:spacing w:after="0" w:line="197" w:lineRule="exact"/>
        <w:rPr>
          <w:sz w:val="20"/>
          <w:szCs w:val="20"/>
          <w:color w:val="auto"/>
        </w:rPr>
      </w:pPr>
    </w:p>
    <w:p>
      <w:pPr>
        <w:ind w:right="160" w:firstLine="821"/>
        <w:spacing w:after="0" w:line="261" w:lineRule="auto"/>
        <w:rPr>
          <w:sz w:val="20"/>
          <w:szCs w:val="20"/>
          <w:color w:val="auto"/>
        </w:rPr>
      </w:pPr>
      <w:r>
        <w:rPr>
          <w:rFonts w:ascii="Arial" w:cs="Arial" w:eastAsia="Arial" w:hAnsi="Arial"/>
          <w:sz w:val="19"/>
          <w:szCs w:val="19"/>
          <w:color w:val="auto"/>
        </w:rPr>
        <w:t xml:space="preserve">6. </w:t>
      </w:r>
      <w:r>
        <w:rPr>
          <w:rFonts w:ascii="Arial" w:cs="Arial" w:eastAsia="Arial" w:hAnsi="Arial"/>
          <w:sz w:val="19"/>
          <w:szCs w:val="19"/>
          <w:u w:val="single" w:color="auto"/>
          <w:color w:val="auto"/>
        </w:rPr>
        <w:t>Broker</w:t>
      </w:r>
      <w:r>
        <w:rPr>
          <w:rFonts w:ascii="Arial" w:cs="Arial" w:eastAsia="Arial" w:hAnsi="Arial"/>
          <w:sz w:val="19"/>
          <w:szCs w:val="19"/>
          <w:color w:val="auto"/>
        </w:rPr>
        <w:t>. Landlord and Tenant each represent and warrant to the other that it is not aware of any brokers or finders who may claim a fee or commission in connection with the consummation of the transactions contemplated by this Amendment. If any other claims for brokers’ or finders’ fees in connection with the transaction contemplated by this Amendment</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187960</wp:posOffset>
            </wp:positionV>
            <wp:extent cx="718502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900"/>
          </w:cols>
          <w:pgMar w:left="460" w:top="540" w:right="539" w:bottom="1440" w:gutter="0" w:footer="0" w:header="0"/>
        </w:sectPr>
      </w:pPr>
    </w:p>
    <w:bookmarkStart w:id="145" w:name="page146"/>
    <w:bookmarkEnd w:id="145"/>
    <w:p>
      <w:pPr>
        <w:ind w:right="100"/>
        <w:spacing w:after="0" w:line="255" w:lineRule="auto"/>
        <w:rPr>
          <w:sz w:val="20"/>
          <w:szCs w:val="20"/>
          <w:color w:val="auto"/>
        </w:rPr>
      </w:pPr>
      <w:r>
        <w:rPr>
          <w:rFonts w:ascii="Arial" w:cs="Arial" w:eastAsia="Arial" w:hAnsi="Arial"/>
          <w:sz w:val="19"/>
          <w:szCs w:val="19"/>
          <w:color w:val="auto"/>
        </w:rPr>
        <w:t>arise, then Tenant agrees to indemnify, protect, hold harmless and defend Landlord (with counsel reasonably satisfactory to Landlord) from and against any such claims if they shall be based upon any statement, representation or agreement made by Tenant, and Landlord agrees to indemnify, protect, hold harmless and defend Tenant (with counsel reasonably satisfactory to Tenant) if such claims are based upon any statement, representation or agreement made by Landlord.</w:t>
      </w:r>
    </w:p>
    <w:p>
      <w:pPr>
        <w:spacing w:after="0" w:line="182" w:lineRule="exact"/>
        <w:rPr>
          <w:sz w:val="20"/>
          <w:szCs w:val="20"/>
          <w:color w:val="auto"/>
        </w:rPr>
      </w:pPr>
    </w:p>
    <w:p>
      <w:pPr>
        <w:ind w:right="380" w:firstLine="784"/>
        <w:spacing w:after="0" w:line="252"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Authority</w:t>
      </w:r>
      <w:r>
        <w:rPr>
          <w:rFonts w:ascii="Arial" w:cs="Arial" w:eastAsia="Arial" w:hAnsi="Arial"/>
          <w:sz w:val="20"/>
          <w:szCs w:val="20"/>
          <w:color w:val="auto"/>
        </w:rPr>
        <w:t>. Each signatory of this Amendment on behalf of Tenant represents hereby that he or she has the authority to execute and deliver the same on behalf of the party hereto for which such signatory is acting.</w:t>
      </w:r>
    </w:p>
    <w:p>
      <w:pPr>
        <w:spacing w:after="0" w:line="183" w:lineRule="exact"/>
        <w:rPr>
          <w:sz w:val="20"/>
          <w:szCs w:val="20"/>
          <w:color w:val="auto"/>
        </w:rPr>
      </w:pPr>
    </w:p>
    <w:p>
      <w:pPr>
        <w:ind w:right="220" w:firstLine="812"/>
        <w:spacing w:after="0" w:line="242" w:lineRule="auto"/>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u w:val="single" w:color="auto"/>
          <w:color w:val="auto"/>
        </w:rPr>
        <w:t>No Other Modifications</w:t>
      </w:r>
      <w:r>
        <w:rPr>
          <w:rFonts w:ascii="Arial" w:cs="Arial" w:eastAsia="Arial" w:hAnsi="Arial"/>
          <w:sz w:val="20"/>
          <w:szCs w:val="20"/>
          <w:color w:val="auto"/>
        </w:rPr>
        <w:t>. Except as modified in this Amendment, all other terms and conditions of the Lease shall remain unchanged and in full force and effect. If there is any conflict between the terms of the Lease and the terms of this Amendment, the terms of this Amendment shall control.</w:t>
      </w:r>
    </w:p>
    <w:p>
      <w:pPr>
        <w:spacing w:after="0" w:line="193" w:lineRule="exact"/>
        <w:rPr>
          <w:sz w:val="20"/>
          <w:szCs w:val="20"/>
          <w:color w:val="auto"/>
        </w:rPr>
      </w:pPr>
    </w:p>
    <w:p>
      <w:pPr>
        <w:jc w:val="both"/>
        <w:ind w:firstLine="812"/>
        <w:spacing w:after="0" w:line="249" w:lineRule="auto"/>
        <w:rPr>
          <w:sz w:val="20"/>
          <w:szCs w:val="20"/>
          <w:color w:val="auto"/>
        </w:rPr>
      </w:pPr>
      <w:r>
        <w:rPr>
          <w:rFonts w:ascii="Arial" w:cs="Arial" w:eastAsia="Arial" w:hAnsi="Arial"/>
          <w:sz w:val="19"/>
          <w:szCs w:val="19"/>
          <w:color w:val="auto"/>
        </w:rPr>
        <w:t xml:space="preserve">9. </w:t>
      </w:r>
      <w:r>
        <w:rPr>
          <w:rFonts w:ascii="Arial" w:cs="Arial" w:eastAsia="Arial" w:hAnsi="Arial"/>
          <w:sz w:val="19"/>
          <w:szCs w:val="19"/>
          <w:u w:val="single" w:color="auto"/>
          <w:color w:val="auto"/>
        </w:rPr>
        <w:t>Counterparts; Electronic Signatures</w:t>
      </w:r>
      <w:r>
        <w:rPr>
          <w:rFonts w:ascii="Arial" w:cs="Arial" w:eastAsia="Arial" w:hAnsi="Arial"/>
          <w:sz w:val="19"/>
          <w:szCs w:val="19"/>
          <w:color w:val="auto"/>
        </w:rPr>
        <w:t>. This Amendment may be executed in any number of counterparts, each of which shall be deemed an original, but all of which, taken together, shall constitute one and the same instrument. In order to expedite the transaction contemplated herein, facsimile or .pdf signatures may be used in place of original signatures on this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Amendment. Landlord and Tenant intend to be bound by the signatures on the facsimile or .pdf document, are aware that the other party will rely on the facsimile or .pdf signatures, and hereby waive any defenses to the enforcement of the terms of this Amendment based on the form of signature.</w:t>
      </w:r>
    </w:p>
    <w:p>
      <w:pPr>
        <w:spacing w:after="0" w:line="197" w:lineRule="exact"/>
        <w:rPr>
          <w:sz w:val="20"/>
          <w:szCs w:val="20"/>
          <w:color w:val="auto"/>
        </w:rPr>
      </w:pPr>
    </w:p>
    <w:p>
      <w:pPr>
        <w:ind w:right="1040" w:firstLine="812"/>
        <w:spacing w:after="0" w:line="252" w:lineRule="auto"/>
        <w:rPr>
          <w:sz w:val="20"/>
          <w:szCs w:val="20"/>
          <w:color w:val="auto"/>
        </w:rPr>
      </w:pPr>
      <w:r>
        <w:rPr>
          <w:rFonts w:ascii="Arial" w:cs="Arial" w:eastAsia="Arial" w:hAnsi="Arial"/>
          <w:sz w:val="20"/>
          <w:szCs w:val="20"/>
          <w:color w:val="auto"/>
        </w:rPr>
        <w:t xml:space="preserve">10. </w:t>
      </w:r>
      <w:r>
        <w:rPr>
          <w:rFonts w:ascii="Arial" w:cs="Arial" w:eastAsia="Arial" w:hAnsi="Arial"/>
          <w:sz w:val="20"/>
          <w:szCs w:val="20"/>
          <w:u w:val="single" w:color="auto"/>
          <w:color w:val="auto"/>
        </w:rPr>
        <w:t>Successors</w:t>
      </w:r>
      <w:r>
        <w:rPr>
          <w:rFonts w:ascii="Arial" w:cs="Arial" w:eastAsia="Arial" w:hAnsi="Arial"/>
          <w:sz w:val="20"/>
          <w:szCs w:val="20"/>
          <w:color w:val="auto"/>
        </w:rPr>
        <w:t>. The provisions of this Amendment shall bind and inure to the benefit of the heirs, representatives, successors and assigns of the parties hereto as permitted pursuant to the Lease.</w:t>
      </w:r>
    </w:p>
    <w:p>
      <w:pPr>
        <w:spacing w:after="0" w:line="183" w:lineRule="exact"/>
        <w:rPr>
          <w:sz w:val="20"/>
          <w:szCs w:val="20"/>
          <w:color w:val="auto"/>
        </w:rPr>
      </w:pPr>
    </w:p>
    <w:p>
      <w:pPr>
        <w:ind w:right="320" w:firstLine="812"/>
        <w:spacing w:after="0" w:line="25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Ratification</w:t>
      </w:r>
      <w:r>
        <w:rPr>
          <w:rFonts w:ascii="Arial" w:cs="Arial" w:eastAsia="Arial" w:hAnsi="Arial"/>
          <w:sz w:val="20"/>
          <w:szCs w:val="20"/>
          <w:color w:val="auto"/>
        </w:rPr>
        <w:t>. Except as hereby amended, the Lease shall remain unmodified and, as hereby amended, is ratified and confirmed.</w:t>
      </w: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[Signatures on the next page.]</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187960</wp:posOffset>
            </wp:positionV>
            <wp:extent cx="718502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800"/>
          </w:cols>
          <w:pgMar w:left="460" w:top="749" w:right="639" w:bottom="1440" w:gutter="0" w:footer="0" w:header="0"/>
        </w:sectPr>
      </w:pPr>
    </w:p>
    <w:bookmarkStart w:id="146" w:name="page147"/>
    <w:bookmarkEnd w:id="146"/>
    <w:p>
      <w:pPr>
        <w:ind w:left="40"/>
        <w:spacing w:after="0"/>
        <w:rPr>
          <w:sz w:val="20"/>
          <w:szCs w:val="20"/>
          <w:color w:val="auto"/>
        </w:rPr>
      </w:pPr>
      <w:r>
        <w:rPr>
          <w:rFonts w:ascii="Arial" w:cs="Arial" w:eastAsia="Arial" w:hAnsi="Arial"/>
          <w:sz w:val="20"/>
          <w:szCs w:val="20"/>
          <w:color w:val="auto"/>
        </w:rPr>
        <w:t>IN WITNESS WHEREOF, the parties have executed this Amendment as of the date set forth above.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0F0C0E"/>
        </w:rPr>
        <w:t>LANDLORD</w:t>
      </w:r>
      <w:r>
        <w:rPr>
          <w:rFonts w:ascii="Arial" w:cs="Arial" w:eastAsia="Arial" w:hAnsi="Arial"/>
          <w:sz w:val="20"/>
          <w:szCs w:val="20"/>
          <w:b w:val="1"/>
          <w:bCs w:val="1"/>
          <w:color w:val="2D262A"/>
        </w:rPr>
        <w:t>:</w:t>
      </w:r>
    </w:p>
    <w:p>
      <w:pPr>
        <w:spacing w:after="0" w:line="220" w:lineRule="exact"/>
        <w:rPr>
          <w:sz w:val="20"/>
          <w:szCs w:val="20"/>
          <w:color w:val="auto"/>
        </w:rPr>
      </w:pPr>
    </w:p>
    <w:p>
      <w:pPr>
        <w:ind w:left="5320"/>
        <w:spacing w:after="0"/>
        <w:rPr>
          <w:sz w:val="20"/>
          <w:szCs w:val="20"/>
          <w:color w:val="auto"/>
        </w:rPr>
      </w:pPr>
      <w:r>
        <w:rPr>
          <w:rFonts w:ascii="Arial" w:cs="Arial" w:eastAsia="Arial" w:hAnsi="Arial"/>
          <w:sz w:val="18"/>
          <w:szCs w:val="18"/>
          <w:color w:val="0F0C0E"/>
        </w:rPr>
        <w:t>47100 BAYSIDE PARKWAY OWNER, LLC</w:t>
      </w:r>
      <w:r>
        <w:rPr>
          <w:rFonts w:ascii="Arial" w:cs="Arial" w:eastAsia="Arial" w:hAnsi="Arial"/>
          <w:sz w:val="18"/>
          <w:szCs w:val="18"/>
          <w:color w:val="2D262A"/>
        </w:rPr>
        <w:t>,</w:t>
      </w:r>
      <w:r>
        <w:rPr>
          <w:rFonts w:ascii="Arial" w:cs="Arial" w:eastAsia="Arial" w:hAnsi="Arial"/>
          <w:sz w:val="18"/>
          <w:szCs w:val="18"/>
          <w:color w:val="0F0C0E"/>
        </w:rPr>
        <w:t xml:space="preserve"> a Delaware</w:t>
      </w:r>
    </w:p>
    <w:p>
      <w:pPr>
        <w:spacing w:after="0" w:line="31" w:lineRule="exact"/>
        <w:rPr>
          <w:sz w:val="20"/>
          <w:szCs w:val="20"/>
          <w:color w:val="auto"/>
        </w:rPr>
      </w:pPr>
    </w:p>
    <w:p>
      <w:pPr>
        <w:ind w:left="5320"/>
        <w:spacing w:after="0"/>
        <w:rPr>
          <w:sz w:val="20"/>
          <w:szCs w:val="20"/>
          <w:color w:val="auto"/>
        </w:rPr>
      </w:pPr>
      <w:r>
        <w:rPr>
          <w:rFonts w:ascii="Arial" w:cs="Arial" w:eastAsia="Arial" w:hAnsi="Arial"/>
          <w:sz w:val="20"/>
          <w:szCs w:val="20"/>
          <w:color w:val="0F0C0E"/>
        </w:rPr>
        <w:t>limited liability company</w:t>
      </w:r>
    </w:p>
    <w:p>
      <w:pPr>
        <w:spacing w:after="0" w:line="200" w:lineRule="exact"/>
        <w:rPr>
          <w:sz w:val="20"/>
          <w:szCs w:val="20"/>
          <w:color w:val="auto"/>
        </w:rPr>
      </w:pPr>
    </w:p>
    <w:p>
      <w:pPr>
        <w:spacing w:after="0" w:line="220" w:lineRule="exact"/>
        <w:rPr>
          <w:sz w:val="20"/>
          <w:szCs w:val="20"/>
          <w:color w:val="auto"/>
        </w:rPr>
      </w:pPr>
    </w:p>
    <w:p>
      <w:pPr>
        <w:ind w:left="5340"/>
        <w:spacing w:after="0"/>
        <w:rPr>
          <w:sz w:val="20"/>
          <w:szCs w:val="20"/>
          <w:color w:val="auto"/>
        </w:rPr>
      </w:pPr>
      <w:r>
        <w:rPr>
          <w:rFonts w:ascii="Arial" w:cs="Arial" w:eastAsia="Arial" w:hAnsi="Arial"/>
          <w:sz w:val="20"/>
          <w:szCs w:val="20"/>
          <w:color w:val="0F0C0E"/>
        </w:rPr>
        <w:t xml:space="preserve">By: </w:t>
      </w:r>
      <w:r>
        <w:rPr>
          <w:rFonts w:ascii="Arial" w:cs="Arial" w:eastAsia="Arial" w:hAnsi="Arial"/>
          <w:sz w:val="20"/>
          <w:szCs w:val="20"/>
          <w:u w:val="single" w:color="auto"/>
          <w:color w:val="0F0C0E"/>
        </w:rPr>
        <w:t>/s/ Jamin Seid___________</w:t>
      </w:r>
    </w:p>
    <w:p>
      <w:pPr>
        <w:ind w:left="5340"/>
        <w:spacing w:after="0"/>
        <w:rPr>
          <w:sz w:val="20"/>
          <w:szCs w:val="20"/>
          <w:color w:val="auto"/>
        </w:rPr>
      </w:pPr>
      <w:r>
        <w:rPr>
          <w:rFonts w:ascii="Arial" w:cs="Arial" w:eastAsia="Arial" w:hAnsi="Arial"/>
          <w:sz w:val="20"/>
          <w:szCs w:val="20"/>
          <w:color w:val="0F0C0E"/>
        </w:rPr>
        <w:t xml:space="preserve">Name: </w:t>
      </w:r>
      <w:r>
        <w:rPr>
          <w:rFonts w:ascii="Arial" w:cs="Arial" w:eastAsia="Arial" w:hAnsi="Arial"/>
          <w:sz w:val="20"/>
          <w:szCs w:val="20"/>
          <w:u w:val="single" w:color="auto"/>
          <w:color w:val="0F0C0E"/>
        </w:rPr>
        <w:t>Jamin Seid___________</w:t>
      </w:r>
    </w:p>
    <w:p>
      <w:pPr>
        <w:ind w:left="5340"/>
        <w:spacing w:after="0"/>
        <w:rPr>
          <w:sz w:val="20"/>
          <w:szCs w:val="20"/>
          <w:color w:val="auto"/>
        </w:rPr>
      </w:pPr>
      <w:r>
        <w:rPr>
          <w:rFonts w:ascii="Arial" w:cs="Arial" w:eastAsia="Arial" w:hAnsi="Arial"/>
          <w:sz w:val="20"/>
          <w:szCs w:val="20"/>
          <w:color w:val="0F0C0E"/>
        </w:rPr>
        <w:t xml:space="preserve">Its: </w:t>
      </w:r>
      <w:r>
        <w:rPr>
          <w:rFonts w:ascii="Arial" w:cs="Arial" w:eastAsia="Arial" w:hAnsi="Arial"/>
          <w:sz w:val="20"/>
          <w:szCs w:val="20"/>
          <w:u w:val="single" w:color="auto"/>
          <w:color w:val="0F0C0E"/>
        </w:rPr>
        <w:t>Authorized Signatory</w:t>
      </w:r>
      <w:r>
        <w:rPr>
          <w:rFonts w:ascii="Arial" w:cs="Arial" w:eastAsia="Arial" w:hAnsi="Arial"/>
          <w:sz w:val="20"/>
          <w:szCs w:val="20"/>
          <w:color w:val="000000"/>
        </w:rPr>
        <w:t>_____</w:t>
      </w:r>
    </w:p>
    <w:p>
      <w:pPr>
        <w:spacing w:after="0" w:line="200" w:lineRule="exact"/>
        <w:rPr>
          <w:sz w:val="20"/>
          <w:szCs w:val="20"/>
          <w:color w:val="auto"/>
        </w:rPr>
      </w:pPr>
    </w:p>
    <w:p>
      <w:pPr>
        <w:spacing w:after="0" w:line="214"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0F0C0E"/>
        </w:rPr>
        <w:t>TENANT:</w:t>
      </w:r>
    </w:p>
    <w:p>
      <w:pPr>
        <w:spacing w:after="0" w:line="220" w:lineRule="exact"/>
        <w:rPr>
          <w:sz w:val="20"/>
          <w:szCs w:val="20"/>
          <w:color w:val="auto"/>
        </w:rPr>
      </w:pPr>
    </w:p>
    <w:p>
      <w:pPr>
        <w:ind w:left="5340"/>
        <w:spacing w:after="0"/>
        <w:rPr>
          <w:sz w:val="20"/>
          <w:szCs w:val="20"/>
          <w:color w:val="auto"/>
        </w:rPr>
      </w:pPr>
      <w:r>
        <w:rPr>
          <w:rFonts w:ascii="Arial" w:cs="Arial" w:eastAsia="Arial" w:hAnsi="Arial"/>
          <w:sz w:val="20"/>
          <w:szCs w:val="20"/>
          <w:color w:val="0F0C0E"/>
        </w:rPr>
        <w:t>CORSAIR MEMORY, INC., a Delaware</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20"/>
          <w:szCs w:val="20"/>
          <w:color w:val="0F0C0E"/>
        </w:rPr>
        <w:t>corporation</w:t>
      </w:r>
    </w:p>
    <w:p>
      <w:pPr>
        <w:spacing w:after="0" w:line="200" w:lineRule="exact"/>
        <w:rPr>
          <w:sz w:val="20"/>
          <w:szCs w:val="20"/>
          <w:color w:val="auto"/>
        </w:rPr>
      </w:pPr>
    </w:p>
    <w:p>
      <w:pPr>
        <w:spacing w:after="0" w:line="220" w:lineRule="exact"/>
        <w:rPr>
          <w:sz w:val="20"/>
          <w:szCs w:val="20"/>
          <w:color w:val="auto"/>
        </w:rPr>
      </w:pPr>
    </w:p>
    <w:p>
      <w:pPr>
        <w:ind w:left="5340"/>
        <w:spacing w:after="0"/>
        <w:rPr>
          <w:sz w:val="20"/>
          <w:szCs w:val="20"/>
          <w:color w:val="auto"/>
        </w:rPr>
      </w:pPr>
      <w:r>
        <w:rPr>
          <w:rFonts w:ascii="Arial" w:cs="Arial" w:eastAsia="Arial" w:hAnsi="Arial"/>
          <w:sz w:val="20"/>
          <w:szCs w:val="20"/>
          <w:color w:val="0F0C0E"/>
        </w:rPr>
        <w:t xml:space="preserve">By: </w:t>
      </w:r>
      <w:r>
        <w:rPr>
          <w:rFonts w:ascii="Arial" w:cs="Arial" w:eastAsia="Arial" w:hAnsi="Arial"/>
          <w:sz w:val="20"/>
          <w:szCs w:val="20"/>
          <w:u w:val="single" w:color="auto"/>
          <w:color w:val="0F0C0E"/>
        </w:rPr>
        <w:t>/</w:t>
      </w:r>
      <w:r>
        <w:rPr>
          <w:rFonts w:ascii="Arial" w:cs="Arial" w:eastAsia="Arial" w:hAnsi="Arial"/>
          <w:sz w:val="20"/>
          <w:szCs w:val="20"/>
          <w:color w:val="0F0C0E"/>
        </w:rPr>
        <w:t xml:space="preserve">s/ </w:t>
      </w:r>
      <w:r>
        <w:rPr>
          <w:rFonts w:ascii="Arial" w:cs="Arial" w:eastAsia="Arial" w:hAnsi="Arial"/>
          <w:sz w:val="20"/>
          <w:szCs w:val="20"/>
          <w:u w:val="single" w:color="auto"/>
          <w:color w:val="0F0C0E"/>
        </w:rPr>
        <w:t>Andrew Paul_________</w:t>
      </w:r>
    </w:p>
    <w:p>
      <w:pPr>
        <w:ind w:left="5340"/>
        <w:spacing w:after="0"/>
        <w:rPr>
          <w:sz w:val="20"/>
          <w:szCs w:val="20"/>
          <w:color w:val="auto"/>
        </w:rPr>
      </w:pPr>
      <w:r>
        <w:rPr>
          <w:rFonts w:ascii="Arial" w:cs="Arial" w:eastAsia="Arial" w:hAnsi="Arial"/>
          <w:sz w:val="20"/>
          <w:szCs w:val="20"/>
          <w:color w:val="0F0C0E"/>
        </w:rPr>
        <w:t xml:space="preserve">Name: </w:t>
      </w:r>
      <w:r>
        <w:rPr>
          <w:rFonts w:ascii="Arial" w:cs="Arial" w:eastAsia="Arial" w:hAnsi="Arial"/>
          <w:sz w:val="20"/>
          <w:szCs w:val="20"/>
          <w:u w:val="single" w:color="auto"/>
          <w:color w:val="0F0C0E"/>
        </w:rPr>
        <w:t>Andrew Paul_________</w:t>
      </w:r>
    </w:p>
    <w:p>
      <w:pPr>
        <w:ind w:left="5340"/>
        <w:spacing w:after="0"/>
        <w:rPr>
          <w:sz w:val="20"/>
          <w:szCs w:val="20"/>
          <w:color w:val="auto"/>
        </w:rPr>
      </w:pPr>
      <w:r>
        <w:rPr>
          <w:rFonts w:ascii="Arial" w:cs="Arial" w:eastAsia="Arial" w:hAnsi="Arial"/>
          <w:sz w:val="20"/>
          <w:szCs w:val="20"/>
          <w:color w:val="0F0C0E"/>
        </w:rPr>
        <w:t xml:space="preserve">Title: </w:t>
      </w:r>
      <w:r>
        <w:rPr>
          <w:rFonts w:ascii="Arial" w:cs="Arial" w:eastAsia="Arial" w:hAnsi="Arial"/>
          <w:sz w:val="20"/>
          <w:szCs w:val="20"/>
          <w:u w:val="single" w:color="auto"/>
          <w:color w:val="0F0C0E"/>
        </w:rPr>
        <w:t>CEO________________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195580</wp:posOffset>
            </wp:positionV>
            <wp:extent cx="718502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9940"/>
          </w:cols>
          <w:pgMar w:left="1440" w:top="823" w:right="51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20"/>
          <w:szCs w:val="20"/>
          <w:b w:val="1"/>
          <w:bCs w:val="1"/>
          <w:color w:val="auto"/>
        </w:rPr>
        <w:t>REAFFIRMATION OF GUARANTY</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The undersigned Guarantor hereby renews, reaffirms, ratifies and confirms that certain Lease Guaranty dated August 25, 2014, and acknowledges and agrees that the Guaranty remains in full force and effect as to the Lease, as amended by the foregoing Amendment, without modification or impairment. Guarantor hereby acknowledges and agrees that it presently has no claims, defenses or offsets against Landlord or against the enforcement of the Guaranty. Guarantor acknowledge that Landlord would not enter into the foregoing Amendment without the execution and delivery of this Reaffirmation of Guaranty by the Guarantor.</w:t>
      </w:r>
    </w:p>
    <w:p>
      <w:pPr>
        <w:spacing w:after="0" w:line="179" w:lineRule="exact"/>
        <w:rPr>
          <w:sz w:val="20"/>
          <w:szCs w:val="20"/>
          <w:color w:val="auto"/>
        </w:rPr>
      </w:pPr>
    </w:p>
    <w:p>
      <w:pPr>
        <w:ind w:left="6460"/>
        <w:spacing w:after="0"/>
        <w:rPr>
          <w:sz w:val="20"/>
          <w:szCs w:val="20"/>
          <w:color w:val="auto"/>
        </w:rPr>
      </w:pPr>
      <w:r>
        <w:rPr>
          <w:rFonts w:ascii="Arial" w:cs="Arial" w:eastAsia="Arial" w:hAnsi="Arial"/>
          <w:sz w:val="20"/>
          <w:szCs w:val="20"/>
          <w:b w:val="1"/>
          <w:bCs w:val="1"/>
          <w:color w:val="0F0C0E"/>
        </w:rPr>
        <w:t>GAUARANTOR:</w:t>
      </w:r>
    </w:p>
    <w:p>
      <w:pPr>
        <w:spacing w:after="0" w:line="220" w:lineRule="exact"/>
        <w:rPr>
          <w:sz w:val="20"/>
          <w:szCs w:val="20"/>
          <w:color w:val="auto"/>
        </w:rPr>
      </w:pPr>
    </w:p>
    <w:p>
      <w:pPr>
        <w:ind w:left="6460"/>
        <w:spacing w:after="0"/>
        <w:rPr>
          <w:sz w:val="20"/>
          <w:szCs w:val="20"/>
          <w:color w:val="auto"/>
        </w:rPr>
      </w:pPr>
      <w:r>
        <w:rPr>
          <w:rFonts w:ascii="Arial" w:cs="Arial" w:eastAsia="Arial" w:hAnsi="Arial"/>
          <w:sz w:val="19"/>
          <w:szCs w:val="19"/>
          <w:color w:val="0F0C0E"/>
        </w:rPr>
        <w:t>CORSAIR COMPONENTS (CAYMAN LTD.), a Cayman</w:t>
      </w:r>
    </w:p>
    <w:p>
      <w:pPr>
        <w:spacing w:after="0" w:line="20" w:lineRule="exact"/>
        <w:rPr>
          <w:sz w:val="20"/>
          <w:szCs w:val="20"/>
          <w:color w:val="auto"/>
        </w:rPr>
      </w:pPr>
    </w:p>
    <w:p>
      <w:pPr>
        <w:ind w:left="6460"/>
        <w:spacing w:after="0"/>
        <w:rPr>
          <w:sz w:val="20"/>
          <w:szCs w:val="20"/>
          <w:color w:val="auto"/>
        </w:rPr>
      </w:pPr>
      <w:r>
        <w:rPr>
          <w:rFonts w:ascii="Arial" w:cs="Arial" w:eastAsia="Arial" w:hAnsi="Arial"/>
          <w:sz w:val="20"/>
          <w:szCs w:val="20"/>
          <w:color w:val="0F0C0E"/>
        </w:rPr>
        <w:t>Islands Exempted Company with Limited Liability</w:t>
      </w:r>
    </w:p>
    <w:p>
      <w:pPr>
        <w:spacing w:after="0" w:line="200" w:lineRule="exact"/>
        <w:rPr>
          <w:sz w:val="20"/>
          <w:szCs w:val="20"/>
          <w:color w:val="auto"/>
        </w:rPr>
      </w:pPr>
    </w:p>
    <w:p>
      <w:pPr>
        <w:spacing w:after="0" w:line="220" w:lineRule="exact"/>
        <w:rPr>
          <w:sz w:val="20"/>
          <w:szCs w:val="20"/>
          <w:color w:val="auto"/>
        </w:rPr>
      </w:pPr>
    </w:p>
    <w:p>
      <w:pPr>
        <w:ind w:left="6460"/>
        <w:spacing w:after="0"/>
        <w:rPr>
          <w:sz w:val="20"/>
          <w:szCs w:val="20"/>
          <w:color w:val="auto"/>
        </w:rPr>
      </w:pPr>
      <w:r>
        <w:rPr>
          <w:rFonts w:ascii="Arial" w:cs="Arial" w:eastAsia="Arial" w:hAnsi="Arial"/>
          <w:sz w:val="20"/>
          <w:szCs w:val="20"/>
          <w:color w:val="0F0C0E"/>
        </w:rPr>
        <w:t xml:space="preserve">By: </w:t>
      </w:r>
      <w:r>
        <w:rPr>
          <w:rFonts w:ascii="Arial" w:cs="Arial" w:eastAsia="Arial" w:hAnsi="Arial"/>
          <w:sz w:val="20"/>
          <w:szCs w:val="20"/>
          <w:u w:val="single" w:color="auto"/>
          <w:color w:val="0F0C0E"/>
        </w:rPr>
        <w:t>/s/ Andrew Paul_____________</w:t>
      </w:r>
    </w:p>
    <w:p>
      <w:pPr>
        <w:ind w:left="6460"/>
        <w:spacing w:after="0"/>
        <w:rPr>
          <w:sz w:val="20"/>
          <w:szCs w:val="20"/>
          <w:color w:val="auto"/>
        </w:rPr>
      </w:pPr>
      <w:r>
        <w:rPr>
          <w:rFonts w:ascii="Arial" w:cs="Arial" w:eastAsia="Arial" w:hAnsi="Arial"/>
          <w:sz w:val="20"/>
          <w:szCs w:val="20"/>
          <w:color w:val="0F0C0E"/>
        </w:rPr>
        <w:t xml:space="preserve">Name: </w:t>
      </w:r>
      <w:r>
        <w:rPr>
          <w:rFonts w:ascii="Arial" w:cs="Arial" w:eastAsia="Arial" w:hAnsi="Arial"/>
          <w:sz w:val="20"/>
          <w:szCs w:val="20"/>
          <w:u w:val="single" w:color="auto"/>
          <w:color w:val="0F0C0E"/>
        </w:rPr>
        <w:t>Andrew Paul_____________</w:t>
      </w:r>
    </w:p>
    <w:p>
      <w:pPr>
        <w:ind w:left="6460"/>
        <w:spacing w:after="0"/>
        <w:rPr>
          <w:sz w:val="20"/>
          <w:szCs w:val="20"/>
          <w:color w:val="auto"/>
        </w:rPr>
      </w:pPr>
      <w:r>
        <w:rPr>
          <w:rFonts w:ascii="Arial" w:cs="Arial" w:eastAsia="Arial" w:hAnsi="Arial"/>
          <w:sz w:val="20"/>
          <w:szCs w:val="20"/>
          <w:color w:val="0F0C0E"/>
        </w:rPr>
        <w:t xml:space="preserve">Title: </w:t>
      </w:r>
      <w:r>
        <w:rPr>
          <w:rFonts w:ascii="Arial" w:cs="Arial" w:eastAsia="Arial" w:hAnsi="Arial"/>
          <w:sz w:val="20"/>
          <w:szCs w:val="20"/>
          <w:u w:val="single" w:color="auto"/>
          <w:color w:val="0F0C0E"/>
        </w:rPr>
        <w:t>CEO_____________________</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320" w:top="74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10.20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CORSAIR GAMING,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 AND SEVERANCE AGREEMENT</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[____________]</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Corsair Gaming,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effective as of [the latest date set forth by the signatures of the parties hereto below]/[the date Executive commences employment with the Company]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Background</w:t>
      </w:r>
    </w:p>
    <w:p>
      <w:pPr>
        <w:spacing w:after="0" w:line="189" w:lineRule="exact"/>
        <w:rPr>
          <w:sz w:val="20"/>
          <w:szCs w:val="20"/>
          <w:color w:val="auto"/>
        </w:rPr>
      </w:pPr>
    </w:p>
    <w:p>
      <w:pPr>
        <w:jc w:val="both"/>
        <w:ind w:firstLine="832"/>
        <w:spacing w:after="0" w:line="274" w:lineRule="auto"/>
        <w:tabs>
          <w:tab w:leader="none" w:pos="16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40" w:lineRule="exact"/>
        <w:rPr>
          <w:rFonts w:ascii="Arial" w:cs="Arial" w:eastAsia="Arial" w:hAnsi="Arial"/>
          <w:sz w:val="18"/>
          <w:szCs w:val="18"/>
          <w:color w:val="auto"/>
        </w:rPr>
      </w:pPr>
    </w:p>
    <w:p>
      <w:pPr>
        <w:jc w:val="both"/>
        <w:ind w:firstLine="832"/>
        <w:spacing w:after="0" w:line="242" w:lineRule="auto"/>
        <w:tabs>
          <w:tab w:leader="none" w:pos="1607"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67" w:lineRule="exact"/>
        <w:rPr>
          <w:rFonts w:ascii="Arial" w:cs="Arial" w:eastAsia="Arial" w:hAnsi="Arial"/>
          <w:sz w:val="20"/>
          <w:szCs w:val="20"/>
          <w:color w:val="auto"/>
        </w:rPr>
      </w:pPr>
    </w:p>
    <w:p>
      <w:pPr>
        <w:jc w:val="both"/>
        <w:ind w:firstLine="832"/>
        <w:spacing w:after="0" w:line="242" w:lineRule="auto"/>
        <w:tabs>
          <w:tab w:leader="none" w:pos="1607"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67" w:lineRule="exact"/>
        <w:rPr>
          <w:rFonts w:ascii="Arial" w:cs="Arial" w:eastAsia="Arial" w:hAnsi="Arial"/>
          <w:sz w:val="20"/>
          <w:szCs w:val="20"/>
          <w:color w:val="auto"/>
        </w:rPr>
      </w:pPr>
    </w:p>
    <w:p>
      <w:pPr>
        <w:ind w:left="1620" w:hanging="788"/>
        <w:spacing w:after="0"/>
        <w:tabs>
          <w:tab w:leader="none" w:pos="16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Unless otherwise defined herein, capitalized terms used in this Agreement are defined in Section 8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The parties hereto agree as follows:</w:t>
      </w:r>
    </w:p>
    <w:p>
      <w:pPr>
        <w:spacing w:after="0" w:line="189" w:lineRule="exact"/>
        <w:rPr>
          <w:sz w:val="20"/>
          <w:szCs w:val="20"/>
          <w:color w:val="auto"/>
        </w:rPr>
      </w:pPr>
    </w:p>
    <w:p>
      <w:pPr>
        <w:ind w:firstLine="832"/>
        <w:spacing w:after="0" w:line="252" w:lineRule="auto"/>
        <w:tabs>
          <w:tab w:leader="none" w:pos="157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Term of Agreement</w:t>
      </w:r>
      <w:r>
        <w:rPr>
          <w:rFonts w:ascii="Arial" w:cs="Arial" w:eastAsia="Arial" w:hAnsi="Arial"/>
          <w:sz w:val="20"/>
          <w:szCs w:val="20"/>
          <w:color w:val="auto"/>
        </w:rPr>
        <w:t>. This Agreement shall become effective as of the Effective Date and terminate upon the date that all obligations of the parties hereto with respect to this Agreement have been satisfied.</w:t>
      </w:r>
    </w:p>
    <w:p>
      <w:pPr>
        <w:spacing w:after="0" w:line="158" w:lineRule="exact"/>
        <w:rPr>
          <w:rFonts w:ascii="Arial" w:cs="Arial" w:eastAsia="Arial" w:hAnsi="Arial"/>
          <w:sz w:val="20"/>
          <w:szCs w:val="20"/>
          <w:color w:val="auto"/>
        </w:rPr>
      </w:pPr>
    </w:p>
    <w:p>
      <w:pPr>
        <w:jc w:val="both"/>
        <w:ind w:firstLine="832"/>
        <w:spacing w:after="0" w:line="265" w:lineRule="auto"/>
        <w:tabs>
          <w:tab w:leader="none" w:pos="157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shall continue to be “at-will,” as defined under applicable law. Except as provided in Section 4 below, if Executive’s employment terminates for any reason, Executive shall not be entitled to any severance payments, benefits or compensation other than as provided in this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143510</wp:posOffset>
            </wp:positionV>
            <wp:extent cx="718502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49" w:name="page150"/>
    <w:bookmarkEnd w:id="149"/>
    <w:p>
      <w:pPr>
        <w:jc w:val="both"/>
        <w:ind w:firstLine="832"/>
        <w:spacing w:after="0" w:line="235" w:lineRule="auto"/>
        <w:tabs>
          <w:tab w:leader="none" w:pos="1574"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Covered Termination During a Change in Control Period</w:t>
      </w:r>
      <w:r>
        <w:rPr>
          <w:rFonts w:ascii="Arial" w:cs="Arial" w:eastAsia="Arial" w:hAnsi="Arial"/>
          <w:sz w:val="20"/>
          <w:szCs w:val="20"/>
          <w:color w:val="auto"/>
        </w:rPr>
        <w:t>. If Executive experiences a Covered Termination during a Change in Control Period, then, subject to (i) Executive delivering to the Company an executed general release of all claims against the Company and its affiliates in a form approved by the Company (a “</w:t>
      </w:r>
      <w:r>
        <w:rPr>
          <w:rFonts w:ascii="Arial" w:cs="Arial" w:eastAsia="Arial" w:hAnsi="Arial"/>
          <w:sz w:val="20"/>
          <w:szCs w:val="20"/>
          <w:b w:val="1"/>
          <w:bCs w:val="1"/>
          <w:i w:val="1"/>
          <w:iCs w:val="1"/>
          <w:color w:val="auto"/>
        </w:rPr>
        <w:t>Release of Claims</w:t>
      </w:r>
      <w:r>
        <w:rPr>
          <w:rFonts w:ascii="Arial" w:cs="Arial" w:eastAsia="Arial" w:hAnsi="Arial"/>
          <w:sz w:val="20"/>
          <w:szCs w:val="20"/>
          <w:color w:val="auto"/>
        </w:rPr>
        <w:t>”) that becomes effective and irrevocable in accordance with Section 13(a)(v) below, or such shorter period of time specified by the Company, following such Covered Termination and (ii) Executive’s continued compliance with Section 11 below, then in addition to any accrued but unpaid salary, benefits, vacation and expense reimbursements through the Termination Date payable in accordance with applicable law, the Company shall provide Executive with the following:</w:t>
      </w:r>
    </w:p>
    <w:p>
      <w:pPr>
        <w:spacing w:after="0" w:line="175" w:lineRule="exact"/>
        <w:rPr>
          <w:rFonts w:ascii="Arial" w:cs="Arial" w:eastAsia="Arial" w:hAnsi="Arial"/>
          <w:sz w:val="20"/>
          <w:szCs w:val="20"/>
          <w:color w:val="auto"/>
        </w:rPr>
      </w:pPr>
    </w:p>
    <w:p>
      <w:pPr>
        <w:ind w:right="60" w:firstLine="1665"/>
        <w:spacing w:after="0" w:line="252" w:lineRule="auto"/>
        <w:tabs>
          <w:tab w:leader="none" w:pos="2477"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(i) [___] ([__]) months of Executive’s base salary and (ii) [_____] percent ([___]%) of Executive’s target annual bonus, assuming achievement of performance goals at one hundred percent (100%) of target, in each case, at the rate in effect immediately prior to the Termination Date payable in a cash lump sum, less applicable withholdings, on the first payroll date following the date the Release of Claims becomes effective and irrevocable becomes effective and irrevocable in accordance with Section 13(a)(v) below.</w:t>
      </w:r>
    </w:p>
    <w:p>
      <w:pPr>
        <w:spacing w:after="0" w:line="160" w:lineRule="exact"/>
        <w:rPr>
          <w:rFonts w:ascii="Arial" w:cs="Arial" w:eastAsia="Arial" w:hAnsi="Arial"/>
          <w:sz w:val="19"/>
          <w:szCs w:val="19"/>
          <w:color w:val="auto"/>
        </w:rPr>
      </w:pPr>
    </w:p>
    <w:p>
      <w:pPr>
        <w:jc w:val="both"/>
        <w:ind w:firstLine="1665"/>
        <w:spacing w:after="0" w:line="261" w:lineRule="auto"/>
        <w:tabs>
          <w:tab w:leader="none" w:pos="2489"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Continued Healthcare</w:t>
      </w:r>
      <w:r>
        <w:rPr>
          <w:rFonts w:ascii="Arial" w:cs="Arial" w:eastAsia="Arial" w:hAnsi="Arial"/>
          <w:sz w:val="18"/>
          <w:szCs w:val="18"/>
          <w:color w:val="auto"/>
        </w:rPr>
        <w:t>. If Executive timely elects to receive continued healthcare coverage pursuant to the provisions of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the Company shall directly pay, or reimburse Executive for, the premium for Executive and Executive’s covered dependents through the earlier of (i) the [___] ([__]) month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spacing w:after="0" w:line="160" w:lineRule="exact"/>
        <w:rPr>
          <w:rFonts w:ascii="Arial" w:cs="Arial" w:eastAsia="Arial" w:hAnsi="Arial"/>
          <w:sz w:val="18"/>
          <w:szCs w:val="18"/>
          <w:color w:val="auto"/>
        </w:rPr>
      </w:pPr>
    </w:p>
    <w:p>
      <w:pPr>
        <w:jc w:val="both"/>
        <w:ind w:firstLine="1665"/>
        <w:spacing w:after="0" w:line="236" w:lineRule="auto"/>
        <w:tabs>
          <w:tab w:leader="none" w:pos="2477"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Equity Awards</w:t>
      </w:r>
      <w:r>
        <w:rPr>
          <w:rFonts w:ascii="Arial" w:cs="Arial" w:eastAsia="Arial" w:hAnsi="Arial"/>
          <w:sz w:val="20"/>
          <w:szCs w:val="20"/>
          <w:color w:val="auto"/>
        </w:rPr>
        <w:t>. Each outstanding and unvested equity award (excluding any such awards that vest in whole or in part based on the attainment of performance-vesting conditions), including, without limitation, each restricted stock, stock option, restricted stock unit and stock appreciation right, held by Executive shall automatically become vested and, if applicable, exercisable and any forfeiture restrictions or rights of repurchase thereon shall immediately lapse (excluding any such awards that vest in whole or in part based on the attainment of performance-vesting conditions, which shall be governed by the terms of the applicable award agreement), as of immediately prior to the Termination Date.</w:t>
      </w:r>
    </w:p>
    <w:p>
      <w:pPr>
        <w:spacing w:after="0" w:line="172" w:lineRule="exact"/>
        <w:rPr>
          <w:rFonts w:ascii="Arial" w:cs="Arial" w:eastAsia="Arial" w:hAnsi="Arial"/>
          <w:sz w:val="20"/>
          <w:szCs w:val="20"/>
          <w:color w:val="auto"/>
        </w:rPr>
      </w:pPr>
    </w:p>
    <w:p>
      <w:pPr>
        <w:jc w:val="both"/>
        <w:ind w:firstLine="832"/>
        <w:spacing w:after="0" w:line="238" w:lineRule="auto"/>
        <w:tabs>
          <w:tab w:leader="none" w:pos="1574"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Certain Reductions</w:t>
      </w:r>
      <w:r>
        <w:rPr>
          <w:rFonts w:ascii="Arial" w:cs="Arial" w:eastAsia="Arial" w:hAnsi="Arial"/>
          <w:sz w:val="20"/>
          <w:szCs w:val="20"/>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143510</wp:posOffset>
            </wp:positionV>
            <wp:extent cx="718502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0" w:name="page151"/>
    <w:bookmarkEnd w:id="150"/>
    <w:p>
      <w:pPr>
        <w:jc w:val="both"/>
        <w:spacing w:after="0" w:line="236" w:lineRule="auto"/>
        <w:rPr>
          <w:sz w:val="20"/>
          <w:szCs w:val="20"/>
          <w:color w:val="auto"/>
        </w:rPr>
      </w:pPr>
      <w:r>
        <w:rPr>
          <w:rFonts w:ascii="Arial" w:cs="Arial" w:eastAsia="Arial" w:hAnsi="Arial"/>
          <w:sz w:val="20"/>
          <w:szCs w:val="20"/>
          <w:color w:val="auto"/>
        </w:rPr>
        <w:t>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spacing w:after="0" w:line="173" w:lineRule="exact"/>
        <w:rPr>
          <w:sz w:val="20"/>
          <w:szCs w:val="20"/>
          <w:color w:val="auto"/>
        </w:rPr>
      </w:pPr>
    </w:p>
    <w:p>
      <w:pPr>
        <w:jc w:val="both"/>
        <w:ind w:firstLine="832"/>
        <w:spacing w:after="0" w:line="242" w:lineRule="auto"/>
        <w:tabs>
          <w:tab w:leader="none" w:pos="15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167" w:lineRule="exact"/>
        <w:rPr>
          <w:rFonts w:ascii="Arial" w:cs="Arial" w:eastAsia="Arial" w:hAnsi="Arial"/>
          <w:sz w:val="20"/>
          <w:szCs w:val="20"/>
          <w:color w:val="auto"/>
        </w:rPr>
      </w:pPr>
    </w:p>
    <w:p>
      <w:pPr>
        <w:jc w:val="both"/>
        <w:ind w:firstLine="832"/>
        <w:spacing w:after="0" w:line="238" w:lineRule="auto"/>
        <w:tabs>
          <w:tab w:leader="none" w:pos="157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Other Terminations</w:t>
      </w:r>
      <w:r>
        <w:rPr>
          <w:rFonts w:ascii="Arial" w:cs="Arial" w:eastAsia="Arial" w:hAnsi="Arial"/>
          <w:sz w:val="20"/>
          <w:szCs w:val="20"/>
          <w:color w:val="auto"/>
        </w:rPr>
        <w:t>. If Executive’s employment with the Company terminates for any reason other than due to a Covered Termination, then, during a Change in Control Period,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spacing w:after="0" w:line="173" w:lineRule="exact"/>
        <w:rPr>
          <w:rFonts w:ascii="Arial" w:cs="Arial" w:eastAsia="Arial" w:hAnsi="Arial"/>
          <w:sz w:val="20"/>
          <w:szCs w:val="20"/>
          <w:color w:val="auto"/>
        </w:rPr>
      </w:pPr>
    </w:p>
    <w:p>
      <w:pPr>
        <w:jc w:val="both"/>
        <w:ind w:firstLine="832"/>
        <w:spacing w:after="0" w:line="246" w:lineRule="auto"/>
        <w:tabs>
          <w:tab w:leader="none" w:pos="157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Notwithstanding anything in this Agreement to the contrary, if any payment or distribution Executive would receive pursuant to this Agreement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xml:space="preserve">”),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Company will select an adviser with experience in performing calculations regarding the applicability of Section 280G of the Code and the Excise Tax, </w:t>
      </w:r>
      <w:r>
        <w:rPr>
          <w:rFonts w:ascii="Arial" w:cs="Arial" w:eastAsia="Arial" w:hAnsi="Arial"/>
          <w:sz w:val="19"/>
          <w:szCs w:val="19"/>
          <w:i w:val="1"/>
          <w:iCs w:val="1"/>
          <w:color w:val="auto"/>
        </w:rPr>
        <w:t>provided</w:t>
      </w:r>
      <w:r>
        <w:rPr>
          <w:rFonts w:ascii="Arial" w:cs="Arial" w:eastAsia="Arial" w:hAnsi="Arial"/>
          <w:sz w:val="19"/>
          <w:szCs w:val="19"/>
          <w:color w:val="auto"/>
        </w:rPr>
        <w:t>, that the adviser’s determination shall be made based upon “substantial authority” within the meaning of Section 6662 of the Code to perform the foregoing calculations. The Company shall bear all expenses with respect to the determinations by such adviser required to be made hereunder. The adviser shall provide its calculations to the Company and Executive within fifteen (15) calendar days after the date on which Executive’s right to a Payment is triggered (if requested at that time by the Company or Executive) or such other time as requested by the Company. Any good faith determinations of the adviser made hereunder shall be final, binding and conclusive upon the Company and Executive. Any reduction in payments or benefits pursuant to this Section 7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67" w:lineRule="exact"/>
        <w:rPr>
          <w:rFonts w:ascii="Arial" w:cs="Arial" w:eastAsia="Arial" w:hAnsi="Arial"/>
          <w:sz w:val="19"/>
          <w:szCs w:val="19"/>
          <w:color w:val="auto"/>
        </w:rPr>
      </w:pPr>
    </w:p>
    <w:p>
      <w:pPr>
        <w:ind w:left="1580" w:hanging="748"/>
        <w:spacing w:after="0"/>
        <w:tabs>
          <w:tab w:leader="none" w:pos="158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The following terms used in this Agreement shall have the following meanings: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1" w:name="page152"/>
    <w:bookmarkEnd w:id="151"/>
    <w:p>
      <w:pPr>
        <w:jc w:val="both"/>
        <w:ind w:firstLine="1665"/>
        <w:spacing w:after="0" w:line="267" w:lineRule="auto"/>
        <w:tabs>
          <w:tab w:leader="none" w:pos="24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(i) Executive’s willful failure substantially to perform Executive’s duties and responsibilities to the Company or deliberate violation of a Company policy; (ii) Executive’s commission of any act of fraud, embezzlement, dishonesty or any other willful misconduct that has caused or is reasonably expected to result in material injury to the Company; (iii) unauthorized use or disclosure by Executive of any proprietary information or trade secrets of the Company or any other party to whom Executive owes an obligation of nondisclosure as a result of Executive’s relationship with the Company; or (iv) Executive’s willful and material breach of any of Executive’s obligations under this Agreement or any other written agreement or covenant with the Company.</w:t>
      </w:r>
    </w:p>
    <w:p>
      <w:pPr>
        <w:spacing w:after="0" w:line="148" w:lineRule="exact"/>
        <w:rPr>
          <w:rFonts w:ascii="Arial" w:cs="Arial" w:eastAsia="Arial" w:hAnsi="Arial"/>
          <w:sz w:val="18"/>
          <w:szCs w:val="18"/>
          <w:color w:val="auto"/>
        </w:rPr>
      </w:pPr>
    </w:p>
    <w:p>
      <w:pPr>
        <w:jc w:val="both"/>
        <w:ind w:firstLine="1665"/>
        <w:spacing w:after="0" w:line="235" w:lineRule="auto"/>
        <w:tabs>
          <w:tab w:leader="none" w:pos="2489"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has the meaning ascribed to such term under the Company’s 2020 Incentive Award Plan;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transaction must also constitute a “change in control event” within the meaning of Treasury Regulation Section 1.409A-3(i)(5);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 Change in Control for the purpose of this Agreement shall not be deemed to have occurred if a sale of Common Stock results in EagleTree beneficially owning and controlling, directly or indirectly, less than 50% of the Common Stock outstanding on a fully diluted basis (for the avoidance of doubt, this proviso shall not apply to a transaction where substantially all of the Common Stock held by EagleTree and other Common Stock holders are sold pursuant to a definitive agreement of merger or a similar instrument).</w:t>
      </w:r>
    </w:p>
    <w:p>
      <w:pPr>
        <w:spacing w:after="0" w:line="175" w:lineRule="exact"/>
        <w:rPr>
          <w:rFonts w:ascii="Arial" w:cs="Arial" w:eastAsia="Arial" w:hAnsi="Arial"/>
          <w:sz w:val="20"/>
          <w:szCs w:val="20"/>
          <w:color w:val="auto"/>
        </w:rPr>
      </w:pPr>
    </w:p>
    <w:p>
      <w:pPr>
        <w:ind w:firstLine="1665"/>
        <w:spacing w:after="0" w:line="252" w:lineRule="auto"/>
        <w:tabs>
          <w:tab w:leader="none" w:pos="2477"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of time commencing with the consummation of a Change in Control and ending on the twelve (12) month anniversary of such Change in Control.</w:t>
      </w:r>
    </w:p>
    <w:p>
      <w:pPr>
        <w:spacing w:after="0" w:line="158" w:lineRule="exact"/>
        <w:rPr>
          <w:rFonts w:ascii="Arial" w:cs="Arial" w:eastAsia="Arial" w:hAnsi="Arial"/>
          <w:sz w:val="20"/>
          <w:szCs w:val="20"/>
          <w:color w:val="auto"/>
        </w:rPr>
      </w:pPr>
    </w:p>
    <w:p>
      <w:pPr>
        <w:ind w:left="2480" w:hanging="815"/>
        <w:spacing w:after="0"/>
        <w:tabs>
          <w:tab w:leader="none" w:pos="24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u w:val="single" w:color="auto"/>
          <w:color w:val="auto"/>
        </w:rPr>
        <w:t>” means the Company’s common stock, par value $0.0001.</w:t>
      </w:r>
    </w:p>
    <w:p>
      <w:pPr>
        <w:spacing w:after="0" w:line="189" w:lineRule="exact"/>
        <w:rPr>
          <w:rFonts w:ascii="Arial" w:cs="Arial" w:eastAsia="Arial" w:hAnsi="Arial"/>
          <w:sz w:val="20"/>
          <w:szCs w:val="20"/>
          <w:color w:val="auto"/>
        </w:rPr>
      </w:pPr>
    </w:p>
    <w:p>
      <w:pPr>
        <w:ind w:firstLine="1665"/>
        <w:spacing w:after="0" w:line="278" w:lineRule="auto"/>
        <w:tabs>
          <w:tab w:leader="none" w:pos="2477"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the termination of Executive’s employment by the Company other than for Cause or by Executive for Good Reason, in each case that, to the extent necessary, constitutes a Separation from Service.</w:t>
      </w:r>
    </w:p>
    <w:p>
      <w:pPr>
        <w:spacing w:after="0" w:line="135" w:lineRule="exact"/>
        <w:rPr>
          <w:rFonts w:ascii="Arial" w:cs="Arial" w:eastAsia="Arial" w:hAnsi="Arial"/>
          <w:sz w:val="19"/>
          <w:szCs w:val="19"/>
          <w:color w:val="auto"/>
        </w:rPr>
      </w:pPr>
    </w:p>
    <w:p>
      <w:pPr>
        <w:ind w:left="2460" w:hanging="795"/>
        <w:spacing w:after="0"/>
        <w:tabs>
          <w:tab w:leader="none" w:pos="24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EagleTree</w:t>
      </w:r>
      <w:r>
        <w:rPr>
          <w:rFonts w:ascii="Arial" w:cs="Arial" w:eastAsia="Arial" w:hAnsi="Arial"/>
          <w:sz w:val="20"/>
          <w:szCs w:val="20"/>
          <w:color w:val="auto"/>
        </w:rPr>
        <w:t>” means Corsair Group (Cayman) LP.</w:t>
      </w:r>
    </w:p>
    <w:p>
      <w:pPr>
        <w:spacing w:after="0" w:line="189" w:lineRule="exact"/>
        <w:rPr>
          <w:rFonts w:ascii="Arial" w:cs="Arial" w:eastAsia="Arial" w:hAnsi="Arial"/>
          <w:sz w:val="20"/>
          <w:szCs w:val="20"/>
          <w:color w:val="auto"/>
        </w:rPr>
      </w:pPr>
    </w:p>
    <w:p>
      <w:pPr>
        <w:ind w:left="2480" w:hanging="815"/>
        <w:spacing w:after="0"/>
        <w:tabs>
          <w:tab w:leader="none" w:pos="2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occurrence of any of the following conditions without Executive’s express written</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consent:</w:t>
      </w:r>
    </w:p>
    <w:p>
      <w:pPr>
        <w:spacing w:after="0" w:line="173" w:lineRule="exact"/>
        <w:rPr>
          <w:rFonts w:ascii="Arial" w:cs="Arial" w:eastAsia="Arial" w:hAnsi="Arial"/>
          <w:sz w:val="18"/>
          <w:szCs w:val="18"/>
          <w:color w:val="auto"/>
        </w:rPr>
      </w:pPr>
    </w:p>
    <w:p>
      <w:pPr>
        <w:jc w:val="both"/>
        <w:ind w:firstLine="2499"/>
        <w:spacing w:after="0" w:line="242" w:lineRule="auto"/>
        <w:tabs>
          <w:tab w:leader="none" w:pos="3278" w:val="left"/>
        </w:tabs>
        <w:numPr>
          <w:ilvl w:val="1"/>
          <w:numId w:val="98"/>
        </w:numPr>
        <w:rPr>
          <w:rFonts w:ascii="Arial" w:cs="Arial" w:eastAsia="Arial" w:hAnsi="Arial"/>
          <w:sz w:val="20"/>
          <w:szCs w:val="20"/>
          <w:color w:val="auto"/>
        </w:rPr>
      </w:pPr>
      <w:r>
        <w:rPr>
          <w:rFonts w:ascii="Arial" w:cs="Arial" w:eastAsia="Arial" w:hAnsi="Arial"/>
          <w:sz w:val="20"/>
          <w:szCs w:val="20"/>
          <w:color w:val="auto"/>
        </w:rPr>
        <w:t>a material reduction (defined as greater than a 10% reduction) in Executive’s base salary or target bonus, but excluding reductions in connection with an across-the-board reduction of all similarly situated employees’ base salaries and/or bonuses by a percentage at least equal to the percentage by which Executive’s base salary is reduced;</w:t>
      </w:r>
    </w:p>
    <w:p>
      <w:pPr>
        <w:spacing w:after="0" w:line="167" w:lineRule="exact"/>
        <w:rPr>
          <w:rFonts w:ascii="Arial" w:cs="Arial" w:eastAsia="Arial" w:hAnsi="Arial"/>
          <w:sz w:val="20"/>
          <w:szCs w:val="20"/>
          <w:color w:val="auto"/>
        </w:rPr>
      </w:pPr>
    </w:p>
    <w:p>
      <w:pPr>
        <w:ind w:left="3340" w:hanging="841"/>
        <w:spacing w:after="0"/>
        <w:tabs>
          <w:tab w:leader="none" w:pos="3340" w:val="left"/>
        </w:tabs>
        <w:numPr>
          <w:ilvl w:val="1"/>
          <w:numId w:val="98"/>
        </w:numPr>
        <w:rPr>
          <w:rFonts w:ascii="Arial" w:cs="Arial" w:eastAsia="Arial" w:hAnsi="Arial"/>
          <w:sz w:val="20"/>
          <w:szCs w:val="20"/>
          <w:color w:val="auto"/>
        </w:rPr>
      </w:pPr>
      <w:r>
        <w:rPr>
          <w:rFonts w:ascii="Arial" w:cs="Arial" w:eastAsia="Arial" w:hAnsi="Arial"/>
          <w:sz w:val="20"/>
          <w:szCs w:val="20"/>
          <w:color w:val="auto"/>
        </w:rPr>
        <w:t>a material diminution in Executive’s authority, duties or responsibilities; or</w:t>
      </w:r>
    </w:p>
    <w:p>
      <w:pPr>
        <w:spacing w:after="0" w:line="189" w:lineRule="exact"/>
        <w:rPr>
          <w:rFonts w:ascii="Arial" w:cs="Arial" w:eastAsia="Arial" w:hAnsi="Arial"/>
          <w:sz w:val="20"/>
          <w:szCs w:val="20"/>
          <w:color w:val="auto"/>
        </w:rPr>
      </w:pPr>
    </w:p>
    <w:p>
      <w:pPr>
        <w:jc w:val="both"/>
        <w:ind w:firstLine="2499"/>
        <w:spacing w:after="0" w:line="266" w:lineRule="auto"/>
        <w:tabs>
          <w:tab w:leader="none" w:pos="338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relocation of Executive’s principal place of employment of more than thirty-five (35) miles from Executive’s principal place of employment immediately prior to such change, except for required travel on the Company’s business to an</w:t>
      </w:r>
    </w:p>
    <w:p>
      <w:pPr>
        <w:spacing w:after="0" w:line="237" w:lineRule="auto"/>
        <w:rPr>
          <w:sz w:val="20"/>
          <w:szCs w:val="20"/>
          <w:color w:val="auto"/>
        </w:rPr>
      </w:pPr>
      <w:r>
        <w:rPr>
          <w:rFonts w:ascii="Arial" w:cs="Arial" w:eastAsia="Arial" w:hAnsi="Arial"/>
          <w:sz w:val="20"/>
          <w:szCs w:val="20"/>
          <w:color w:val="auto"/>
        </w:rPr>
        <w:t>extent substantially consistent with Executive’s business travel obligations immediately prior to such change.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143510</wp:posOffset>
            </wp:positionV>
            <wp:extent cx="718502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2" w:name="page153"/>
    <w:bookmarkEnd w:id="152"/>
    <w:p>
      <w:pPr>
        <w:jc w:val="both"/>
        <w:ind w:firstLine="834"/>
        <w:spacing w:after="0" w:line="247" w:lineRule="auto"/>
        <w:rPr>
          <w:sz w:val="20"/>
          <w:szCs w:val="20"/>
          <w:color w:val="auto"/>
        </w:rPr>
      </w:pPr>
      <w:r>
        <w:rPr>
          <w:rFonts w:ascii="Arial" w:cs="Arial" w:eastAsia="Arial" w:hAnsi="Arial"/>
          <w:sz w:val="19"/>
          <w:szCs w:val="19"/>
          <w:color w:val="auto"/>
        </w:rPr>
        <w:t>For a termination to qualify as a termination for Good Reason, Executive must notify the Company in writing of termination for Good Reason, specifying the event constituting Good Reason, within 90 days after Executive first becomes aware of the event that Executive believes constitutes Good Reason. Failure for any reason to give written notice of termination of employment for Good Reason in accordance with the foregoing will be deemed a waiver of the right to terminate Executive’s employment for that Good Reason event. The Company will have a period of 30 days after receipt of Executive’s notice in which to cure the Good Reason. If the Good Reason event is cured within this period, Executive will not be entitled to terminate Executive’s employment for Good Reason. If the Company waives its right to cure or does not, within the 30-day period, cure the Good Reason event, Executive may terminate Executive’s employment for Good Reason within 60 days following the earlier of the date on which the Company waives its right to cure or the end of the cure period. If Executive does not terminate Executive’s employment within such 60 day period, Executive will waive Executive’s right to terminate Executive’s employment for that Good Reason event.</w:t>
      </w:r>
    </w:p>
    <w:p>
      <w:pPr>
        <w:spacing w:after="0" w:line="169" w:lineRule="exact"/>
        <w:rPr>
          <w:sz w:val="20"/>
          <w:szCs w:val="20"/>
          <w:color w:val="auto"/>
        </w:rPr>
      </w:pPr>
    </w:p>
    <w:p>
      <w:pPr>
        <w:ind w:firstLine="1665"/>
        <w:spacing w:after="0" w:line="278" w:lineRule="auto"/>
        <w:tabs>
          <w:tab w:leader="none" w:pos="2489" w:val="left"/>
        </w:tabs>
        <w:numPr>
          <w:ilvl w:val="1"/>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means a “separation from service” with the Company within the meaning of Section 409A of the Code and the Department of Treasury regulations and other guidance promulgated thereunder.</w:t>
      </w:r>
    </w:p>
    <w:p>
      <w:pPr>
        <w:spacing w:after="0" w:line="135" w:lineRule="exact"/>
        <w:rPr>
          <w:rFonts w:ascii="Arial" w:cs="Arial" w:eastAsia="Arial" w:hAnsi="Arial"/>
          <w:sz w:val="19"/>
          <w:szCs w:val="19"/>
          <w:color w:val="auto"/>
        </w:rPr>
      </w:pPr>
    </w:p>
    <w:p>
      <w:pPr>
        <w:ind w:left="2440" w:hanging="775"/>
        <w:spacing w:after="0"/>
        <w:tabs>
          <w:tab w:leader="none" w:pos="2440" w:val="left"/>
        </w:tabs>
        <w:numPr>
          <w:ilvl w:val="1"/>
          <w:numId w:val="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Executive experiences a Covered Termination.</w:t>
      </w:r>
    </w:p>
    <w:p>
      <w:pPr>
        <w:spacing w:after="0" w:line="189" w:lineRule="exact"/>
        <w:rPr>
          <w:rFonts w:ascii="Arial" w:cs="Arial" w:eastAsia="Arial" w:hAnsi="Arial"/>
          <w:sz w:val="20"/>
          <w:szCs w:val="20"/>
          <w:color w:val="auto"/>
        </w:rPr>
      </w:pPr>
    </w:p>
    <w:p>
      <w:pPr>
        <w:ind w:left="1660" w:hanging="835"/>
        <w:spacing w:after="0"/>
        <w:tabs>
          <w:tab w:leader="none" w:pos="166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jc w:val="both"/>
        <w:ind w:firstLine="1665"/>
        <w:spacing w:after="0" w:line="267" w:lineRule="auto"/>
        <w:tabs>
          <w:tab w:leader="none" w:pos="2477"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18"/>
          <w:szCs w:val="18"/>
          <w:b w:val="1"/>
          <w:bCs w:val="1"/>
          <w:color w:val="auto"/>
        </w:rPr>
        <w:t>Company</w:t>
      </w:r>
      <w:r>
        <w:rPr>
          <w:rFonts w:ascii="Arial" w:cs="Arial" w:eastAsia="Arial" w:hAnsi="Arial"/>
          <w:sz w:val="18"/>
          <w:szCs w:val="18"/>
          <w:color w:val="auto"/>
        </w:rPr>
        <w:t>” shall include any successor to the Company’s business or assets which executes and delivers the assumption agreement described in this Section 9(a) or which becomes bound by the terms of this Agreement by operation of law.</w:t>
      </w:r>
    </w:p>
    <w:p>
      <w:pPr>
        <w:spacing w:after="0" w:line="148" w:lineRule="exact"/>
        <w:rPr>
          <w:rFonts w:ascii="Arial" w:cs="Arial" w:eastAsia="Arial" w:hAnsi="Arial"/>
          <w:sz w:val="18"/>
          <w:szCs w:val="18"/>
          <w:color w:val="auto"/>
        </w:rPr>
      </w:pPr>
    </w:p>
    <w:p>
      <w:pPr>
        <w:jc w:val="both"/>
        <w:ind w:firstLine="1665"/>
        <w:spacing w:after="0" w:line="242" w:lineRule="auto"/>
        <w:tabs>
          <w:tab w:leader="none" w:pos="2489"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Executive’s Successors</w:t>
      </w:r>
      <w:r>
        <w:rPr>
          <w:rFonts w:ascii="Arial" w:cs="Arial" w:eastAsia="Arial" w:hAnsi="Arial"/>
          <w:sz w:val="20"/>
          <w:szCs w:val="20"/>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7" w:lineRule="exact"/>
        <w:rPr>
          <w:rFonts w:ascii="Arial" w:cs="Arial" w:eastAsia="Arial" w:hAnsi="Arial"/>
          <w:sz w:val="20"/>
          <w:szCs w:val="20"/>
          <w:color w:val="auto"/>
        </w:rPr>
      </w:pPr>
    </w:p>
    <w:p>
      <w:pPr>
        <w:jc w:val="both"/>
        <w:ind w:firstLine="832"/>
        <w:spacing w:after="0" w:line="261" w:lineRule="auto"/>
        <w:tabs>
          <w:tab w:leader="none" w:pos="1673"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spacing w:after="0" w:line="150" w:lineRule="exact"/>
        <w:rPr>
          <w:rFonts w:ascii="Arial" w:cs="Arial" w:eastAsia="Arial" w:hAnsi="Arial"/>
          <w:sz w:val="19"/>
          <w:szCs w:val="19"/>
          <w:color w:val="auto"/>
        </w:rPr>
      </w:pPr>
    </w:p>
    <w:p>
      <w:pPr>
        <w:ind w:left="1660" w:hanging="828"/>
        <w:spacing w:after="0"/>
        <w:tabs>
          <w:tab w:leader="none" w:pos="166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Confidentiality; Non-Disparagement.</w:t>
      </w:r>
    </w:p>
    <w:p>
      <w:pPr>
        <w:spacing w:after="0" w:line="189" w:lineRule="exact"/>
        <w:rPr>
          <w:rFonts w:ascii="Arial" w:cs="Arial" w:eastAsia="Arial" w:hAnsi="Arial"/>
          <w:sz w:val="20"/>
          <w:szCs w:val="20"/>
          <w:color w:val="auto"/>
        </w:rPr>
      </w:pPr>
    </w:p>
    <w:p>
      <w:pPr>
        <w:jc w:val="both"/>
        <w:ind w:firstLine="1665"/>
        <w:spacing w:after="0" w:line="252" w:lineRule="auto"/>
        <w:tabs>
          <w:tab w:leader="none" w:pos="2477"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Executive hereby expressly confirms Executive’s continuing obligations to the Company pursuant to Executive’s [Proprietary Information and Inventions Agreement] with the Company (the “</w:t>
      </w:r>
      <w:r>
        <w:rPr>
          <w:rFonts w:ascii="Arial" w:cs="Arial" w:eastAsia="Arial" w:hAnsi="Arial"/>
          <w:sz w:val="19"/>
          <w:szCs w:val="19"/>
          <w:b w:val="1"/>
          <w:bCs w:val="1"/>
          <w:i w:val="1"/>
          <w:iCs w:val="1"/>
          <w:color w:val="auto"/>
        </w:rPr>
        <w:t>Confidential Information</w:t>
      </w:r>
    </w:p>
    <w:p>
      <w:pPr>
        <w:spacing w:after="0" w:line="237" w:lineRule="auto"/>
        <w:rPr>
          <w:sz w:val="20"/>
          <w:szCs w:val="20"/>
          <w:color w:val="auto"/>
        </w:rPr>
      </w:pPr>
      <w:r>
        <w:rPr>
          <w:rFonts w:ascii="Arial" w:cs="Arial" w:eastAsia="Arial" w:hAnsi="Arial"/>
          <w:sz w:val="20"/>
          <w:szCs w:val="20"/>
          <w:b w:val="1"/>
          <w:bCs w:val="1"/>
          <w:i w:val="1"/>
          <w:iCs w:val="1"/>
          <w:color w:val="auto"/>
        </w:rPr>
        <w:t>Agreement</w:t>
      </w:r>
      <w:r>
        <w:rPr>
          <w:rFonts w:ascii="Arial" w:cs="Arial" w:eastAsia="Arial" w:hAnsi="Arial"/>
          <w:sz w:val="20"/>
          <w:szCs w:val="20"/>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143510</wp:posOffset>
            </wp:positionV>
            <wp:extent cx="718502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3" w:name="page154"/>
    <w:bookmarkEnd w:id="153"/>
    <w:p>
      <w:pPr>
        <w:jc w:val="both"/>
        <w:ind w:firstLine="1665"/>
        <w:spacing w:after="0" w:line="261" w:lineRule="auto"/>
        <w:tabs>
          <w:tab w:leader="none" w:pos="2489"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Executive shall not disparage or defame the Company, its affiliates and their respective affiliates, directors, officers, agents, partners, stockholders or employees, either publicly or privately. Nothing in this Section 11(b) shall apply to any evidence or testimony required by any court, arbitrator or government agency.</w:t>
      </w:r>
    </w:p>
    <w:p>
      <w:pPr>
        <w:spacing w:after="0" w:line="150" w:lineRule="exact"/>
        <w:rPr>
          <w:rFonts w:ascii="Arial" w:cs="Arial" w:eastAsia="Arial" w:hAnsi="Arial"/>
          <w:sz w:val="19"/>
          <w:szCs w:val="19"/>
          <w:color w:val="auto"/>
        </w:rPr>
      </w:pPr>
    </w:p>
    <w:p>
      <w:pPr>
        <w:jc w:val="both"/>
        <w:ind w:firstLine="1665"/>
        <w:spacing w:after="0" w:line="261" w:lineRule="auto"/>
        <w:tabs>
          <w:tab w:leader="none" w:pos="247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Whistleblower Protections and Trade Secrets</w:t>
      </w:r>
      <w:r>
        <w:rPr>
          <w:rFonts w:ascii="Arial" w:cs="Arial" w:eastAsia="Arial" w:hAnsi="Arial"/>
          <w:sz w:val="18"/>
          <w:szCs w:val="18"/>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60" w:lineRule="exact"/>
        <w:rPr>
          <w:rFonts w:ascii="Arial" w:cs="Arial" w:eastAsia="Arial" w:hAnsi="Arial"/>
          <w:sz w:val="18"/>
          <w:szCs w:val="18"/>
          <w:color w:val="auto"/>
        </w:rPr>
      </w:pPr>
    </w:p>
    <w:p>
      <w:pPr>
        <w:jc w:val="both"/>
        <w:ind w:firstLine="832"/>
        <w:spacing w:after="0" w:line="258" w:lineRule="auto"/>
        <w:tabs>
          <w:tab w:leader="none" w:pos="167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Unless otherwise prohibited by law or specified below, all disputes, claims and causes of action, in law or equity, arising from or relating to this Agreement or to Executive’s employment or the termination thereof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shall be resolved solely and exclusively by final and binding arbitration held in Alameda County, California through JAMS under its Employment Arbitration Rules and Procedures, which are available at www.jamsadr.com/rules-employment-arbitration. The arbitrator shall: (a) provide adequate discovery for the resolution of the dispute; and (b) issue a written arbitration decision, to include the arbitrator’s essential findings and conclusions and a statement of the award. Except to the extent of filing fees Executive would incur were the matter to be litigated in court, the Company shall be responsible for the JAMS administrative fees and the arbitrator’s fees and costs. The arbitrator shall award the prevailing party attorneys’ fees and expert fees, if any, only as provided for under applicable California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subsection shall be construed as precluding the bringing of an action for injunctive relief or specific performance as provided in this Agreement or the Confidential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Executive and the Company understand that by agreeing to arbitrate any claim pursuant to this Section 12, they will not have the right to have any claim decided by a jury or a court, but shall instead have any claim decided through</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arbitration. Executive and the Company waive any constitutional or other right to bring claims</w:t>
      </w: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143510</wp:posOffset>
            </wp:positionV>
            <wp:extent cx="718502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4" w:name="page155"/>
    <w:bookmarkEnd w:id="154"/>
    <w:p>
      <w:pPr>
        <w:jc w:val="both"/>
        <w:ind w:left="1"/>
        <w:spacing w:after="0" w:line="238" w:lineRule="auto"/>
        <w:rPr>
          <w:sz w:val="20"/>
          <w:szCs w:val="20"/>
          <w:color w:val="auto"/>
        </w:rPr>
      </w:pPr>
      <w:r>
        <w:rPr>
          <w:rFonts w:ascii="Arial" w:cs="Arial" w:eastAsia="Arial" w:hAnsi="Arial"/>
          <w:sz w:val="20"/>
          <w:szCs w:val="20"/>
          <w:color w:val="auto"/>
        </w:rPr>
        <w:t>covered by this Agreement other than in their individual capacities. Except as may be prohibited by applicable law, the foregoing waiver includes the ability to assert claims as a plaintiff or class member in any purported class or representative proceeding. Notwithstanding the foregoing, Executive and the Company each have the right to resolve any issue or dispute over intellectual property rights by court action instead of arbitration.</w:t>
      </w:r>
    </w:p>
    <w:p>
      <w:pPr>
        <w:spacing w:after="0" w:line="173" w:lineRule="exact"/>
        <w:rPr>
          <w:sz w:val="20"/>
          <w:szCs w:val="20"/>
          <w:color w:val="auto"/>
        </w:rPr>
      </w:pPr>
    </w:p>
    <w:p>
      <w:pPr>
        <w:ind w:left="1681" w:hanging="848"/>
        <w:spacing w:after="0"/>
        <w:tabs>
          <w:tab w:leader="none" w:pos="1681"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ind w:left="2481" w:hanging="815"/>
        <w:spacing w:after="0"/>
        <w:tabs>
          <w:tab w:leader="none" w:pos="2481" w:val="left"/>
        </w:tabs>
        <w:numPr>
          <w:ilvl w:val="2"/>
          <w:numId w:val="103"/>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jc w:val="both"/>
        <w:ind w:left="1" w:firstLine="2499"/>
        <w:spacing w:after="0" w:line="242" w:lineRule="auto"/>
        <w:tabs>
          <w:tab w:leader="none" w:pos="3280" w:val="left"/>
        </w:tabs>
        <w:numPr>
          <w:ilvl w:val="4"/>
          <w:numId w:val="103"/>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Notwithstanding any provision to the contrary in this Agreement, no amount constituting deferred compensation subject to Section 409A of the Code shall be payable pursuant to Section 3 above unless Executive’s termination of employment constitutes a Separation from Service.</w:t>
      </w:r>
    </w:p>
    <w:p>
      <w:pPr>
        <w:spacing w:after="0" w:line="167" w:lineRule="exact"/>
        <w:rPr>
          <w:rFonts w:ascii="Arial" w:cs="Arial" w:eastAsia="Arial" w:hAnsi="Arial"/>
          <w:sz w:val="20"/>
          <w:szCs w:val="20"/>
          <w:color w:val="auto"/>
        </w:rPr>
      </w:pPr>
    </w:p>
    <w:p>
      <w:pPr>
        <w:jc w:val="both"/>
        <w:ind w:left="1" w:firstLine="2499"/>
        <w:spacing w:after="0" w:line="261" w:lineRule="auto"/>
        <w:tabs>
          <w:tab w:leader="none" w:pos="3335" w:val="left"/>
        </w:tabs>
        <w:numPr>
          <w:ilvl w:val="4"/>
          <w:numId w:val="103"/>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w:t>
      </w:r>
    </w:p>
    <w:p>
      <w:pPr>
        <w:jc w:val="both"/>
        <w:ind w:left="1" w:hanging="1"/>
        <w:spacing w:after="0" w:line="235" w:lineRule="auto"/>
        <w:tabs>
          <w:tab w:leader="none" w:pos="34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date of Executive’s death. Upon the first business day following the expiration of the applicable Code Section 409A(a)(2)(B)(i) period, all payments deferred pursuant to this Section 13(a)(ii) shall be paid in a lump sum to Executive, and any remaining payments due under this Agreement shall be paid as otherwise provided herein.</w:t>
      </w:r>
    </w:p>
    <w:p>
      <w:pPr>
        <w:spacing w:after="0" w:line="171" w:lineRule="exact"/>
        <w:rPr>
          <w:rFonts w:ascii="Arial" w:cs="Arial" w:eastAsia="Arial" w:hAnsi="Arial"/>
          <w:sz w:val="20"/>
          <w:szCs w:val="20"/>
          <w:color w:val="auto"/>
        </w:rPr>
      </w:pPr>
    </w:p>
    <w:p>
      <w:pPr>
        <w:jc w:val="both"/>
        <w:ind w:left="1" w:firstLine="2499"/>
        <w:spacing w:after="0" w:line="252" w:lineRule="auto"/>
        <w:tabs>
          <w:tab w:leader="none" w:pos="3389" w:val="left"/>
        </w:tabs>
        <w:numPr>
          <w:ilvl w:val="4"/>
          <w:numId w:val="104"/>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0" w:lineRule="exact"/>
        <w:rPr>
          <w:rFonts w:ascii="Arial" w:cs="Arial" w:eastAsia="Arial" w:hAnsi="Arial"/>
          <w:sz w:val="19"/>
          <w:szCs w:val="19"/>
          <w:color w:val="auto"/>
        </w:rPr>
      </w:pPr>
    </w:p>
    <w:p>
      <w:pPr>
        <w:jc w:val="both"/>
        <w:ind w:left="1" w:firstLine="2499"/>
        <w:spacing w:after="0" w:line="238" w:lineRule="auto"/>
        <w:tabs>
          <w:tab w:leader="none" w:pos="3378" w:val="left"/>
        </w:tabs>
        <w:numPr>
          <w:ilvl w:val="4"/>
          <w:numId w:val="104"/>
        </w:numPr>
        <w:rPr>
          <w:rFonts w:ascii="Arial" w:cs="Arial" w:eastAsia="Arial" w:hAnsi="Arial"/>
          <w:sz w:val="20"/>
          <w:szCs w:val="20"/>
          <w:color w:val="auto"/>
        </w:rPr>
      </w:pPr>
      <w:r>
        <w:rPr>
          <w:rFonts w:ascii="Arial" w:cs="Arial" w:eastAsia="Arial" w:hAnsi="Arial"/>
          <w:sz w:val="20"/>
          <w:szCs w:val="20"/>
          <w:u w:val="single" w:color="auto"/>
          <w:color w:val="auto"/>
        </w:rPr>
        <w:t>Installments</w:t>
      </w:r>
      <w:r>
        <w:rPr>
          <w:rFonts w:ascii="Arial" w:cs="Arial" w:eastAsia="Arial" w:hAnsi="Arial"/>
          <w:sz w:val="20"/>
          <w:szCs w:val="20"/>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73" w:lineRule="exact"/>
        <w:rPr>
          <w:rFonts w:ascii="Arial" w:cs="Arial" w:eastAsia="Arial" w:hAnsi="Arial"/>
          <w:sz w:val="20"/>
          <w:szCs w:val="20"/>
          <w:color w:val="auto"/>
        </w:rPr>
      </w:pPr>
    </w:p>
    <w:p>
      <w:pPr>
        <w:jc w:val="both"/>
        <w:ind w:left="1" w:firstLine="2395"/>
        <w:spacing w:after="0" w:line="236" w:lineRule="auto"/>
        <w:tabs>
          <w:tab w:leader="none" w:pos="3220" w:val="left"/>
        </w:tabs>
        <w:numPr>
          <w:ilvl w:val="3"/>
          <w:numId w:val="104"/>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business days following Executive’s Termination Date, and the Company’s failure to deliver a Release of Claims prior to the expiration of such ten business day period shall constitute a waiver of any requirement to execute a</w:t>
      </w: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502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515" w:right="339" w:bottom="1440" w:gutter="0" w:footer="0" w:header="0"/>
        </w:sectPr>
      </w:pPr>
    </w:p>
    <w:bookmarkStart w:id="155" w:name="page156"/>
    <w:bookmarkEnd w:id="155"/>
    <w:p>
      <w:pPr>
        <w:jc w:val="both"/>
        <w:spacing w:after="0" w:line="261" w:lineRule="auto"/>
        <w:rPr>
          <w:sz w:val="20"/>
          <w:szCs w:val="20"/>
          <w:color w:val="auto"/>
        </w:rPr>
      </w:pPr>
      <w:r>
        <w:rPr>
          <w:rFonts w:ascii="Arial" w:cs="Arial" w:eastAsia="Arial" w:hAnsi="Arial"/>
          <w:sz w:val="18"/>
          <w:szCs w:val="18"/>
          <w:color w:val="auto"/>
        </w:rPr>
        <w:t xml:space="preserve">Release of Claims, (B)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(C) in any case where Executive’s Termination Date and the Release Expiration Date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rFonts w:ascii="Arial" w:cs="Arial" w:eastAsia="Arial" w:hAnsi="Arial"/>
          <w:sz w:val="18"/>
          <w:szCs w:val="18"/>
          <w:b w:val="1"/>
          <w:bCs w:val="1"/>
          <w:i w:val="1"/>
          <w:iCs w:val="1"/>
          <w:color w:val="auto"/>
        </w:rPr>
        <w:t>“Release Expiration Date</w:t>
      </w:r>
      <w:r>
        <w:rPr>
          <w:rFonts w:ascii="Arial" w:cs="Arial" w:eastAsia="Arial" w:hAnsi="Arial"/>
          <w:sz w:val="18"/>
          <w:szCs w:val="18"/>
          <w:color w:val="auto"/>
        </w:rPr>
        <w:t>” shall mean (1) if Executive is under 40 years old as of the Termination Date, the date that is 14 days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upon which the Company timely delivers the Release of Claims to Executive, or such shorter time prescribed by the Company, and (2) if Executive is 40 years or older as of the Termination Date, the date that is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45 days following such delivery date. To the extent that any payments of nonqualified deferred compensation (within the meaning of Section 409A) due under this Agreement as a result of Executive’s termination of employment are delayed pursuant to this Section 13(a)(v), such amounts shall be paid in a lump sum on the first payroll date following the date that Executive executes and does not revoke the Release of Claims (and the applicable revocation period has expired) or, in the case of any payments subject to Section 13(a)(v)(C), on the first payroll date to occur in the subsequent taxable year, if later.</w:t>
      </w:r>
    </w:p>
    <w:p>
      <w:pPr>
        <w:spacing w:after="0" w:line="152" w:lineRule="exact"/>
        <w:rPr>
          <w:sz w:val="20"/>
          <w:szCs w:val="20"/>
          <w:color w:val="auto"/>
        </w:rPr>
      </w:pPr>
    </w:p>
    <w:p>
      <w:pPr>
        <w:ind w:firstLine="1665"/>
        <w:spacing w:after="0" w:line="278" w:lineRule="auto"/>
        <w:tabs>
          <w:tab w:leader="none" w:pos="2489"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which the Company is required to withhold.</w:t>
      </w:r>
    </w:p>
    <w:p>
      <w:pPr>
        <w:spacing w:after="0" w:line="135" w:lineRule="exact"/>
        <w:rPr>
          <w:rFonts w:ascii="Arial" w:cs="Arial" w:eastAsia="Arial" w:hAnsi="Arial"/>
          <w:sz w:val="19"/>
          <w:szCs w:val="19"/>
          <w:color w:val="auto"/>
        </w:rPr>
      </w:pPr>
    </w:p>
    <w:p>
      <w:pPr>
        <w:jc w:val="both"/>
        <w:ind w:firstLine="1665"/>
        <w:spacing w:after="0" w:line="255" w:lineRule="auto"/>
        <w:tabs>
          <w:tab w:leader="none" w:pos="2477"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57" w:lineRule="exact"/>
        <w:rPr>
          <w:rFonts w:ascii="Arial" w:cs="Arial" w:eastAsia="Arial" w:hAnsi="Arial"/>
          <w:sz w:val="19"/>
          <w:szCs w:val="19"/>
          <w:color w:val="auto"/>
        </w:rPr>
      </w:pPr>
    </w:p>
    <w:p>
      <w:pPr>
        <w:jc w:val="both"/>
        <w:ind w:firstLine="1665"/>
        <w:spacing w:after="0" w:line="274" w:lineRule="auto"/>
        <w:tabs>
          <w:tab w:leader="none" w:pos="248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Whole Agreement</w:t>
      </w:r>
      <w:r>
        <w:rPr>
          <w:rFonts w:ascii="Arial" w:cs="Arial" w:eastAsia="Arial" w:hAnsi="Arial"/>
          <w:sz w:val="18"/>
          <w:szCs w:val="18"/>
          <w:color w:val="auto"/>
        </w:rPr>
        <w:t>.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Board.</w:t>
      </w:r>
    </w:p>
    <w:p>
      <w:pPr>
        <w:spacing w:after="0" w:line="140" w:lineRule="exact"/>
        <w:rPr>
          <w:rFonts w:ascii="Arial" w:cs="Arial" w:eastAsia="Arial" w:hAnsi="Arial"/>
          <w:sz w:val="18"/>
          <w:szCs w:val="18"/>
          <w:color w:val="auto"/>
        </w:rPr>
      </w:pPr>
    </w:p>
    <w:p>
      <w:pPr>
        <w:ind w:firstLine="1665"/>
        <w:spacing w:after="0" w:line="252" w:lineRule="auto"/>
        <w:tabs>
          <w:tab w:leader="none" w:pos="2477"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All questions concerning the construction, validity and interpretation of this Agreement will be governed by the laws of the State of [California] without regard to its conflicts of law provisions.</w:t>
      </w:r>
    </w:p>
    <w:p>
      <w:pPr>
        <w:spacing w:after="0" w:line="158" w:lineRule="exact"/>
        <w:rPr>
          <w:rFonts w:ascii="Arial" w:cs="Arial" w:eastAsia="Arial" w:hAnsi="Arial"/>
          <w:sz w:val="20"/>
          <w:szCs w:val="20"/>
          <w:color w:val="auto"/>
        </w:rPr>
      </w:pPr>
    </w:p>
    <w:p>
      <w:pPr>
        <w:jc w:val="both"/>
        <w:ind w:firstLine="1665"/>
        <w:spacing w:after="0" w:line="266" w:lineRule="auto"/>
        <w:tabs>
          <w:tab w:leader="none" w:pos="245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or unenforceable in any respect under any</w:t>
      </w:r>
    </w:p>
    <w:p>
      <w:pPr>
        <w:spacing w:after="0" w:line="237" w:lineRule="auto"/>
        <w:rPr>
          <w:sz w:val="20"/>
          <w:szCs w:val="20"/>
          <w:color w:val="auto"/>
        </w:rPr>
      </w:pPr>
      <w:r>
        <w:rPr>
          <w:rFonts w:ascii="Arial" w:cs="Arial" w:eastAsia="Arial" w:hAnsi="Arial"/>
          <w:sz w:val="20"/>
          <w:szCs w:val="20"/>
          <w:color w:val="auto"/>
        </w:rPr>
        <w:t>applicable law or rule in any jurisdiction, such invalidity or unenforceability will not affect any other provision or any other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143510</wp:posOffset>
            </wp:positionV>
            <wp:extent cx="718502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6" w:name="page157"/>
    <w:bookmarkEnd w:id="156"/>
    <w:p>
      <w:pPr>
        <w:spacing w:after="0" w:line="252" w:lineRule="auto"/>
        <w:rPr>
          <w:sz w:val="20"/>
          <w:szCs w:val="20"/>
          <w:color w:val="auto"/>
        </w:rPr>
      </w:pPr>
      <w:r>
        <w:rPr>
          <w:rFonts w:ascii="Arial" w:cs="Arial" w:eastAsia="Arial" w:hAnsi="Arial"/>
          <w:sz w:val="20"/>
          <w:szCs w:val="20"/>
          <w:color w:val="auto"/>
        </w:rPr>
        <w:t>jurisdiction, but this Agreement will be reformed, construed and enforced in such jurisdiction as if such invalid or unenforceable provisions had never been contained herein.</w:t>
      </w:r>
    </w:p>
    <w:p>
      <w:pPr>
        <w:spacing w:after="0" w:line="159" w:lineRule="exact"/>
        <w:rPr>
          <w:sz w:val="20"/>
          <w:szCs w:val="20"/>
          <w:color w:val="auto"/>
        </w:rPr>
      </w:pPr>
    </w:p>
    <w:p>
      <w:pPr>
        <w:ind w:firstLine="1665"/>
        <w:spacing w:after="0" w:line="252" w:lineRule="auto"/>
        <w:tabs>
          <w:tab w:leader="none" w:pos="2489"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separate counterparts, any one of which need not contain signatures of more than one party, but all of which taken together will constitute one and the same Agreement.</w:t>
      </w:r>
    </w:p>
    <w:p>
      <w:pPr>
        <w:spacing w:after="0" w:line="158" w:lineRule="exact"/>
        <w:rPr>
          <w:rFonts w:ascii="Arial" w:cs="Arial" w:eastAsia="Arial" w:hAnsi="Arial"/>
          <w:sz w:val="20"/>
          <w:szCs w:val="20"/>
          <w:color w:val="auto"/>
        </w:rPr>
      </w:pPr>
    </w:p>
    <w:p>
      <w:pPr>
        <w:ind w:right="120" w:firstLine="1665"/>
        <w:spacing w:after="0" w:line="238" w:lineRule="auto"/>
        <w:tabs>
          <w:tab w:leader="none" w:pos="2489"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Executive Acknowledgement</w:t>
      </w:r>
      <w:r>
        <w:rPr>
          <w:rFonts w:ascii="Arial" w:cs="Arial" w:eastAsia="Arial" w:hAnsi="Arial"/>
          <w:sz w:val="20"/>
          <w:szCs w:val="20"/>
          <w:color w:val="auto"/>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spacing w:after="0" w:line="17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152400</wp:posOffset>
            </wp:positionV>
            <wp:extent cx="718502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The parties have executed this Agreement, in the case of the Company by its duly authorized officer, as of the dates set forth below.</w:t>
      </w:r>
    </w:p>
    <w:p>
      <w:pPr>
        <w:sectPr>
          <w:pgSz w:w="11900" w:h="16838" w:orient="portrait"/>
          <w:cols w:equalWidth="0" w:num="1">
            <w:col w:w="10380"/>
          </w:cols>
          <w:pgMar w:left="320" w:top="318" w:right="11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CORSAIR GAMING, INC.</w:t>
      </w:r>
    </w:p>
    <w:p>
      <w:pPr>
        <w:spacing w:after="0" w:line="22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____________________</w:t>
      </w:r>
    </w:p>
    <w:p>
      <w:pPr>
        <w:spacing w:after="0" w:line="23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___________________</w:t>
      </w:r>
    </w:p>
    <w:p>
      <w:pPr>
        <w:spacing w:after="0" w:line="21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Date:</w:t>
      </w:r>
      <w:r>
        <w:rPr>
          <w:rFonts w:ascii="Arial" w:cs="Arial" w:eastAsia="Arial" w:hAnsi="Arial"/>
          <w:sz w:val="18"/>
          <w:szCs w:val="18"/>
          <w:u w:val="single" w:color="auto"/>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EXECUTIVE</w:t>
      </w:r>
    </w:p>
    <w:p>
      <w:pPr>
        <w:spacing w:after="0" w:line="195"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________________________</w:t>
      </w:r>
    </w:p>
    <w:p>
      <w:pPr>
        <w:spacing w:after="0" w:line="54"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[NAME]</w:t>
      </w:r>
    </w:p>
    <w:p>
      <w:pPr>
        <w:spacing w:after="0" w:line="39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Date:</w:t>
      </w:r>
      <w:r>
        <w:rPr>
          <w:rFonts w:ascii="Arial" w:cs="Arial" w:eastAsia="Arial" w:hAnsi="Arial"/>
          <w:sz w:val="16"/>
          <w:szCs w:val="16"/>
          <w:u w:val="single" w:color="auto"/>
          <w:color w:val="auto"/>
        </w:rPr>
        <w:t>____________________</w:t>
      </w:r>
    </w:p>
    <w:p>
      <w:pPr>
        <w:spacing w:after="0" w:line="24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380"/>
          </w:cols>
          <w:pgMar w:left="320" w:top="318" w:right="119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10.21</w:t>
      </w:r>
    </w:p>
    <w:p>
      <w:pPr>
        <w:spacing w:after="0" w:line="43"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5"/>
          <w:szCs w:val="15"/>
          <w:b w:val="1"/>
          <w:bCs w:val="1"/>
          <w:color w:val="auto"/>
        </w:rPr>
        <w:t>ORSAIR</w:t>
      </w:r>
      <w:r>
        <w:rPr>
          <w:rFonts w:ascii="Arial" w:cs="Arial" w:eastAsia="Arial" w:hAnsi="Arial"/>
          <w:sz w:val="20"/>
          <w:szCs w:val="20"/>
          <w:b w:val="1"/>
          <w:bCs w:val="1"/>
          <w:color w:val="auto"/>
        </w:rPr>
        <w:t xml:space="preserve"> G</w:t>
      </w:r>
      <w:r>
        <w:rPr>
          <w:rFonts w:ascii="Arial" w:cs="Arial" w:eastAsia="Arial" w:hAnsi="Arial"/>
          <w:sz w:val="15"/>
          <w:szCs w:val="15"/>
          <w:b w:val="1"/>
          <w:bCs w:val="1"/>
          <w:color w:val="auto"/>
        </w:rPr>
        <w:t>AMING</w:t>
      </w:r>
      <w:r>
        <w:rPr>
          <w:rFonts w:ascii="Arial" w:cs="Arial" w:eastAsia="Arial" w:hAnsi="Arial"/>
          <w:sz w:val="20"/>
          <w:szCs w:val="20"/>
          <w:b w:val="1"/>
          <w:bCs w:val="1"/>
          <w:color w:val="auto"/>
        </w:rPr>
        <w:t>, I</w:t>
      </w:r>
      <w:r>
        <w:rPr>
          <w:rFonts w:ascii="Arial" w:cs="Arial" w:eastAsia="Arial" w:hAnsi="Arial"/>
          <w:sz w:val="15"/>
          <w:szCs w:val="15"/>
          <w:b w:val="1"/>
          <w:bCs w:val="1"/>
          <w:color w:val="auto"/>
        </w:rPr>
        <w:t>NC</w:t>
      </w:r>
      <w:r>
        <w:rPr>
          <w:rFonts w:ascii="Arial" w:cs="Arial" w:eastAsia="Arial" w:hAnsi="Arial"/>
          <w:sz w:val="20"/>
          <w:szCs w:val="20"/>
          <w:b w:val="1"/>
          <w:bCs w:val="1"/>
          <w:color w:val="auto"/>
        </w:rPr>
        <w:t>.</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5"/>
          <w:szCs w:val="15"/>
          <w:b w:val="1"/>
          <w:bCs w:val="1"/>
          <w:color w:val="auto"/>
        </w:rPr>
        <w:t>ON</w:t>
      </w:r>
      <w:r>
        <w:rPr>
          <w:rFonts w:ascii="Arial" w:cs="Arial" w:eastAsia="Arial" w:hAnsi="Arial"/>
          <w:sz w:val="20"/>
          <w:szCs w:val="20"/>
          <w:b w:val="1"/>
          <w:bCs w:val="1"/>
          <w:color w:val="auto"/>
        </w:rPr>
        <w:t>-E</w:t>
      </w:r>
      <w:r>
        <w:rPr>
          <w:rFonts w:ascii="Arial" w:cs="Arial" w:eastAsia="Arial" w:hAnsi="Arial"/>
          <w:sz w:val="15"/>
          <w:szCs w:val="15"/>
          <w:b w:val="1"/>
          <w:bCs w:val="1"/>
          <w:color w:val="auto"/>
        </w:rPr>
        <w:t>MPLOYEE</w:t>
      </w:r>
      <w:r>
        <w:rPr>
          <w:rFonts w:ascii="Arial" w:cs="Arial" w:eastAsia="Arial" w:hAnsi="Arial"/>
          <w:sz w:val="20"/>
          <w:szCs w:val="20"/>
          <w:b w:val="1"/>
          <w:bCs w:val="1"/>
          <w:color w:val="auto"/>
        </w:rPr>
        <w:t xml:space="preserve"> D</w:t>
      </w:r>
      <w:r>
        <w:rPr>
          <w:rFonts w:ascii="Arial" w:cs="Arial" w:eastAsia="Arial" w:hAnsi="Arial"/>
          <w:sz w:val="15"/>
          <w:szCs w:val="15"/>
          <w:b w:val="1"/>
          <w:bCs w:val="1"/>
          <w:color w:val="auto"/>
        </w:rPr>
        <w:t>IRECTOR</w:t>
      </w:r>
      <w:r>
        <w:rPr>
          <w:rFonts w:ascii="Arial" w:cs="Arial" w:eastAsia="Arial" w:hAnsi="Arial"/>
          <w:sz w:val="20"/>
          <w:szCs w:val="20"/>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20"/>
          <w:szCs w:val="20"/>
          <w:b w:val="1"/>
          <w:bCs w:val="1"/>
          <w:color w:val="auto"/>
        </w:rPr>
        <w:t xml:space="preserve"> P</w:t>
      </w:r>
      <w:r>
        <w:rPr>
          <w:rFonts w:ascii="Arial" w:cs="Arial" w:eastAsia="Arial" w:hAnsi="Arial"/>
          <w:sz w:val="15"/>
          <w:szCs w:val="15"/>
          <w:b w:val="1"/>
          <w:bCs w:val="1"/>
          <w:color w:val="auto"/>
        </w:rPr>
        <w:t>OLICY</w:t>
      </w:r>
    </w:p>
    <w:p>
      <w:pPr>
        <w:spacing w:after="0" w:line="173" w:lineRule="exact"/>
        <w:rPr>
          <w:sz w:val="20"/>
          <w:szCs w:val="20"/>
          <w:color w:val="auto"/>
        </w:rPr>
      </w:pPr>
    </w:p>
    <w:p>
      <w:pPr>
        <w:jc w:val="both"/>
        <w:ind w:right="100" w:firstLine="828"/>
        <w:spacing w:after="0" w:line="299" w:lineRule="auto"/>
        <w:rPr>
          <w:sz w:val="20"/>
          <w:szCs w:val="20"/>
          <w:color w:val="auto"/>
        </w:rPr>
      </w:pPr>
      <w:r>
        <w:rPr>
          <w:rFonts w:ascii="Arial" w:cs="Arial" w:eastAsia="Arial" w:hAnsi="Arial"/>
          <w:sz w:val="16"/>
          <w:szCs w:val="16"/>
          <w:color w:val="auto"/>
        </w:rPr>
        <w:t>Non-employee members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Corsair Gaming,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be eligible to receive cash and equity compensation as set forth in this Non- Employee Director Compensation Policy (this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The cash and equity compensation described in this Policy shall be paid or be made, as applicable, automatically and without further action of the Board, to each member of the Board, other than any individual who is (1) an employee of the Company or any parent or subsidiary of the Company or (2) serving on the Board as a stockholder representative (each, a “</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unless such Non-Employee Director declines the receipt of such cash or equity compensation by written notice to the Company. This Policy shall become effective after the effectiveness of the Company’s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355" w:lineRule="exact"/>
        <w:rPr>
          <w:sz w:val="20"/>
          <w:szCs w:val="20"/>
          <w:color w:val="auto"/>
        </w:rPr>
      </w:pPr>
    </w:p>
    <w:p>
      <w:pPr>
        <w:ind w:left="1660" w:hanging="831"/>
        <w:spacing w:after="0"/>
        <w:tabs>
          <w:tab w:leader="none" w:pos="166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1660"/>
              <w:spacing w:after="0"/>
              <w:rPr>
                <w:sz w:val="20"/>
                <w:szCs w:val="20"/>
                <w:color w:val="auto"/>
              </w:rPr>
            </w:pPr>
            <w:r>
              <w:rPr>
                <w:rFonts w:ascii="Arial" w:cs="Arial" w:eastAsia="Arial" w:hAnsi="Arial"/>
                <w:sz w:val="20"/>
                <w:szCs w:val="20"/>
                <w:color w:val="auto"/>
              </w:rPr>
              <w:t>(a)</w:t>
            </w:r>
          </w:p>
        </w:tc>
        <w:tc>
          <w:tcPr>
            <w:tcW w:w="7280" w:type="dxa"/>
            <w:vAlign w:val="bottom"/>
            <w:gridSpan w:val="6"/>
          </w:tcPr>
          <w:p>
            <w:pPr>
              <w:jc w:val="right"/>
              <w:spacing w:after="0"/>
              <w:rPr>
                <w:sz w:val="20"/>
                <w:szCs w:val="20"/>
                <w:color w:val="auto"/>
              </w:rPr>
            </w:pPr>
            <w:r>
              <w:rPr>
                <w:rFonts w:ascii="Arial" w:cs="Arial" w:eastAsia="Arial" w:hAnsi="Arial"/>
                <w:sz w:val="20"/>
                <w:szCs w:val="20"/>
                <w:color w:val="auto"/>
                <w:w w:val="89"/>
              </w:rPr>
              <w:t>Annual Retainers. Each Non-Employee Director shall receive an annual retainer of $65,000</w:t>
            </w:r>
          </w:p>
        </w:tc>
      </w:tr>
      <w:tr>
        <w:trPr>
          <w:trHeight w:val="248"/>
        </w:trPr>
        <w:tc>
          <w:tcPr>
            <w:tcW w:w="3720" w:type="dxa"/>
            <w:vAlign w:val="bottom"/>
          </w:tcPr>
          <w:p>
            <w:pPr>
              <w:spacing w:after="0"/>
              <w:rPr>
                <w:sz w:val="20"/>
                <w:szCs w:val="20"/>
                <w:color w:val="auto"/>
              </w:rPr>
            </w:pPr>
            <w:r>
              <w:rPr>
                <w:rFonts w:ascii="Arial" w:cs="Arial" w:eastAsia="Arial" w:hAnsi="Arial"/>
                <w:sz w:val="20"/>
                <w:szCs w:val="20"/>
                <w:color w:val="auto"/>
              </w:rPr>
              <w:t>for service on the Board.</w:t>
            </w:r>
          </w:p>
        </w:tc>
        <w:tc>
          <w:tcPr>
            <w:tcW w:w="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374"/>
        </w:trPr>
        <w:tc>
          <w:tcPr>
            <w:tcW w:w="3720" w:type="dxa"/>
            <w:vAlign w:val="bottom"/>
          </w:tcPr>
          <w:p>
            <w:pPr>
              <w:ind w:left="1660"/>
              <w:spacing w:after="0"/>
              <w:rPr>
                <w:sz w:val="20"/>
                <w:szCs w:val="20"/>
                <w:color w:val="auto"/>
              </w:rPr>
            </w:pPr>
            <w:r>
              <w:rPr>
                <w:rFonts w:ascii="Arial" w:cs="Arial" w:eastAsia="Arial" w:hAnsi="Arial"/>
                <w:sz w:val="20"/>
                <w:szCs w:val="20"/>
                <w:color w:val="auto"/>
              </w:rPr>
              <w:t>(b)</w:t>
            </w:r>
          </w:p>
        </w:tc>
        <w:tc>
          <w:tcPr>
            <w:tcW w:w="20" w:type="dxa"/>
            <w:vAlign w:val="bottom"/>
          </w:tcPr>
          <w:p>
            <w:pPr>
              <w:spacing w:after="0"/>
              <w:rPr>
                <w:sz w:val="24"/>
                <w:szCs w:val="24"/>
                <w:color w:val="auto"/>
              </w:rPr>
            </w:pPr>
          </w:p>
        </w:tc>
        <w:tc>
          <w:tcPr>
            <w:tcW w:w="7260" w:type="dxa"/>
            <w:vAlign w:val="bottom"/>
            <w:gridSpan w:val="5"/>
          </w:tcPr>
          <w:p>
            <w:pPr>
              <w:jc w:val="right"/>
              <w:spacing w:after="0"/>
              <w:rPr>
                <w:sz w:val="20"/>
                <w:szCs w:val="20"/>
                <w:color w:val="auto"/>
              </w:rPr>
            </w:pPr>
            <w:r>
              <w:rPr>
                <w:rFonts w:ascii="Arial" w:cs="Arial" w:eastAsia="Arial" w:hAnsi="Arial"/>
                <w:sz w:val="20"/>
                <w:szCs w:val="20"/>
                <w:color w:val="auto"/>
                <w:w w:val="98"/>
              </w:rPr>
              <w:t>Additional Annual Retainers. In addition, a Non-Employee Director shall receive the</w:t>
            </w:r>
          </w:p>
        </w:tc>
      </w:tr>
      <w:tr>
        <w:trPr>
          <w:trHeight w:val="248"/>
        </w:trPr>
        <w:tc>
          <w:tcPr>
            <w:tcW w:w="3720" w:type="dxa"/>
            <w:vAlign w:val="bottom"/>
          </w:tcPr>
          <w:p>
            <w:pPr>
              <w:spacing w:after="0"/>
              <w:rPr>
                <w:sz w:val="20"/>
                <w:szCs w:val="20"/>
                <w:color w:val="auto"/>
              </w:rPr>
            </w:pPr>
            <w:r>
              <w:rPr>
                <w:rFonts w:ascii="Arial" w:cs="Arial" w:eastAsia="Arial" w:hAnsi="Arial"/>
                <w:sz w:val="20"/>
                <w:szCs w:val="20"/>
                <w:color w:val="auto"/>
              </w:rPr>
              <w:t>following annual retainers:</w:t>
            </w:r>
          </w:p>
        </w:tc>
        <w:tc>
          <w:tcPr>
            <w:tcW w:w="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374"/>
        </w:trPr>
        <w:tc>
          <w:tcPr>
            <w:tcW w:w="3720" w:type="dxa"/>
            <w:vAlign w:val="bottom"/>
          </w:tcPr>
          <w:p>
            <w:pPr>
              <w:ind w:left="2480"/>
              <w:spacing w:after="0"/>
              <w:rPr>
                <w:sz w:val="20"/>
                <w:szCs w:val="20"/>
                <w:color w:val="auto"/>
              </w:rPr>
            </w:pPr>
            <w:r>
              <w:rPr>
                <w:rFonts w:ascii="Arial" w:cs="Arial" w:eastAsia="Arial" w:hAnsi="Arial"/>
                <w:sz w:val="20"/>
                <w:szCs w:val="20"/>
                <w:color w:val="auto"/>
              </w:rPr>
              <w:t>(i)</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3"/>
          </w:tcPr>
          <w:p>
            <w:pPr>
              <w:jc w:val="right"/>
              <w:spacing w:after="0"/>
              <w:rPr>
                <w:sz w:val="20"/>
                <w:szCs w:val="20"/>
                <w:color w:val="auto"/>
              </w:rPr>
            </w:pPr>
            <w:r>
              <w:rPr>
                <w:rFonts w:ascii="Arial" w:cs="Arial" w:eastAsia="Arial" w:hAnsi="Arial"/>
                <w:sz w:val="20"/>
                <w:szCs w:val="20"/>
                <w:color w:val="auto"/>
                <w:w w:val="94"/>
              </w:rPr>
              <w:t>Audit Committee. A Non-Employee Director serving as Chairperson of</w:t>
            </w: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120"/>
        <w:spacing w:after="0" w:line="307" w:lineRule="auto"/>
        <w:rPr>
          <w:sz w:val="20"/>
          <w:szCs w:val="20"/>
          <w:color w:val="auto"/>
        </w:rPr>
      </w:pPr>
      <w:r>
        <w:rPr>
          <w:rFonts w:ascii="Arial" w:cs="Arial" w:eastAsia="Arial" w:hAnsi="Arial"/>
          <w:sz w:val="18"/>
          <w:szCs w:val="18"/>
          <w:color w:val="auto"/>
        </w:rPr>
        <w:t>the Audit Committee shall receive an additional annual retainer of $30,000 for such service. A Non-Employee Director serving as a member of the Audit Committee (other than the Chairperson) shall receive an additional annual retainer of $15,000 for such service.</w:t>
      </w:r>
    </w:p>
    <w:p>
      <w:pPr>
        <w:spacing w:after="0" w:line="112" w:lineRule="exact"/>
        <w:rPr>
          <w:sz w:val="20"/>
          <w:szCs w:val="20"/>
          <w:color w:val="auto"/>
        </w:rPr>
      </w:pPr>
    </w:p>
    <w:p>
      <w:pPr>
        <w:jc w:val="both"/>
        <w:ind w:right="100" w:firstLine="2484"/>
        <w:spacing w:after="0" w:line="238" w:lineRule="auto"/>
        <w:rPr>
          <w:sz w:val="20"/>
          <w:szCs w:val="20"/>
          <w:color w:val="auto"/>
        </w:rPr>
      </w:pPr>
      <w:r>
        <w:rPr>
          <w:rFonts w:ascii="Arial" w:cs="Arial" w:eastAsia="Arial" w:hAnsi="Arial"/>
          <w:sz w:val="20"/>
          <w:szCs w:val="20"/>
          <w:color w:val="auto"/>
        </w:rPr>
        <w:t xml:space="preserve">(ii) </w:t>
      </w:r>
      <w:r>
        <w:rPr>
          <w:rFonts w:ascii="Arial" w:cs="Arial" w:eastAsia="Arial" w:hAnsi="Arial"/>
          <w:sz w:val="20"/>
          <w:szCs w:val="20"/>
          <w:u w:val="single" w:color="auto"/>
          <w:color w:val="auto"/>
        </w:rPr>
        <w:t>Compensation Committee</w:t>
      </w:r>
      <w:r>
        <w:rPr>
          <w:rFonts w:ascii="Arial" w:cs="Arial" w:eastAsia="Arial" w:hAnsi="Arial"/>
          <w:sz w:val="20"/>
          <w:szCs w:val="20"/>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$10,000 for such service.</w:t>
      </w:r>
    </w:p>
    <w:p>
      <w:pPr>
        <w:spacing w:after="0" w:line="173" w:lineRule="exact"/>
        <w:rPr>
          <w:sz w:val="20"/>
          <w:szCs w:val="20"/>
          <w:color w:val="auto"/>
        </w:rPr>
      </w:pPr>
    </w:p>
    <w:p>
      <w:pPr>
        <w:ind w:left="2480"/>
        <w:spacing w:after="0"/>
        <w:tabs>
          <w:tab w:leader="none" w:pos="520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u w:val="single" w:color="auto"/>
          <w:color w:val="auto"/>
        </w:rPr>
        <w:t>Nominating and Corporate Governance Committee</w:t>
      </w:r>
      <w:r>
        <w:rPr>
          <w:rFonts w:ascii="Arial" w:cs="Arial" w:eastAsia="Arial" w:hAnsi="Arial"/>
          <w:sz w:val="19"/>
          <w:szCs w:val="19"/>
          <w:color w:val="auto"/>
        </w:rPr>
        <w:t>. A Non-Employee</w:t>
      </w:r>
    </w:p>
    <w:p>
      <w:pPr>
        <w:spacing w:after="0" w:line="20" w:lineRule="exact"/>
        <w:rPr>
          <w:sz w:val="20"/>
          <w:szCs w:val="20"/>
          <w:color w:val="auto"/>
        </w:rPr>
      </w:pPr>
    </w:p>
    <w:p>
      <w:pPr>
        <w:jc w:val="both"/>
        <w:ind w:right="120"/>
        <w:spacing w:after="0" w:line="235" w:lineRule="auto"/>
        <w:rPr>
          <w:sz w:val="20"/>
          <w:szCs w:val="20"/>
          <w:color w:val="auto"/>
        </w:rPr>
      </w:pPr>
      <w:r>
        <w:rPr>
          <w:rFonts w:ascii="Arial" w:cs="Arial" w:eastAsia="Arial" w:hAnsi="Arial"/>
          <w:sz w:val="20"/>
          <w:szCs w:val="20"/>
          <w:color w:val="auto"/>
        </w:rPr>
        <w:t>Director serving as Chairperson of the Nominating and Corporate Governance Committee shall receive an additional annual retainer of $12,500 for such service. A Non-Employee Director serving as a member of the Nominating and Corporate Governance Committee (other than the Chairperson) shall receive an additional annual retainer of $7,500 for such service.</w:t>
      </w:r>
    </w:p>
    <w:p>
      <w:pPr>
        <w:spacing w:after="0" w:line="172" w:lineRule="exact"/>
        <w:rPr>
          <w:sz w:val="20"/>
          <w:szCs w:val="20"/>
          <w:color w:val="auto"/>
        </w:rPr>
      </w:pPr>
    </w:p>
    <w:p>
      <w:pPr>
        <w:jc w:val="both"/>
        <w:ind w:right="100" w:firstLine="1656"/>
        <w:spacing w:after="0" w:line="238"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 and 1(a) shall be earned on a quarterly basis based on a calendar quarter and shall be paid by the Company in arrears not later than the fifteenth (15</w:t>
      </w:r>
      <w:r>
        <w:rPr>
          <w:rFonts w:ascii="Arial" w:cs="Arial" w:eastAsia="Arial" w:hAnsi="Arial"/>
          <w:sz w:val="16"/>
          <w:szCs w:val="16"/>
          <w:color w:val="auto"/>
        </w:rPr>
        <w:t>th</w:t>
      </w:r>
      <w:r>
        <w:rPr>
          <w:rFonts w:ascii="Arial" w:cs="Arial" w:eastAsia="Arial" w:hAnsi="Arial"/>
          <w:sz w:val="20"/>
          <w:szCs w:val="20"/>
          <w:color w:val="auto"/>
        </w:rPr>
        <w:t>) day following the end of each calendar quarter. In the event a Non-Employee Director does not serve as a Non-Employee Director, or in the applicable positions described in Section 1(a), for an entire calendar quarter, such Non-Employee Director</w:t>
      </w: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196215</wp:posOffset>
            </wp:positionV>
            <wp:extent cx="718502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120"/>
          </w:cols>
          <w:pgMar w:left="440" w:top="124" w:right="339" w:bottom="1440" w:gutter="0" w:footer="0" w:header="0"/>
        </w:sectPr>
      </w:pPr>
    </w:p>
    <w:bookmarkStart w:id="159" w:name="page160"/>
    <w:bookmarkEnd w:id="159"/>
    <w:p>
      <w:pPr>
        <w:jc w:val="both"/>
        <w:ind w:left="4" w:right="20"/>
        <w:spacing w:after="0" w:line="237" w:lineRule="auto"/>
        <w:rPr>
          <w:sz w:val="20"/>
          <w:szCs w:val="20"/>
          <w:color w:val="auto"/>
        </w:rPr>
      </w:pPr>
      <w:r>
        <w:rPr>
          <w:rFonts w:ascii="Arial" w:cs="Arial" w:eastAsia="Arial" w:hAnsi="Arial"/>
          <w:sz w:val="20"/>
          <w:szCs w:val="20"/>
          <w:color w:val="auto"/>
        </w:rPr>
        <w:t>shall receive a prorated portion of the retainer(s) otherwise payable to such Non-Employee Director for such calendar quarter pursuant to Sections 1 and 1(a), with such prorated portion determined by multiplying such otherwise payable retainer(s) by a fraction, the numerator of which is the number of days during which the Non-Employee Director serves as a Non-Employee Director or in the applicable positions described in Section 1(a) during the applicable calendar quarter and the denominator of which is the number of days in the applicable calendar quarter.</w:t>
      </w:r>
    </w:p>
    <w:p>
      <w:pPr>
        <w:spacing w:after="0" w:line="172" w:lineRule="exact"/>
        <w:rPr>
          <w:sz w:val="20"/>
          <w:szCs w:val="20"/>
          <w:color w:val="auto"/>
        </w:rPr>
      </w:pPr>
    </w:p>
    <w:p>
      <w:pPr>
        <w:jc w:val="both"/>
        <w:ind w:left="4" w:firstLine="828"/>
        <w:spacing w:after="0" w:line="282"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Reimbursement</w:t>
      </w:r>
      <w:r>
        <w:rPr>
          <w:rFonts w:ascii="Arial" w:cs="Arial" w:eastAsia="Arial" w:hAnsi="Arial"/>
          <w:sz w:val="18"/>
          <w:szCs w:val="18"/>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34" w:lineRule="exact"/>
        <w:rPr>
          <w:sz w:val="20"/>
          <w:szCs w:val="20"/>
          <w:color w:val="auto"/>
        </w:rPr>
      </w:pPr>
    </w:p>
    <w:p>
      <w:pPr>
        <w:jc w:val="both"/>
        <w:ind w:left="4" w:firstLine="828"/>
        <w:spacing w:after="0" w:line="262"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For the purposes of this Program,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 Value</w:t>
      </w:r>
      <w:r>
        <w:rPr>
          <w:rFonts w:ascii="Arial" w:cs="Arial" w:eastAsia="Arial" w:hAnsi="Arial"/>
          <w:sz w:val="18"/>
          <w:szCs w:val="18"/>
          <w:color w:val="auto"/>
        </w:rPr>
        <w:t>” shall mean the fair value of an option determined using the Black-Scholes pricing model with the volume weighted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price of a share of Company common stock on the stock exchange on which the Company’s common stock is then listed or traded for the thirty (30) consecutive trading days ending on the trading day prior to the date of grant and the volatility, risk-free rate and life expectancy assumptions in the Company’s most recent public filings disclosing those assumptions.</w:t>
      </w:r>
    </w:p>
    <w:p>
      <w:pPr>
        <w:spacing w:after="0" w:line="158" w:lineRule="exact"/>
        <w:rPr>
          <w:sz w:val="20"/>
          <w:szCs w:val="20"/>
          <w:color w:val="auto"/>
        </w:rPr>
      </w:pPr>
    </w:p>
    <w:p>
      <w:pPr>
        <w:jc w:val="both"/>
        <w:ind w:left="4" w:firstLine="1656"/>
        <w:spacing w:after="0" w:line="235"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IPO Awards</w:t>
      </w:r>
      <w:r>
        <w:rPr>
          <w:rFonts w:ascii="Arial" w:cs="Arial" w:eastAsia="Arial" w:hAnsi="Arial"/>
          <w:sz w:val="20"/>
          <w:szCs w:val="20"/>
          <w:color w:val="auto"/>
        </w:rPr>
        <w:t>. Each Non-Employee Director who (i) serves on the Board as of the date the IPO price of the shares of the Company’s common stock is established in connection with the Company’s IPO (the “</w:t>
      </w:r>
      <w:r>
        <w:rPr>
          <w:rFonts w:ascii="Arial" w:cs="Arial" w:eastAsia="Arial" w:hAnsi="Arial"/>
          <w:sz w:val="20"/>
          <w:szCs w:val="20"/>
          <w:b w:val="1"/>
          <w:bCs w:val="1"/>
          <w:i w:val="1"/>
          <w:iCs w:val="1"/>
          <w:color w:val="auto"/>
        </w:rPr>
        <w:t>Pricing Date</w:t>
      </w:r>
      <w:r>
        <w:rPr>
          <w:rFonts w:ascii="Arial" w:cs="Arial" w:eastAsia="Arial" w:hAnsi="Arial"/>
          <w:sz w:val="20"/>
          <w:szCs w:val="20"/>
          <w:color w:val="auto"/>
        </w:rPr>
        <w:t>”) and (ii) will continue to serve as a Non-Employee Director immediately following the Pricing Date shall be automatically granted, on the Pricing Date, (A) an option to purchase a number of shares of common stock at a per-share exercise price equal to the IPO price per share of the Company’s common stock that have an aggregate Grant Date Value on the date of grant of $37,500 (subject to adjustment as provided in the Equity Plan) and (B) restricted stock units with an aggregate value on the date of grant of $37,500 (with the number of shares of common stock underlying each such award subject to adjustment as provided in the Equity Plan). The awards described in this Section 2(a) shall be referred to herein as the “</w:t>
      </w:r>
      <w:r>
        <w:rPr>
          <w:rFonts w:ascii="Arial" w:cs="Arial" w:eastAsia="Arial" w:hAnsi="Arial"/>
          <w:sz w:val="20"/>
          <w:szCs w:val="20"/>
          <w:b w:val="1"/>
          <w:bCs w:val="1"/>
          <w:i w:val="1"/>
          <w:iCs w:val="1"/>
          <w:color w:val="auto"/>
        </w:rPr>
        <w:t>IPO Awards</w:t>
      </w:r>
      <w:r>
        <w:rPr>
          <w:rFonts w:ascii="Arial" w:cs="Arial" w:eastAsia="Arial" w:hAnsi="Arial"/>
          <w:sz w:val="20"/>
          <w:szCs w:val="20"/>
          <w:color w:val="auto"/>
        </w:rPr>
        <w:t>”).</w:t>
      </w:r>
    </w:p>
    <w:p>
      <w:pPr>
        <w:spacing w:after="0" w:line="172" w:lineRule="exact"/>
        <w:rPr>
          <w:sz w:val="20"/>
          <w:szCs w:val="20"/>
          <w:color w:val="auto"/>
        </w:rPr>
      </w:pPr>
    </w:p>
    <w:p>
      <w:pPr>
        <w:jc w:val="both"/>
        <w:ind w:left="4" w:firstLine="1656"/>
        <w:spacing w:after="0" w:line="25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Annual Awards</w:t>
      </w:r>
      <w:r>
        <w:rPr>
          <w:rFonts w:ascii="Arial" w:cs="Arial" w:eastAsia="Arial" w:hAnsi="Arial"/>
          <w:sz w:val="19"/>
          <w:szCs w:val="19"/>
          <w:color w:val="auto"/>
        </w:rPr>
        <w:t>. Each Non-Employee Director who (i) serves on the Board as of the date of any annual meeting of the Company’s stockholders (an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after the Company consummates its initial public offering and</w:t>
      </w:r>
    </w:p>
    <w:p>
      <w:pPr>
        <w:spacing w:after="0" w:line="1" w:lineRule="exact"/>
        <w:rPr>
          <w:sz w:val="20"/>
          <w:szCs w:val="20"/>
          <w:color w:val="auto"/>
        </w:rPr>
      </w:pPr>
    </w:p>
    <w:p>
      <w:pPr>
        <w:jc w:val="both"/>
        <w:ind w:left="4" w:right="20" w:hanging="4"/>
        <w:spacing w:after="0" w:line="234" w:lineRule="auto"/>
        <w:tabs>
          <w:tab w:leader="none" w:pos="3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will continue to serve as a Non-Employee Director immediately following such Annual Meeting shall be automatically granted, on the date of such Annual Meeting, (A) an option to purchase a number of shares of common stock at a per-share exercise price equal to the closing price per share of the Company’s common stock on the date of such Annual Meeting (or on the last preceding trading day if the date of the</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188595</wp:posOffset>
            </wp:positionV>
            <wp:extent cx="718502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024"/>
          </w:cols>
          <w:pgMar w:left="436" w:top="589" w:right="439" w:bottom="1440" w:gutter="0" w:footer="0" w:header="0"/>
        </w:sectPr>
      </w:pPr>
    </w:p>
    <w:bookmarkStart w:id="160" w:name="page161"/>
    <w:bookmarkEnd w:id="160"/>
    <w:p>
      <w:pPr>
        <w:jc w:val="both"/>
        <w:spacing w:after="0" w:line="236" w:lineRule="auto"/>
        <w:rPr>
          <w:sz w:val="20"/>
          <w:szCs w:val="20"/>
          <w:color w:val="auto"/>
        </w:rPr>
      </w:pPr>
      <w:r>
        <w:rPr>
          <w:rFonts w:ascii="Arial" w:cs="Arial" w:eastAsia="Arial" w:hAnsi="Arial"/>
          <w:sz w:val="20"/>
          <w:szCs w:val="20"/>
          <w:color w:val="auto"/>
        </w:rPr>
        <w:t xml:space="preserve">Annual Meeting is not a trading day) that have an aggregate Grant Date Value on the date of grant of $50,000 (subject to adjustment as provided in the Equity Plan) and (B) restricted stock units with an aggregate value on the date of grant of $50,000 (with the number of shares of common stock underlying each such award subject to adjustment as provided in the Equity Plan). The awards described in this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shall be referred to as the “</w:t>
      </w:r>
      <w:r>
        <w:rPr>
          <w:rFonts w:ascii="Arial" w:cs="Arial" w:eastAsia="Arial" w:hAnsi="Arial"/>
          <w:sz w:val="20"/>
          <w:szCs w:val="20"/>
          <w:b w:val="1"/>
          <w:bCs w:val="1"/>
          <w:i w:val="1"/>
          <w:iCs w:val="1"/>
          <w:color w:val="auto"/>
        </w:rPr>
        <w:t>Annual Awards</w:t>
      </w:r>
      <w:r>
        <w:rPr>
          <w:rFonts w:ascii="Arial" w:cs="Arial" w:eastAsia="Arial" w:hAnsi="Arial"/>
          <w:sz w:val="20"/>
          <w:szCs w:val="20"/>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173" w:lineRule="exact"/>
        <w:rPr>
          <w:sz w:val="20"/>
          <w:szCs w:val="20"/>
          <w:color w:val="auto"/>
        </w:rPr>
      </w:pPr>
    </w:p>
    <w:p>
      <w:pPr>
        <w:jc w:val="both"/>
        <w:ind w:firstLine="1656"/>
        <w:spacing w:after="0" w:line="246"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Initial Awards</w:t>
      </w:r>
      <w:r>
        <w:rPr>
          <w:rFonts w:ascii="Arial" w:cs="Arial" w:eastAsia="Arial" w:hAnsi="Arial"/>
          <w:sz w:val="19"/>
          <w:szCs w:val="19"/>
          <w:color w:val="auto"/>
        </w:rPr>
        <w:t>. Except as otherwise determined by the Board, each Non-Employee Director who is initially elected or appointed to the Board after the Pricing Date on any date other than the date of an Annual Meeting shall be automatically granted, on the date of such Non-Employee Director’s initial election or appointment (such Non-Employee Director’s “</w:t>
      </w:r>
      <w:r>
        <w:rPr>
          <w:rFonts w:ascii="Arial" w:cs="Arial" w:eastAsia="Arial" w:hAnsi="Arial"/>
          <w:sz w:val="19"/>
          <w:szCs w:val="19"/>
          <w:b w:val="1"/>
          <w:bCs w:val="1"/>
          <w:i w:val="1"/>
          <w:iCs w:val="1"/>
          <w:color w:val="auto"/>
        </w:rPr>
        <w:t>Start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(A) an award of an option to purchase shares of the Company’s common stock (at a per- share exercise price equal to the closing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on the Company’s common stock on such Non- Employee Director’s Start Date (or on the last preceding trading day if the Start Date is not a trading day), that have an aggregate Grant Date Value on the date of grant of (i) $50,000 (subject to adjustment as provided in the Equity Plan), multiplied by (ii) a fraction, the numerator of which is the number of days from the Start Date through the date of the next Annual Meeting and the denominator of which is 365, and (B) restricted stock units with an aggregate value on the date of grant of (i) $50,000 (with the number of shares of common stock underlying each such award subject to adjustment as provided in the Equity Plan), multiplied by (ii) a fraction, the numerator of which is the number of days from the Start Date through the date of the next Annual Meeting and the denominator of which is 365. The awards described in this Section 2(c) shall be referred to as “</w:t>
      </w:r>
      <w:r>
        <w:rPr>
          <w:rFonts w:ascii="Arial" w:cs="Arial" w:eastAsia="Arial" w:hAnsi="Arial"/>
          <w:sz w:val="19"/>
          <w:szCs w:val="19"/>
          <w:b w:val="1"/>
          <w:bCs w:val="1"/>
          <w:i w:val="1"/>
          <w:iCs w:val="1"/>
          <w:color w:val="auto"/>
        </w:rPr>
        <w:t>Initial Awards</w:t>
      </w:r>
      <w:r>
        <w:rPr>
          <w:rFonts w:ascii="Arial" w:cs="Arial" w:eastAsia="Arial" w:hAnsi="Arial"/>
          <w:sz w:val="19"/>
          <w:szCs w:val="19"/>
          <w:i w:val="1"/>
          <w:iCs w:val="1"/>
          <w:color w:val="auto"/>
        </w:rPr>
        <w:t>.</w:t>
      </w:r>
      <w:r>
        <w:rPr>
          <w:rFonts w:ascii="Arial" w:cs="Arial" w:eastAsia="Arial" w:hAnsi="Arial"/>
          <w:sz w:val="19"/>
          <w:szCs w:val="19"/>
          <w:color w:val="auto"/>
        </w:rPr>
        <w:t>” Notwithstanding the foregoing, any Non-Employee Director who is appointed to the Board upon the IPO shall receive an IPO Award in lieu of an Initial Award. For the avoidance of doubt, no Non-Employee Director shall be granted more than one Initial Award or both an Initial Award and a IPO Award.</w:t>
      </w:r>
    </w:p>
    <w:p>
      <w:pPr>
        <w:spacing w:after="0" w:line="171" w:lineRule="exact"/>
        <w:rPr>
          <w:sz w:val="20"/>
          <w:szCs w:val="20"/>
          <w:color w:val="auto"/>
        </w:rPr>
      </w:pPr>
    </w:p>
    <w:p>
      <w:pPr>
        <w:ind w:left="1660"/>
        <w:spacing w:after="0"/>
        <w:tabs>
          <w:tab w:leader="none" w:pos="372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u w:val="single" w:color="auto"/>
          <w:color w:val="auto"/>
        </w:rPr>
        <w:t>Termination of Employment of Employee Directors</w:t>
      </w:r>
      <w:r>
        <w:rPr>
          <w:rFonts w:ascii="Arial" w:cs="Arial" w:eastAsia="Arial" w:hAnsi="Arial"/>
          <w:sz w:val="19"/>
          <w:szCs w:val="19"/>
          <w:color w:val="auto"/>
        </w:rPr>
        <w:t>.  Members of the Board who are</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above.</w:t>
      </w:r>
    </w:p>
    <w:p>
      <w:pPr>
        <w:spacing w:after="0" w:line="163" w:lineRule="exact"/>
        <w:rPr>
          <w:sz w:val="20"/>
          <w:szCs w:val="20"/>
          <w:color w:val="auto"/>
        </w:rPr>
      </w:pPr>
    </w:p>
    <w:p>
      <w:pPr>
        <w:ind w:left="1660"/>
        <w:spacing w:after="0"/>
        <w:tabs>
          <w:tab w:leader="none" w:pos="37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u w:val="single" w:color="auto"/>
          <w:color w:val="auto"/>
        </w:rPr>
        <w:t>Vesting of Awards Granted to Non-Employee Directors</w:t>
      </w:r>
      <w:r>
        <w:rPr>
          <w:rFonts w:ascii="Arial" w:cs="Arial" w:eastAsia="Arial" w:hAnsi="Arial"/>
          <w:sz w:val="18"/>
          <w:szCs w:val="18"/>
          <w:color w:val="auto"/>
        </w:rPr>
        <w:t>. Each IPO Award and Initial Award</w:t>
      </w:r>
    </w:p>
    <w:p>
      <w:pPr>
        <w:spacing w:after="0" w:line="31"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color w:val="auto"/>
        </w:rPr>
        <w:t>shall vest and become exercisable on the first anniversary of the date of grant, subject to the Non-Employee Director continuing in service on the Board through the applicable vesting date. Each Annual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IPO Award, Annual Award or Initial Award that is unvested or unexercisable at the time of a Non-Employee Director’s termination of service on the Board shall become vested and exercisable thereafter. All of a Non- Employee Director’s IPO Awards, Annual Awards and Initial Awards shall vest in full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188595</wp:posOffset>
            </wp:positionV>
            <wp:extent cx="718502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immediately prior to the occurrence of a Change in Control (as defined in the Equity Plan), to the extent outstanding at such time.</w:t>
      </w:r>
    </w:p>
    <w:p>
      <w:pPr>
        <w:sectPr>
          <w:pgSz w:w="11900" w:h="16838" w:orient="portrait"/>
          <w:cols w:equalWidth="0" w:num="1">
            <w:col w:w="10240"/>
          </w:cols>
          <w:pgMar w:left="440" w:top="589" w:right="1219" w:bottom="1440" w:gutter="0" w:footer="0" w:header="0"/>
        </w:sectPr>
      </w:pPr>
    </w:p>
    <w:p>
      <w:pPr>
        <w:spacing w:after="0" w:line="223" w:lineRule="exact"/>
        <w:rPr>
          <w:sz w:val="20"/>
          <w:szCs w:val="20"/>
          <w:color w:val="auto"/>
        </w:rPr>
      </w:pPr>
    </w:p>
    <w:p>
      <w:pPr>
        <w:jc w:val="center"/>
        <w:ind w:right="-759"/>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40"/>
          </w:cols>
          <w:pgMar w:left="440" w:top="589" w:right="121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880" w:type="dxa"/>
            <w:vAlign w:val="bottom"/>
            <w:gridSpan w:val="2"/>
          </w:tcPr>
          <w:p>
            <w:pPr>
              <w:ind w:left="3040"/>
              <w:spacing w:after="0"/>
              <w:rPr>
                <w:sz w:val="20"/>
                <w:szCs w:val="20"/>
                <w:color w:val="auto"/>
              </w:rPr>
            </w:pPr>
            <w:r>
              <w:rPr>
                <w:rFonts w:ascii="Arial" w:cs="Arial" w:eastAsia="Arial" w:hAnsi="Arial"/>
                <w:sz w:val="16"/>
                <w:szCs w:val="16"/>
                <w:b w:val="1"/>
                <w:bCs w:val="1"/>
                <w:color w:val="auto"/>
                <w:w w:val="92"/>
              </w:rPr>
              <w:t>Exhibit 21.1</w:t>
            </w:r>
          </w:p>
        </w:tc>
      </w:tr>
      <w:tr>
        <w:trPr>
          <w:trHeight w:val="318"/>
        </w:trPr>
        <w:tc>
          <w:tcPr>
            <w:tcW w:w="2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40" w:type="dxa"/>
            <w:vAlign w:val="bottom"/>
            <w:gridSpan w:val="3"/>
          </w:tcPr>
          <w:p>
            <w:pPr>
              <w:jc w:val="center"/>
              <w:ind w:right="3680"/>
              <w:spacing w:after="0"/>
              <w:rPr>
                <w:sz w:val="20"/>
                <w:szCs w:val="20"/>
                <w:color w:val="auto"/>
              </w:rPr>
            </w:pPr>
            <w:r>
              <w:rPr>
                <w:rFonts w:ascii="Arial" w:cs="Arial" w:eastAsia="Arial" w:hAnsi="Arial"/>
                <w:sz w:val="16"/>
                <w:szCs w:val="16"/>
                <w:b w:val="1"/>
                <w:bCs w:val="1"/>
                <w:color w:val="auto"/>
                <w:w w:val="95"/>
              </w:rPr>
              <w:t>Corsair Gaming, Inc.</w:t>
            </w:r>
          </w:p>
        </w:tc>
      </w:tr>
      <w:tr>
        <w:trPr>
          <w:trHeight w:val="213"/>
        </w:trPr>
        <w:tc>
          <w:tcPr>
            <w:tcW w:w="2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54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1"/>
              </w:rPr>
              <w:t>Subsidiaries of the Registrant</w:t>
            </w:r>
          </w:p>
        </w:tc>
      </w:tr>
      <w:tr>
        <w:trPr>
          <w:trHeight w:val="556"/>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Subsidiary (as of December 31, 2021)</w:t>
            </w:r>
          </w:p>
        </w:tc>
        <w:tc>
          <w:tcPr>
            <w:tcW w:w="7540" w:type="dxa"/>
            <w:vAlign w:val="bottom"/>
            <w:gridSpan w:val="3"/>
          </w:tcPr>
          <w:p>
            <w:pPr>
              <w:ind w:left="3660"/>
              <w:spacing w:after="0"/>
              <w:rPr>
                <w:sz w:val="20"/>
                <w:szCs w:val="20"/>
                <w:color w:val="auto"/>
              </w:rPr>
            </w:pPr>
            <w:r>
              <w:rPr>
                <w:rFonts w:ascii="Arial" w:cs="Arial" w:eastAsia="Arial" w:hAnsi="Arial"/>
                <w:sz w:val="16"/>
                <w:szCs w:val="16"/>
                <w:b w:val="1"/>
                <w:bCs w:val="1"/>
                <w:color w:val="auto"/>
                <w:w w:val="95"/>
              </w:rPr>
              <w:t>State or Jurisdiction of Incorporation or Organization</w:t>
            </w:r>
          </w:p>
        </w:tc>
      </w:tr>
      <w:tr>
        <w:trPr>
          <w:trHeight w:val="238"/>
        </w:trPr>
        <w:tc>
          <w:tcPr>
            <w:tcW w:w="2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Corsair Memory, Inc.</w:t>
            </w:r>
          </w:p>
        </w:tc>
        <w:tc>
          <w:tcPr>
            <w:tcW w:w="1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Delaware, United States</w:t>
            </w:r>
          </w:p>
        </w:tc>
        <w:tc>
          <w:tcPr>
            <w:tcW w:w="60" w:type="dxa"/>
            <w:vAlign w:val="bottom"/>
          </w:tcPr>
          <w:p>
            <w:pPr>
              <w:spacing w:after="0"/>
              <w:rPr>
                <w:sz w:val="20"/>
                <w:szCs w:val="20"/>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RoCo Group, Inc.</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Delaware, United States</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Origin PC, LLC</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Florida, United States</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Scuf Gaming International, LLC</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Georgia, United States</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Canada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Canada</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(Shenzhen) Trading Company Ltd.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China</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Gaming S.A.S</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France</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GmbH</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Germany</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Holdings (Hong Kong)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Hong Kong</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(Hong Kong) Ltd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Hong Kong</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Holdings (Lux) S.a.r.l.</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Luxemburg</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Acquisition (Lux) S.a.r.l</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Luxemburg</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Memory B.V.</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Netherlands</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Engineering d.o.o.</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Slovenia</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Singapore Pte. Ltd.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Singapore</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Memory Co., Ltd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Taiwan</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Components Co., Ltd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Taiwan</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Components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United Kingdom</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Ironmonger Initiatives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United Kingdom</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Ironburg Inventions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United Kingdom</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Scuf Gaming Europe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United Kingdom</w:t>
            </w:r>
          </w:p>
        </w:tc>
      </w:tr>
      <w:tr>
        <w:trPr>
          <w:trHeight w:val="222"/>
        </w:trPr>
        <w:tc>
          <w:tcPr>
            <w:tcW w:w="3700" w:type="dxa"/>
            <w:vAlign w:val="bottom"/>
            <w:gridSpan w:val="2"/>
          </w:tcPr>
          <w:p>
            <w:pPr>
              <w:spacing w:after="0"/>
              <w:rPr>
                <w:sz w:val="20"/>
                <w:szCs w:val="20"/>
                <w:color w:val="auto"/>
              </w:rPr>
            </w:pPr>
            <w:r>
              <w:rPr>
                <w:rFonts w:ascii="Arial" w:cs="Arial" w:eastAsia="Arial" w:hAnsi="Arial"/>
                <w:sz w:val="16"/>
                <w:szCs w:val="16"/>
                <w:color w:val="auto"/>
              </w:rPr>
              <w:t>Corsair Design System Company Limited</w:t>
            </w:r>
          </w:p>
        </w:tc>
        <w:tc>
          <w:tcPr>
            <w:tcW w:w="7540" w:type="dxa"/>
            <w:vAlign w:val="bottom"/>
            <w:gridSpan w:val="3"/>
          </w:tcPr>
          <w:p>
            <w:pPr>
              <w:ind w:left="3660"/>
              <w:spacing w:after="0"/>
              <w:rPr>
                <w:sz w:val="20"/>
                <w:szCs w:val="20"/>
                <w:color w:val="auto"/>
              </w:rPr>
            </w:pPr>
            <w:r>
              <w:rPr>
                <w:rFonts w:ascii="Arial" w:cs="Arial" w:eastAsia="Arial" w:hAnsi="Arial"/>
                <w:sz w:val="16"/>
                <w:szCs w:val="16"/>
                <w:color w:val="auto"/>
              </w:rPr>
              <w:t>Vietnam</w:t>
            </w:r>
          </w:p>
        </w:tc>
      </w:tr>
    </w:tbl>
    <w:p>
      <w:pPr>
        <w:sectPr>
          <w:pgSz w:w="11900" w:h="16838" w:orient="portrait"/>
          <w:cols w:equalWidth="0" w:num="1">
            <w:col w:w="11240"/>
          </w:cols>
          <w:pgMar w:left="320" w:top="123"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50"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statements (Nos. 333-254142 and 333-249065) on Form S-8 of our reports dated March 1, 2022, with respect to the consolidated financial statements of Corsair Gaming, Inc. and the effectiveness of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ectPr>
          <w:pgSz w:w="11900" w:h="16838" w:orient="portrait"/>
          <w:cols w:equalWidth="0" w:num="1">
            <w:col w:w="11240"/>
          </w:cols>
          <w:pgMar w:left="320" w:top="33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6"/>
          <w:szCs w:val="16"/>
          <w:color w:val="auto"/>
        </w:rPr>
        <w:t>I, Andrew J. Paul, certify that:</w:t>
      </w:r>
    </w:p>
    <w:p>
      <w:pPr>
        <w:spacing w:after="0" w:line="186" w:lineRule="exact"/>
        <w:rPr>
          <w:sz w:val="20"/>
          <w:szCs w:val="20"/>
          <w:color w:val="auto"/>
        </w:rPr>
      </w:pPr>
    </w:p>
    <w:p>
      <w:pPr>
        <w:ind w:left="601" w:hanging="601"/>
        <w:spacing w:after="0"/>
        <w:tabs>
          <w:tab w:leader="none" w:pos="6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Corsair Gaming Inc.;</w:t>
      </w:r>
    </w:p>
    <w:p>
      <w:pPr>
        <w:spacing w:after="0" w:line="173" w:lineRule="exact"/>
        <w:rPr>
          <w:rFonts w:ascii="Arial" w:cs="Arial" w:eastAsia="Arial" w:hAnsi="Arial"/>
          <w:sz w:val="16"/>
          <w:szCs w:val="16"/>
          <w:color w:val="auto"/>
        </w:rPr>
      </w:pPr>
    </w:p>
    <w:p>
      <w:pPr>
        <w:ind w:left="601" w:right="340" w:hanging="601"/>
        <w:spacing w:after="0" w:line="324" w:lineRule="auto"/>
        <w:tabs>
          <w:tab w:leader="none" w:pos="60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5"/>
          <w:szCs w:val="15"/>
          <w:color w:val="auto"/>
        </w:rPr>
      </w:pPr>
    </w:p>
    <w:p>
      <w:pPr>
        <w:ind w:left="601" w:right="420" w:hanging="601"/>
        <w:spacing w:after="0" w:line="289" w:lineRule="auto"/>
        <w:tabs>
          <w:tab w:leader="none" w:pos="6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jc w:val="both"/>
        <w:ind w:left="561" w:right="280" w:hanging="561"/>
        <w:spacing w:after="0" w:line="273" w:lineRule="auto"/>
        <w:tabs>
          <w:tab w:leader="none" w:pos="56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6"/>
          <w:szCs w:val="16"/>
          <w:color w:val="auto"/>
        </w:rPr>
      </w:pPr>
    </w:p>
    <w:p>
      <w:pPr>
        <w:ind w:left="1201" w:right="240" w:hanging="597"/>
        <w:spacing w:after="0" w:line="273"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201" w:right="60" w:hanging="597"/>
        <w:spacing w:after="0" w:line="273"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ind w:left="1201" w:right="120" w:hanging="597"/>
        <w:spacing w:after="0" w:line="289"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6"/>
          <w:szCs w:val="16"/>
          <w:color w:val="auto"/>
        </w:rPr>
      </w:pPr>
    </w:p>
    <w:p>
      <w:pPr>
        <w:ind w:left="1201" w:right="160" w:hanging="597"/>
        <w:spacing w:after="0" w:line="273"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601" w:right="240" w:hanging="601"/>
        <w:spacing w:after="0" w:line="289" w:lineRule="auto"/>
        <w:tabs>
          <w:tab w:leader="none" w:pos="6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6"/>
          <w:szCs w:val="16"/>
          <w:color w:val="auto"/>
        </w:rPr>
      </w:pPr>
    </w:p>
    <w:p>
      <w:pPr>
        <w:ind w:left="1201" w:right="20" w:hanging="597"/>
        <w:spacing w:after="0" w:line="289"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6"/>
          <w:szCs w:val="16"/>
          <w:color w:val="auto"/>
        </w:rPr>
      </w:pPr>
    </w:p>
    <w:p>
      <w:pPr>
        <w:ind w:left="1201" w:right="260" w:hanging="597"/>
        <w:spacing w:after="0" w:line="289"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3520" w:type="dxa"/>
            <w:vAlign w:val="bottom"/>
          </w:tcPr>
          <w:p>
            <w:pPr>
              <w:spacing w:after="0"/>
              <w:rPr>
                <w:sz w:val="20"/>
                <w:szCs w:val="20"/>
                <w:color w:val="auto"/>
              </w:rPr>
            </w:pPr>
            <w:r>
              <w:rPr>
                <w:rFonts w:ascii="Arial" w:cs="Arial" w:eastAsia="Arial" w:hAnsi="Arial"/>
                <w:sz w:val="16"/>
                <w:szCs w:val="16"/>
                <w:color w:val="auto"/>
              </w:rPr>
              <w:t>Date: March 1, 2022</w:t>
            </w:r>
          </w:p>
        </w:tc>
        <w:tc>
          <w:tcPr>
            <w:tcW w:w="2520" w:type="dxa"/>
            <w:vAlign w:val="bottom"/>
          </w:tcPr>
          <w:p>
            <w:pPr>
              <w:ind w:left="216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Andrew J. Paul</w:t>
            </w:r>
          </w:p>
        </w:tc>
      </w:tr>
      <w:tr>
        <w:trPr>
          <w:trHeight w:val="202"/>
        </w:trPr>
        <w:tc>
          <w:tcPr>
            <w:tcW w:w="3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Arial" w:cs="Arial" w:eastAsia="Arial" w:hAnsi="Arial"/>
                <w:sz w:val="16"/>
                <w:szCs w:val="16"/>
                <w:color w:val="auto"/>
                <w:w w:val="94"/>
              </w:rPr>
              <w:t>Andrew J. Paul</w:t>
            </w:r>
          </w:p>
        </w:tc>
      </w:tr>
      <w:tr>
        <w:trPr>
          <w:trHeight w:val="198"/>
        </w:trPr>
        <w:tc>
          <w:tcPr>
            <w:tcW w:w="3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Arial" w:cs="Arial" w:eastAsia="Arial" w:hAnsi="Arial"/>
                <w:sz w:val="16"/>
                <w:szCs w:val="16"/>
                <w:color w:val="auto"/>
                <w:w w:val="97"/>
              </w:rPr>
              <w:t>Chief Executive Officer</w:t>
            </w:r>
          </w:p>
        </w:tc>
      </w:tr>
      <w:tr>
        <w:trPr>
          <w:trHeight w:val="209"/>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6"/>
                <w:szCs w:val="16"/>
                <w:i w:val="1"/>
                <w:iCs w:val="1"/>
                <w:color w:val="auto"/>
                <w:w w:val="97"/>
              </w:rPr>
              <w:t>(Principal Executive Officer)</w:t>
            </w:r>
          </w:p>
        </w:tc>
      </w:tr>
    </w:tbl>
    <w:p>
      <w:pPr>
        <w:sectPr>
          <w:pgSz w:w="11900" w:h="16838" w:orient="portrait"/>
          <w:cols w:equalWidth="0" w:num="1">
            <w:col w:w="11241"/>
          </w:cols>
          <w:pgMar w:left="319" w:top="12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6"/>
          <w:szCs w:val="16"/>
          <w:color w:val="auto"/>
        </w:rPr>
        <w:t>I, Michael G. Potter, certify that:</w:t>
      </w:r>
    </w:p>
    <w:p>
      <w:pPr>
        <w:spacing w:after="0" w:line="186" w:lineRule="exact"/>
        <w:rPr>
          <w:sz w:val="20"/>
          <w:szCs w:val="20"/>
          <w:color w:val="auto"/>
        </w:rPr>
      </w:pPr>
    </w:p>
    <w:p>
      <w:pPr>
        <w:ind w:left="601" w:hanging="601"/>
        <w:spacing w:after="0"/>
        <w:tabs>
          <w:tab w:leader="none" w:pos="60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Corsair Gaming Inc.;</w:t>
      </w:r>
    </w:p>
    <w:p>
      <w:pPr>
        <w:spacing w:after="0" w:line="173" w:lineRule="exact"/>
        <w:rPr>
          <w:rFonts w:ascii="Arial" w:cs="Arial" w:eastAsia="Arial" w:hAnsi="Arial"/>
          <w:sz w:val="16"/>
          <w:szCs w:val="16"/>
          <w:color w:val="auto"/>
        </w:rPr>
      </w:pPr>
    </w:p>
    <w:p>
      <w:pPr>
        <w:ind w:left="601" w:right="340" w:hanging="601"/>
        <w:spacing w:after="0" w:line="324" w:lineRule="auto"/>
        <w:tabs>
          <w:tab w:leader="none" w:pos="60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5"/>
          <w:szCs w:val="15"/>
          <w:color w:val="auto"/>
        </w:rPr>
      </w:pPr>
    </w:p>
    <w:p>
      <w:pPr>
        <w:ind w:left="601" w:right="420" w:hanging="601"/>
        <w:spacing w:after="0" w:line="289" w:lineRule="auto"/>
        <w:tabs>
          <w:tab w:leader="none" w:pos="60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6"/>
          <w:szCs w:val="16"/>
          <w:color w:val="auto"/>
        </w:rPr>
      </w:pPr>
    </w:p>
    <w:p>
      <w:pPr>
        <w:ind w:left="601" w:right="240" w:hanging="601"/>
        <w:spacing w:after="0" w:line="273" w:lineRule="auto"/>
        <w:tabs>
          <w:tab w:leader="none" w:pos="60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6"/>
          <w:szCs w:val="16"/>
          <w:color w:val="auto"/>
        </w:rPr>
      </w:pPr>
    </w:p>
    <w:p>
      <w:pPr>
        <w:ind w:left="1201" w:right="240" w:hanging="597"/>
        <w:spacing w:after="0" w:line="273"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201" w:right="60" w:hanging="597"/>
        <w:spacing w:after="0" w:line="273"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ind w:left="1201" w:right="120" w:hanging="597"/>
        <w:spacing w:after="0" w:line="289"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6"/>
          <w:szCs w:val="16"/>
          <w:color w:val="auto"/>
        </w:rPr>
      </w:pPr>
    </w:p>
    <w:p>
      <w:pPr>
        <w:ind w:left="1201" w:right="160" w:hanging="597"/>
        <w:spacing w:after="0" w:line="273"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601" w:right="240" w:hanging="601"/>
        <w:spacing w:after="0" w:line="289" w:lineRule="auto"/>
        <w:tabs>
          <w:tab w:leader="none" w:pos="60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6"/>
          <w:szCs w:val="16"/>
          <w:color w:val="auto"/>
        </w:rPr>
      </w:pPr>
    </w:p>
    <w:p>
      <w:pPr>
        <w:ind w:left="1201" w:right="20" w:hanging="597"/>
        <w:spacing w:after="0" w:line="289"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6"/>
          <w:szCs w:val="16"/>
          <w:color w:val="auto"/>
        </w:rPr>
      </w:pPr>
    </w:p>
    <w:p>
      <w:pPr>
        <w:ind w:left="1201" w:right="260" w:hanging="597"/>
        <w:spacing w:after="0" w:line="289"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3520" w:type="dxa"/>
            <w:vAlign w:val="bottom"/>
          </w:tcPr>
          <w:p>
            <w:pPr>
              <w:spacing w:after="0"/>
              <w:rPr>
                <w:sz w:val="20"/>
                <w:szCs w:val="20"/>
                <w:color w:val="auto"/>
              </w:rPr>
            </w:pPr>
            <w:r>
              <w:rPr>
                <w:rFonts w:ascii="Arial" w:cs="Arial" w:eastAsia="Arial" w:hAnsi="Arial"/>
                <w:sz w:val="16"/>
                <w:szCs w:val="16"/>
                <w:color w:val="auto"/>
              </w:rPr>
              <w:t>Date: March 1, 2022</w:t>
            </w:r>
          </w:p>
        </w:tc>
        <w:tc>
          <w:tcPr>
            <w:tcW w:w="2520" w:type="dxa"/>
            <w:vAlign w:val="bottom"/>
          </w:tcPr>
          <w:p>
            <w:pPr>
              <w:ind w:left="216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Michael G. Potter</w:t>
            </w:r>
          </w:p>
        </w:tc>
      </w:tr>
      <w:tr>
        <w:trPr>
          <w:trHeight w:val="202"/>
        </w:trPr>
        <w:tc>
          <w:tcPr>
            <w:tcW w:w="3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Arial" w:cs="Arial" w:eastAsia="Arial" w:hAnsi="Arial"/>
                <w:sz w:val="16"/>
                <w:szCs w:val="16"/>
                <w:color w:val="auto"/>
                <w:w w:val="95"/>
              </w:rPr>
              <w:t>Michael G. Potter</w:t>
            </w:r>
          </w:p>
        </w:tc>
      </w:tr>
      <w:tr>
        <w:trPr>
          <w:trHeight w:val="198"/>
        </w:trPr>
        <w:tc>
          <w:tcPr>
            <w:tcW w:w="3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Arial" w:cs="Arial" w:eastAsia="Arial" w:hAnsi="Arial"/>
                <w:sz w:val="16"/>
                <w:szCs w:val="16"/>
                <w:color w:val="auto"/>
                <w:w w:val="97"/>
              </w:rPr>
              <w:t>Chief Financial Officer</w:t>
            </w:r>
          </w:p>
        </w:tc>
      </w:tr>
      <w:tr>
        <w:trPr>
          <w:trHeight w:val="209"/>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6"/>
                <w:szCs w:val="16"/>
                <w:i w:val="1"/>
                <w:iCs w:val="1"/>
                <w:color w:val="auto"/>
                <w:w w:val="99"/>
              </w:rPr>
              <w:t>(Principal Financial Officer)</w:t>
            </w:r>
          </w:p>
        </w:tc>
      </w:tr>
    </w:tbl>
    <w:p>
      <w:pPr>
        <w:sectPr>
          <w:pgSz w:w="11900" w:h="16838" w:orient="portrait"/>
          <w:cols w:equalWidth="0" w:num="1">
            <w:col w:w="11241"/>
          </w:cols>
          <w:pgMar w:left="319" w:top="123"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 OF CHIEF EXECUTIVE OFFICER AND CHIEF FINANCIAL OFFICER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SECTION 1350</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22" w:lineRule="exact"/>
        <w:rPr>
          <w:sz w:val="20"/>
          <w:szCs w:val="20"/>
          <w:color w:val="auto"/>
        </w:rPr>
      </w:pPr>
    </w:p>
    <w:p>
      <w:pPr>
        <w:jc w:val="both"/>
        <w:ind w:right="180" w:firstLine="561"/>
        <w:spacing w:after="0" w:line="273" w:lineRule="auto"/>
        <w:rPr>
          <w:sz w:val="20"/>
          <w:szCs w:val="20"/>
          <w:color w:val="auto"/>
        </w:rPr>
      </w:pPr>
      <w:r>
        <w:rPr>
          <w:rFonts w:ascii="Arial" w:cs="Arial" w:eastAsia="Arial" w:hAnsi="Arial"/>
          <w:sz w:val="16"/>
          <w:szCs w:val="16"/>
          <w:color w:val="auto"/>
        </w:rPr>
        <w:t>In connection with the annual report of Corsair Gaming, Inc. (the “Company”) on Form 10-K for the year ended December 31, 2021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62" w:lineRule="exact"/>
        <w:rPr>
          <w:sz w:val="20"/>
          <w:szCs w:val="20"/>
          <w:color w:val="auto"/>
        </w:rPr>
      </w:pPr>
    </w:p>
    <w:p>
      <w:pPr>
        <w:ind w:left="1200" w:hanging="597"/>
        <w:spacing w:after="0"/>
        <w:tabs>
          <w:tab w:leader="none" w:pos="12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0" w:lineRule="exact"/>
        <w:rPr>
          <w:rFonts w:ascii="Arial" w:cs="Arial" w:eastAsia="Arial" w:hAnsi="Arial"/>
          <w:sz w:val="16"/>
          <w:szCs w:val="16"/>
          <w:color w:val="auto"/>
        </w:rPr>
      </w:pPr>
    </w:p>
    <w:p>
      <w:pPr>
        <w:ind w:left="1200" w:hanging="597"/>
        <w:spacing w:after="0"/>
        <w:tabs>
          <w:tab w:leader="none" w:pos="12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March 1, 2022</w:t>
            </w:r>
          </w:p>
        </w:tc>
        <w:tc>
          <w:tcPr>
            <w:tcW w:w="2380" w:type="dxa"/>
            <w:vAlign w:val="bottom"/>
          </w:tcPr>
          <w:p>
            <w:pPr>
              <w:ind w:left="2120"/>
              <w:spacing w:after="0"/>
              <w:rPr>
                <w:sz w:val="20"/>
                <w:szCs w:val="20"/>
                <w:color w:val="auto"/>
              </w:rPr>
            </w:pPr>
            <w:r>
              <w:rPr>
                <w:rFonts w:ascii="Arial" w:cs="Arial" w:eastAsia="Arial" w:hAnsi="Arial"/>
                <w:sz w:val="16"/>
                <w:szCs w:val="16"/>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Andrew J. Paul</w:t>
            </w:r>
          </w:p>
        </w:tc>
      </w:tr>
      <w:tr>
        <w:trPr>
          <w:trHeight w:val="202"/>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4"/>
              </w:rPr>
              <w:t>Andrew J. Paul</w:t>
            </w:r>
          </w:p>
        </w:tc>
      </w:tr>
      <w:tr>
        <w:trPr>
          <w:trHeight w:val="198"/>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7"/>
              </w:rPr>
              <w:t>Chief Executive Officer</w:t>
            </w:r>
          </w:p>
        </w:tc>
      </w:tr>
      <w:tr>
        <w:trPr>
          <w:trHeight w:val="209"/>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w w:val="97"/>
              </w:rPr>
              <w:t>(Principal Executive Officer)</w:t>
            </w:r>
          </w:p>
        </w:tc>
      </w:tr>
      <w:tr>
        <w:trPr>
          <w:trHeight w:val="420"/>
        </w:trPr>
        <w:tc>
          <w:tcPr>
            <w:tcW w:w="3480" w:type="dxa"/>
            <w:vAlign w:val="bottom"/>
          </w:tcPr>
          <w:p>
            <w:pPr>
              <w:spacing w:after="0"/>
              <w:rPr>
                <w:sz w:val="20"/>
                <w:szCs w:val="20"/>
                <w:color w:val="auto"/>
              </w:rPr>
            </w:pPr>
            <w:r>
              <w:rPr>
                <w:rFonts w:ascii="Arial" w:cs="Arial" w:eastAsia="Arial" w:hAnsi="Arial"/>
                <w:sz w:val="16"/>
                <w:szCs w:val="16"/>
                <w:color w:val="auto"/>
              </w:rPr>
              <w:t>Date: March 1, 2022</w:t>
            </w:r>
          </w:p>
        </w:tc>
        <w:tc>
          <w:tcPr>
            <w:tcW w:w="2380" w:type="dxa"/>
            <w:vAlign w:val="bottom"/>
          </w:tcPr>
          <w:p>
            <w:pPr>
              <w:ind w:left="2120"/>
              <w:spacing w:after="0"/>
              <w:rPr>
                <w:sz w:val="20"/>
                <w:szCs w:val="20"/>
                <w:color w:val="auto"/>
              </w:rPr>
            </w:pPr>
            <w:r>
              <w:rPr>
                <w:rFonts w:ascii="Arial" w:cs="Arial" w:eastAsia="Arial" w:hAnsi="Arial"/>
                <w:sz w:val="16"/>
                <w:szCs w:val="16"/>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Michael G. Potter</w:t>
            </w:r>
          </w:p>
        </w:tc>
      </w:tr>
      <w:tr>
        <w:trPr>
          <w:trHeight w:val="202"/>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5"/>
              </w:rPr>
              <w:t>Michael G. Potter</w:t>
            </w:r>
          </w:p>
        </w:tc>
      </w:tr>
      <w:tr>
        <w:trPr>
          <w:trHeight w:val="198"/>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7"/>
              </w:rPr>
              <w:t>Chief Financial Officer</w:t>
            </w:r>
          </w:p>
        </w:tc>
      </w:tr>
      <w:tr>
        <w:trPr>
          <w:trHeight w:val="209"/>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lvl w:ilvl="1">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3"/>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lvl w:ilvl="1">
      <w:lvlJc w:val="left"/>
      <w:lvlText w:val="(%2)"/>
      <w:numFmt w:val="decimal"/>
      <w:start w:val="1"/>
    </w:lvl>
  </w:abstractNum>
  <w:abstractNum w:abstractNumId="36">
    <w:nsid w:val="5DC79EA8"/>
    <w:multiLevelType w:val="hybridMultilevel"/>
    <w:lvl w:ilvl="0">
      <w:lvlJc w:val="left"/>
      <w:lvlText w:val="%1."/>
      <w:numFmt w:val="decimal"/>
      <w:start w:val="13"/>
    </w:lvl>
    <w:lvl w:ilvl="1">
      <w:lvlJc w:val="left"/>
      <w:lvlText w:val="%2"/>
      <w:numFmt w:val="decimal"/>
      <w:start w:val="1"/>
    </w:lvl>
  </w:abstractNum>
  <w:abstractNum w:abstractNumId="37">
    <w:nsid w:val="540A471C"/>
    <w:multiLevelType w:val="hybridMultilevel"/>
    <w:lvl w:ilvl="0">
      <w:lvlJc w:val="left"/>
      <w:lvlText w:val="(%1)"/>
      <w:numFmt w:val="lowerLetter"/>
      <w:start w:val="1"/>
    </w:lvl>
  </w:abstractNum>
  <w:abstractNum w:abstractNumId="38">
    <w:nsid w:val="7BD3EE7B"/>
    <w:multiLevelType w:val="hybridMultilevel"/>
    <w:lvl w:ilvl="0">
      <w:lvlJc w:val="left"/>
      <w:lvlText w:val="*"/>
      <w:numFmt w:val="bullet"/>
      <w:start w:val="1"/>
    </w:lvl>
    <w:lvl w:ilvl="1">
      <w:lvlJc w:val="left"/>
      <w:lvlText w:val="%2"/>
      <w:numFmt w:val="decimal"/>
      <w:start w:val="104"/>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2"/>
    </w:lvl>
  </w:abstractNum>
  <w:abstractNum w:abstractNumId="42">
    <w:nsid w:val="11447B7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43">
    <w:nsid w:val="42963E5A"/>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1"/>
    </w:lvl>
  </w:abstractNum>
  <w:abstractNum w:abstractNumId="44">
    <w:nsid w:val="A0382C5"/>
    <w:multiLevelType w:val="hybridMultilevel"/>
    <w:lvl w:ilvl="0">
      <w:lvlJc w:val="left"/>
      <w:lvlText w:val="%1"/>
      <w:numFmt w:val="lowerLetter"/>
      <w:start w:val="1"/>
    </w:lvl>
    <w:lvl w:ilvl="1">
      <w:lvlJc w:val="left"/>
      <w:lvlText w:val="(%2)"/>
      <w:numFmt w:val="decimal"/>
      <w:start w:val="2"/>
    </w:lvl>
  </w:abstractNum>
  <w:abstractNum w:abstractNumId="45">
    <w:nsid w:val="8F2B15E"/>
    <w:multiLevelType w:val="hybridMultilevel"/>
    <w:lvl w:ilvl="0">
      <w:lvlJc w:val="left"/>
      <w:lvlText w:val="(%1)"/>
      <w:numFmt w:val="lowerLetter"/>
      <w:start w:val="2"/>
    </w:lvl>
    <w:lvl w:ilvl="1">
      <w:lvlJc w:val="left"/>
      <w:lvlText w:val="(%2)"/>
      <w:numFmt w:val="decimal"/>
      <w:start w:val="1"/>
    </w:lvl>
  </w:abstractNum>
  <w:abstractNum w:abstractNumId="46">
    <w:nsid w:val="1A32234B"/>
    <w:multiLevelType w:val="hybridMultilevel"/>
    <w:lvl w:ilvl="0">
      <w:lvlJc w:val="left"/>
      <w:lvlText w:val="(%1)"/>
      <w:numFmt w:val="decimal"/>
      <w:start w:val="4"/>
    </w:lvl>
  </w:abstractNum>
  <w:abstractNum w:abstractNumId="47">
    <w:nsid w:val="3B0FD379"/>
    <w:multiLevelType w:val="hybridMultilevel"/>
    <w:lvl w:ilvl="0">
      <w:lvlJc w:val="left"/>
      <w:lvlText w:val="%1"/>
      <w:numFmt w:val="decimal"/>
      <w:start w:val="1"/>
    </w:lvl>
    <w:lvl w:ilvl="1">
      <w:lvlJc w:val="left"/>
      <w:lvlText w:val="(%2)"/>
      <w:numFmt w:val="lowerLetter"/>
      <w:start w:val="3"/>
    </w:lvl>
  </w:abstractNum>
  <w:abstractNum w:abstractNumId="48">
    <w:nsid w:val="68EB2F63"/>
    <w:multiLevelType w:val="hybridMultilevel"/>
    <w:lvl w:ilvl="0">
      <w:lvlJc w:val="left"/>
      <w:lvlText w:val="(%1)"/>
      <w:numFmt w:val="decimal"/>
      <w:start w:val="15"/>
    </w:lvl>
    <w:lvl w:ilvl="1">
      <w:lvlJc w:val="left"/>
      <w:lvlText w:val="%2"/>
      <w:numFmt w:val="lowerLetter"/>
      <w:start w:val="1"/>
    </w:lvl>
  </w:abstractNum>
  <w:abstractNum w:abstractNumId="49">
    <w:nsid w:val="4962813B"/>
    <w:multiLevelType w:val="hybridMultilevel"/>
    <w:lvl w:ilvl="0">
      <w:lvlJc w:val="left"/>
      <w:lvlText w:val="%1."/>
      <w:numFmt w:val="decimal"/>
      <w:start w:val="4"/>
    </w:lvl>
  </w:abstractNum>
  <w:abstractNum w:abstractNumId="50">
    <w:nsid w:val="60B6DF70"/>
    <w:multiLevelType w:val="hybridMultilevel"/>
    <w:lvl w:ilvl="0">
      <w:lvlJc w:val="left"/>
      <w:lvlText w:val="(%1)"/>
      <w:numFmt w:val="lowerLetter"/>
      <w:start w:val="1"/>
    </w:lvl>
    <w:lvl w:ilvl="1">
      <w:lvlJc w:val="left"/>
      <w:lvlText w:val="(%2)"/>
      <w:numFmt w:val="decimal"/>
      <w:start w:val="1"/>
    </w:lvl>
  </w:abstractNum>
  <w:abstractNum w:abstractNumId="51">
    <w:nsid w:val="6A5EE64"/>
    <w:multiLevelType w:val="hybridMultilevel"/>
    <w:lvl w:ilvl="0">
      <w:lvlJc w:val="left"/>
      <w:lvlText w:val="%1"/>
      <w:numFmt w:val="lowerLetter"/>
      <w:start w:val="1"/>
    </w:lvl>
    <w:lvl w:ilvl="1">
      <w:lvlJc w:val="left"/>
      <w:lvlText w:val="(%2)"/>
      <w:numFmt w:val="decimal"/>
      <w:start w:val="2"/>
    </w:lvl>
  </w:abstractNum>
  <w:abstractNum w:abstractNumId="52">
    <w:nsid w:val="14330624"/>
    <w:multiLevelType w:val="hybridMultilevel"/>
    <w:lvl w:ilvl="0">
      <w:lvlJc w:val="left"/>
      <w:lvlText w:val="(%1)"/>
      <w:numFmt w:val="lowerLetter"/>
      <w:start w:val="2"/>
    </w:lvl>
    <w:lvl w:ilvl="1">
      <w:lvlJc w:val="left"/>
      <w:lvlText w:val="%2"/>
      <w:numFmt w:val="decimal"/>
      <w:start w:val="1"/>
    </w:lvl>
  </w:abstractNum>
  <w:abstractNum w:abstractNumId="53">
    <w:nsid w:val="7FFFCA11"/>
    <w:multiLevelType w:val="hybridMultilevel"/>
    <w:lvl w:ilvl="0">
      <w:lvlJc w:val="left"/>
      <w:lvlText w:val="(%1)"/>
      <w:numFmt w:val="lowerLetter"/>
      <w:start w:val="4"/>
    </w:lvl>
  </w:abstractNum>
  <w:abstractNum w:abstractNumId="54">
    <w:nsid w:val="1A27709E"/>
    <w:multiLevelType w:val="hybridMultilevel"/>
    <w:lvl w:ilvl="0">
      <w:lvlJc w:val="left"/>
      <w:lvlText w:val="%1."/>
      <w:numFmt w:val="decimal"/>
      <w:start w:val="6"/>
    </w:lvl>
  </w:abstractNum>
  <w:abstractNum w:abstractNumId="55">
    <w:nsid w:val="71EA1109"/>
    <w:multiLevelType w:val="hybridMultilevel"/>
    <w:lvl w:ilvl="0">
      <w:lvlJc w:val="left"/>
      <w:lvlText w:val="%1."/>
      <w:numFmt w:val="decimal"/>
      <w:start w:val="7"/>
    </w:lvl>
  </w:abstractNum>
  <w:abstractNum w:abstractNumId="56">
    <w:nsid w:val="100F59DC"/>
    <w:multiLevelType w:val="hybridMultilevel"/>
    <w:lvl w:ilvl="0">
      <w:lvlJc w:val="left"/>
      <w:lvlText w:val="%1"/>
      <w:numFmt w:val="decimal"/>
      <w:start w:val="1"/>
    </w:lvl>
    <w:lvl w:ilvl="1">
      <w:lvlJc w:val="left"/>
      <w:lvlText w:val="(%2)"/>
      <w:numFmt w:val="lowerLetter"/>
      <w:start w:val="1"/>
    </w:lvl>
  </w:abstractNum>
  <w:abstractNum w:abstractNumId="57">
    <w:nsid w:val="7FB7E0AA"/>
    <w:multiLevelType w:val="hybridMultilevel"/>
    <w:lvl w:ilvl="0">
      <w:lvlJc w:val="left"/>
      <w:lvlText w:val="%1."/>
      <w:numFmt w:val="decimal"/>
      <w:start w:val="8"/>
    </w:lvl>
    <w:lvl w:ilvl="1">
      <w:lvlJc w:val="left"/>
      <w:lvlText w:val="%2"/>
      <w:numFmt w:val="lowerLetter"/>
      <w:start w:val="1"/>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decimal"/>
      <w:start w:val="10"/>
    </w:lvl>
  </w:abstractNum>
  <w:abstractNum w:abstractNumId="60">
    <w:nsid w:val="94211F2"/>
    <w:multiLevelType w:val="hybridMultilevel"/>
    <w:lvl w:ilvl="0">
      <w:lvlJc w:val="left"/>
      <w:lvlText w:val="%1."/>
      <w:numFmt w:val="decimal"/>
      <w:start w:val="1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6"/>
    </w:lvl>
  </w:abstractNum>
  <w:abstractNum w:abstractNumId="63">
    <w:nsid w:val="4C04A8AF"/>
    <w:multiLevelType w:val="hybridMultilevel"/>
    <w:lvl w:ilvl="0">
      <w:lvlJc w:val="left"/>
      <w:lvlText w:val="%1."/>
      <w:numFmt w:val="decimal"/>
      <w:start w:val="12"/>
    </w:lvl>
  </w:abstractNum>
  <w:abstractNum w:abstractNumId="64">
    <w:nsid w:val="1716703B"/>
    <w:multiLevelType w:val="hybridMultilevel"/>
    <w:lvl w:ilvl="0">
      <w:lvlJc w:val="left"/>
      <w:lvlText w:val="(%1)"/>
      <w:numFmt w:val="lowerLetter"/>
      <w:start w:val="1"/>
    </w:lvl>
  </w:abstractNum>
  <w:abstractNum w:abstractNumId="65">
    <w:nsid w:val="14E17E33"/>
    <w:multiLevelType w:val="hybridMultilevel"/>
    <w:lvl w:ilvl="0">
      <w:lvlJc w:val="left"/>
      <w:lvlText w:val="(%1)"/>
      <w:numFmt w:val="lowerLetter"/>
      <w:start w:val="1"/>
    </w:lvl>
  </w:abstractNum>
  <w:abstractNum w:abstractNumId="66">
    <w:nsid w:val="3222E7CD"/>
    <w:multiLevelType w:val="hybridMultilevel"/>
    <w:lvl w:ilvl="0">
      <w:lvlJc w:val="left"/>
      <w:lvlText w:val="(%1)"/>
      <w:numFmt w:val="lowerLetter"/>
      <w:start w:val="2"/>
    </w:lvl>
  </w:abstractNum>
  <w:abstractNum w:abstractNumId="67">
    <w:nsid w:val="74DE0EE3"/>
    <w:multiLevelType w:val="hybridMultilevel"/>
    <w:lvl w:ilvl="0">
      <w:lvlJc w:val="left"/>
      <w:lvlText w:val="%1."/>
      <w:numFmt w:val="decimal"/>
      <w:start w:val="13"/>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2"/>
    </w:lvl>
  </w:abstractNum>
  <w:abstractNum w:abstractNumId="70">
    <w:nsid w:val="46B7D447"/>
    <w:multiLevelType w:val="hybridMultilevel"/>
    <w:lvl w:ilvl="0">
      <w:lvlJc w:val="left"/>
      <w:lvlText w:val="(%1)"/>
      <w:numFmt w:val="lowerLetter"/>
      <w:start w:val="3"/>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decimal"/>
      <w:start w:val="14"/>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decimal"/>
      <w:start w:val="10"/>
    </w:lvl>
  </w:abstractNum>
  <w:abstractNum w:abstractNumId="75">
    <w:nsid w:val="43F18422"/>
    <w:multiLevelType w:val="hybridMultilevel"/>
    <w:lvl w:ilvl="0">
      <w:lvlJc w:val="left"/>
      <w:lvlText w:val="(%1)"/>
      <w:numFmt w:val="lowerRoman"/>
      <w:start w:val="1"/>
    </w:lvl>
  </w:abstractNum>
  <w:abstractNum w:abstractNumId="76">
    <w:nsid w:val="60EF0119"/>
    <w:multiLevelType w:val="hybridMultilevel"/>
    <w:lvl w:ilvl="0">
      <w:lvlJc w:val="left"/>
      <w:lvlText w:val="%1."/>
      <w:numFmt w:val="decimal"/>
      <w:start w:val="15"/>
    </w:lvl>
  </w:abstractNum>
  <w:abstractNum w:abstractNumId="77">
    <w:nsid w:val="26F324BA"/>
    <w:multiLevelType w:val="hybridMultilevel"/>
    <w:lvl w:ilvl="0">
      <w:lvlJc w:val="left"/>
      <w:lvlText w:val="-"/>
      <w:numFmt w:val="bullet"/>
      <w:start w:val="1"/>
    </w:lvl>
    <w:lvl w:ilvl="1">
      <w:lvlJc w:val="left"/>
      <w:lvlText w:val="(%2)"/>
      <w:numFmt w:val="lowerLetter"/>
      <w:start w:val="1"/>
    </w:lvl>
  </w:abstractNum>
  <w:abstractNum w:abstractNumId="78">
    <w:nsid w:val="7F01579B"/>
    <w:multiLevelType w:val="hybridMultilevel"/>
    <w:lvl w:ilvl="0">
      <w:lvlJc w:val="left"/>
      <w:lvlText w:val="-"/>
      <w:numFmt w:val="bullet"/>
      <w:start w:val="1"/>
    </w:lvl>
    <w:lvl w:ilvl="1">
      <w:lvlJc w:val="left"/>
      <w:lvlText w:val="(%2)"/>
      <w:numFmt w:val="lowerLetter"/>
      <w:start w:val="4"/>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decimal"/>
      <w:start w:val="16"/>
    </w:lvl>
  </w:abstractNum>
  <w:abstractNum w:abstractNumId="81">
    <w:nsid w:val="5FB8370B"/>
    <w:multiLevelType w:val="hybridMultilevel"/>
    <w:lvl w:ilvl="0">
      <w:lvlJc w:val="left"/>
      <w:lvlText w:val="%1."/>
      <w:numFmt w:val="decimal"/>
      <w:start w:val="17"/>
    </w:lvl>
  </w:abstractNum>
  <w:abstractNum w:abstractNumId="82">
    <w:nsid w:val="50801EE1"/>
    <w:multiLevelType w:val="hybridMultilevel"/>
    <w:lvl w:ilvl="0">
      <w:lvlJc w:val="left"/>
      <w:lvlText w:val="%1."/>
      <w:numFmt w:val="decimal"/>
      <w:start w:val="20"/>
    </w:lvl>
  </w:abstractNum>
  <w:abstractNum w:abstractNumId="83">
    <w:nsid w:val="488AC1A"/>
    <w:multiLevelType w:val="hybridMultilevel"/>
    <w:lvl w:ilvl="0">
      <w:lvlJc w:val="left"/>
      <w:lvlText w:val="(%1)"/>
      <w:numFmt w:val="decimal"/>
      <w:start w:val="30"/>
    </w:lvl>
  </w:abstractNum>
  <w:abstractNum w:abstractNumId="84">
    <w:nsid w:val="5FB8011C"/>
    <w:multiLevelType w:val="hybridMultilevel"/>
    <w:lvl w:ilvl="0">
      <w:lvlJc w:val="left"/>
      <w:lvlText w:val="%1."/>
      <w:numFmt w:val="decimal"/>
      <w:start w:val="21"/>
    </w:lvl>
  </w:abstractNum>
  <w:abstractNum w:abstractNumId="85">
    <w:nsid w:val="6AA78F7F"/>
    <w:multiLevelType w:val="hybridMultilevel"/>
    <w:lvl w:ilvl="0">
      <w:lvlJc w:val="left"/>
      <w:lvlText w:val="%1."/>
      <w:numFmt w:val="decimal"/>
      <w:start w:val="22"/>
    </w:lvl>
  </w:abstractNum>
  <w:abstractNum w:abstractNumId="86">
    <w:nsid w:val="7672BD23"/>
    <w:multiLevelType w:val="hybridMultilevel"/>
    <w:lvl w:ilvl="0">
      <w:lvlJc w:val="left"/>
      <w:lvlText w:val="%1."/>
      <w:numFmt w:val="decimal"/>
      <w:start w:val="23"/>
    </w:lvl>
  </w:abstractNum>
  <w:abstractNum w:abstractNumId="87">
    <w:nsid w:val="6FC75AF8"/>
    <w:multiLevelType w:val="hybridMultilevel"/>
    <w:lvl w:ilvl="0">
      <w:lvlJc w:val="left"/>
      <w:lvlText w:val="%1."/>
      <w:numFmt w:val="decimal"/>
      <w:start w:val="26"/>
    </w:lvl>
  </w:abstractNum>
  <w:abstractNum w:abstractNumId="88">
    <w:nsid w:val="6A5F7029"/>
    <w:multiLevelType w:val="hybridMultilevel"/>
    <w:lvl w:ilvl="0">
      <w:lvlJc w:val="left"/>
      <w:lvlText w:val="%1."/>
      <w:numFmt w:val="decimal"/>
      <w:start w:val="29"/>
    </w:lvl>
  </w:abstractNum>
  <w:abstractNum w:abstractNumId="89">
    <w:nsid w:val="7D5E18F8"/>
    <w:multiLevelType w:val="hybridMultilevel"/>
    <w:lvl w:ilvl="0">
      <w:lvlJc w:val="left"/>
      <w:lvlText w:val="%1."/>
      <w:numFmt w:val="decimal"/>
      <w:start w:val="30"/>
    </w:lvl>
  </w:abstractNum>
  <w:abstractNum w:abstractNumId="90">
    <w:nsid w:val="5F3534A4"/>
    <w:multiLevelType w:val="hybridMultilevel"/>
    <w:lvl w:ilvl="0">
      <w:lvlJc w:val="left"/>
      <w:lvlText w:val="%1."/>
      <w:numFmt w:val="decimal"/>
      <w:start w:val="34"/>
    </w:lvl>
  </w:abstractNum>
  <w:abstractNum w:abstractNumId="91">
    <w:nsid w:val="73A1821B"/>
    <w:multiLevelType w:val="hybridMultilevel"/>
    <w:lvl w:ilvl="0">
      <w:lvlJc w:val="left"/>
      <w:lvlText w:val="%1."/>
      <w:numFmt w:val="decimal"/>
      <w:start w:val="36"/>
    </w:lvl>
  </w:abstractNum>
  <w:abstractNum w:abstractNumId="92">
    <w:nsid w:val="7DE67713"/>
    <w:multiLevelType w:val="hybridMultilevel"/>
    <w:lvl w:ilvl="0">
      <w:lvlJc w:val="left"/>
      <w:lvlText w:val="%1."/>
      <w:numFmt w:val="upperLetter"/>
      <w:start w:val="1"/>
    </w:lvl>
  </w:abstractNum>
  <w:abstractNum w:abstractNumId="93">
    <w:nsid w:val="555C55B5"/>
    <w:multiLevelType w:val="hybridMultilevel"/>
    <w:lvl w:ilvl="0">
      <w:lvlJc w:val="left"/>
      <w:lvlText w:val="%1."/>
      <w:numFmt w:val="upperLetter"/>
      <w:start w:val="1"/>
    </w:lvl>
  </w:abstractNum>
  <w:abstractNum w:abstractNumId="94">
    <w:nsid w:val="3FA62ACA"/>
    <w:multiLevelType w:val="hybridMultilevel"/>
    <w:lvl w:ilvl="0">
      <w:lvlJc w:val="left"/>
      <w:lvlText w:val="%1."/>
      <w:numFmt w:val="decimal"/>
      <w:start w:val="1"/>
    </w:lvl>
  </w:abstractNum>
  <w:abstractNum w:abstractNumId="95">
    <w:nsid w:val="14FCE74E"/>
    <w:multiLevelType w:val="hybridMultilevel"/>
    <w:lvl w:ilvl="0">
      <w:lvlJc w:val="left"/>
      <w:lvlText w:val="%1."/>
      <w:numFmt w:val="decimal"/>
      <w:start w:val="3"/>
    </w:lvl>
    <w:lvl w:ilvl="1">
      <w:lvlJc w:val="left"/>
      <w:lvlText w:val="(%2)"/>
      <w:numFmt w:val="lowerLetter"/>
      <w:start w:val="1"/>
    </w:lvl>
  </w:abstractNum>
  <w:abstractNum w:abstractNumId="96">
    <w:nsid w:val="6A3DD3E8"/>
    <w:multiLevelType w:val="hybridMultilevel"/>
    <w:lvl w:ilvl="0">
      <w:lvlJc w:val="left"/>
      <w:lvlText w:val="%1."/>
      <w:numFmt w:val="decimal"/>
      <w:start w:val="5"/>
    </w:lvl>
  </w:abstractNum>
  <w:abstractNum w:abstractNumId="97">
    <w:nsid w:val="71C91298"/>
    <w:multiLevelType w:val="hybridMultilevel"/>
    <w:lvl w:ilvl="0">
      <w:lvlJc w:val="left"/>
      <w:lvlText w:val="(%1)"/>
      <w:numFmt w:val="lowerLetter"/>
      <w:start w:val="1"/>
    </w:lvl>
    <w:lvl w:ilvl="1">
      <w:lvlJc w:val="left"/>
      <w:lvlText w:val="(%2)"/>
      <w:numFmt w:val="lowerRoman"/>
      <w:start w:val="1"/>
    </w:lvl>
  </w:abstractNum>
  <w:abstractNum w:abstractNumId="98">
    <w:nsid w:val="9DAF632"/>
    <w:multiLevelType w:val="hybridMultilevel"/>
    <w:lvl w:ilvl="0">
      <w:lvlJc w:val="left"/>
      <w:lvlText w:val="%1"/>
      <w:numFmt w:val="decimal"/>
      <w:start w:val="1"/>
    </w:lvl>
    <w:lvl w:ilvl="1">
      <w:lvlJc w:val="left"/>
      <w:lvlText w:val="(%2)"/>
      <w:numFmt w:val="lowerLetter"/>
      <w:start w:val="8"/>
    </w:lvl>
  </w:abstractNum>
  <w:abstractNum w:abstractNumId="99">
    <w:nsid w:val="53299938"/>
    <w:multiLevelType w:val="hybridMultilevel"/>
    <w:lvl w:ilvl="0">
      <w:lvlJc w:val="left"/>
      <w:lvlText w:val="%1."/>
      <w:numFmt w:val="decimal"/>
      <w:start w:val="9"/>
    </w:lvl>
    <w:lvl w:ilvl="1">
      <w:lvlJc w:val="left"/>
      <w:lvlText w:val="(%2)"/>
      <w:numFmt w:val="lowerLetter"/>
      <w:start w:val="1"/>
    </w:lvl>
  </w:abstractNum>
  <w:abstractNum w:abstractNumId="100">
    <w:nsid w:val="1FBFE8E0"/>
    <w:multiLevelType w:val="hybridMultilevel"/>
    <w:lvl w:ilvl="0">
      <w:lvlJc w:val="left"/>
      <w:lvlText w:val="%1"/>
      <w:numFmt w:val="decimal"/>
      <w:start w:val="1"/>
    </w:lvl>
    <w:lvl w:ilvl="1">
      <w:lvlJc w:val="left"/>
      <w:lvlText w:val="(%2)"/>
      <w:numFmt w:val="lowerLetter"/>
      <w:start w:val="2"/>
    </w:lvl>
  </w:abstractNum>
  <w:abstractNum w:abstractNumId="101">
    <w:nsid w:val="5092CA79"/>
    <w:multiLevelType w:val="hybridMultilevel"/>
    <w:lvl w:ilvl="0">
      <w:lvlJc w:val="left"/>
      <w:lvlText w:val="%1."/>
      <w:numFmt w:val="decimal"/>
      <w:start w:val="12"/>
    </w:lvl>
    <w:lvl w:ilvl="1">
      <w:lvlJc w:val="left"/>
      <w:lvlText w:val="%2"/>
      <w:numFmt w:val="lowerLetter"/>
      <w:start w:val="1"/>
    </w:lvl>
  </w:abstractNum>
  <w:abstractNum w:abstractNumId="102">
    <w:nsid w:val="1D545C4D"/>
    <w:multiLevelType w:val="hybridMultilevel"/>
    <w:lvl w:ilvl="0">
      <w:lvlJc w:val="left"/>
      <w:lvlText w:val="%1"/>
      <w:numFmt w:val="upperLetter"/>
      <w:start w:val="1"/>
    </w:lvl>
    <w:lvl w:ilvl="1">
      <w:lvlJc w:val="left"/>
      <w:lvlText w:val="%2."/>
      <w:numFmt w:val="decimal"/>
      <w:start w:val="13"/>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3">
    <w:nsid w:val="59ADEA3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4"/>
    </w:lvl>
    <w:lvl w:ilvl="4">
      <w:lvlJc w:val="left"/>
      <w:lvlText w:val="(%5)"/>
      <w:numFmt w:val="lowerRoman"/>
      <w:start w:val="3"/>
    </w:lvl>
  </w:abstractNum>
  <w:abstractNum w:abstractNumId="104">
    <w:nsid w:val="288F1A34"/>
    <w:multiLevelType w:val="hybridMultilevel"/>
    <w:lvl w:ilvl="0">
      <w:lvlJc w:val="left"/>
      <w:lvlText w:val="(%1)"/>
      <w:numFmt w:val="lowerLetter"/>
      <w:start w:val="2"/>
    </w:lvl>
  </w:abstractNum>
  <w:abstractNum w:abstractNumId="105">
    <w:nsid w:val="2A155DBC"/>
    <w:multiLevelType w:val="hybridMultilevel"/>
    <w:lvl w:ilvl="0">
      <w:lvlJc w:val="left"/>
      <w:lvlText w:val="(%1)"/>
      <w:numFmt w:val="lowerLetter"/>
      <w:start w:val="7"/>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lowerRoman"/>
      <w:start w:val="2"/>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2" Type="http://schemas.openxmlformats.org/officeDocument/2006/relationships/image" Target="media/image103.png"/><Relationship Id="rId138"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jpe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110" Type="http://schemas.openxmlformats.org/officeDocument/2006/relationships/hyperlink" Target="http://www.sec.gov/Archives/edgar/data/1743759/000119312520254569/d65933dex31.htm" TargetMode="External"/><Relationship Id="rId111" Type="http://schemas.openxmlformats.org/officeDocument/2006/relationships/hyperlink" Target="http://www.sec.gov/Archives/edgar/data/1743759/000119312520254569/d65933dex32.htm" TargetMode="External"/><Relationship Id="rId112" Type="http://schemas.openxmlformats.org/officeDocument/2006/relationships/hyperlink" Target="http://www.sec.gov/Archives/edgar/data/1743759/000119312520248527/d507744dex42.htm" TargetMode="External"/><Relationship Id="rId113" Type="http://schemas.openxmlformats.org/officeDocument/2006/relationships/hyperlink" Target="http://www.sec.gov/Archives/edgar/data/0001743759/000156459021012507/crsr-ex43_1280.htm" TargetMode="External"/><Relationship Id="rId114" Type="http://schemas.openxmlformats.org/officeDocument/2006/relationships/hyperlink" Target="http://www.sec.gov/Archives/edgar/data/0001743759/000119312520248527/d507744dex43.htm" TargetMode="External"/><Relationship Id="rId115" Type="http://schemas.openxmlformats.org/officeDocument/2006/relationships/hyperlink" Target="http://www.sec.gov/Archives/edgar/data/0001743759/000119312520244634/d507744dex44.htm" TargetMode="External"/><Relationship Id="rId116" Type="http://schemas.openxmlformats.org/officeDocument/2006/relationships/hyperlink" Target="http://www.sec.gov/Archives/edgar/data/1743759/000119312520227100/d507744dex101.htm" TargetMode="External"/><Relationship Id="rId117" Type="http://schemas.openxmlformats.org/officeDocument/2006/relationships/hyperlink" Target="http://www.sec.gov/Archives/edgar/data/1743759/000119312520248527/d507744dex102.htm" TargetMode="External"/><Relationship Id="rId118" Type="http://schemas.openxmlformats.org/officeDocument/2006/relationships/hyperlink" Target="http://www.sec.gov/Archives/edgar/data/1743759/000119312520227100/d507744dex102a.htm" TargetMode="External"/><Relationship Id="rId119" Type="http://schemas.openxmlformats.org/officeDocument/2006/relationships/hyperlink" Target="http://www.sec.gov/Archives/edgar/data/1743759/000119312520227100/d507744dex102b.htm" TargetMode="External"/><Relationship Id="rId120" Type="http://schemas.openxmlformats.org/officeDocument/2006/relationships/hyperlink" Target="http://www.sec.gov/Archives/edgar/data/0001743759/000119312520244634/d507744dex103.htm" TargetMode="External"/><Relationship Id="rId121" Type="http://schemas.openxmlformats.org/officeDocument/2006/relationships/hyperlink" Target="http://www.sec.gov/Archives/edgar/data/0001743759/000119312520244634/d507744dex103a.htm" TargetMode="External"/><Relationship Id="rId123" Type="http://schemas.openxmlformats.org/officeDocument/2006/relationships/hyperlink" Target="http://www.sec.gov/Archives/edgar/data/0001743759/000119312520244634/d507744dex103b.htm" TargetMode="External"/><Relationship Id="rId124" Type="http://schemas.openxmlformats.org/officeDocument/2006/relationships/hyperlink" Target="http://www.sec.gov/Archives/edgar/data/0001743759/000119312520244634/d507744dex103c.htm" TargetMode="External"/><Relationship Id="rId125" Type="http://schemas.openxmlformats.org/officeDocument/2006/relationships/hyperlink" Target="http://www.sec.gov/Archives/edgar/data/0001743759/000119312520244634/d507744dex104.htm" TargetMode="External"/><Relationship Id="rId126" Type="http://schemas.openxmlformats.org/officeDocument/2006/relationships/hyperlink" Target="http://www.sec.gov/Archives/edgar/data/1743759/000119312520227100/d507744dex105a.htm" TargetMode="External"/><Relationship Id="rId127" Type="http://schemas.openxmlformats.org/officeDocument/2006/relationships/hyperlink" Target="http://www.sec.gov/Archives/edgar/data/1743759/000119312520227100/d507744dex105b.htm" TargetMode="External"/><Relationship Id="rId128" Type="http://schemas.openxmlformats.org/officeDocument/2006/relationships/hyperlink" Target="http://www.sec.gov/Archives/edgar/data/1743759/000119312520227100/d507744dex105c.htm" TargetMode="External"/><Relationship Id="rId129" Type="http://schemas.openxmlformats.org/officeDocument/2006/relationships/hyperlink" Target="http://www.sec.gov/Archives/edgar/data/1743759/000119312520227100/d507744dex106a.htm" TargetMode="External"/><Relationship Id="rId130" Type="http://schemas.openxmlformats.org/officeDocument/2006/relationships/hyperlink" Target="http://www.sec.gov/Archives/edgar/data/1743759/000119312520227100/d507744dex106b.htm" TargetMode="External"/><Relationship Id="rId131" Type="http://schemas.openxmlformats.org/officeDocument/2006/relationships/hyperlink" Target="http://www.sec.gov/Archives/edgar/data/1743759/000119312520227100/d507744dex107.htm" TargetMode="External"/><Relationship Id="rId132" Type="http://schemas.openxmlformats.org/officeDocument/2006/relationships/hyperlink" Target="http://www.sec.gov/Archives/edgar/data/1743759/000119312520227100/d507744dex108a.htm" TargetMode="External"/><Relationship Id="rId133" Type="http://schemas.openxmlformats.org/officeDocument/2006/relationships/hyperlink" Target="http://www.sec.gov/Archives/edgar/data/1743759/000119312520227100/d507744dex108b.htm" TargetMode="External"/><Relationship Id="rId134" Type="http://schemas.openxmlformats.org/officeDocument/2006/relationships/hyperlink" Target="http://www.sec.gov/Archives/edgar/data/1743759/000119312520227100/d507744dex109.htm" TargetMode="External"/><Relationship Id="rId135" Type="http://schemas.openxmlformats.org/officeDocument/2006/relationships/hyperlink" Target="http://www.sec.gov/Archives/edgar/data/1743759/000119312520227100/d507744dex1010.htm" TargetMode="External"/><Relationship Id="rId136" Type="http://schemas.openxmlformats.org/officeDocument/2006/relationships/hyperlink" Target="http://www.sec.gov/Archives/edgar/data/1743759/000119312520227100/d507744dex1011.htm" TargetMode="External"/><Relationship Id="rId137" Type="http://schemas.openxmlformats.org/officeDocument/2006/relationships/hyperlink" Target="http://www.sec.gov/Archives/edgar/data/1743759/000119312520249552/d507744dex1012.htm" TargetMode="External"/><Relationship Id="rId139" Type="http://schemas.openxmlformats.org/officeDocument/2006/relationships/hyperlink" Target="http://www.sec.gov/Archives/edgar/data/1743759/000119312520249552/d507744dex1013.htm" TargetMode="External"/><Relationship Id="rId140" Type="http://schemas.openxmlformats.org/officeDocument/2006/relationships/hyperlink" Target="http://www.sec.gov/Archives/edgar/data/1743759/000119312520249552/d507744dex1014.htm" TargetMode="External"/><Relationship Id="rId141" Type="http://schemas.openxmlformats.org/officeDocument/2006/relationships/hyperlink" Target="http://www.sec.gov/Archives/edgar/data/1743759/000119312520261460/d153834dex101.htm" TargetMode="External"/><Relationship Id="rId142" Type="http://schemas.openxmlformats.org/officeDocument/2006/relationships/hyperlink" Target="http://www.sec.gov/Archives/edgar/data/0001743759/000156459021053537/crsr-ex101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2022-03-01T10:53:11Z</dcterms:created>
  <dcterms:modified xsi:type="dcterms:W3CDTF">2022-03-01T10:53:11Z</dcterms:modified>
</cp:coreProperties>
</file>