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 Thi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CORSAIR GAMING,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N. MCCARTHY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MILPITAS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Corsair Gaming, Inc.</w:t>
              </w:r>
            </w:hyperlink>
            <w:r>
              <w:rPr/>
              <w:t xml:space="preserve"> [ </w:t>
            </w:r>
            <w:r>
              <w:rPr>
                <w:rFonts w:ascii="Times;serif" w:hAnsi="Times;serif"/>
                <w:color w:val="0000FF"/>
                <w:sz w:val="24"/>
                <w:shd w:fill="FFFFFF" w:val="clear"/>
              </w:rPr>
              <w:t>CRSR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771,734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of in this Form 4 were withheld by the Issuer in accordance with the agreement governing the restricted stock units ("RSUs") to satisfy tax obligations of the Reporting Person resulting from the vesting and settlement of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Carina Tan, as attorney-in-fact-for Thi L. 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546" TargetMode="External"/><Relationship Id="rId5" Type="http://schemas.openxmlformats.org/officeDocument/2006/relationships/hyperlink" Target="http://www.sec.gov/cgi-bin/browse-edgar?action=getcompany&amp;CIK=00017437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3320</Characters>
  <CharactersWithSpaces>3866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