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crsr-20260507.htm"/>
      <w:bookmarkStart w:id="1" w:name="kscrsr20260507"/>
      <w:bookmarkEnd w:id="0"/>
      <w:bookmarkEnd w:id="1"/>
      <w:r>
        <w:rPr>
          <w:rFonts w:ascii="Times New Roman" w:hAnsi="Times New Roman"/>
          <w:b/>
          <w:color w:val="000000"/>
          <w:sz w:val="18"/>
        </w:rPr>
        <w:t>As filed with the Securities and Exchange Commission on May 7, 2026</w:t>
      </w:r>
      <w:r>
        <w:rPr>
          <w:rFonts w:ascii="Times New Roman" w:hAnsi="Times New Roman"/>
          <w:color w:val="000000"/>
          <w:sz w:val="20"/>
        </w:rPr>
        <w:t xml:space="preserve"> </w:t>
      </w:r>
    </w:p>
    <w:p>
      <w:pPr>
        <w:pStyle w:val="TextBody"/>
        <w:bidi w:val="0"/>
        <w:jc w:val="center"/>
        <w:rPr/>
      </w:pPr>
      <w:r>
        <w:rPr/>
        <w:t> </w:t>
      </w:r>
    </w:p>
    <w:p>
      <w:pPr>
        <w:pStyle w:val="TextBody"/>
        <w:bidi w:val="0"/>
        <w:jc w:val="right"/>
        <w:rPr>
          <w:rFonts w:ascii="Times New Roman" w:hAnsi="Times New Roman"/>
          <w:b/>
          <w:color w:val="000000"/>
          <w:sz w:val="18"/>
        </w:rPr>
      </w:pPr>
      <w:r>
        <w:rPr>
          <w:rFonts w:ascii="Times New Roman" w:hAnsi="Times New Roman"/>
          <w:b/>
          <w:color w:val="000000"/>
          <w:sz w:val="18"/>
        </w:rPr>
        <w:t>Registration No. 333</w:t>
        <w:noBreakHyphen/>
      </w:r>
    </w:p>
    <w:p>
      <w:pPr>
        <w:pStyle w:val="TextBody"/>
        <w:pBdr>
          <w:top w:val="single" w:sz="24" w:space="1" w:color="000000"/>
          <w:bottom w:val="single" w:sz="8" w:space="1" w:color="000000"/>
        </w:pBdr>
        <w:bidi w:val="0"/>
        <w:jc w:val="both"/>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12" w:space="1" w:color="000000"/>
        </w:pBdr>
        <w:bidi w:val="0"/>
        <w:spacing w:before="0" w:after="10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S-8</w:t>
      </w:r>
    </w:p>
    <w:p>
      <w:pPr>
        <w:pStyle w:val="TextBody"/>
        <w:bidi w:val="0"/>
        <w:jc w:val="center"/>
        <w:rPr>
          <w:rFonts w:ascii="Times New Roman" w:hAnsi="Times New Roman"/>
          <w:b/>
          <w:color w:val="000000"/>
          <w:sz w:val="28"/>
        </w:rPr>
      </w:pPr>
      <w:r>
        <w:rPr>
          <w:rFonts w:ascii="Times New Roman" w:hAnsi="Times New Roman"/>
          <w:b/>
          <w:color w:val="000000"/>
          <w:sz w:val="28"/>
        </w:rPr>
        <w:t>REGISTRATION STATEMENT</w:t>
      </w:r>
    </w:p>
    <w:p>
      <w:pPr>
        <w:pStyle w:val="TextBody"/>
        <w:bidi w:val="0"/>
        <w:jc w:val="center"/>
        <w:rPr>
          <w:rFonts w:ascii="Times New Roman" w:hAnsi="Times New Roman"/>
          <w:b/>
          <w:i/>
          <w:color w:val="000000"/>
          <w:sz w:val="20"/>
        </w:rPr>
      </w:pPr>
      <w:r>
        <w:rPr>
          <w:rFonts w:ascii="Times New Roman" w:hAnsi="Times New Roman"/>
          <w:b/>
          <w:i/>
          <w:color w:val="000000"/>
          <w:sz w:val="20"/>
        </w:rPr>
        <w:t>UNDER</w:t>
      </w:r>
    </w:p>
    <w:p>
      <w:pPr>
        <w:pStyle w:val="TextBody"/>
        <w:bidi w:val="0"/>
        <w:jc w:val="center"/>
        <w:rPr>
          <w:rFonts w:ascii="Times New Roman" w:hAnsi="Times New Roman"/>
          <w:b/>
          <w:i/>
          <w:color w:val="000000"/>
          <w:sz w:val="24"/>
        </w:rPr>
      </w:pPr>
      <w:r>
        <w:rPr>
          <w:rFonts w:ascii="Times New Roman" w:hAnsi="Times New Roman"/>
          <w:b/>
          <w:i/>
          <w:color w:val="000000"/>
          <w:sz w:val="24"/>
        </w:rPr>
        <w:t>THE SECURITIES ACT OF 1933</w:t>
      </w:r>
    </w:p>
    <w:p>
      <w:pPr>
        <w:pStyle w:val="TextBody"/>
        <w:pBdr>
          <w:bottom w:val="single" w:sz="12" w:space="1" w:color="000000"/>
        </w:pBdr>
        <w:bidi w:val="0"/>
        <w:spacing w:before="0" w:after="10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Corsair Gaming,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jc w:val="both"/>
        <w:rPr/>
      </w:pPr>
      <w:r>
        <w:rPr/>
        <w:t> </w:t>
      </w:r>
    </w:p>
    <w:p>
      <w:pPr>
        <w:pStyle w:val="TextBody"/>
        <w:bidi w:val="0"/>
        <w:jc w:val="both"/>
        <w:rPr/>
      </w:pPr>
      <w:r>
        <w:rPr/>
        <w:t> </w:t>
      </w:r>
    </w:p>
    <w:tbl>
      <w:tblPr>
        <w:tblW w:w="3992" w:type="dxa"/>
        <w:jc w:val="left"/>
        <w:tblInd w:w="0" w:type="dxa"/>
        <w:tblLayout w:type="fixed"/>
        <w:tblCellMar>
          <w:top w:w="28" w:type="dxa"/>
          <w:left w:w="28" w:type="dxa"/>
          <w:bottom w:w="28" w:type="dxa"/>
          <w:right w:w="28" w:type="dxa"/>
        </w:tblCellMar>
      </w:tblPr>
      <w:tblGrid>
        <w:gridCol w:w="2236"/>
        <w:gridCol w:w="1756"/>
      </w:tblGrid>
      <w:tr>
        <w:trPr/>
        <w:tc>
          <w:tcPr>
            <w:tcW w:w="223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82-2335306</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(State or other jurisdiction of </w:t>
              <w:br/>
              <w:t>incorporation or organization)</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w:t>
              <w:br/>
              <w:t>Identification Number)</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736"/>
        <w:gridCol w:w="916"/>
      </w:tblGrid>
      <w:tr>
        <w:trPr/>
        <w:tc>
          <w:tcPr>
            <w:tcW w:w="373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115 N. McCarthy Boulevard</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Milpitas, California</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95035</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16"/>
              </w:rPr>
              <w:t>(Address of registrant’s principal executive offices)</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spacing w:before="0" w:after="100"/>
        <w:jc w:val="center"/>
        <w:rPr/>
      </w:pPr>
      <w:r>
        <w:rPr/>
        <w:t> </w:t>
      </w:r>
    </w:p>
    <w:p>
      <w:pPr>
        <w:pStyle w:val="TextBody"/>
        <w:pBdr>
          <w:bottom w:val="single" w:sz="12" w:space="1" w:color="000000"/>
        </w:pBdr>
        <w:bidi w:val="0"/>
        <w:spacing w:before="0" w:after="10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2020 Incentive Award Plan</w:t>
      </w:r>
    </w:p>
    <w:p>
      <w:pPr>
        <w:pStyle w:val="TextBody"/>
        <w:bidi w:val="0"/>
        <w:jc w:val="center"/>
        <w:rPr>
          <w:rFonts w:ascii="Times New Roman" w:hAnsi="Times New Roman"/>
          <w:b/>
          <w:color w:val="000000"/>
          <w:sz w:val="18"/>
        </w:rPr>
      </w:pPr>
      <w:r>
        <w:rPr>
          <w:rFonts w:ascii="Times New Roman" w:hAnsi="Times New Roman"/>
          <w:b/>
          <w:color w:val="000000"/>
          <w:sz w:val="18"/>
        </w:rPr>
        <w:t>2020 Employee Stock Purchase Plan</w:t>
      </w:r>
    </w:p>
    <w:p>
      <w:pPr>
        <w:pStyle w:val="TextBody"/>
        <w:bidi w:val="0"/>
        <w:jc w:val="center"/>
        <w:rPr>
          <w:rFonts w:ascii="Times New Roman" w:hAnsi="Times New Roman"/>
          <w:color w:val="000000"/>
          <w:sz w:val="16"/>
        </w:rPr>
      </w:pPr>
      <w:r>
        <w:rPr>
          <w:rFonts w:ascii="Times New Roman" w:hAnsi="Times New Roman"/>
          <w:color w:val="000000"/>
          <w:sz w:val="16"/>
        </w:rPr>
        <w:t>(Full Title of the Plan)</w:t>
      </w:r>
    </w:p>
    <w:p>
      <w:pPr>
        <w:pStyle w:val="TextBody"/>
        <w:pBdr>
          <w:bottom w:val="single" w:sz="12" w:space="1" w:color="000000"/>
        </w:pBdr>
        <w:bidi w:val="0"/>
        <w:spacing w:before="0" w:after="10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Thi L. La</w:t>
      </w:r>
    </w:p>
    <w:p>
      <w:pPr>
        <w:pStyle w:val="TextBody"/>
        <w:bidi w:val="0"/>
        <w:jc w:val="center"/>
        <w:rPr>
          <w:rFonts w:ascii="Times New Roman" w:hAnsi="Times New Roman"/>
          <w:sz w:val="20"/>
        </w:rPr>
      </w:pPr>
      <w:r>
        <w:rPr>
          <w:rFonts w:ascii="Times New Roman" w:hAnsi="Times New Roman"/>
          <w:b/>
          <w:color w:val="000000"/>
          <w:sz w:val="18"/>
        </w:rPr>
        <w:t>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Corsair Gaming, Inc.</w:t>
      </w:r>
    </w:p>
    <w:p>
      <w:pPr>
        <w:pStyle w:val="TextBody"/>
        <w:bidi w:val="0"/>
        <w:jc w:val="center"/>
        <w:rPr>
          <w:rFonts w:ascii="Times New Roman" w:hAnsi="Times New Roman"/>
          <w:b/>
          <w:color w:val="000000"/>
          <w:sz w:val="18"/>
        </w:rPr>
      </w:pPr>
      <w:r>
        <w:rPr>
          <w:rFonts w:ascii="Times New Roman" w:hAnsi="Times New Roman"/>
          <w:b/>
          <w:color w:val="000000"/>
          <w:sz w:val="18"/>
        </w:rPr>
        <w:t>115 N. McCarthy Boulevard</w:t>
      </w:r>
    </w:p>
    <w:p>
      <w:pPr>
        <w:pStyle w:val="TextBody"/>
        <w:bidi w:val="0"/>
        <w:jc w:val="center"/>
        <w:rPr>
          <w:rFonts w:ascii="Times New Roman" w:hAnsi="Times New Roman"/>
          <w:b/>
          <w:color w:val="000000"/>
          <w:sz w:val="18"/>
        </w:rPr>
      </w:pPr>
      <w:r>
        <w:rPr>
          <w:rFonts w:ascii="Times New Roman" w:hAnsi="Times New Roman"/>
          <w:b/>
          <w:color w:val="000000"/>
          <w:sz w:val="18"/>
        </w:rPr>
        <w:t>Milpitas, California 95035</w:t>
      </w:r>
    </w:p>
    <w:p>
      <w:pPr>
        <w:pStyle w:val="TextBody"/>
        <w:bidi w:val="0"/>
        <w:jc w:val="center"/>
        <w:rPr>
          <w:rFonts w:ascii="Times New Roman" w:hAnsi="Times New Roman"/>
          <w:color w:val="000000"/>
          <w:sz w:val="16"/>
        </w:rPr>
      </w:pPr>
      <w:r>
        <w:rPr>
          <w:rFonts w:ascii="Times New Roman" w:hAnsi="Times New Roman"/>
          <w:color w:val="000000"/>
          <w:sz w:val="16"/>
        </w:rPr>
        <w:t>(Name and address of agent for service)</w:t>
      </w:r>
    </w:p>
    <w:p>
      <w:pPr>
        <w:pStyle w:val="TextBody"/>
        <w:bidi w:val="0"/>
        <w:jc w:val="center"/>
        <w:rPr>
          <w:rFonts w:ascii="Times New Roman" w:hAnsi="Times New Roman"/>
          <w:b/>
          <w:color w:val="000000"/>
          <w:sz w:val="18"/>
        </w:rPr>
      </w:pPr>
      <w:r>
        <w:rPr>
          <w:rFonts w:ascii="Times New Roman" w:hAnsi="Times New Roman"/>
          <w:b/>
          <w:color w:val="000000"/>
          <w:sz w:val="18"/>
        </w:rPr>
        <w:t>(510) 657-8747</w:t>
      </w:r>
    </w:p>
    <w:p>
      <w:pPr>
        <w:pStyle w:val="TextBody"/>
        <w:bidi w:val="0"/>
        <w:jc w:val="center"/>
        <w:rPr>
          <w:rFonts w:ascii="Times New Roman" w:hAnsi="Times New Roman"/>
          <w:color w:val="000000"/>
          <w:sz w:val="16"/>
        </w:rPr>
      </w:pPr>
      <w:r>
        <w:rPr>
          <w:rFonts w:ascii="Times New Roman" w:hAnsi="Times New Roman"/>
          <w:color w:val="000000"/>
          <w:sz w:val="16"/>
        </w:rPr>
        <w:t>(Telephone number, including area code, of agent for service)</w:t>
      </w:r>
    </w:p>
    <w:p>
      <w:pPr>
        <w:pStyle w:val="TextBody"/>
        <w:pBdr>
          <w:bottom w:val="single" w:sz="12" w:space="1" w:color="000000"/>
        </w:pBdr>
        <w:bidi w:val="0"/>
        <w:spacing w:before="0" w:after="100"/>
        <w:jc w:val="center"/>
        <w:rPr/>
      </w:pPr>
      <w:r>
        <w:rPr/>
        <w:t> </w:t>
      </w:r>
    </w:p>
    <w:p>
      <w:pPr>
        <w:pStyle w:val="TextBody"/>
        <w:bidi w:val="0"/>
        <w:spacing w:before="0" w:after="40"/>
        <w:jc w:val="center"/>
        <w:rPr>
          <w:rFonts w:ascii="Times New Roman" w:hAnsi="Times New Roman"/>
          <w:b/>
          <w:i/>
          <w:color w:val="000000"/>
          <w:sz w:val="16"/>
        </w:rPr>
      </w:pPr>
      <w:r>
        <w:rPr>
          <w:rFonts w:ascii="Times New Roman" w:hAnsi="Times New Roman"/>
          <w:b/>
          <w:i/>
          <w:color w:val="000000"/>
          <w:sz w:val="16"/>
        </w:rPr>
        <w:t>Copies to:</w:t>
      </w:r>
    </w:p>
    <w:p>
      <w:pPr>
        <w:pStyle w:val="TextBody"/>
        <w:bidi w:val="0"/>
        <w:jc w:val="both"/>
        <w:rPr/>
      </w:pPr>
      <w:r>
        <w:rPr/>
        <w:t> </w:t>
      </w:r>
    </w:p>
    <w:tbl>
      <w:tblPr>
        <w:tblW w:w="4892" w:type="dxa"/>
        <w:jc w:val="left"/>
        <w:tblInd w:w="0" w:type="dxa"/>
        <w:tblLayout w:type="fixed"/>
        <w:tblCellMar>
          <w:top w:w="28" w:type="dxa"/>
          <w:left w:w="28" w:type="dxa"/>
          <w:bottom w:w="28" w:type="dxa"/>
          <w:right w:w="28" w:type="dxa"/>
        </w:tblCellMar>
      </w:tblPr>
      <w:tblGrid>
        <w:gridCol w:w="2566"/>
        <w:gridCol w:w="2326"/>
      </w:tblGrid>
      <w:tr>
        <w:trPr/>
        <w:tc>
          <w:tcPr>
            <w:tcW w:w="256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Phillip S. Stoup, Esq.</w:t>
            </w:r>
          </w:p>
          <w:p>
            <w:pPr>
              <w:pStyle w:val="TableContents"/>
              <w:bidi w:val="0"/>
              <w:spacing w:before="0" w:after="283"/>
              <w:jc w:val="center"/>
              <w:rPr>
                <w:rFonts w:ascii="Times New Roman" w:hAnsi="Times New Roman"/>
                <w:sz w:val="18"/>
              </w:rPr>
            </w:pPr>
            <w:r>
              <w:rPr>
                <w:rFonts w:ascii="Times New Roman" w:hAnsi="Times New Roman"/>
                <w:b/>
                <w:color w:val="000000"/>
                <w:sz w:val="18"/>
              </w:rPr>
              <w:t>Shira Oyserman, Esq.</w:t>
              <w:br/>
              <w:t>Freshfields US LLP</w:t>
              <w:br/>
              <w:t>One Bush Street, 17</w:t>
            </w:r>
            <w:r>
              <w:rPr>
                <w:rFonts w:ascii="Times New Roman" w:hAnsi="Times New Roman"/>
                <w:b/>
                <w:color w:val="000000"/>
                <w:sz w:val="12"/>
              </w:rPr>
              <w:t>th</w:t>
            </w:r>
            <w:r>
              <w:rPr>
                <w:rFonts w:ascii="Times New Roman" w:hAnsi="Times New Roman"/>
                <w:color w:val="000000"/>
                <w:sz w:val="18"/>
              </w:rPr>
              <w:t> </w:t>
            </w:r>
            <w:r>
              <w:rPr>
                <w:rFonts w:ascii="Times New Roman" w:hAnsi="Times New Roman"/>
                <w:b/>
                <w:color w:val="000000"/>
                <w:sz w:val="18"/>
              </w:rPr>
              <w:t>Floor</w:t>
              <w:br/>
              <w:t>San Francisco, California 94104</w:t>
              <w:br/>
              <w:t> (415) 400-2200</w:t>
            </w:r>
          </w:p>
        </w:tc>
        <w:tc>
          <w:tcPr>
            <w:tcW w:w="23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 xml:space="preserve">Gordon Mattingly </w:t>
              <w:br/>
              <w:t>Chief Financial Officer</w:t>
              <w:br/>
              <w:t>115 N. McCarthy Boulevard</w:t>
            </w:r>
          </w:p>
          <w:p>
            <w:pPr>
              <w:pStyle w:val="TableContents"/>
              <w:bidi w:val="0"/>
              <w:jc w:val="center"/>
              <w:rPr>
                <w:rFonts w:ascii="Times New Roman" w:hAnsi="Times New Roman"/>
                <w:sz w:val="18"/>
              </w:rPr>
            </w:pPr>
            <w:r>
              <w:rPr>
                <w:rFonts w:ascii="Times New Roman" w:hAnsi="Times New Roman"/>
                <w:b/>
                <w:color w:val="000000"/>
                <w:sz w:val="18"/>
              </w:rPr>
              <w:t>Milpitas, California 95035</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(510) 657-8747</w:t>
            </w:r>
          </w:p>
        </w:tc>
      </w:tr>
    </w:tbl>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tbl>
      <w:tblPr>
        <w:tblW w:w="4609" w:type="dxa"/>
        <w:jc w:val="left"/>
        <w:tblInd w:w="0" w:type="dxa"/>
        <w:tblLayout w:type="fixed"/>
        <w:tblCellMar>
          <w:top w:w="28" w:type="dxa"/>
          <w:left w:w="28" w:type="dxa"/>
          <w:bottom w:w="28" w:type="dxa"/>
          <w:right w:w="28" w:type="dxa"/>
        </w:tblCellMar>
      </w:tblPr>
      <w:tblGrid>
        <w:gridCol w:w="1771"/>
        <w:gridCol w:w="376"/>
        <w:gridCol w:w="210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6"/>
              </w:rPr>
            </w:pPr>
            <w:r>
              <w:rPr>
                <w:rFonts w:ascii="Times New Roman" w:hAnsi="Times New Roman"/>
                <w:b/>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120" w:after="20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center"/>
        <w:rPr/>
      </w:pPr>
      <w:r>
        <w:rPr/>
        <w:t> </w:t>
      </w:r>
    </w:p>
    <w:p>
      <w:pPr>
        <w:pStyle w:val="TextBody"/>
        <w:pBdr>
          <w:top w:val="single" w:sz="8" w:space="1" w:color="000000"/>
          <w:bottom w:val="single" w:sz="24" w:space="1" w:color="000000"/>
        </w:pBdr>
        <w:bidi w:val="0"/>
        <w:jc w:val="both"/>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Registration Statement on Form S-8 is being filed by Corsair Gaming, Inc. (the “Registrant”) for the purpose of registering an additional 5,331,942 shares of the Registrant’s common stock issuable under the following employee benefit plans for which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0"/>
        </w:rPr>
        <w:t xml:space="preserve">Registration Statements of the Registrant on Form S-8 (File Nos. </w:t>
      </w:r>
      <w:hyperlink r:id="rId2">
        <w:r>
          <w:rPr>
            <w:rStyle w:val="InternetLink"/>
            <w:rFonts w:ascii="Times New Roman" w:hAnsi="Times New Roman"/>
            <w:color w:val="0000FF"/>
            <w:sz w:val="20"/>
            <w:u w:val="single"/>
          </w:rPr>
          <w:t>333-289368</w:t>
        </w:r>
      </w:hyperlink>
      <w:r>
        <w:rPr>
          <w:rFonts w:ascii="Times New Roman" w:hAnsi="Times New Roman"/>
          <w:color w:val="000000"/>
          <w:sz w:val="20"/>
        </w:rPr>
        <w:t xml:space="preserve">, </w:t>
      </w:r>
      <w:hyperlink r:id="rId3">
        <w:r>
          <w:rPr>
            <w:rStyle w:val="InternetLink"/>
            <w:rFonts w:ascii="Times New Roman" w:hAnsi="Times New Roman"/>
            <w:color w:val="0000FF"/>
            <w:sz w:val="20"/>
            <w:u w:val="single"/>
          </w:rPr>
          <w:t>333-279188</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333-271812</w:t>
        </w:r>
      </w:hyperlink>
      <w:r>
        <w:rPr>
          <w:rFonts w:ascii="Times New Roman" w:hAnsi="Times New Roman"/>
          <w:color w:val="000000"/>
          <w:sz w:val="20"/>
        </w:rPr>
        <w:t xml:space="preserve">, </w:t>
      </w:r>
      <w:hyperlink r:id="rId5">
        <w:r>
          <w:rPr>
            <w:rStyle w:val="InternetLink"/>
            <w:rFonts w:ascii="Times New Roman" w:hAnsi="Times New Roman"/>
            <w:color w:val="0000FF"/>
            <w:sz w:val="20"/>
            <w:u w:val="single"/>
          </w:rPr>
          <w:t>333-264772</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333-254142</w:t>
        </w:r>
      </w:hyperlink>
      <w:r>
        <w:rPr>
          <w:rFonts w:ascii="Times New Roman" w:hAnsi="Times New Roman"/>
          <w:color w:val="000000"/>
          <w:sz w:val="20"/>
        </w:rPr>
        <w:t xml:space="preserve">, and </w:t>
      </w:r>
      <w:hyperlink r:id="rId7">
        <w:r>
          <w:rPr>
            <w:rStyle w:val="InternetLink"/>
            <w:rFonts w:ascii="Times New Roman" w:hAnsi="Times New Roman"/>
            <w:color w:val="0000FF"/>
            <w:sz w:val="20"/>
            <w:u w:val="single"/>
          </w:rPr>
          <w:t>333-249065</w:t>
        </w:r>
      </w:hyperlink>
      <w:r>
        <w:rPr>
          <w:rFonts w:ascii="Times New Roman" w:hAnsi="Times New Roman"/>
          <w:color w:val="000000"/>
          <w:sz w:val="20"/>
        </w:rPr>
        <w:t>, collectively, the “Previous Form S-8s”) are effective: (i) the 2020 Incentive Award Plan, as a result of the operation of an automatic annual increase provision therein, which added 4,265,554 shares of common stock and (ii) the 2020 Employee Stock Purchase Plan, as a result of the operation of an automatic annual increase provision therein, which added 1,066,388 shares of common stock.</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INCORPORATION BY REFERENCE OF CONTENTS OF REGISTRATION STATEMENT ON FORM S-8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Instruction E of Form S-8, the contents of the Previous Form S-8s previously filed with the Securities and Exchange Commission are incorporated by reference herein.</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56"/>
        <w:gridCol w:w="147"/>
        <w:gridCol w:w="5905"/>
        <w:gridCol w:w="146"/>
        <w:gridCol w:w="539"/>
        <w:gridCol w:w="146"/>
        <w:gridCol w:w="659"/>
        <w:gridCol w:w="146"/>
        <w:gridCol w:w="786"/>
        <w:gridCol w:w="146"/>
        <w:gridCol w:w="829"/>
      </w:tblGrid>
      <w:tr>
        <w:trPr/>
        <w:tc>
          <w:tcPr>
            <w:tcW w:w="7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7"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c>
          <w:tcPr>
            <w:tcW w:w="5905" w:type="dxa"/>
            <w:tcBorders/>
            <w:tcMar>
              <w:top w:w="0" w:type="dxa"/>
              <w:left w:w="0" w:type="dxa"/>
              <w:bottom w:w="0" w:type="dxa"/>
              <w:right w:w="0" w:type="dxa"/>
            </w:tcMar>
            <w:vAlign w:val="center"/>
          </w:tcPr>
          <w:p>
            <w:pPr>
              <w:pStyle w:val="TableContents"/>
              <w:bidi w:val="0"/>
              <w:spacing w:before="0" w:after="283"/>
              <w:ind w:left="0" w:right="0" w:firstLine="1"/>
              <w:jc w:val="left"/>
              <w:rPr/>
            </w:pPr>
            <w:hyperlink r:id="rId8">
              <w:r>
                <w:rPr>
                  <w:rStyle w:val="InternetLink"/>
                  <w:rFonts w:ascii="Times New Roman" w:hAnsi="Times New Roman"/>
                  <w:color w:val="0000FF"/>
                  <w:sz w:val="20"/>
                  <w:u w:val="single"/>
                </w:rPr>
                <w:t>Second Amended and Restated Certificate of Incorporation</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09/25/2020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7" w:type="dxa"/>
            <w:tcBorders/>
            <w:tcMar>
              <w:top w:w="0" w:type="dxa"/>
              <w:left w:w="0" w:type="dxa"/>
              <w:bottom w:w="0" w:type="dxa"/>
              <w:right w:w="0" w:type="dxa"/>
            </w:tcMar>
            <w:vAlign w:val="center"/>
          </w:tcPr>
          <w:p>
            <w:pPr>
              <w:pStyle w:val="TableContents"/>
              <w:bidi w:val="0"/>
              <w:spacing w:before="0" w:after="283"/>
              <w:ind w:left="0" w:right="0" w:firstLine="1"/>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ind w:left="0" w:right="0" w:firstLine="1"/>
              <w:jc w:val="left"/>
              <w:rPr/>
            </w:pPr>
            <w:hyperlink r:id="rId9">
              <w:r>
                <w:rPr>
                  <w:rStyle w:val="InternetLink"/>
                  <w:rFonts w:ascii="Times New Roman" w:hAnsi="Times New Roman"/>
                  <w:color w:val="0000FF"/>
                  <w:sz w:val="20"/>
                  <w:u w:val="single"/>
                </w:rPr>
                <w:t>Amended and Restated Bylaws</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09/25/2020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7" w:type="dxa"/>
            <w:tcBorders/>
            <w:tcMar>
              <w:top w:w="0" w:type="dxa"/>
              <w:left w:w="0" w:type="dxa"/>
              <w:bottom w:w="0" w:type="dxa"/>
              <w:right w:w="0" w:type="dxa"/>
            </w:tcMar>
            <w:vAlign w:val="center"/>
          </w:tcPr>
          <w:p>
            <w:pPr>
              <w:pStyle w:val="TableContents"/>
              <w:bidi w:val="0"/>
              <w:spacing w:before="0" w:after="283"/>
              <w:ind w:left="0" w:right="0" w:firstLine="1"/>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ind w:left="0" w:right="0" w:firstLine="1"/>
              <w:jc w:val="left"/>
              <w:rPr/>
            </w:pPr>
            <w:hyperlink r:id="rId10">
              <w:r>
                <w:rPr>
                  <w:rStyle w:val="InternetLink"/>
                  <w:rFonts w:ascii="Times New Roman" w:hAnsi="Times New Roman"/>
                  <w:color w:val="0000FF"/>
                  <w:sz w:val="20"/>
                  <w:u w:val="single"/>
                </w:rPr>
                <w:t>Form of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t>
              <w:noBreakHyphen/>
              <w:t>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w:anchor="crsr-ex5_1.htm">
              <w:r>
                <w:rPr>
                  <w:rStyle w:val="InternetLink"/>
                  <w:rFonts w:ascii="Times New Roman" w:hAnsi="Times New Roman"/>
                  <w:color w:val="0000FF"/>
                  <w:sz w:val="20"/>
                  <w:u w:val="single"/>
                </w:rPr>
                <w:t>Opinion of Freshfields US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w:anchor="crsr-ex5_1.htm">
              <w:r>
                <w:rPr>
                  <w:rStyle w:val="InternetLink"/>
                  <w:rFonts w:ascii="Times New Roman" w:hAnsi="Times New Roman"/>
                  <w:color w:val="0000FF"/>
                  <w:sz w:val="20"/>
                  <w:u w:val="single"/>
                </w:rPr>
                <w:t>Consent of Freshfields US LLP (included in Exhibit 5.1).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w:anchor="crsr-ex23_2.htm">
              <w:r>
                <w:rPr>
                  <w:rStyle w:val="InternetLink"/>
                  <w:rFonts w:ascii="Times New Roman" w:hAnsi="Times New Roman"/>
                  <w:color w:val="0000FF"/>
                  <w:sz w:val="20"/>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Power of Attorney (included in the signature page to this registration statement).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99.1(a)#</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2020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t>
              <w:noBreakHyphen/>
              <w:t>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99.1(b)#</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Stock Option Grant Notice and Stock Option Agreement under the 2020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t>
              <w:noBreakHyphen/>
              <w:t>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99.1(c)#</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Restricted Stock Award Grant Notice and Restricted Stock Award Agreement under the 2020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t>
              <w:noBreakHyphen/>
              <w:t>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99.1(d)#</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Restricted Stock Unit Award Grant Notice and Restricted Stock Unit Award Agreement under the 2020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t>
              <w:noBreakHyphen/>
              <w:t>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2020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t>
              <w:noBreakHyphen/>
              <w:t>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107.1</w:t>
            </w:r>
          </w:p>
        </w:tc>
        <w:tc>
          <w:tcPr>
            <w:tcW w:w="147" w:type="dxa"/>
            <w:tcBorders/>
            <w:tcMar>
              <w:top w:w="0" w:type="dxa"/>
              <w:left w:w="0" w:type="dxa"/>
              <w:bottom w:w="0" w:type="dxa"/>
              <w:right w:w="0" w:type="dxa"/>
            </w:tcMar>
            <w:vAlign w:val="center"/>
          </w:tcPr>
          <w:p>
            <w:pPr>
              <w:pStyle w:val="TableContents"/>
              <w:bidi w:val="0"/>
              <w:spacing w:before="0" w:after="283"/>
              <w:jc w:val="both"/>
              <w:rPr/>
            </w:pPr>
            <w:r>
              <w:rPr/>
              <w:t> </w:t>
            </w:r>
          </w:p>
        </w:tc>
        <w:tc>
          <w:tcPr>
            <w:tcW w:w="5905" w:type="dxa"/>
            <w:tcBorders/>
            <w:tcMar>
              <w:top w:w="0" w:type="dxa"/>
              <w:left w:w="0" w:type="dxa"/>
              <w:bottom w:w="0" w:type="dxa"/>
              <w:right w:w="0" w:type="dxa"/>
            </w:tcMar>
            <w:vAlign w:val="center"/>
          </w:tcPr>
          <w:p>
            <w:pPr>
              <w:pStyle w:val="TableContents"/>
              <w:bidi w:val="0"/>
              <w:spacing w:before="0" w:after="283"/>
              <w:jc w:val="left"/>
              <w:rPr/>
            </w:pPr>
            <w:hyperlink w:anchor="crsr_exfiling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Fremont, California, on May 7, 2026.</w:t>
      </w:r>
    </w:p>
    <w:p>
      <w:pPr>
        <w:pStyle w:val="TextBody"/>
        <w:bidi w:val="0"/>
        <w:jc w:val="both"/>
        <w:rPr/>
      </w:pPr>
      <w:r>
        <w:rPr/>
        <w:t> </w:t>
      </w:r>
    </w:p>
    <w:tbl>
      <w:tblPr>
        <w:tblW w:w="3504" w:type="dxa"/>
        <w:jc w:val="left"/>
        <w:tblInd w:w="0" w:type="dxa"/>
        <w:tblLayout w:type="fixed"/>
        <w:tblCellMar>
          <w:top w:w="28" w:type="dxa"/>
          <w:left w:w="28" w:type="dxa"/>
          <w:bottom w:w="28" w:type="dxa"/>
          <w:right w:w="28" w:type="dxa"/>
        </w:tblCellMar>
      </w:tblPr>
      <w:tblGrid>
        <w:gridCol w:w="881"/>
        <w:gridCol w:w="146"/>
        <w:gridCol w:w="406"/>
        <w:gridCol w:w="207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CORSAIR GAMING, INC.</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/s/ Thi L. La</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Thi L. La</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does hereby constitute and appoint Thi L. La and Gordon Mattingly, and each of them, with full power of substitution and full power to act without the other, his or her true and lawful attorney-in-fact and agent to act for him or her in his or her name, place and stead, in any and all capacities, to sign any and all amendments (including post-effective amendments) to this Registration Statement, and to file this Registration Statement, with all exhibits thereto, and other documents in connection therewith, with the Commission,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Act, this Registration Statement has been signed by the following persons in the capacities and on the date indicated.</w:t>
      </w:r>
    </w:p>
    <w:p>
      <w:pPr>
        <w:pStyle w:val="TextBody"/>
        <w:bidi w:val="0"/>
        <w:jc w:val="both"/>
        <w:rPr/>
      </w:pPr>
      <w:r>
        <w:rPr/>
        <w:t> </w:t>
      </w:r>
    </w:p>
    <w:tbl>
      <w:tblPr>
        <w:tblW w:w="8917" w:type="dxa"/>
        <w:jc w:val="left"/>
        <w:tblInd w:w="0" w:type="dxa"/>
        <w:tblLayout w:type="fixed"/>
        <w:tblCellMar>
          <w:top w:w="28" w:type="dxa"/>
          <w:left w:w="28" w:type="dxa"/>
          <w:bottom w:w="28" w:type="dxa"/>
          <w:right w:w="28" w:type="dxa"/>
        </w:tblCellMar>
      </w:tblPr>
      <w:tblGrid>
        <w:gridCol w:w="1226"/>
        <w:gridCol w:w="1114"/>
        <w:gridCol w:w="146"/>
        <w:gridCol w:w="1523"/>
        <w:gridCol w:w="2032"/>
        <w:gridCol w:w="1544"/>
        <w:gridCol w:w="146"/>
        <w:gridCol w:w="1186"/>
      </w:tblGrid>
      <w:tr>
        <w:trPr/>
        <w:tc>
          <w:tcPr>
            <w:tcW w:w="122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Thi L. La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 L. 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Gordon Mattingly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Gordon Mattingly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Anup Bagaria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Anup Bagaria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Diana Bell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Diana Bell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Cahilly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Cahilly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George L. Majoros, Jr.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George L. Majoros,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Sarah M. Kim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Sarah M.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Stuart A. Martin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Stuart A. Martin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Samuel R. Szteinbaum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Samuel R. Szteinbaum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Randall J. Weisenburger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2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Randall J. Weisenburger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rsr-ex5_1.htm"/>
      <w:bookmarkStart w:id="3" w:name="kscrsrex5_1"/>
      <w:bookmarkEnd w:id="2"/>
      <w:bookmarkEnd w:id="3"/>
      <w:r>
        <w:rPr/>
        <w:drawing>
          <wp:inline distT="0" distB="0" distL="0" distR="0">
            <wp:extent cx="2085975" cy="171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2085975" cy="171450"/>
                    </a:xfrm>
                    <a:prstGeom prst="rect">
                      <a:avLst/>
                    </a:prstGeom>
                  </pic:spPr>
                </pic:pic>
              </a:graphicData>
            </a:graphic>
          </wp:inline>
        </w:drawing>
      </w:r>
      <w:r>
        <w:rPr>
          <w:color w:val="000000"/>
        </w:rPr>
        <w:t xml:space="preserve"> </w:t>
      </w:r>
      <w:r>
        <w:rPr>
          <w:rFonts w:ascii="Aptos;sans-serif" w:hAnsi="Aptos;sans-serif"/>
          <w:color w:val="000000"/>
          <w:sz w:val="22"/>
        </w:rPr>
        <w:t>Exhibit 5.1</w:t>
      </w:r>
      <w:r>
        <w:br w:type="page"/>
      </w:r>
    </w:p>
    <w:p>
      <w:pPr>
        <w:pStyle w:val="TextBody"/>
        <w:bidi w:val="0"/>
        <w:jc w:val="left"/>
        <w:rPr/>
      </w:pPr>
      <w:r>
        <w:rPr/>
        <w:t> </w:t>
      </w:r>
    </w:p>
    <w:p>
      <w:pPr>
        <w:pStyle w:val="TextBody"/>
        <w:bidi w:val="0"/>
        <w:jc w:val="left"/>
        <w:rPr/>
      </w:pPr>
      <w:r>
        <w:rPr/>
        <w:t> </w:t>
      </w:r>
    </w:p>
    <w:p>
      <w:pPr>
        <w:pStyle w:val="TextBody"/>
        <w:bidi w:val="0"/>
        <w:spacing w:before="0" w:after="90"/>
        <w:jc w:val="left"/>
        <w:rPr>
          <w:rFonts w:ascii="Times New Roman" w:hAnsi="Times New Roman"/>
          <w:b/>
          <w:color w:val="000000"/>
          <w:sz w:val="16"/>
        </w:rPr>
      </w:pPr>
      <w:r>
        <w:rPr>
          <w:rFonts w:ascii="Times New Roman" w:hAnsi="Times New Roman"/>
          <w:b/>
          <w:color w:val="000000"/>
          <w:sz w:val="16"/>
        </w:rPr>
        <w:t>San Francisco</w:t>
      </w:r>
    </w:p>
    <w:p>
      <w:pPr>
        <w:pStyle w:val="TextBody"/>
        <w:bidi w:val="0"/>
        <w:jc w:val="left"/>
        <w:rPr>
          <w:rFonts w:ascii="Times New Roman" w:hAnsi="Times New Roman"/>
          <w:sz w:val="20"/>
        </w:rPr>
      </w:pPr>
      <w:r>
        <w:rPr>
          <w:rFonts w:ascii="Times New Roman" w:hAnsi="Times New Roman"/>
          <w:color w:val="000000"/>
          <w:sz w:val="16"/>
        </w:rPr>
        <w:t>One Bush Street, 17</w:t>
      </w:r>
      <w:r>
        <w:rPr>
          <w:rFonts w:ascii="Times New Roman" w:hAnsi="Times New Roman"/>
          <w:color w:val="000000"/>
          <w:sz w:val="11"/>
        </w:rPr>
        <w:t>th</w:t>
      </w:r>
      <w:r>
        <w:rPr>
          <w:rFonts w:ascii="Times New Roman" w:hAnsi="Times New Roman"/>
          <w:color w:val="000000"/>
          <w:sz w:val="20"/>
        </w:rPr>
        <w:t xml:space="preserve"> </w:t>
      </w:r>
      <w:r>
        <w:rPr>
          <w:rFonts w:ascii="Times New Roman" w:hAnsi="Times New Roman"/>
          <w:color w:val="000000"/>
          <w:sz w:val="16"/>
        </w:rPr>
        <w:t>Floor</w:t>
      </w:r>
    </w:p>
    <w:p>
      <w:pPr>
        <w:pStyle w:val="TextBody"/>
        <w:bidi w:val="0"/>
        <w:jc w:val="left"/>
        <w:rPr>
          <w:rFonts w:ascii="Times New Roman" w:hAnsi="Times New Roman"/>
          <w:sz w:val="20"/>
        </w:rPr>
      </w:pPr>
      <w:r>
        <w:rPr>
          <w:rFonts w:ascii="Times New Roman" w:hAnsi="Times New Roman"/>
          <w:color w:val="000000"/>
          <w:sz w:val="16"/>
        </w:rPr>
        <w:t>San Francisco, CA 94104</w:t>
        <w:br/>
      </w:r>
      <w:r>
        <w:rPr>
          <w:rFonts w:ascii="Times New Roman" w:hAnsi="Times New Roman"/>
          <w:b/>
          <w:color w:val="000000"/>
          <w:sz w:val="16"/>
        </w:rPr>
        <w:t>T</w:t>
      </w:r>
      <w:r>
        <w:rPr>
          <w:rFonts w:ascii="Times New Roman" w:hAnsi="Times New Roman"/>
          <w:color w:val="000000"/>
          <w:sz w:val="20"/>
        </w:rPr>
        <w:t xml:space="preserve"> </w:t>
      </w:r>
      <w:r>
        <w:rPr>
          <w:rFonts w:ascii="Times New Roman" w:hAnsi="Times New Roman"/>
          <w:color w:val="000000"/>
          <w:sz w:val="16"/>
        </w:rPr>
        <w:t>+1 (650) 618-9250</w:t>
      </w:r>
    </w:p>
    <w:p>
      <w:pPr>
        <w:pStyle w:val="TextBody"/>
        <w:bidi w:val="0"/>
        <w:spacing w:before="0" w:after="90"/>
        <w:jc w:val="left"/>
        <w:rPr/>
      </w:pPr>
      <w:r>
        <w:rPr/>
        <w:t> </w:t>
      </w:r>
    </w:p>
    <w:p>
      <w:pPr>
        <w:pStyle w:val="TextBody"/>
        <w:bidi w:val="0"/>
        <w:spacing w:before="90" w:after="240"/>
        <w:jc w:val="left"/>
        <w:rPr>
          <w:rFonts w:ascii="Times New Roman" w:hAnsi="Times New Roman"/>
          <w:b/>
          <w:color w:val="000000"/>
          <w:sz w:val="16"/>
        </w:rPr>
      </w:pPr>
      <w:r>
        <w:rPr>
          <w:rFonts w:ascii="Times New Roman" w:hAnsi="Times New Roman"/>
          <w:b/>
          <w:color w:val="000000"/>
          <w:sz w:val="16"/>
        </w:rPr>
        <w:t>freshfields.us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May 7,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Corsair Gaming, Inc.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115 N. McCarthy Boulevard</w:t>
      </w:r>
    </w:p>
    <w:p>
      <w:pPr>
        <w:pStyle w:val="TextBody"/>
        <w:bidi w:val="0"/>
        <w:jc w:val="left"/>
        <w:rPr>
          <w:rFonts w:ascii="Times New Roman" w:hAnsi="Times New Roman"/>
          <w:color w:val="000000"/>
          <w:sz w:val="24"/>
        </w:rPr>
      </w:pPr>
      <w:r>
        <w:rPr>
          <w:rFonts w:ascii="Times New Roman" w:hAnsi="Times New Roman"/>
          <w:color w:val="000000"/>
          <w:sz w:val="24"/>
        </w:rPr>
        <w:t>Milpitas, California 95035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40" w:after="120"/>
        <w:jc w:val="both"/>
        <w:rPr>
          <w:rFonts w:ascii="Times New Roman" w:hAnsi="Times New Roman"/>
          <w:sz w:val="20"/>
        </w:rPr>
      </w:pPr>
      <w:r>
        <w:rPr>
          <w:rFonts w:ascii="Times New Roman" w:hAnsi="Times New Roman"/>
          <w:color w:val="000000"/>
          <w:sz w:val="24"/>
        </w:rPr>
        <w:t>Corsair Gaming,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filed with the Securities and Exchange Commission a Registration Statement on Form S-8 (the “</w:t>
      </w:r>
      <w:r>
        <w:rPr>
          <w:rFonts w:ascii="Times New Roman" w:hAnsi="Times New Roman"/>
          <w:b/>
          <w:i/>
          <w:color w:val="000000"/>
          <w:sz w:val="24"/>
        </w:rPr>
        <w:t>Registration Statement</w:t>
      </w:r>
      <w:r>
        <w:rPr>
          <w:rFonts w:ascii="Times New Roman" w:hAnsi="Times New Roman"/>
          <w:color w:val="000000"/>
          <w:sz w:val="20"/>
        </w:rPr>
        <w:t>”</w:t>
      </w:r>
      <w:r>
        <w:rPr>
          <w:rFonts w:ascii="Times New Roman" w:hAnsi="Times New Roman"/>
          <w:color w:val="000000"/>
          <w:sz w:val="24"/>
        </w:rPr>
        <w:t>) for the purpose of registering under the Securities Act of 1933, as amended (the “</w:t>
      </w:r>
      <w:r>
        <w:rPr>
          <w:rFonts w:ascii="Times New Roman" w:hAnsi="Times New Roman"/>
          <w:b/>
          <w:i/>
          <w:color w:val="000000"/>
          <w:sz w:val="24"/>
        </w:rPr>
        <w:t>Securities Act</w:t>
      </w:r>
      <w:r>
        <w:rPr>
          <w:rFonts w:ascii="Times New Roman" w:hAnsi="Times New Roman"/>
          <w:color w:val="000000"/>
          <w:sz w:val="20"/>
        </w:rPr>
        <w:t>”</w:t>
      </w:r>
      <w:r>
        <w:rPr>
          <w:rFonts w:ascii="Times New Roman" w:hAnsi="Times New Roman"/>
          <w:color w:val="000000"/>
          <w:sz w:val="24"/>
        </w:rPr>
        <w:t>), 5,331,942 shares of Common Stock of the Company, par value $0.0001 per share (the “</w:t>
      </w:r>
      <w:r>
        <w:rPr>
          <w:rFonts w:ascii="Times New Roman" w:hAnsi="Times New Roman"/>
          <w:b/>
          <w:i/>
          <w:color w:val="000000"/>
          <w:sz w:val="24"/>
        </w:rPr>
        <w:t>Securities</w:t>
      </w:r>
      <w:r>
        <w:rPr>
          <w:rFonts w:ascii="Times New Roman" w:hAnsi="Times New Roman"/>
          <w:color w:val="000000"/>
          <w:sz w:val="20"/>
        </w:rPr>
        <w:t>”</w:t>
      </w:r>
      <w:r>
        <w:rPr>
          <w:rFonts w:ascii="Times New Roman" w:hAnsi="Times New Roman"/>
          <w:color w:val="000000"/>
          <w:sz w:val="24"/>
        </w:rPr>
        <w:t>), that may be issued under the Company’s 2020 Incentive Award Plan (the “</w:t>
      </w:r>
      <w:r>
        <w:rPr>
          <w:rFonts w:ascii="Times New Roman" w:hAnsi="Times New Roman"/>
          <w:b/>
          <w:i/>
          <w:color w:val="000000"/>
          <w:sz w:val="24"/>
        </w:rPr>
        <w:t>2020 Plan</w:t>
      </w:r>
      <w:r>
        <w:rPr>
          <w:rFonts w:ascii="Times New Roman" w:hAnsi="Times New Roman"/>
          <w:color w:val="000000"/>
          <w:sz w:val="20"/>
        </w:rPr>
        <w:t>”</w:t>
      </w:r>
      <w:r>
        <w:rPr>
          <w:rFonts w:ascii="Times New Roman" w:hAnsi="Times New Roman"/>
          <w:color w:val="000000"/>
          <w:sz w:val="24"/>
        </w:rPr>
        <w:t>) and the 2020 Employee Stock Purchase Plan (the “</w:t>
      </w:r>
      <w:r>
        <w:rPr>
          <w:rFonts w:ascii="Times New Roman" w:hAnsi="Times New Roman"/>
          <w:b/>
          <w:i/>
          <w:color w:val="000000"/>
          <w:sz w:val="24"/>
        </w:rPr>
        <w:t>ESPP</w:t>
      </w:r>
      <w:r>
        <w:rPr>
          <w:rFonts w:ascii="Times New Roman" w:hAnsi="Times New Roman"/>
          <w:color w:val="000000"/>
          <w:sz w:val="24"/>
        </w:rPr>
        <w:t>,” and together with the 2020 Plan, the “</w:t>
      </w:r>
      <w:r>
        <w:rPr>
          <w:rFonts w:ascii="Times New Roman" w:hAnsi="Times New Roman"/>
          <w:b/>
          <w:i/>
          <w:color w:val="000000"/>
          <w:sz w:val="24"/>
        </w:rPr>
        <w:t>Plans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120" w:after="120"/>
        <w:jc w:val="both"/>
        <w:rPr>
          <w:rFonts w:ascii="Times New Roman" w:hAnsi="Times New Roman"/>
          <w:sz w:val="20"/>
        </w:rPr>
      </w:pPr>
      <w:r>
        <w:rPr>
          <w:rFonts w:ascii="Times New Roman" w:hAnsi="Times New Roman"/>
          <w:color w:val="000000"/>
          <w:sz w:val="24"/>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Based upon the foregoing, and subject to the additional assumptions and qualifications set forth below, we advise you that, in our opinion, as of the date hereof, the Securities have been duly authorized and, when and to the extent issued, delivered and paid for in accordance with the Plans, the Securities will be validly issued, fully paid and non-assessable.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We are members of the Bars of the States of New York and California and the foregoing opinion is limited to the General Corporation Law of the State of Delaware.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2085975"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085975" cy="171450"/>
                    </a:xfrm>
                    <a:prstGeom prst="rect">
                      <a:avLst/>
                    </a:prstGeom>
                  </pic:spPr>
                </pic:pic>
              </a:graphicData>
            </a:graphic>
          </wp:inline>
        </w:drawing>
      </w:r>
      <w:r>
        <w:rPr>
          <w:color w:val="000000"/>
        </w:rPr>
        <w:t xml:space="preserve"> </w:t>
      </w:r>
      <w:r>
        <w:rPr>
          <w:rFonts w:ascii="Aptos;sans-serif" w:hAnsi="Aptos;sans-serif"/>
          <w:color w:val="000000"/>
          <w:sz w:val="22"/>
        </w:rPr>
        <w:t>Exhibit 5.1</w:t>
      </w:r>
    </w:p>
    <w:p>
      <w:pPr>
        <w:pStyle w:val="TextBody"/>
        <w:bidi w:val="0"/>
        <w:jc w:val="left"/>
        <w:rPr/>
      </w:pPr>
      <w:r>
        <w:rPr/>
        <w:t> </w:t>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4"/>
        </w:rPr>
        <w:t>We hereby consent to the filing of this opinion as an exhibit to the Registration Statement. In giving this consent, we do not admit that we are in the category of persons whose consent is required under Section 7 of the Securities 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Very truly yours,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Freshfields US LLP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4" w:name="crsr-ex23_2.htm"/>
      <w:bookmarkStart w:id="5" w:name="kscrsrex23_2"/>
      <w:bookmarkEnd w:id="4"/>
      <w:bookmarkEnd w:id="5"/>
      <w:r>
        <w:rPr/>
        <w:t> </w:t>
      </w:r>
      <w:r>
        <w:br w:type="page"/>
      </w:r>
    </w:p>
    <w:p>
      <w:pPr>
        <w:pStyle w:val="TextBody"/>
        <w:bidi w:val="0"/>
        <w:jc w:val="both"/>
        <w:rPr/>
      </w:pPr>
      <w:r>
        <w:rPr/>
        <w:t> </w:t>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23.2</w:t>
      </w:r>
    </w:p>
    <w:p>
      <w:pPr>
        <w:pStyle w:val="TextBody"/>
        <w:bidi w:val="0"/>
        <w:jc w:val="center"/>
        <w:rPr/>
      </w:pPr>
      <w:r>
        <w:rPr/>
        <w:t> </w:t>
      </w:r>
    </w:p>
    <w:p>
      <w:pPr>
        <w:pStyle w:val="TextBody"/>
        <w:bidi w:val="0"/>
        <w:spacing w:before="0" w:after="4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use of our reports dated February 24, 2026, with respect to the consolidated financial statements of Corsair Gaming, Inc., and the effectiveness of internal control over financial reporting, incorporated herein by reference.</w:t>
      </w:r>
    </w:p>
    <w:p>
      <w:pPr>
        <w:pStyle w:val="TextBody"/>
        <w:bidi w:val="0"/>
        <w:spacing w:before="0" w:after="20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 KPMG LLP</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San Francisco, California</w:t>
        <w:br/>
        <w:t>May 07,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1"/>
        </w:rPr>
      </w:pPr>
      <w:bookmarkStart w:id="6" w:name="crsr_exfilingfees.htm"/>
      <w:bookmarkStart w:id="7" w:name="kscrsr_exfilingfees"/>
      <w:bookmarkEnd w:id="6"/>
      <w:bookmarkEnd w:id="7"/>
      <w:r>
        <w:rPr>
          <w:rFonts w:ascii="Times New Roman" w:hAnsi="Times New Roman"/>
          <w:color w:val="000000"/>
          <w:sz w:val="21"/>
        </w:rPr>
        <w:t>Exhibit 107.1</w:t>
      </w:r>
      <w:r>
        <w:br w:type="page"/>
      </w:r>
    </w:p>
    <w:p>
      <w:pPr>
        <w:pStyle w:val="TextBody"/>
        <w:bidi w:val="0"/>
        <w:spacing w:before="260" w:after="240"/>
        <w:jc w:val="center"/>
        <w:rPr>
          <w:rFonts w:ascii="Times New Roman" w:hAnsi="Times New Roman"/>
          <w:sz w:val="20"/>
        </w:rPr>
      </w:pPr>
      <w:r>
        <w:rPr>
          <w:rFonts w:ascii="Times New Roman" w:hAnsi="Times New Roman"/>
          <w:b/>
          <w:color w:val="000000"/>
          <w:sz w:val="22"/>
        </w:rPr>
        <w:t>Calculation of Filing Fee</w:t>
      </w:r>
      <w:r>
        <w:rPr>
          <w:rFonts w:ascii="Times New Roman" w:hAnsi="Times New Roman"/>
          <w:color w:val="000000"/>
          <w:sz w:val="20"/>
        </w:rPr>
        <w:t xml:space="preserve"> </w:t>
      </w:r>
      <w:r>
        <w:rPr>
          <w:rFonts w:ascii="Times New Roman" w:hAnsi="Times New Roman"/>
          <w:b/>
          <w:color w:val="000000"/>
          <w:sz w:val="22"/>
        </w:rPr>
        <w:t>Tables</w:t>
      </w:r>
    </w:p>
    <w:p>
      <w:pPr>
        <w:pStyle w:val="TextBody"/>
        <w:bidi w:val="0"/>
        <w:spacing w:before="20" w:after="283"/>
        <w:jc w:val="center"/>
        <w:rPr>
          <w:rFonts w:ascii="Times New Roman" w:hAnsi="Times New Roman"/>
          <w:b/>
          <w:color w:val="000000"/>
          <w:sz w:val="22"/>
        </w:rPr>
      </w:pPr>
      <w:r>
        <w:rPr>
          <w:rFonts w:ascii="Times New Roman" w:hAnsi="Times New Roman"/>
          <w:b/>
          <w:color w:val="000000"/>
          <w:sz w:val="22"/>
        </w:rPr>
        <w:t>Form S-8</w:t>
      </w:r>
    </w:p>
    <w:p>
      <w:pPr>
        <w:pStyle w:val="TextBody"/>
        <w:bidi w:val="0"/>
        <w:jc w:val="center"/>
        <w:rPr>
          <w:rFonts w:ascii="Times New Roman" w:hAnsi="Times New Roman"/>
          <w:color w:val="000000"/>
          <w:sz w:val="22"/>
        </w:rPr>
      </w:pPr>
      <w:r>
        <w:rPr>
          <w:rFonts w:ascii="Times New Roman" w:hAnsi="Times New Roman"/>
          <w:color w:val="000000"/>
          <w:sz w:val="22"/>
        </w:rPr>
        <w:t>(Form Type)</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Corsair Gaming, Inc.</w:t>
      </w:r>
    </w:p>
    <w:p>
      <w:pPr>
        <w:pStyle w:val="TextBody"/>
        <w:bidi w:val="0"/>
        <w:jc w:val="center"/>
        <w:rPr>
          <w:rFonts w:ascii="Times New Roman" w:hAnsi="Times New Roman"/>
          <w:color w:val="000000"/>
          <w:sz w:val="22"/>
        </w:rPr>
      </w:pPr>
      <w:r>
        <w:rPr>
          <w:rFonts w:ascii="Times New Roman" w:hAnsi="Times New Roman"/>
          <w:color w:val="000000"/>
          <w:sz w:val="22"/>
        </w:rPr>
        <w:t>(Exact Name of Registrant as Specified in its Charter)</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Table 1—Newly Registered Securities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84"/>
        <w:gridCol w:w="2095"/>
        <w:gridCol w:w="1611"/>
        <w:gridCol w:w="1017"/>
        <w:gridCol w:w="1046"/>
        <w:gridCol w:w="1231"/>
        <w:gridCol w:w="961"/>
        <w:gridCol w:w="1260"/>
      </w:tblGrid>
      <w:tr>
        <w:trPr/>
        <w:tc>
          <w:tcPr>
            <w:tcW w:w="98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984" w:type="dxa"/>
            <w:tcBorders>
              <w:top w:val="single" w:sz="8" w:space="0" w:color="000000"/>
              <w:left w:val="single" w:sz="8" w:space="0" w:color="000000"/>
              <w:bottom w:val="single" w:sz="8" w:space="0" w:color="000000"/>
              <w:right w:val="single" w:sz="8" w:space="0" w:color="000000"/>
            </w:tcBorders>
            <w:tcMar>
              <w:top w:w="99" w:type="dxa"/>
              <w:left w:w="99" w:type="dxa"/>
              <w:bottom w:w="99" w:type="dxa"/>
              <w:right w:w="9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Type</w:t>
            </w:r>
          </w:p>
        </w:tc>
        <w:tc>
          <w:tcPr>
            <w:tcW w:w="2095" w:type="dxa"/>
            <w:tcBorders>
              <w:top w:val="single" w:sz="8" w:space="0" w:color="000000"/>
              <w:bottom w:val="single" w:sz="8" w:space="0" w:color="000000"/>
              <w:right w:val="single" w:sz="8" w:space="0" w:color="000000"/>
            </w:tcBorders>
            <w:tcMar>
              <w:top w:w="99" w:type="dxa"/>
              <w:left w:w="0" w:type="dxa"/>
              <w:bottom w:w="99" w:type="dxa"/>
              <w:right w:w="9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Class Title</w:t>
            </w:r>
          </w:p>
        </w:tc>
        <w:tc>
          <w:tcPr>
            <w:tcW w:w="1611" w:type="dxa"/>
            <w:tcBorders>
              <w:top w:val="single" w:sz="8" w:space="0" w:color="000000"/>
              <w:bottom w:val="single" w:sz="8" w:space="0" w:color="000000"/>
              <w:right w:val="single" w:sz="8" w:space="0" w:color="000000"/>
            </w:tcBorders>
            <w:tcMar>
              <w:top w:w="99" w:type="dxa"/>
              <w:left w:w="0" w:type="dxa"/>
              <w:bottom w:w="99" w:type="dxa"/>
              <w:right w:w="9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Calculation Rule</w:t>
            </w:r>
          </w:p>
        </w:tc>
        <w:tc>
          <w:tcPr>
            <w:tcW w:w="1017" w:type="dxa"/>
            <w:tcBorders>
              <w:top w:val="single" w:sz="8" w:space="0" w:color="000000"/>
              <w:bottom w:val="single" w:sz="8" w:space="0" w:color="000000"/>
              <w:right w:val="single" w:sz="8" w:space="0" w:color="000000"/>
            </w:tcBorders>
            <w:tcMar>
              <w:top w:w="99" w:type="dxa"/>
              <w:left w:w="0" w:type="dxa"/>
              <w:bottom w:w="99" w:type="dxa"/>
              <w:right w:w="99"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Amount</w:t>
            </w:r>
          </w:p>
          <w:p>
            <w:pPr>
              <w:pStyle w:val="TableContents"/>
              <w:bidi w:val="0"/>
              <w:jc w:val="center"/>
              <w:rPr>
                <w:rFonts w:ascii="Times New Roman" w:hAnsi="Times New Roman"/>
                <w:b/>
                <w:color w:val="000000"/>
                <w:sz w:val="18"/>
              </w:rPr>
            </w:pPr>
            <w:r>
              <w:rPr>
                <w:rFonts w:ascii="Times New Roman" w:hAnsi="Times New Roman"/>
                <w:b/>
                <w:color w:val="000000"/>
                <w:sz w:val="18"/>
              </w:rPr>
              <w:t>to be</w:t>
            </w:r>
          </w:p>
          <w:p>
            <w:pPr>
              <w:pStyle w:val="TableContents"/>
              <w:bidi w:val="0"/>
              <w:spacing w:before="0" w:after="283"/>
              <w:jc w:val="center"/>
              <w:rPr>
                <w:rFonts w:ascii="Times New Roman" w:hAnsi="Times New Roman"/>
                <w:sz w:val="18"/>
              </w:rPr>
            </w:pPr>
            <w:r>
              <w:rPr>
                <w:rFonts w:ascii="Times New Roman" w:hAnsi="Times New Roman"/>
                <w:b/>
                <w:color w:val="000000"/>
                <w:sz w:val="18"/>
              </w:rPr>
              <w:t>Registered</w:t>
            </w:r>
            <w:r>
              <w:rPr>
                <w:rFonts w:ascii="Times New Roman" w:hAnsi="Times New Roman"/>
                <w:b/>
                <w:color w:val="000000"/>
                <w:sz w:val="12"/>
              </w:rPr>
              <w:t>(1)</w:t>
            </w:r>
          </w:p>
        </w:tc>
        <w:tc>
          <w:tcPr>
            <w:tcW w:w="1046" w:type="dxa"/>
            <w:tcBorders>
              <w:top w:val="single" w:sz="8" w:space="0" w:color="000000"/>
              <w:bottom w:val="single" w:sz="8" w:space="0" w:color="000000"/>
              <w:right w:val="single" w:sz="8" w:space="0" w:color="000000"/>
            </w:tcBorders>
            <w:tcMar>
              <w:top w:w="99" w:type="dxa"/>
              <w:left w:w="0" w:type="dxa"/>
              <w:bottom w:w="99" w:type="dxa"/>
              <w:right w:w="99"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Proposed</w:t>
            </w:r>
          </w:p>
          <w:p>
            <w:pPr>
              <w:pStyle w:val="TableContents"/>
              <w:bidi w:val="0"/>
              <w:jc w:val="center"/>
              <w:rPr>
                <w:rFonts w:ascii="Times New Roman" w:hAnsi="Times New Roman"/>
                <w:b/>
                <w:color w:val="000000"/>
                <w:sz w:val="18"/>
              </w:rPr>
            </w:pPr>
            <w:r>
              <w:rPr>
                <w:rFonts w:ascii="Times New Roman" w:hAnsi="Times New Roman"/>
                <w:b/>
                <w:color w:val="000000"/>
                <w:sz w:val="18"/>
              </w:rPr>
              <w:t>Maximum</w:t>
            </w:r>
          </w:p>
          <w:p>
            <w:pPr>
              <w:pStyle w:val="TableContents"/>
              <w:bidi w:val="0"/>
              <w:jc w:val="center"/>
              <w:rPr>
                <w:rFonts w:ascii="Times New Roman" w:hAnsi="Times New Roman"/>
                <w:b/>
                <w:color w:val="000000"/>
                <w:sz w:val="18"/>
              </w:rPr>
            </w:pPr>
            <w:r>
              <w:rPr>
                <w:rFonts w:ascii="Times New Roman" w:hAnsi="Times New Roman"/>
                <w:b/>
                <w:color w:val="000000"/>
                <w:sz w:val="18"/>
              </w:rPr>
              <w:t>Offering Price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Unit</w:t>
            </w:r>
          </w:p>
        </w:tc>
        <w:tc>
          <w:tcPr>
            <w:tcW w:w="1231" w:type="dxa"/>
            <w:tcBorders>
              <w:top w:val="single" w:sz="8" w:space="0" w:color="000000"/>
              <w:bottom w:val="single" w:sz="8" w:space="0" w:color="000000"/>
              <w:right w:val="single" w:sz="8" w:space="0" w:color="000000"/>
            </w:tcBorders>
            <w:tcMar>
              <w:top w:w="99" w:type="dxa"/>
              <w:left w:w="0" w:type="dxa"/>
              <w:bottom w:w="99" w:type="dxa"/>
              <w:right w:w="99"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Maximum</w:t>
            </w:r>
          </w:p>
          <w:p>
            <w:pPr>
              <w:pStyle w:val="TableContents"/>
              <w:bidi w:val="0"/>
              <w:jc w:val="center"/>
              <w:rPr>
                <w:rFonts w:ascii="Times New Roman" w:hAnsi="Times New Roman"/>
                <w:b/>
                <w:color w:val="000000"/>
                <w:sz w:val="18"/>
              </w:rPr>
            </w:pPr>
            <w:r>
              <w:rPr>
                <w:rFonts w:ascii="Times New Roman" w:hAnsi="Times New Roman"/>
                <w:b/>
                <w:color w:val="000000"/>
                <w:sz w:val="18"/>
              </w:rPr>
              <w:t>Aggregate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Offering Price</w:t>
            </w:r>
          </w:p>
        </w:tc>
        <w:tc>
          <w:tcPr>
            <w:tcW w:w="961" w:type="dxa"/>
            <w:tcBorders>
              <w:top w:val="single" w:sz="8" w:space="0" w:color="000000"/>
              <w:bottom w:val="single" w:sz="8" w:space="0" w:color="000000"/>
              <w:right w:val="single" w:sz="8" w:space="0" w:color="000000"/>
            </w:tcBorders>
            <w:tcMar>
              <w:top w:w="99" w:type="dxa"/>
              <w:left w:w="0" w:type="dxa"/>
              <w:bottom w:w="99" w:type="dxa"/>
              <w:right w:w="9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Rate</w:t>
            </w:r>
          </w:p>
        </w:tc>
        <w:tc>
          <w:tcPr>
            <w:tcW w:w="1260" w:type="dxa"/>
            <w:tcBorders>
              <w:top w:val="single" w:sz="8" w:space="0" w:color="000000"/>
              <w:bottom w:val="single" w:sz="8" w:space="0" w:color="000000"/>
              <w:right w:val="single" w:sz="8" w:space="0" w:color="000000"/>
            </w:tcBorders>
            <w:tcMar>
              <w:top w:w="99" w:type="dxa"/>
              <w:left w:w="0" w:type="dxa"/>
              <w:bottom w:w="99" w:type="dxa"/>
              <w:right w:w="99"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Amount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Registration Fee</w:t>
            </w:r>
          </w:p>
        </w:tc>
      </w:tr>
      <w:tr>
        <w:trPr/>
        <w:tc>
          <w:tcPr>
            <w:tcW w:w="984" w:type="dxa"/>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Equity</w:t>
            </w:r>
          </w:p>
        </w:tc>
        <w:tc>
          <w:tcPr>
            <w:tcW w:w="2095"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61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457(c) and Rule 457(h)</w:t>
            </w:r>
          </w:p>
        </w:tc>
        <w:tc>
          <w:tcPr>
            <w:tcW w:w="1017"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4,265,554</w:t>
            </w:r>
            <w:r>
              <w:rPr>
                <w:rFonts w:ascii="Times New Roman" w:hAnsi="Times New Roman"/>
                <w:color w:val="000000"/>
                <w:sz w:val="12"/>
              </w:rPr>
              <w:t>(2)</w:t>
            </w:r>
            <w:r>
              <w:rPr>
                <w:rFonts w:ascii="Times New Roman" w:hAnsi="Times New Roman"/>
                <w:color w:val="000000"/>
                <w:sz w:val="18"/>
              </w:rPr>
              <w:t xml:space="preserve"> </w:t>
            </w:r>
          </w:p>
        </w:tc>
        <w:tc>
          <w:tcPr>
            <w:tcW w:w="1046"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$6.76</w:t>
            </w:r>
            <w:r>
              <w:rPr>
                <w:rFonts w:ascii="Times New Roman" w:hAnsi="Times New Roman"/>
                <w:color w:val="000000"/>
                <w:sz w:val="12"/>
              </w:rPr>
              <w:t>(3)</w:t>
            </w:r>
          </w:p>
        </w:tc>
        <w:tc>
          <w:tcPr>
            <w:tcW w:w="123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$28,835,145.04</w:t>
            </w:r>
          </w:p>
        </w:tc>
        <w:tc>
          <w:tcPr>
            <w:tcW w:w="96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$0.0001381</w:t>
            </w:r>
          </w:p>
        </w:tc>
        <w:tc>
          <w:tcPr>
            <w:tcW w:w="1260"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$3,982.14</w:t>
            </w:r>
          </w:p>
        </w:tc>
      </w:tr>
      <w:tr>
        <w:trPr/>
        <w:tc>
          <w:tcPr>
            <w:tcW w:w="984" w:type="dxa"/>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Equity</w:t>
            </w:r>
          </w:p>
        </w:tc>
        <w:tc>
          <w:tcPr>
            <w:tcW w:w="2095"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61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457(c) and Rule 457(h)</w:t>
            </w:r>
          </w:p>
        </w:tc>
        <w:tc>
          <w:tcPr>
            <w:tcW w:w="1017"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1,066,388</w:t>
            </w:r>
            <w:r>
              <w:rPr>
                <w:rFonts w:ascii="Times New Roman" w:hAnsi="Times New Roman"/>
                <w:color w:val="000000"/>
                <w:sz w:val="12"/>
              </w:rPr>
              <w:t>(4)</w:t>
            </w:r>
            <w:r>
              <w:rPr>
                <w:rFonts w:ascii="Times New Roman" w:hAnsi="Times New Roman"/>
                <w:color w:val="000000"/>
                <w:sz w:val="18"/>
              </w:rPr>
              <w:t xml:space="preserve"> </w:t>
            </w:r>
          </w:p>
        </w:tc>
        <w:tc>
          <w:tcPr>
            <w:tcW w:w="1046"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$5.75</w:t>
            </w:r>
            <w:r>
              <w:rPr>
                <w:rFonts w:ascii="Times New Roman" w:hAnsi="Times New Roman"/>
                <w:color w:val="000000"/>
                <w:sz w:val="12"/>
              </w:rPr>
              <w:t>(5)</w:t>
            </w:r>
          </w:p>
        </w:tc>
        <w:tc>
          <w:tcPr>
            <w:tcW w:w="123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$6,131,731.00</w:t>
            </w:r>
          </w:p>
        </w:tc>
        <w:tc>
          <w:tcPr>
            <w:tcW w:w="96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$0.0001381</w:t>
            </w:r>
          </w:p>
        </w:tc>
        <w:tc>
          <w:tcPr>
            <w:tcW w:w="1260"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$846.80</w:t>
            </w:r>
          </w:p>
        </w:tc>
      </w:tr>
      <w:tr>
        <w:trPr/>
        <w:tc>
          <w:tcPr>
            <w:tcW w:w="5707" w:type="dxa"/>
            <w:gridSpan w:val="4"/>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Offering Amounts</w:t>
            </w:r>
          </w:p>
        </w:tc>
        <w:tc>
          <w:tcPr>
            <w:tcW w:w="1046"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pPr>
            <w:r>
              <w:rPr/>
              <w:t> </w:t>
            </w:r>
          </w:p>
        </w:tc>
        <w:tc>
          <w:tcPr>
            <w:tcW w:w="123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$34,966,876.04</w:t>
            </w:r>
          </w:p>
        </w:tc>
        <w:tc>
          <w:tcPr>
            <w:tcW w:w="96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pPr>
            <w:r>
              <w:rPr/>
              <w:t> </w:t>
            </w:r>
          </w:p>
        </w:tc>
        <w:tc>
          <w:tcPr>
            <w:tcW w:w="1260"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$4,828.94</w:t>
            </w:r>
          </w:p>
        </w:tc>
      </w:tr>
      <w:tr>
        <w:trPr/>
        <w:tc>
          <w:tcPr>
            <w:tcW w:w="5707" w:type="dxa"/>
            <w:gridSpan w:val="4"/>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Total Fee Offsets</w:t>
            </w:r>
            <w:r>
              <w:rPr>
                <w:rFonts w:ascii="Times New Roman" w:hAnsi="Times New Roman"/>
                <w:b/>
                <w:color w:val="000000"/>
                <w:sz w:val="12"/>
              </w:rPr>
              <w:t>(6)</w:t>
            </w:r>
          </w:p>
        </w:tc>
        <w:tc>
          <w:tcPr>
            <w:tcW w:w="1046"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pPr>
            <w:r>
              <w:rPr/>
              <w:t> </w:t>
            </w:r>
          </w:p>
        </w:tc>
        <w:tc>
          <w:tcPr>
            <w:tcW w:w="123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pPr>
            <w:r>
              <w:rPr/>
              <w:t> </w:t>
            </w:r>
          </w:p>
        </w:tc>
        <w:tc>
          <w:tcPr>
            <w:tcW w:w="96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pPr>
            <w:r>
              <w:rPr/>
              <w:t> </w:t>
            </w:r>
          </w:p>
        </w:tc>
        <w:tc>
          <w:tcPr>
            <w:tcW w:w="1260"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 xml:space="preserve">$ </w:t>
            </w:r>
            <w:r>
              <w:rPr>
                <w:rFonts w:ascii="Times New Roman" w:hAnsi="Times New Roman"/>
                <w:color w:val="000000"/>
                <w:sz w:val="20"/>
              </w:rPr>
              <w:t>—</w:t>
            </w:r>
          </w:p>
        </w:tc>
      </w:tr>
      <w:tr>
        <w:trPr/>
        <w:tc>
          <w:tcPr>
            <w:tcW w:w="5707" w:type="dxa"/>
            <w:gridSpan w:val="4"/>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Fee Due</w:t>
            </w:r>
          </w:p>
        </w:tc>
        <w:tc>
          <w:tcPr>
            <w:tcW w:w="1046"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pPr>
            <w:r>
              <w:rPr/>
              <w:t> </w:t>
            </w:r>
          </w:p>
        </w:tc>
        <w:tc>
          <w:tcPr>
            <w:tcW w:w="123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pPr>
            <w:r>
              <w:rPr/>
              <w:t> </w:t>
            </w:r>
          </w:p>
        </w:tc>
        <w:tc>
          <w:tcPr>
            <w:tcW w:w="961"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pPr>
            <w:r>
              <w:rPr/>
              <w:t> </w:t>
            </w:r>
          </w:p>
        </w:tc>
        <w:tc>
          <w:tcPr>
            <w:tcW w:w="1260"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$4,828.94</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Pursuant to Rule 416(a) under the Securities Act of 1933, as amended (the “Securities Act”), this registration statement shall also cover any additional shares of the Registrant’s common stock that become issuable under the 2020 Incentive Award Plan (the “2020 Plan”) and the 2020 Employee Stock Purchase Plan (the “ESPP”) by reason of any stock dividend, stock split, recapitalization or similar transaction effected without the Registrant’s receipt of consideration which would increase the number of outstanding shares of common stock.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 Represents the additional shares of common stock available for future issuance under the Registrant’s 2020 Plan resulting from an annual increase as of January 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 This estimate is made pursuant to Rule 457(c) and Rule 457(h) of the Securities Act solely for purposes of calculating the registration fee. The Proposed Maximum Offering Price Per Share for shares available for future grant under the 2020 Plan is the average of the high and low prices for the registrant’s common stock as reported on the Nasdaq Global Select Market on April 30, 2026, which was $6.76.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 Represents the additional shares of common stock available for future issuance under the Registrant’s ESPP resulting from an annual increase as of January 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 This estimate is made pursuant to Rule 457(c) and Rule 457(h) of the Securities Act solely for purposes of calculating the registration fee. The Proposed Maximum Offering Price Per Share for shares available for future grant under the ESPP is $5.75, which represents the average of the high and low prices for the registrant’s common stock as reported on the Nasdaq Global Select Market on April 30, 2026, multiplied by 85%, which is the percentage of the price per share applicable to purchase under the ESPP.</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 The Registrant does not have any fee offsets.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759/000095017025105091/crsr-20250807.htm" TargetMode="External"/><Relationship Id="rId3" Type="http://schemas.openxmlformats.org/officeDocument/2006/relationships/hyperlink" Target="https://www.sec.gov/Archives/edgar/data/1743759/000095017024054754/crsr_s8_q1_2024.htm" TargetMode="External"/><Relationship Id="rId4" Type="http://schemas.openxmlformats.org/officeDocument/2006/relationships/hyperlink" Target="https://www.sec.gov/Archives/edgar/data/1743759/000095017023020625/crsr_s8_q1_2023.htm" TargetMode="External"/><Relationship Id="rId5" Type="http://schemas.openxmlformats.org/officeDocument/2006/relationships/hyperlink" Target="https://www.sec.gov/Archives/edgar/data/1743759/000156459022018615/crsr-s8.htm" TargetMode="External"/><Relationship Id="rId6" Type="http://schemas.openxmlformats.org/officeDocument/2006/relationships/hyperlink" Target="https://www.sec.gov/Archives/edgar/data/1743759/000156459021012524/crsr-s8.htm" TargetMode="External"/><Relationship Id="rId7" Type="http://schemas.openxmlformats.org/officeDocument/2006/relationships/hyperlink" Target="https://www.sec.gov/Archives/edgar/data/1743759/000119312520254677/d74020ds8.htm" TargetMode="External"/><Relationship Id="rId8" Type="http://schemas.openxmlformats.org/officeDocument/2006/relationships/hyperlink" Target="https://www.sec.gov/Archives/edgar/data/0001743759/000119312520254569/d65933dex31.htm" TargetMode="External"/><Relationship Id="rId9" Type="http://schemas.openxmlformats.org/officeDocument/2006/relationships/hyperlink" Target="https://www.sec.gov/Archives/edgar/data/0001743759/000119312520254569/d65933dex32.htm" TargetMode="External"/><Relationship Id="rId10" Type="http://schemas.openxmlformats.org/officeDocument/2006/relationships/hyperlink" Target="https://www.sec.gov/Archives/edgar/data/0001743759/000119312520248527/d507744dex42.htm" TargetMode="External"/><Relationship Id="rId11" Type="http://schemas.openxmlformats.org/officeDocument/2006/relationships/hyperlink" Target="https://www.sec.gov/Archives/edgar/data/0001743759/000119312520244634/d507744dex103.htm" TargetMode="External"/><Relationship Id="rId12" Type="http://schemas.openxmlformats.org/officeDocument/2006/relationships/hyperlink" Target="https://www.sec.gov/Archives/edgar/data/0001743759/000119312520244634/d507744dex103a.htm" TargetMode="External"/><Relationship Id="rId13" Type="http://schemas.openxmlformats.org/officeDocument/2006/relationships/hyperlink" Target="https://www.sec.gov/Archives/edgar/data/0001743759/000119312520244634/d507744dex103b.htm" TargetMode="External"/><Relationship Id="rId14" Type="http://schemas.openxmlformats.org/officeDocument/2006/relationships/hyperlink" Target="https://www.sec.gov/Archives/edgar/data/0001743759/000119312520244634/d507744dex103c.htm" TargetMode="External"/><Relationship Id="rId15" Type="http://schemas.openxmlformats.org/officeDocument/2006/relationships/hyperlink" Target="https://www.sec.gov/Archives/edgar/data/0001743759/000119312520244634/d507744dex104.htm" TargetMode="External"/><Relationship Id="rId16" Type="http://schemas.openxmlformats.org/officeDocument/2006/relationships/image" Target="media/image1.gif"/><Relationship Id="rId17" Type="http://schemas.openxmlformats.org/officeDocument/2006/relationships/image" Target="media/image1.gif"/><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1877</Words>
  <Characters>10111</Characters>
  <CharactersWithSpaces>12127</CharactersWithSpaces>
  <Paragraphs>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